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仿宋_GB2312" w:eastAsia="仿宋_GB2312"/>
          <w:spacing w:val="-1"/>
          <w:sz w:val="32"/>
          <w:szCs w:val="32"/>
        </w:rPr>
      </w:pPr>
    </w:p>
    <w:p>
      <w:pPr>
        <w:snapToGrid w:val="0"/>
        <w:spacing w:line="300" w:lineRule="auto"/>
        <w:rPr>
          <w:rFonts w:ascii="仿宋_GB2312" w:eastAsia="仿宋_GB2312"/>
          <w:spacing w:val="-1"/>
          <w:sz w:val="32"/>
          <w:szCs w:val="32"/>
        </w:rPr>
      </w:pPr>
    </w:p>
    <w:p>
      <w:pPr>
        <w:snapToGrid w:val="0"/>
        <w:spacing w:line="300" w:lineRule="auto"/>
        <w:rPr>
          <w:rFonts w:ascii="仿宋_GB2312" w:eastAsia="仿宋_GB2312"/>
          <w:spacing w:val="-1"/>
          <w:sz w:val="32"/>
          <w:szCs w:val="32"/>
        </w:rPr>
      </w:pPr>
    </w:p>
    <w:p>
      <w:pPr>
        <w:snapToGrid w:val="0"/>
        <w:spacing w:line="300" w:lineRule="auto"/>
        <w:rPr>
          <w:rFonts w:ascii="仿宋_GB2312" w:eastAsia="仿宋_GB2312"/>
          <w:spacing w:val="-1"/>
          <w:sz w:val="32"/>
          <w:szCs w:val="32"/>
        </w:rPr>
      </w:pPr>
    </w:p>
    <w:p>
      <w:pPr>
        <w:snapToGrid w:val="0"/>
        <w:spacing w:line="312" w:lineRule="auto"/>
        <w:rPr>
          <w:rFonts w:ascii="仿宋_GB2312" w:eastAsia="仿宋_GB2312"/>
          <w:spacing w:val="-1"/>
          <w:sz w:val="32"/>
          <w:szCs w:val="32"/>
        </w:rPr>
      </w:pPr>
    </w:p>
    <w:p>
      <w:pPr>
        <w:snapToGrid w:val="0"/>
        <w:spacing w:line="312" w:lineRule="auto"/>
        <w:rPr>
          <w:rFonts w:ascii="仿宋_GB2312" w:eastAsia="仿宋_GB2312"/>
          <w:spacing w:val="-1"/>
          <w:sz w:val="32"/>
          <w:szCs w:val="32"/>
        </w:rPr>
      </w:pPr>
    </w:p>
    <w:p>
      <w:pPr>
        <w:snapToGrid w:val="0"/>
        <w:spacing w:line="312" w:lineRule="auto"/>
        <w:rPr>
          <w:rFonts w:ascii="仿宋_GB2312" w:eastAsia="仿宋_GB2312"/>
          <w:spacing w:val="-1"/>
          <w:sz w:val="32"/>
          <w:szCs w:val="32"/>
        </w:rPr>
      </w:pPr>
    </w:p>
    <w:p>
      <w:pPr>
        <w:snapToGrid w:val="0"/>
        <w:spacing w:line="300" w:lineRule="auto"/>
        <w:jc w:val="center"/>
        <w:rPr>
          <w:rFonts w:ascii="仿宋_GB2312" w:eastAsia="仿宋_GB2312"/>
          <w:spacing w:val="-1"/>
          <w:sz w:val="32"/>
          <w:szCs w:val="32"/>
        </w:rPr>
      </w:pPr>
      <w:r>
        <w:rPr>
          <w:rFonts w:hint="eastAsia" w:ascii="仿宋_GB2312" w:eastAsia="仿宋_GB2312"/>
          <w:spacing w:val="-1"/>
          <w:sz w:val="32"/>
          <w:szCs w:val="32"/>
        </w:rPr>
        <w:t>深建规〔2018〕</w:t>
      </w:r>
      <w:r>
        <w:rPr>
          <w:rFonts w:hint="eastAsia" w:ascii="仿宋_GB2312" w:eastAsia="仿宋_GB2312"/>
          <w:spacing w:val="-1"/>
          <w:sz w:val="32"/>
          <w:szCs w:val="32"/>
          <w:lang w:val="en-US" w:eastAsia="zh-CN"/>
        </w:rPr>
        <w:t xml:space="preserve"> </w:t>
      </w:r>
      <w:r>
        <w:rPr>
          <w:rFonts w:hint="eastAsia" w:ascii="仿宋_GB2312" w:eastAsia="仿宋_GB2312"/>
          <w:spacing w:val="-1"/>
          <w:sz w:val="32"/>
          <w:szCs w:val="32"/>
        </w:rPr>
        <w:t>号</w:t>
      </w:r>
    </w:p>
    <w:p>
      <w:pPr>
        <w:snapToGrid w:val="0"/>
        <w:spacing w:line="288" w:lineRule="auto"/>
        <w:rPr>
          <w:rFonts w:ascii="仿宋_GB2312" w:eastAsia="仿宋_GB2312"/>
          <w:spacing w:val="-1"/>
          <w:sz w:val="32"/>
          <w:szCs w:val="32"/>
        </w:rPr>
      </w:pPr>
    </w:p>
    <w:p>
      <w:pPr>
        <w:snapToGrid w:val="0"/>
        <w:spacing w:line="288" w:lineRule="auto"/>
        <w:rPr>
          <w:rFonts w:ascii="仿宋_GB2312" w:eastAsia="仿宋_GB2312"/>
          <w:spacing w:val="-1"/>
          <w:sz w:val="32"/>
          <w:szCs w:val="32"/>
        </w:rPr>
      </w:pPr>
    </w:p>
    <w:p>
      <w:pPr>
        <w:pStyle w:val="2"/>
        <w:ind w:left="0"/>
        <w:jc w:val="center"/>
        <w:rPr>
          <w:w w:val="95"/>
        </w:rPr>
      </w:pPr>
      <w:r>
        <w:t>深圳市住房和建设局</w:t>
      </w:r>
      <w:r>
        <w:rPr>
          <w:w w:val="95"/>
        </w:rPr>
        <w:t>关于印发《深圳市建设</w:t>
      </w:r>
    </w:p>
    <w:p>
      <w:pPr>
        <w:pStyle w:val="2"/>
        <w:ind w:left="0"/>
        <w:jc w:val="center"/>
      </w:pPr>
      <w:r>
        <w:rPr>
          <w:w w:val="95"/>
        </w:rPr>
        <w:t>工程评标专家库管理办</w:t>
      </w:r>
      <w:r>
        <w:t>法》的通知</w:t>
      </w:r>
    </w:p>
    <w:p>
      <w:pPr>
        <w:pStyle w:val="3"/>
        <w:spacing w:before="73"/>
        <w:ind w:left="0" w:right="273"/>
        <w:jc w:val="right"/>
      </w:pPr>
    </w:p>
    <w:p>
      <w:pPr>
        <w:pStyle w:val="3"/>
        <w:spacing w:before="5"/>
        <w:ind w:left="0"/>
        <w:rPr>
          <w:sz w:val="33"/>
        </w:rPr>
      </w:pPr>
    </w:p>
    <w:p>
      <w:pPr>
        <w:pStyle w:val="3"/>
        <w:spacing w:before="1"/>
        <w:rPr>
          <w:rFonts w:ascii="仿宋_GB2312" w:hAnsi="仿宋_GB2312" w:eastAsia="仿宋_GB2312" w:cs="仿宋_GB2312"/>
        </w:rPr>
      </w:pPr>
      <w:r>
        <w:rPr>
          <w:rFonts w:hint="eastAsia" w:ascii="仿宋_GB2312" w:hAnsi="仿宋_GB2312" w:eastAsia="仿宋_GB2312" w:cs="仿宋_GB2312"/>
        </w:rPr>
        <w:t>各有关单位：</w:t>
      </w:r>
    </w:p>
    <w:p>
      <w:pPr>
        <w:pStyle w:val="3"/>
        <w:spacing w:before="214" w:line="364" w:lineRule="auto"/>
        <w:ind w:right="273" w:firstLine="638"/>
        <w:jc w:val="both"/>
        <w:rPr>
          <w:rFonts w:ascii="仿宋_GB2312" w:hAnsi="仿宋_GB2312" w:eastAsia="仿宋_GB2312" w:cs="仿宋_GB2312"/>
        </w:rPr>
      </w:pPr>
      <w:r>
        <w:rPr>
          <w:rFonts w:hint="eastAsia" w:ascii="仿宋_GB2312" w:hAnsi="仿宋_GB2312" w:eastAsia="仿宋_GB2312" w:cs="仿宋_GB2312"/>
          <w:spacing w:val="6"/>
          <w:w w:val="95"/>
        </w:rPr>
        <w:t>为加强建设工程评标专家库及专家管理，提高评标工作质</w:t>
      </w:r>
      <w:r>
        <w:rPr>
          <w:rFonts w:hint="eastAsia" w:ascii="仿宋_GB2312" w:hAnsi="仿宋_GB2312" w:eastAsia="仿宋_GB2312" w:cs="仿宋_GB2312"/>
          <w:spacing w:val="-1"/>
        </w:rPr>
        <w:t>量，我局制定了《深圳市建设工程评标专家库管理办法》，现予发布，请遵照执行。</w:t>
      </w:r>
    </w:p>
    <w:p>
      <w:pPr>
        <w:pStyle w:val="3"/>
        <w:ind w:left="0"/>
        <w:rPr>
          <w:rFonts w:ascii="仿宋_GB2312" w:hAnsi="仿宋_GB2312" w:eastAsia="仿宋_GB2312" w:cs="仿宋_GB2312"/>
        </w:rPr>
      </w:pPr>
    </w:p>
    <w:p>
      <w:pPr>
        <w:pStyle w:val="3"/>
        <w:ind w:left="0"/>
        <w:rPr>
          <w:rFonts w:ascii="仿宋_GB2312" w:hAnsi="仿宋_GB2312" w:eastAsia="仿宋_GB2312" w:cs="仿宋_GB2312"/>
        </w:rPr>
      </w:pPr>
    </w:p>
    <w:p>
      <w:pPr>
        <w:pStyle w:val="3"/>
        <w:spacing w:before="234"/>
        <w:ind w:left="0" w:right="573"/>
        <w:jc w:val="right"/>
        <w:rPr>
          <w:rFonts w:ascii="仿宋_GB2312" w:hAnsi="仿宋_GB2312" w:eastAsia="仿宋_GB2312" w:cs="仿宋_GB2312"/>
        </w:rPr>
      </w:pPr>
      <w:r>
        <w:rPr>
          <w:rFonts w:hint="eastAsia" w:ascii="仿宋_GB2312" w:hAnsi="仿宋_GB2312" w:eastAsia="仿宋_GB2312" w:cs="仿宋_GB2312"/>
          <w:w w:val="95"/>
        </w:rPr>
        <w:t>深圳市住房和建设局</w:t>
      </w:r>
    </w:p>
    <w:p>
      <w:pPr>
        <w:pStyle w:val="3"/>
        <w:wordWrap w:val="0"/>
        <w:spacing w:before="214"/>
        <w:ind w:left="0" w:right="750"/>
        <w:jc w:val="right"/>
        <w:rPr>
          <w:rFonts w:ascii="仿宋_GB2312" w:hAnsi="仿宋_GB2312" w:eastAsia="仿宋_GB2312" w:cs="仿宋_GB2312"/>
        </w:rPr>
      </w:pPr>
      <w:r>
        <w:rPr>
          <w:rFonts w:hint="eastAsia" w:ascii="仿宋_GB2312" w:hAnsi="仿宋_GB2312" w:eastAsia="仿宋_GB2312" w:cs="仿宋_GB2312"/>
          <w:lang w:val="en-US"/>
        </w:rPr>
        <w:t xml:space="preserve">                   </w:t>
      </w:r>
      <w:r>
        <w:rPr>
          <w:rFonts w:hint="eastAsia" w:ascii="仿宋_GB2312" w:hAnsi="仿宋_GB2312" w:eastAsia="仿宋_GB2312" w:cs="仿宋_GB2312"/>
        </w:rPr>
        <w:t>2018</w:t>
      </w:r>
      <w:r>
        <w:rPr>
          <w:rFonts w:hint="eastAsia" w:ascii="仿宋_GB2312" w:hAnsi="仿宋_GB2312" w:eastAsia="仿宋_GB2312" w:cs="仿宋_GB2312"/>
          <w:spacing w:val="-55"/>
        </w:rPr>
        <w:t xml:space="preserve"> 年 </w:t>
      </w:r>
      <w:r>
        <w:rPr>
          <w:rFonts w:hint="eastAsia" w:ascii="仿宋_GB2312" w:hAnsi="仿宋_GB2312" w:eastAsia="仿宋_GB2312" w:cs="仿宋_GB2312"/>
          <w:spacing w:val="-55"/>
          <w:lang w:val="en-US"/>
        </w:rPr>
        <w:t>7</w:t>
      </w:r>
      <w:r>
        <w:rPr>
          <w:rFonts w:hint="eastAsia" w:ascii="仿宋_GB2312" w:hAnsi="仿宋_GB2312" w:eastAsia="仿宋_GB2312" w:cs="仿宋_GB2312"/>
          <w:spacing w:val="-21"/>
        </w:rPr>
        <w:t xml:space="preserve"> 月24日</w:t>
      </w:r>
    </w:p>
    <w:p>
      <w:pPr>
        <w:jc w:val="right"/>
        <w:rPr>
          <w:rFonts w:ascii="仿宋_GB2312" w:hAnsi="仿宋_GB2312" w:eastAsia="仿宋_GB2312" w:cs="仿宋_GB2312"/>
          <w:sz w:val="32"/>
          <w:szCs w:val="32"/>
        </w:rPr>
        <w:sectPr>
          <w:footerReference r:id="rId3" w:type="default"/>
          <w:footerReference r:id="rId4" w:type="even"/>
          <w:pgSz w:w="11910" w:h="16840"/>
          <w:pgMar w:top="2041" w:right="1531" w:bottom="1871" w:left="1588" w:header="0" w:footer="1670" w:gutter="0"/>
          <w:cols w:space="720" w:num="1"/>
          <w:docGrid w:linePitch="299" w:charSpace="0"/>
        </w:sectPr>
      </w:pPr>
    </w:p>
    <w:p>
      <w:pPr>
        <w:pStyle w:val="3"/>
        <w:spacing w:before="2"/>
        <w:ind w:left="0"/>
        <w:rPr>
          <w:sz w:val="23"/>
        </w:rPr>
      </w:pPr>
    </w:p>
    <w:p>
      <w:pPr>
        <w:pStyle w:val="2"/>
        <w:spacing w:before="37"/>
      </w:pPr>
      <w:r>
        <w:t>深圳市建设工程评标专家库管理办法</w:t>
      </w:r>
    </w:p>
    <w:p>
      <w:pPr>
        <w:pStyle w:val="3"/>
        <w:ind w:left="0"/>
      </w:pPr>
    </w:p>
    <w:p>
      <w:pPr>
        <w:pStyle w:val="3"/>
        <w:spacing w:before="5"/>
        <w:ind w:left="0"/>
        <w:rPr>
          <w:sz w:val="33"/>
        </w:rPr>
      </w:pPr>
    </w:p>
    <w:p>
      <w:pPr>
        <w:pStyle w:val="3"/>
        <w:spacing w:before="1"/>
        <w:ind w:left="3555" w:right="3721"/>
        <w:jc w:val="center"/>
        <w:rPr>
          <w:rFonts w:ascii="黑体" w:eastAsia="黑体"/>
        </w:rPr>
      </w:pPr>
      <w:r>
        <w:rPr>
          <w:rFonts w:hint="eastAsia" w:ascii="黑体" w:eastAsia="黑体"/>
          <w:spacing w:val="-1"/>
        </w:rPr>
        <w:t>第一章 总 则</w:t>
      </w:r>
    </w:p>
    <w:p>
      <w:pPr>
        <w:pStyle w:val="3"/>
        <w:spacing w:before="214" w:line="364" w:lineRule="auto"/>
        <w:ind w:right="114" w:firstLine="638"/>
        <w:jc w:val="both"/>
      </w:pPr>
      <w:r>
        <w:rPr>
          <w:rFonts w:hint="eastAsia" w:ascii="黑体" w:eastAsia="黑体"/>
          <w:spacing w:val="-2"/>
        </w:rPr>
        <w:t xml:space="preserve">第一条 </w:t>
      </w:r>
      <w:r>
        <w:rPr>
          <w:spacing w:val="-10"/>
        </w:rPr>
        <w:t xml:space="preserve">为加强建设工程评标专家管理，提高评标工作质量， </w:t>
      </w:r>
      <w:r>
        <w:rPr>
          <w:spacing w:val="-20"/>
        </w:rPr>
        <w:t xml:space="preserve">根据《中华人民共和国招标投标法》等相关规定，结合我市实际， </w:t>
      </w:r>
      <w:r>
        <w:t>制定本办法。</w:t>
      </w:r>
    </w:p>
    <w:p>
      <w:pPr>
        <w:pStyle w:val="3"/>
        <w:spacing w:before="2" w:line="364" w:lineRule="auto"/>
        <w:ind w:right="273" w:firstLine="638"/>
        <w:jc w:val="both"/>
      </w:pPr>
      <w:r>
        <w:rPr>
          <w:rFonts w:hint="eastAsia" w:ascii="黑体" w:eastAsia="黑体"/>
        </w:rPr>
        <w:t xml:space="preserve">第二条 </w:t>
      </w:r>
      <w:r>
        <w:t>本办法适用于我市建设工程评标专家库的组建、评标专家入库、出库及日常管理等活动。</w:t>
      </w:r>
    </w:p>
    <w:p>
      <w:pPr>
        <w:pStyle w:val="3"/>
        <w:spacing w:before="1" w:line="364" w:lineRule="auto"/>
        <w:ind w:right="273" w:firstLine="638"/>
        <w:jc w:val="both"/>
      </w:pPr>
      <w:r>
        <w:rPr>
          <w:rFonts w:hint="eastAsia" w:ascii="黑体" w:eastAsia="黑体"/>
          <w:spacing w:val="5"/>
        </w:rPr>
        <w:t xml:space="preserve">第三条 </w:t>
      </w:r>
      <w:r>
        <w:t>市建设部门负责制定我市建设工程评标专家库管理办法，指导、协调和监督专家库组建人组建和管理专家库,对专</w:t>
      </w:r>
      <w:r>
        <w:rPr>
          <w:spacing w:val="-7"/>
          <w:w w:val="95"/>
        </w:rPr>
        <w:t xml:space="preserve">家库的组建和运行情况进行考核、评估，并根据实际情况决定是 </w:t>
      </w:r>
      <w:r>
        <w:rPr>
          <w:spacing w:val="-7"/>
        </w:rPr>
        <w:t>否将专家库接入专家库管理系统进行统一管理。</w:t>
      </w:r>
    </w:p>
    <w:p>
      <w:pPr>
        <w:pStyle w:val="3"/>
        <w:spacing w:before="4" w:line="364" w:lineRule="auto"/>
        <w:ind w:right="271" w:firstLine="638"/>
        <w:jc w:val="both"/>
      </w:pPr>
      <w:r>
        <w:rPr>
          <w:rFonts w:hint="eastAsia" w:ascii="黑体" w:eastAsia="黑体"/>
          <w:spacing w:val="5"/>
        </w:rPr>
        <w:t xml:space="preserve">第四条 </w:t>
      </w:r>
      <w:r>
        <w:t>本办法所称专家库组建人主要是指市建设工程交易服务中心（以下简称交易中心</w:t>
      </w:r>
      <w:r>
        <w:rPr>
          <w:spacing w:val="-159"/>
        </w:rPr>
        <w:t>）</w:t>
      </w:r>
      <w:r>
        <w:t>。其他行业主管部门或者经市建</w:t>
      </w:r>
      <w:r>
        <w:rPr>
          <w:spacing w:val="6"/>
          <w:w w:val="95"/>
        </w:rPr>
        <w:t xml:space="preserve">设部门批准的单位也可以作为专家库组建人，组建并管理专家 </w:t>
      </w:r>
      <w:r>
        <w:rPr>
          <w:spacing w:val="6"/>
        </w:rPr>
        <w:t>库。</w:t>
      </w:r>
    </w:p>
    <w:p>
      <w:pPr>
        <w:pStyle w:val="3"/>
        <w:spacing w:before="3"/>
        <w:ind w:left="747"/>
      </w:pPr>
      <w:r>
        <w:rPr>
          <w:rFonts w:hint="eastAsia" w:ascii="黑体" w:eastAsia="黑体"/>
        </w:rPr>
        <w:t xml:space="preserve">第五条 </w:t>
      </w:r>
      <w:r>
        <w:t>专家库组建人履行以下职责：</w:t>
      </w:r>
    </w:p>
    <w:p>
      <w:pPr>
        <w:sectPr>
          <w:pgSz w:w="11910" w:h="16840"/>
          <w:pgMar w:top="1580" w:right="1200" w:bottom="1860" w:left="1480" w:header="0" w:footer="1670" w:gutter="0"/>
          <w:cols w:space="720" w:num="1"/>
        </w:sectPr>
      </w:pPr>
    </w:p>
    <w:p>
      <w:pPr>
        <w:pStyle w:val="3"/>
        <w:ind w:left="0"/>
        <w:rPr>
          <w:sz w:val="20"/>
        </w:rPr>
      </w:pPr>
    </w:p>
    <w:p>
      <w:pPr>
        <w:pStyle w:val="3"/>
        <w:spacing w:before="2"/>
        <w:ind w:left="0"/>
        <w:rPr>
          <w:sz w:val="23"/>
        </w:rPr>
      </w:pPr>
    </w:p>
    <w:p>
      <w:pPr>
        <w:pStyle w:val="3"/>
        <w:spacing w:before="55" w:line="364" w:lineRule="auto"/>
        <w:ind w:right="271" w:firstLine="480"/>
      </w:pPr>
      <w:r>
        <w:t>（一）根据本办法规定组建专家库，遴选专家，并负责专家的入库、出库及日常管理；</w:t>
      </w:r>
    </w:p>
    <w:p>
      <w:pPr>
        <w:pStyle w:val="3"/>
        <w:spacing w:before="1" w:line="364" w:lineRule="auto"/>
        <w:ind w:right="156" w:firstLine="638"/>
      </w:pPr>
      <w:r>
        <w:t>（二）收集专家的基本信息、履职信息、信用记录等信息， 建立专家档案，并将上述信息及时上传至专家库管理系统；</w:t>
      </w:r>
    </w:p>
    <w:p>
      <w:pPr>
        <w:pStyle w:val="3"/>
        <w:spacing w:before="2"/>
        <w:ind w:left="747"/>
      </w:pPr>
      <w:r>
        <w:t>（三）负责专家的培训和履职考核;</w:t>
      </w:r>
    </w:p>
    <w:p>
      <w:pPr>
        <w:pStyle w:val="3"/>
        <w:spacing w:before="214"/>
        <w:ind w:left="747"/>
      </w:pPr>
      <w:r>
        <w:t>（四）其他应当由组建人承担的职责。</w:t>
      </w:r>
    </w:p>
    <w:p>
      <w:pPr>
        <w:pStyle w:val="3"/>
        <w:spacing w:before="214" w:line="364" w:lineRule="auto"/>
        <w:ind w:right="114" w:firstLine="638"/>
      </w:pPr>
      <w:r>
        <w:rPr>
          <w:spacing w:val="-10"/>
        </w:rPr>
        <w:t>前款第</w:t>
      </w:r>
      <w:r>
        <w:t>（二</w:t>
      </w:r>
      <w:r>
        <w:rPr>
          <w:spacing w:val="-29"/>
        </w:rPr>
        <w:t>）</w:t>
      </w:r>
      <w:r>
        <w:rPr>
          <w:spacing w:val="-5"/>
        </w:rPr>
        <w:t>项所称基本信息主要包括：专家姓名、身份证号码、出生年月、联系电话、通讯地址、所在单位名称、职称、</w:t>
      </w:r>
      <w:r>
        <w:rPr>
          <w:spacing w:val="-20"/>
          <w:w w:val="95"/>
        </w:rPr>
        <w:t xml:space="preserve">注册执业资格、毕业院校、所学专业、工作年限、主要工作经历、 </w:t>
      </w:r>
      <w:r>
        <w:rPr>
          <w:spacing w:val="-20"/>
        </w:rPr>
        <w:t>主要工程业绩、奖惩情况等。</w:t>
      </w:r>
    </w:p>
    <w:p>
      <w:pPr>
        <w:pStyle w:val="3"/>
        <w:spacing w:before="3" w:line="364" w:lineRule="auto"/>
        <w:ind w:right="271" w:firstLine="638"/>
        <w:jc w:val="both"/>
      </w:pPr>
      <w:r>
        <w:rPr>
          <w:rFonts w:hint="eastAsia" w:ascii="黑体" w:eastAsia="黑体"/>
          <w:spacing w:val="5"/>
        </w:rPr>
        <w:t xml:space="preserve">第六条 </w:t>
      </w:r>
      <w:r>
        <w:t>交易中心根据现行法律法规和有关规定，负责对建</w:t>
      </w:r>
      <w:r>
        <w:rPr>
          <w:spacing w:val="6"/>
          <w:w w:val="95"/>
        </w:rPr>
        <w:t xml:space="preserve">设工程评标活动进行管理，在评标活动中发现专家有违法行为 </w:t>
      </w:r>
      <w:r>
        <w:rPr>
          <w:spacing w:val="6"/>
        </w:rPr>
        <w:t>的，交易中心应当向招标投标监管部门报告，并配合调查。</w:t>
      </w:r>
    </w:p>
    <w:p>
      <w:pPr>
        <w:pStyle w:val="3"/>
        <w:ind w:left="0"/>
      </w:pPr>
    </w:p>
    <w:p>
      <w:pPr>
        <w:pStyle w:val="3"/>
        <w:tabs>
          <w:tab w:val="left" w:pos="3569"/>
        </w:tabs>
        <w:spacing w:before="216"/>
        <w:ind w:left="2290"/>
        <w:rPr>
          <w:rFonts w:ascii="黑体" w:eastAsia="黑体"/>
        </w:rPr>
      </w:pPr>
      <w:r>
        <w:rPr>
          <w:rFonts w:hint="eastAsia" w:ascii="黑体" w:eastAsia="黑体"/>
        </w:rPr>
        <w:t>第二章</w:t>
      </w:r>
      <w:r>
        <w:rPr>
          <w:rFonts w:hint="eastAsia" w:ascii="黑体" w:eastAsia="黑体"/>
        </w:rPr>
        <w:tab/>
      </w:r>
      <w:r>
        <w:rPr>
          <w:rFonts w:hint="eastAsia" w:ascii="黑体" w:eastAsia="黑体"/>
        </w:rPr>
        <w:t>专家的入库条件与方式</w:t>
      </w:r>
    </w:p>
    <w:p>
      <w:pPr>
        <w:pStyle w:val="3"/>
        <w:spacing w:before="214" w:line="364" w:lineRule="auto"/>
        <w:ind w:right="271" w:firstLine="638"/>
        <w:jc w:val="both"/>
      </w:pPr>
      <w:r>
        <w:rPr>
          <w:rFonts w:hint="eastAsia" w:ascii="黑体" w:eastAsia="黑体"/>
          <w:spacing w:val="5"/>
        </w:rPr>
        <w:t xml:space="preserve">第七条 </w:t>
      </w:r>
      <w:r>
        <w:t>专家库组建人应当根据工作需要，设置专业类别齐</w:t>
      </w:r>
      <w:r>
        <w:rPr>
          <w:spacing w:val="-12"/>
          <w:w w:val="95"/>
        </w:rPr>
        <w:t xml:space="preserve">全、人员数量合理的专家库。库内各专业类别的专家分为普通专 </w:t>
      </w:r>
      <w:r>
        <w:rPr>
          <w:spacing w:val="-12"/>
        </w:rPr>
        <w:t>家、资深专家和顾问专家。</w:t>
      </w:r>
    </w:p>
    <w:p>
      <w:pPr>
        <w:pStyle w:val="3"/>
        <w:spacing w:before="3" w:line="364" w:lineRule="auto"/>
        <w:ind w:right="273" w:firstLine="638"/>
      </w:pPr>
      <w:r>
        <w:rPr>
          <w:rFonts w:hint="eastAsia" w:ascii="黑体" w:eastAsia="黑体"/>
        </w:rPr>
        <w:t xml:space="preserve">第八条 </w:t>
      </w:r>
      <w:r>
        <w:t>普通专家负责常规工程项目的评标，应当同时满足以下条件：</w:t>
      </w:r>
    </w:p>
    <w:p>
      <w:pPr>
        <w:spacing w:line="364" w:lineRule="auto"/>
        <w:sectPr>
          <w:pgSz w:w="11910" w:h="16840"/>
          <w:pgMar w:top="1580" w:right="1200" w:bottom="1860" w:left="1480" w:header="0" w:footer="1670" w:gutter="0"/>
          <w:cols w:space="720" w:num="1"/>
        </w:sectPr>
      </w:pPr>
    </w:p>
    <w:p>
      <w:pPr>
        <w:pStyle w:val="3"/>
        <w:ind w:left="0"/>
        <w:rPr>
          <w:sz w:val="20"/>
        </w:rPr>
      </w:pPr>
    </w:p>
    <w:p>
      <w:pPr>
        <w:pStyle w:val="3"/>
        <w:spacing w:before="2"/>
        <w:ind w:left="0"/>
        <w:rPr>
          <w:sz w:val="23"/>
        </w:rPr>
      </w:pPr>
    </w:p>
    <w:p>
      <w:pPr>
        <w:pStyle w:val="3"/>
        <w:spacing w:before="55" w:line="364" w:lineRule="auto"/>
        <w:ind w:right="272" w:firstLine="638"/>
        <w:rPr>
          <w:rFonts w:hint="eastAsia" w:ascii="宋体" w:hAnsi="宋体" w:eastAsia="宋体" w:cs="宋体"/>
        </w:rPr>
      </w:pPr>
      <w:r>
        <w:t>（一）具有完全民事行为能力，身体健康，年龄不超过 65 周岁；</w:t>
      </w:r>
    </w:p>
    <w:p>
      <w:pPr>
        <w:pStyle w:val="3"/>
        <w:spacing w:before="1" w:line="364" w:lineRule="auto"/>
        <w:ind w:right="273" w:firstLine="63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w w:val="95"/>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从事相关领域工作满8年；</w:t>
      </w:r>
    </w:p>
    <w:p>
      <w:pPr>
        <w:pStyle w:val="3"/>
        <w:spacing w:before="2" w:line="364" w:lineRule="auto"/>
        <w:ind w:right="271" w:firstLine="638"/>
        <w:rPr>
          <w:rFonts w:hint="eastAsia"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w:t>
      </w:r>
      <w:r>
        <w:rPr>
          <w:rFonts w:hint="eastAsia" w:ascii="宋体" w:hAnsi="宋体" w:eastAsia="宋体" w:cs="宋体"/>
          <w:color w:val="000000" w:themeColor="text1"/>
          <w:spacing w:val="-58"/>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具有全日制硕士研究生及以上学历学位或具有高级专业技术职称或具有工程建设类注册执业资格（最高级别）</w:t>
      </w:r>
      <w:r>
        <w:rPr>
          <w:rFonts w:hint="eastAsia" w:ascii="宋体" w:hAnsi="宋体" w:eastAsia="宋体" w:cs="宋体"/>
          <w:color w:val="000000" w:themeColor="text1"/>
          <w:lang w:val="en-US"/>
          <w14:textFill>
            <w14:solidFill>
              <w14:schemeClr w14:val="tx1"/>
            </w14:solidFill>
          </w14:textFill>
        </w:rPr>
        <w:t>;</w:t>
      </w:r>
    </w:p>
    <w:p>
      <w:pPr>
        <w:pStyle w:val="3"/>
        <w:spacing w:before="1" w:line="364" w:lineRule="auto"/>
        <w:ind w:right="271" w:firstLine="638"/>
      </w:pPr>
      <w:r>
        <w:t>（四</w:t>
      </w:r>
      <w:r>
        <w:rPr>
          <w:spacing w:val="-58"/>
        </w:rPr>
        <w:t>）</w:t>
      </w:r>
      <w:r>
        <w:rPr>
          <w:spacing w:val="-4"/>
        </w:rPr>
        <w:t>熟悉招标投标法律法规和政策，具有良好的业务素质和职业道德；</w:t>
      </w:r>
    </w:p>
    <w:p>
      <w:pPr>
        <w:pStyle w:val="3"/>
        <w:spacing w:before="2"/>
        <w:ind w:left="747"/>
      </w:pPr>
      <w:r>
        <w:t>（五）能熟练使用计算机完成电子评标工作</w:t>
      </w:r>
      <w:r>
        <w:rPr>
          <w:rFonts w:hint="eastAsia"/>
        </w:rPr>
        <w:t>；</w:t>
      </w:r>
    </w:p>
    <w:p>
      <w:pPr>
        <w:pStyle w:val="3"/>
        <w:spacing w:before="2"/>
        <w:ind w:left="747"/>
        <w:rPr>
          <w:color w:val="000000" w:themeColor="text1"/>
          <w14:textFill>
            <w14:solidFill>
              <w14:schemeClr w14:val="tx1"/>
            </w14:solidFill>
          </w14:textFill>
        </w:rPr>
      </w:pPr>
    </w:p>
    <w:p>
      <w:pPr>
        <w:pStyle w:val="3"/>
        <w:spacing w:before="1" w:line="364" w:lineRule="auto"/>
        <w:ind w:right="271" w:firstLine="772"/>
        <w:rPr>
          <w:color w:val="000000" w:themeColor="text1"/>
          <w:lang w:val="en-US"/>
          <w14:textFill>
            <w14:solidFill>
              <w14:schemeClr w14:val="tx1"/>
            </w14:solidFill>
          </w14:textFill>
        </w:rPr>
      </w:pPr>
      <w:r>
        <w:rPr>
          <w:rFonts w:hint="eastAsia"/>
          <w:color w:val="000000" w:themeColor="text1"/>
          <w14:textFill>
            <w14:solidFill>
              <w14:schemeClr w14:val="tx1"/>
            </w14:solidFill>
          </w14:textFill>
        </w:rPr>
        <w:t>对特殊专业，经市建设部门批准后，上述第（二）、（三）项规定的条件可适当放宽。</w:t>
      </w:r>
    </w:p>
    <w:p>
      <w:pPr>
        <w:pStyle w:val="3"/>
        <w:spacing w:before="214" w:line="364" w:lineRule="auto"/>
        <w:ind w:right="156" w:firstLine="638"/>
      </w:pPr>
      <w:r>
        <w:rPr>
          <w:rFonts w:hint="eastAsia" w:ascii="黑体" w:eastAsia="黑体"/>
        </w:rPr>
        <w:t xml:space="preserve">第九条 </w:t>
      </w:r>
      <w:r>
        <w:t>资深专家负责重大或者技术复杂工程项目的评标、复议、专业技术论证、标后评估、复杂疑难事项的咨询等事项。</w:t>
      </w:r>
    </w:p>
    <w:p>
      <w:pPr>
        <w:pStyle w:val="3"/>
        <w:spacing w:before="2"/>
        <w:ind w:left="747"/>
      </w:pPr>
      <w:r>
        <w:t>资深专家除满足本办法第八条规定的条件外（年龄不超过</w:t>
      </w:r>
    </w:p>
    <w:p>
      <w:pPr>
        <w:pStyle w:val="3"/>
        <w:spacing w:before="214"/>
      </w:pPr>
      <w:r>
        <w:rPr>
          <w:spacing w:val="1"/>
          <w:w w:val="99"/>
        </w:rPr>
        <w:t>7</w:t>
      </w:r>
      <w:r>
        <w:rPr>
          <w:w w:val="99"/>
        </w:rPr>
        <w:t>0</w:t>
      </w:r>
      <w:r>
        <w:rPr>
          <w:spacing w:val="-82"/>
        </w:rPr>
        <w:t xml:space="preserve"> </w:t>
      </w:r>
      <w:r>
        <w:rPr>
          <w:spacing w:val="1"/>
          <w:w w:val="99"/>
        </w:rPr>
        <w:t>周岁</w:t>
      </w:r>
      <w:r>
        <w:rPr>
          <w:spacing w:val="-159"/>
          <w:w w:val="99"/>
        </w:rPr>
        <w:t>）</w:t>
      </w:r>
      <w:r>
        <w:rPr>
          <w:w w:val="99"/>
        </w:rPr>
        <w:t>，还应当满足下列条件之一：</w:t>
      </w:r>
    </w:p>
    <w:p>
      <w:pPr>
        <w:pStyle w:val="3"/>
        <w:spacing w:before="214" w:line="364" w:lineRule="auto"/>
        <w:ind w:right="271" w:firstLine="638"/>
        <w:jc w:val="both"/>
      </w:pPr>
      <w:r>
        <w:t>（一</w:t>
      </w:r>
      <w:r>
        <w:rPr>
          <w:spacing w:val="-58"/>
        </w:rPr>
        <w:t>）</w:t>
      </w:r>
      <w:r>
        <w:rPr>
          <w:spacing w:val="-7"/>
        </w:rPr>
        <w:t>在我市登记的特级、大型一级施工企业或者甲级监理</w:t>
      </w:r>
      <w:r>
        <w:rPr>
          <w:spacing w:val="-11"/>
          <w:w w:val="95"/>
        </w:rPr>
        <w:t xml:space="preserve">企业、甲级造价咨询企业中担任或者曾经担任总工程师、总经济 </w:t>
      </w:r>
      <w:r>
        <w:rPr>
          <w:spacing w:val="-12"/>
        </w:rPr>
        <w:t>师；或者在我市登记的甲级勘察设计企业担任或者曾经担任总建筑师、总规划师、总工程师；</w:t>
      </w:r>
    </w:p>
    <w:p>
      <w:pPr>
        <w:pStyle w:val="3"/>
        <w:spacing w:before="3" w:line="364" w:lineRule="auto"/>
        <w:ind w:right="273" w:firstLine="638"/>
      </w:pPr>
      <w:r>
        <w:t>（二</w:t>
      </w:r>
      <w:r>
        <w:rPr>
          <w:spacing w:val="-58"/>
        </w:rPr>
        <w:t>）</w:t>
      </w:r>
      <w:r>
        <w:rPr>
          <w:spacing w:val="-6"/>
        </w:rPr>
        <w:t>经专家库组建人认定，具有较高专业技术水平或者丰富的评标经验；</w:t>
      </w:r>
    </w:p>
    <w:p>
      <w:pPr>
        <w:pStyle w:val="3"/>
        <w:spacing w:before="1"/>
        <w:ind w:left="747"/>
      </w:pPr>
      <w:r>
        <w:t>（三）普通专家被专家库组建人评价为优秀的。</w:t>
      </w:r>
    </w:p>
    <w:p>
      <w:pPr>
        <w:pStyle w:val="3"/>
        <w:spacing w:before="2"/>
        <w:ind w:left="0"/>
        <w:rPr>
          <w:sz w:val="23"/>
        </w:rPr>
      </w:pPr>
    </w:p>
    <w:p>
      <w:pPr>
        <w:pStyle w:val="3"/>
        <w:spacing w:before="55" w:line="364" w:lineRule="auto"/>
        <w:ind w:right="156" w:firstLine="638"/>
        <w:jc w:val="both"/>
      </w:pPr>
      <w:r>
        <w:rPr>
          <w:rFonts w:hint="eastAsia" w:ascii="黑体" w:eastAsia="黑体"/>
        </w:rPr>
        <w:t xml:space="preserve">第十条 </w:t>
      </w:r>
      <w:r>
        <w:t>顾问专家负责特别重大或者技术特别复杂工程项目的评标。顾问专家主要由中国科学院院士、中国工程院院士、勘察设计大师或者国内外相关行业知名专家充任，且无年龄限制。</w:t>
      </w:r>
    </w:p>
    <w:p>
      <w:pPr>
        <w:pStyle w:val="3"/>
        <w:spacing w:before="2"/>
        <w:ind w:left="747"/>
      </w:pPr>
      <w:r>
        <w:rPr>
          <w:rFonts w:hint="eastAsia" w:ascii="黑体" w:eastAsia="黑体"/>
        </w:rPr>
        <w:t xml:space="preserve">第十一条 </w:t>
      </w:r>
      <w:r>
        <w:t>具有下列情形之一的人员，不得进入专家库：</w:t>
      </w:r>
    </w:p>
    <w:p>
      <w:pPr>
        <w:pStyle w:val="3"/>
        <w:spacing w:before="214"/>
        <w:ind w:left="747"/>
      </w:pPr>
      <w:r>
        <w:t>（一）受过刑事处罚或者在招标投标活动中受过行政处罚</w:t>
      </w:r>
    </w:p>
    <w:p>
      <w:pPr>
        <w:pStyle w:val="3"/>
        <w:spacing w:before="6"/>
        <w:ind w:left="0"/>
        <w:rPr>
          <w:sz w:val="12"/>
        </w:rPr>
      </w:pPr>
    </w:p>
    <w:p>
      <w:pPr>
        <w:pStyle w:val="3"/>
        <w:spacing w:before="54"/>
      </w:pPr>
      <w:r>
        <w:t>的；</w:t>
      </w:r>
    </w:p>
    <w:p>
      <w:pPr>
        <w:pStyle w:val="3"/>
        <w:spacing w:before="214"/>
        <w:ind w:left="747"/>
        <w:rPr>
          <w:color w:val="000000" w:themeColor="text1"/>
          <w14:textFill>
            <w14:solidFill>
              <w14:schemeClr w14:val="tx1"/>
            </w14:solidFill>
          </w14:textFill>
        </w:rPr>
      </w:pPr>
      <w:r>
        <w:rPr>
          <w:color w:val="000000" w:themeColor="text1"/>
          <w14:textFill>
            <w14:solidFill>
              <w14:schemeClr w14:val="tx1"/>
            </w14:solidFill>
          </w14:textFill>
        </w:rPr>
        <w:t>（二</w:t>
      </w:r>
      <w:r>
        <w:rPr>
          <w:color w:val="000000" w:themeColor="text1"/>
          <w:spacing w:val="-115"/>
          <w14:textFill>
            <w14:solidFill>
              <w14:schemeClr w14:val="tx1"/>
            </w14:solidFill>
          </w14:textFill>
        </w:rPr>
        <w:t>）</w:t>
      </w:r>
      <w:r>
        <w:rPr>
          <w:color w:val="000000" w:themeColor="text1"/>
          <w14:textFill>
            <w14:solidFill>
              <w14:schemeClr w14:val="tx1"/>
            </w14:solidFill>
          </w14:textFill>
        </w:rPr>
        <w:t>属于专家库组建人的现职工作人员的；</w:t>
      </w:r>
    </w:p>
    <w:p>
      <w:pPr>
        <w:pStyle w:val="3"/>
        <w:spacing w:before="214" w:line="364" w:lineRule="auto"/>
        <w:ind w:right="271" w:firstLine="638"/>
        <w:jc w:val="both"/>
      </w:pPr>
      <w:r>
        <w:t>（三</w:t>
      </w:r>
      <w:r>
        <w:rPr>
          <w:spacing w:val="-58"/>
        </w:rPr>
        <w:t>）</w:t>
      </w:r>
      <w:r>
        <w:rPr>
          <w:spacing w:val="-3"/>
        </w:rPr>
        <w:t>按照本办法第二十六条第一款之规定出库后，未满规定期限的。</w:t>
      </w:r>
    </w:p>
    <w:p>
      <w:pPr>
        <w:pStyle w:val="3"/>
        <w:spacing w:before="2" w:line="364" w:lineRule="auto"/>
        <w:ind w:right="273" w:firstLine="638"/>
        <w:jc w:val="both"/>
      </w:pPr>
      <w:r>
        <w:rPr>
          <w:rFonts w:hint="eastAsia" w:ascii="黑体" w:eastAsia="黑体"/>
        </w:rPr>
        <w:t xml:space="preserve">第十二条 </w:t>
      </w:r>
      <w:r>
        <w:t>专家入库遵循自愿原则。专家可以加入不同的专家库，也可以加入同一专家库中不同的专业类别。</w:t>
      </w:r>
    </w:p>
    <w:p>
      <w:pPr>
        <w:pStyle w:val="3"/>
        <w:spacing w:before="2" w:line="364" w:lineRule="auto"/>
        <w:ind w:right="273" w:firstLine="638"/>
        <w:jc w:val="both"/>
      </w:pPr>
      <w:r>
        <w:rPr>
          <w:spacing w:val="6"/>
          <w:w w:val="95"/>
        </w:rPr>
        <w:t xml:space="preserve">专家可以通过个人申请、单位推荐和特邀的方式加入专家 </w:t>
      </w:r>
      <w:r>
        <w:rPr>
          <w:spacing w:val="6"/>
        </w:rPr>
        <w:t>库。以个人申请方式加入的，应当征得所在单位的同意。</w:t>
      </w:r>
    </w:p>
    <w:p>
      <w:pPr>
        <w:pStyle w:val="3"/>
        <w:spacing w:before="1" w:line="364" w:lineRule="auto"/>
        <w:ind w:right="273" w:firstLine="638"/>
        <w:jc w:val="both"/>
      </w:pPr>
      <w:r>
        <w:rPr>
          <w:spacing w:val="-7"/>
        </w:rPr>
        <w:t>管理系统对库内专家实行惟一身份管理。入库专家应当办理数字证书，用于身份识别和电子签名。</w:t>
      </w:r>
    </w:p>
    <w:p>
      <w:pPr>
        <w:pStyle w:val="3"/>
        <w:spacing w:before="2" w:line="364" w:lineRule="auto"/>
        <w:ind w:right="271" w:firstLine="638"/>
        <w:jc w:val="both"/>
      </w:pPr>
      <w:r>
        <w:rPr>
          <w:rFonts w:hint="eastAsia" w:ascii="黑体" w:eastAsia="黑体"/>
          <w:spacing w:val="4"/>
        </w:rPr>
        <w:t xml:space="preserve">第十三条 </w:t>
      </w:r>
      <w:r>
        <w:t>专家加入专家库应当履行申请、审核、公示、入</w:t>
      </w:r>
      <w:r>
        <w:rPr>
          <w:spacing w:val="-10"/>
          <w:w w:val="95"/>
        </w:rPr>
        <w:t xml:space="preserve">库等程序，通过特邀方式加入专家库的，可免申请程序。上述程 </w:t>
      </w:r>
      <w:r>
        <w:rPr>
          <w:spacing w:val="-17"/>
        </w:rPr>
        <w:t>序的规则由专家库组建人制定并实施，专家库组建人非行业主管部门的，相关规则应当报市建设行政主管部门备案后实施。</w:t>
      </w:r>
    </w:p>
    <w:p>
      <w:pPr>
        <w:pStyle w:val="3"/>
        <w:spacing w:before="55" w:line="364" w:lineRule="auto"/>
        <w:ind w:right="156" w:firstLine="638"/>
      </w:pPr>
      <w:r>
        <w:rPr>
          <w:rFonts w:hint="eastAsia" w:ascii="黑体" w:eastAsia="黑体"/>
          <w:spacing w:val="3"/>
        </w:rPr>
        <w:t xml:space="preserve">第十四条 </w:t>
      </w:r>
      <w:r>
        <w:t>入库专家基本信息中的工作单位、职称、注册执</w:t>
      </w:r>
      <w:r>
        <w:rPr>
          <w:spacing w:val="-12"/>
        </w:rPr>
        <w:t>业资格、主要工程业绩、奖惩情况，履职信息、信用记录等档案信息在管理系统中公开。专家库组建人对专家库进行动态管理， 及时对库内专家的档案信息进行更新。</w:t>
      </w:r>
    </w:p>
    <w:p>
      <w:pPr>
        <w:pStyle w:val="3"/>
        <w:spacing w:before="3" w:line="364" w:lineRule="auto"/>
        <w:ind w:right="271" w:firstLine="638"/>
        <w:jc w:val="both"/>
      </w:pPr>
      <w:r>
        <w:rPr>
          <w:spacing w:val="-7"/>
        </w:rPr>
        <w:t>前款规定的库内专家基本信息发生变化时，应当向专家库组</w:t>
      </w:r>
      <w:r>
        <w:rPr>
          <w:spacing w:val="-14"/>
        </w:rPr>
        <w:t>建人申请变更；组建人参照入库程序对相关信息进行核实后予以变更。</w:t>
      </w:r>
    </w:p>
    <w:p>
      <w:pPr>
        <w:pStyle w:val="3"/>
        <w:ind w:left="0"/>
      </w:pPr>
    </w:p>
    <w:p>
      <w:pPr>
        <w:pStyle w:val="3"/>
        <w:spacing w:before="216" w:line="364" w:lineRule="auto"/>
        <w:ind w:left="747" w:right="2856" w:firstLine="1941"/>
      </w:pPr>
      <w:r>
        <w:rPr>
          <w:rFonts w:hint="eastAsia" w:ascii="黑体" w:eastAsia="黑体"/>
        </w:rPr>
        <w:t xml:space="preserve">第三章 专家的权利和义务第十五条 </w:t>
      </w:r>
      <w:r>
        <w:t>专家享有下列权利:</w:t>
      </w:r>
    </w:p>
    <w:p>
      <w:pPr>
        <w:pStyle w:val="3"/>
        <w:spacing w:before="2"/>
        <w:ind w:left="747"/>
      </w:pPr>
      <w:r>
        <w:t>（一）担任评标委员会成员,对投标文件进行独立评审；</w:t>
      </w:r>
    </w:p>
    <w:p>
      <w:pPr>
        <w:pStyle w:val="3"/>
        <w:spacing w:before="214"/>
        <w:ind w:left="747"/>
      </w:pPr>
      <w:r>
        <w:t>（二）对专家管理工作提出意见和建议；</w:t>
      </w:r>
    </w:p>
    <w:p>
      <w:pPr>
        <w:pStyle w:val="3"/>
        <w:spacing w:before="214"/>
        <w:ind w:left="747"/>
      </w:pPr>
      <w:r>
        <w:rPr>
          <w:w w:val="95"/>
        </w:rPr>
        <w:t>（三）获取合理的评标报酬；</w:t>
      </w:r>
    </w:p>
    <w:p>
      <w:pPr>
        <w:pStyle w:val="3"/>
        <w:spacing w:before="214"/>
        <w:ind w:left="747"/>
      </w:pPr>
      <w:r>
        <w:rPr>
          <w:w w:val="95"/>
        </w:rPr>
        <w:t>（四）依法享有的其他权利。</w:t>
      </w:r>
    </w:p>
    <w:p>
      <w:pPr>
        <w:pStyle w:val="3"/>
        <w:spacing w:before="214"/>
        <w:ind w:left="747"/>
      </w:pPr>
      <w:r>
        <w:rPr>
          <w:rFonts w:hint="eastAsia" w:ascii="黑体" w:eastAsia="黑体"/>
        </w:rPr>
        <w:t xml:space="preserve">第十六条 </w:t>
      </w:r>
      <w:r>
        <w:t>专家应当履行下列义务:</w:t>
      </w:r>
    </w:p>
    <w:p>
      <w:pPr>
        <w:pStyle w:val="3"/>
        <w:spacing w:before="214"/>
        <w:ind w:left="747"/>
      </w:pPr>
      <w:r>
        <w:t>（一）入库时签署廉政承诺书；</w:t>
      </w:r>
    </w:p>
    <w:p>
      <w:pPr>
        <w:pStyle w:val="3"/>
        <w:spacing w:before="214" w:line="364" w:lineRule="auto"/>
        <w:ind w:right="273" w:firstLine="638"/>
      </w:pPr>
      <w:r>
        <w:t>（二</w:t>
      </w:r>
      <w:r>
        <w:rPr>
          <w:spacing w:val="-58"/>
        </w:rPr>
        <w:t>）</w:t>
      </w:r>
      <w:r>
        <w:rPr>
          <w:spacing w:val="-6"/>
        </w:rPr>
        <w:t>不得私下接触投标人，不得直接或者间接收受投标人或者其他利害关系人财物；</w:t>
      </w:r>
    </w:p>
    <w:p>
      <w:pPr>
        <w:pStyle w:val="3"/>
        <w:spacing w:before="1" w:line="364" w:lineRule="auto"/>
        <w:ind w:right="156" w:firstLine="638"/>
      </w:pPr>
      <w:r>
        <w:t>（三）评标前收到电话、信息、邮件或者面见等形式请托， 可能影响评标公正的，及时向交易中心报告；</w:t>
      </w:r>
    </w:p>
    <w:p>
      <w:pPr>
        <w:spacing w:line="364" w:lineRule="auto"/>
        <w:sectPr>
          <w:pgSz w:w="11910" w:h="16840"/>
          <w:pgMar w:top="1580" w:right="1200" w:bottom="1860" w:left="1480" w:header="0" w:footer="1670" w:gutter="0"/>
          <w:cols w:space="720" w:num="1"/>
        </w:sectPr>
      </w:pPr>
    </w:p>
    <w:p>
      <w:pPr>
        <w:pStyle w:val="3"/>
        <w:ind w:left="0"/>
        <w:rPr>
          <w:sz w:val="20"/>
        </w:rPr>
      </w:pPr>
    </w:p>
    <w:p>
      <w:pPr>
        <w:pStyle w:val="3"/>
        <w:spacing w:before="2"/>
        <w:ind w:left="0"/>
        <w:rPr>
          <w:sz w:val="23"/>
        </w:rPr>
      </w:pPr>
    </w:p>
    <w:p>
      <w:pPr>
        <w:pStyle w:val="3"/>
        <w:spacing w:before="55" w:line="364" w:lineRule="auto"/>
        <w:ind w:right="273" w:firstLine="638"/>
      </w:pPr>
      <w:r>
        <w:rPr>
          <w:w w:val="95"/>
        </w:rPr>
        <w:t>（四</w:t>
      </w:r>
      <w:r>
        <w:rPr>
          <w:spacing w:val="-39"/>
          <w:w w:val="95"/>
        </w:rPr>
        <w:t>）</w:t>
      </w:r>
      <w:r>
        <w:rPr>
          <w:spacing w:val="-5"/>
          <w:w w:val="95"/>
        </w:rPr>
        <w:t xml:space="preserve">按照法律规定及招标文件要求，客观公正、严谨认真 </w:t>
      </w:r>
      <w:r>
        <w:rPr>
          <w:spacing w:val="-5"/>
        </w:rPr>
        <w:t>评标，提出评审意见，并对其评审意见负责；</w:t>
      </w:r>
    </w:p>
    <w:p>
      <w:pPr>
        <w:pStyle w:val="3"/>
        <w:spacing w:before="1" w:line="364" w:lineRule="auto"/>
        <w:ind w:right="271" w:firstLine="638"/>
      </w:pPr>
      <w:r>
        <w:rPr>
          <w:w w:val="95"/>
        </w:rPr>
        <w:t>（五</w:t>
      </w:r>
      <w:r>
        <w:rPr>
          <w:spacing w:val="-39"/>
          <w:w w:val="95"/>
        </w:rPr>
        <w:t>）</w:t>
      </w:r>
      <w:r>
        <w:rPr>
          <w:spacing w:val="-4"/>
          <w:w w:val="95"/>
        </w:rPr>
        <w:t xml:space="preserve">及时报告评标过程中发现的违法违规行为，协助、配 </w:t>
      </w:r>
      <w:r>
        <w:rPr>
          <w:spacing w:val="-4"/>
        </w:rPr>
        <w:t>合招标投标监督部门的调查取证工作；</w:t>
      </w:r>
    </w:p>
    <w:p>
      <w:pPr>
        <w:pStyle w:val="3"/>
        <w:spacing w:before="2" w:line="364" w:lineRule="auto"/>
        <w:ind w:right="273" w:firstLine="638"/>
      </w:pPr>
      <w:r>
        <w:t>（六</w:t>
      </w:r>
      <w:r>
        <w:rPr>
          <w:spacing w:val="-39"/>
        </w:rPr>
        <w:t>）</w:t>
      </w:r>
      <w:r>
        <w:rPr>
          <w:spacing w:val="-7"/>
        </w:rPr>
        <w:t>遵守评标工作纪律，服从评标现场管理，保守评标过程中接触的商业秘密；</w:t>
      </w:r>
    </w:p>
    <w:p>
      <w:pPr>
        <w:pStyle w:val="3"/>
        <w:spacing w:before="1" w:line="364" w:lineRule="auto"/>
        <w:ind w:right="273" w:firstLine="638"/>
      </w:pPr>
      <w:r>
        <w:t>（七</w:t>
      </w:r>
      <w:r>
        <w:rPr>
          <w:spacing w:val="-58"/>
        </w:rPr>
        <w:t>）</w:t>
      </w:r>
      <w:r>
        <w:rPr>
          <w:spacing w:val="-3"/>
        </w:rPr>
        <w:t>本办法第五条第二款规定的基本信息发生变化的，及时书面通知专家库组建人；</w:t>
      </w:r>
    </w:p>
    <w:p>
      <w:pPr>
        <w:pStyle w:val="3"/>
        <w:spacing w:before="2"/>
        <w:ind w:left="747"/>
      </w:pPr>
      <w:r>
        <w:t>（八）参加专家库组建人组织的培训与考试；</w:t>
      </w:r>
    </w:p>
    <w:p>
      <w:pPr>
        <w:pStyle w:val="3"/>
        <w:spacing w:before="214"/>
        <w:ind w:left="747"/>
      </w:pPr>
      <w:r>
        <w:t>（九）法律、法规规定的其他义务。</w:t>
      </w:r>
    </w:p>
    <w:p>
      <w:pPr>
        <w:pStyle w:val="3"/>
        <w:ind w:left="0"/>
      </w:pPr>
    </w:p>
    <w:p>
      <w:pPr>
        <w:pStyle w:val="3"/>
        <w:spacing w:before="5"/>
        <w:ind w:left="0"/>
        <w:rPr>
          <w:sz w:val="33"/>
        </w:rPr>
      </w:pPr>
    </w:p>
    <w:p>
      <w:pPr>
        <w:pStyle w:val="3"/>
        <w:ind w:left="2688"/>
        <w:rPr>
          <w:rFonts w:ascii="黑体" w:eastAsia="黑体"/>
        </w:rPr>
      </w:pPr>
      <w:r>
        <w:rPr>
          <w:rFonts w:hint="eastAsia" w:ascii="黑体" w:eastAsia="黑体"/>
        </w:rPr>
        <w:t>第四章 专家的抽取与管理</w:t>
      </w:r>
    </w:p>
    <w:p>
      <w:pPr>
        <w:pStyle w:val="3"/>
        <w:spacing w:before="214" w:line="364" w:lineRule="auto"/>
        <w:ind w:right="273" w:firstLine="638"/>
        <w:jc w:val="both"/>
        <w:rPr>
          <w:rFonts w:eastAsia="仿宋_GB2312"/>
        </w:rPr>
      </w:pPr>
      <w:r>
        <w:rPr>
          <w:rFonts w:hint="eastAsia" w:ascii="黑体" w:eastAsia="黑体"/>
          <w:spacing w:val="4"/>
        </w:rPr>
        <w:t xml:space="preserve">第十七条 </w:t>
      </w:r>
      <w:r>
        <w:t>招标人按照专业要求在交易中心专家库中抽取评</w:t>
      </w:r>
      <w:r>
        <w:rPr>
          <w:spacing w:val="-11"/>
          <w:w w:val="95"/>
        </w:rPr>
        <w:t>标专家；交易中心专家库不能满足评标要求的，招标人按规定程</w:t>
      </w:r>
      <w:r>
        <w:rPr>
          <w:spacing w:val="-11"/>
        </w:rPr>
        <w:t>序确定评标专家。</w:t>
      </w:r>
    </w:p>
    <w:p>
      <w:pPr>
        <w:pStyle w:val="3"/>
        <w:spacing w:before="3"/>
        <w:ind w:left="747"/>
      </w:pPr>
      <w:r>
        <w:rPr>
          <w:rFonts w:hint="eastAsia" w:ascii="黑体" w:eastAsia="黑体"/>
        </w:rPr>
        <w:t xml:space="preserve">第十八条 </w:t>
      </w:r>
      <w:r>
        <w:t>在评标过程中，专家应当回避：</w:t>
      </w:r>
    </w:p>
    <w:p>
      <w:pPr>
        <w:pStyle w:val="3"/>
        <w:spacing w:before="214" w:line="364" w:lineRule="auto"/>
        <w:ind w:right="273" w:firstLine="638"/>
      </w:pPr>
      <w:r>
        <w:t>（一</w:t>
      </w:r>
      <w:r>
        <w:rPr>
          <w:spacing w:val="-58"/>
        </w:rPr>
        <w:t>）</w:t>
      </w:r>
      <w:r>
        <w:rPr>
          <w:spacing w:val="-4"/>
        </w:rPr>
        <w:t>属于投标人或者其上级主管单位、关联公司的主要负责人、股东、工作人员或者其近亲属；</w:t>
      </w:r>
    </w:p>
    <w:p>
      <w:pPr>
        <w:pStyle w:val="3"/>
        <w:spacing w:before="1" w:line="364" w:lineRule="auto"/>
        <w:ind w:right="273" w:firstLine="638"/>
      </w:pPr>
      <w:r>
        <w:t>（二</w:t>
      </w:r>
      <w:r>
        <w:rPr>
          <w:spacing w:val="-29"/>
        </w:rPr>
        <w:t>）</w:t>
      </w:r>
      <w:r>
        <w:rPr>
          <w:spacing w:val="-9"/>
        </w:rPr>
        <w:t>属于招标项目勘察、设计、施工、监理单位或者其他服务单位的工作人员，招标人委派的专家除外；</w:t>
      </w:r>
    </w:p>
    <w:p>
      <w:pPr>
        <w:pStyle w:val="3"/>
        <w:spacing w:before="55"/>
        <w:ind w:left="747"/>
      </w:pPr>
      <w:r>
        <w:t>（三）从投标人单位离职或者退休未满 3 年的人员；</w:t>
      </w:r>
    </w:p>
    <w:p>
      <w:pPr>
        <w:pStyle w:val="3"/>
        <w:spacing w:before="214"/>
        <w:ind w:left="747"/>
      </w:pPr>
      <w:r>
        <w:t>（四）与投标人有利害关系，可能影响公正的；</w:t>
      </w:r>
    </w:p>
    <w:p>
      <w:pPr>
        <w:pStyle w:val="3"/>
        <w:spacing w:before="214" w:line="364" w:lineRule="auto"/>
        <w:ind w:right="156" w:firstLine="638"/>
      </w:pPr>
      <w:r>
        <w:t>（五）评标前收到电话、信息、邮件或者面见等形式请托， 可能影响其公正评标的；</w:t>
      </w:r>
    </w:p>
    <w:p>
      <w:pPr>
        <w:pStyle w:val="3"/>
        <w:spacing w:before="1" w:line="364" w:lineRule="auto"/>
        <w:ind w:right="274" w:firstLine="638"/>
      </w:pPr>
      <w:r>
        <w:t>（六</w:t>
      </w:r>
      <w:r>
        <w:rPr>
          <w:spacing w:val="-115"/>
        </w:rPr>
        <w:t>）</w:t>
      </w:r>
      <w:r>
        <w:t>经招标投标监管部门认定的可能影响评标公正性的其他情形。</w:t>
      </w:r>
    </w:p>
    <w:p>
      <w:pPr>
        <w:pStyle w:val="3"/>
        <w:spacing w:before="2"/>
        <w:ind w:left="747"/>
      </w:pPr>
      <w:r>
        <w:rPr>
          <w:rFonts w:hint="eastAsia" w:ascii="黑体" w:eastAsia="黑体"/>
        </w:rPr>
        <w:t xml:space="preserve">第十九条 </w:t>
      </w:r>
      <w:r>
        <w:t>有下列情形之一的，应当补充抽取专家：</w:t>
      </w:r>
    </w:p>
    <w:p>
      <w:pPr>
        <w:pStyle w:val="3"/>
        <w:spacing w:before="214"/>
        <w:ind w:left="747"/>
      </w:pPr>
      <w:r>
        <w:t>（一）所抽取的专家因故不能参加评标的；</w:t>
      </w:r>
    </w:p>
    <w:p>
      <w:pPr>
        <w:pStyle w:val="3"/>
        <w:spacing w:before="214" w:line="364" w:lineRule="auto"/>
        <w:ind w:right="274" w:firstLine="638"/>
      </w:pPr>
      <w:r>
        <w:t>（二</w:t>
      </w:r>
      <w:r>
        <w:rPr>
          <w:spacing w:val="-115"/>
        </w:rPr>
        <w:t>）</w:t>
      </w:r>
      <w:r>
        <w:t>所抽取的专家在评标过程中因违规或者其他突发情形不能继续从事评标活动的；</w:t>
      </w:r>
    </w:p>
    <w:p>
      <w:pPr>
        <w:pStyle w:val="3"/>
        <w:spacing w:before="1"/>
        <w:ind w:left="747"/>
      </w:pPr>
      <w:r>
        <w:t>（三）所抽取的专家需要回避的；</w:t>
      </w:r>
    </w:p>
    <w:p>
      <w:pPr>
        <w:pStyle w:val="3"/>
        <w:spacing w:before="214"/>
        <w:ind w:left="747"/>
      </w:pPr>
      <w:r>
        <w:t>（四）其他需要重新或者补充抽取专家的特殊情形。</w:t>
      </w:r>
    </w:p>
    <w:p>
      <w:pPr>
        <w:pStyle w:val="3"/>
        <w:spacing w:before="214" w:line="364" w:lineRule="auto"/>
        <w:ind w:right="273" w:firstLine="638"/>
      </w:pPr>
      <w:r>
        <w:rPr>
          <w:rFonts w:hint="eastAsia" w:ascii="黑体" w:eastAsia="黑体"/>
        </w:rPr>
        <w:t xml:space="preserve">第二十条 </w:t>
      </w:r>
      <w:r>
        <w:t>评标专家抽取确定后，组成评标委员会。评标委员会按民主表决方式推选组长。鼓励推选资深专家担任组长。</w:t>
      </w:r>
    </w:p>
    <w:p>
      <w:pPr>
        <w:pStyle w:val="3"/>
        <w:spacing w:before="2" w:line="364" w:lineRule="auto"/>
        <w:ind w:right="273" w:firstLine="638"/>
        <w:jc w:val="both"/>
      </w:pPr>
      <w:r>
        <w:rPr>
          <w:spacing w:val="-7"/>
        </w:rPr>
        <w:t>评标委员会组长负责主持评标工作，组织评标专家讨论、表</w:t>
      </w:r>
      <w:r>
        <w:rPr>
          <w:spacing w:val="-12"/>
          <w:w w:val="95"/>
        </w:rPr>
        <w:t xml:space="preserve">决，主持汇总各评标专家的评审意见和拟定评标报告。评标委员 </w:t>
      </w:r>
      <w:r>
        <w:rPr>
          <w:spacing w:val="-12"/>
        </w:rPr>
        <w:t>会组长与其他评标专家具有同等的投票权。</w:t>
      </w:r>
    </w:p>
    <w:p>
      <w:pPr>
        <w:pStyle w:val="3"/>
        <w:spacing w:before="2" w:line="364" w:lineRule="auto"/>
        <w:ind w:right="271" w:firstLine="638"/>
      </w:pPr>
      <w:r>
        <w:rPr>
          <w:spacing w:val="-11"/>
        </w:rPr>
        <w:t>评标工作结束后，招标人可在管理系统中对评标专家的工作质量进行评价，并说明理由。</w:t>
      </w:r>
    </w:p>
    <w:p>
      <w:pPr>
        <w:pStyle w:val="3"/>
        <w:spacing w:before="2"/>
        <w:ind w:left="747"/>
      </w:pPr>
      <w:r>
        <w:rPr>
          <w:rFonts w:hint="eastAsia" w:ascii="黑体" w:eastAsia="黑体"/>
        </w:rPr>
        <w:t xml:space="preserve">第二十一条 </w:t>
      </w:r>
      <w:r>
        <w:t>专家具有下列情形之一的，在管理系统中应当</w:t>
      </w:r>
    </w:p>
    <w:p>
      <w:pPr>
        <w:sectPr>
          <w:footerReference r:id="rId5" w:type="default"/>
          <w:footerReference r:id="rId6" w:type="even"/>
          <w:pgSz w:w="11910" w:h="16840"/>
          <w:pgMar w:top="1580" w:right="1200" w:bottom="1860" w:left="1480" w:header="0" w:footer="1670" w:gutter="0"/>
          <w:pgNumType w:start="10"/>
          <w:cols w:space="720" w:num="1"/>
        </w:sectPr>
      </w:pPr>
    </w:p>
    <w:p>
      <w:pPr>
        <w:pStyle w:val="3"/>
        <w:ind w:left="0"/>
        <w:rPr>
          <w:sz w:val="20"/>
        </w:rPr>
      </w:pPr>
    </w:p>
    <w:p>
      <w:pPr>
        <w:pStyle w:val="3"/>
        <w:spacing w:before="2"/>
        <w:ind w:left="0"/>
        <w:rPr>
          <w:sz w:val="23"/>
        </w:rPr>
      </w:pPr>
    </w:p>
    <w:p>
      <w:pPr>
        <w:pStyle w:val="3"/>
        <w:spacing w:before="55"/>
      </w:pPr>
      <w:r>
        <w:rPr>
          <w:w w:val="95"/>
        </w:rPr>
        <w:t>予以屏蔽，不对外显示：</w:t>
      </w:r>
    </w:p>
    <w:p>
      <w:pPr>
        <w:pStyle w:val="3"/>
        <w:spacing w:before="214" w:line="364" w:lineRule="auto"/>
        <w:ind w:right="271" w:firstLine="638"/>
      </w:pPr>
      <w:r>
        <w:t>（一</w:t>
      </w:r>
      <w:r>
        <w:rPr>
          <w:spacing w:val="-39"/>
        </w:rPr>
        <w:t>）</w:t>
      </w:r>
      <w:r>
        <w:rPr>
          <w:spacing w:val="-5"/>
        </w:rPr>
        <w:t>未参加专家库组建人组织的继续教育、培训，不参加考试或者考试不合格的；</w:t>
      </w:r>
    </w:p>
    <w:p>
      <w:pPr>
        <w:pStyle w:val="3"/>
        <w:spacing w:before="1"/>
        <w:ind w:left="747"/>
      </w:pPr>
      <w:r>
        <w:t>（二）由于健康原因不能参加评标的；</w:t>
      </w:r>
    </w:p>
    <w:p>
      <w:pPr>
        <w:pStyle w:val="3"/>
        <w:spacing w:before="214" w:line="364" w:lineRule="auto"/>
        <w:ind w:left="747" w:right="156"/>
      </w:pPr>
      <w:r>
        <w:t xml:space="preserve">（三）由于阶段性工作繁忙或者工作调动不能参加评标的； </w:t>
      </w:r>
      <w:r>
        <w:rPr>
          <w:spacing w:val="-6"/>
        </w:rPr>
        <w:t>出现前款第</w:t>
      </w:r>
      <w:r>
        <w:t>（二</w:t>
      </w:r>
      <w:r>
        <w:rPr>
          <w:spacing w:val="-161"/>
        </w:rPr>
        <w:t>）</w:t>
      </w:r>
      <w:r>
        <w:rPr>
          <w:spacing w:val="-187"/>
        </w:rPr>
        <w:t>、</w:t>
      </w:r>
      <w:r>
        <w:t>（三</w:t>
      </w:r>
      <w:r>
        <w:rPr>
          <w:spacing w:val="-27"/>
        </w:rPr>
        <w:t>）</w:t>
      </w:r>
      <w:r>
        <w:rPr>
          <w:spacing w:val="-5"/>
        </w:rPr>
        <w:t>项情形时，专家应当以书面形式向</w:t>
      </w:r>
    </w:p>
    <w:p>
      <w:pPr>
        <w:pStyle w:val="3"/>
        <w:spacing w:before="2"/>
      </w:pPr>
      <w:r>
        <w:t>专家库组建人报告。</w:t>
      </w:r>
    </w:p>
    <w:p>
      <w:pPr>
        <w:pStyle w:val="3"/>
        <w:spacing w:before="214" w:line="367" w:lineRule="auto"/>
        <w:ind w:right="273" w:firstLine="638"/>
        <w:jc w:val="both"/>
      </w:pPr>
      <w:r>
        <w:rPr>
          <w:rFonts w:hint="eastAsia" w:ascii="黑体" w:eastAsia="黑体"/>
          <w:spacing w:val="3"/>
        </w:rPr>
        <w:t xml:space="preserve">第二十二条 </w:t>
      </w:r>
      <w:r>
        <w:t>专家被抽中无法参加，或者承诺参加但实际未</w:t>
      </w:r>
      <w:r>
        <w:rPr>
          <w:spacing w:val="-7"/>
        </w:rPr>
        <w:t>参加评标活动的次数</w:t>
      </w:r>
      <w:r>
        <w:t>（</w:t>
      </w:r>
      <w:r>
        <w:rPr>
          <w:spacing w:val="-4"/>
        </w:rPr>
        <w:t>一天之内多次未能参加评标活动的，只计算一次</w:t>
      </w:r>
      <w:r>
        <w:rPr>
          <w:spacing w:val="-12"/>
        </w:rPr>
        <w:t>）</w:t>
      </w:r>
      <w:r>
        <w:t>累计达到</w:t>
      </w:r>
      <w:r>
        <w:rPr>
          <w:spacing w:val="-82"/>
        </w:rPr>
        <w:t xml:space="preserve"> </w:t>
      </w:r>
      <w:r>
        <w:t>5</w:t>
      </w:r>
      <w:r>
        <w:rPr>
          <w:spacing w:val="-83"/>
        </w:rPr>
        <w:t xml:space="preserve"> </w:t>
      </w:r>
      <w:r>
        <w:t>次</w:t>
      </w:r>
      <w:r>
        <w:rPr>
          <w:spacing w:val="-12"/>
        </w:rPr>
        <w:t>，</w:t>
      </w:r>
      <w:r>
        <w:t>且出勤率不足</w:t>
      </w:r>
      <w:r>
        <w:rPr>
          <w:spacing w:val="-82"/>
        </w:rPr>
        <w:t xml:space="preserve"> </w:t>
      </w:r>
      <w:r>
        <w:rPr>
          <w:spacing w:val="4"/>
        </w:rPr>
        <w:t>40</w:t>
      </w:r>
      <w:r>
        <w:rPr>
          <w:spacing w:val="8"/>
          <w:w w:val="99"/>
          <w:lang w:val="en-US" w:bidi="ar-SA"/>
        </w:rPr>
        <w:drawing>
          <wp:inline distT="0" distB="0" distL="114300" distR="114300">
            <wp:extent cx="87630" cy="151130"/>
            <wp:effectExtent l="0" t="0" r="7620" b="127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8" cstate="print"/>
                    <a:stretch>
                      <a:fillRect/>
                    </a:stretch>
                  </pic:blipFill>
                  <pic:spPr>
                    <a:xfrm>
                      <a:off x="0" y="0"/>
                      <a:ext cx="87630" cy="151130"/>
                    </a:xfrm>
                    <a:prstGeom prst="rect">
                      <a:avLst/>
                    </a:prstGeom>
                    <a:noFill/>
                    <a:ln w="9525">
                      <a:noFill/>
                    </a:ln>
                  </pic:spPr>
                </pic:pic>
              </a:graphicData>
            </a:graphic>
          </wp:inline>
        </w:drawing>
      </w:r>
      <w:r>
        <w:t>的</w:t>
      </w:r>
      <w:r>
        <w:rPr>
          <w:spacing w:val="-12"/>
        </w:rPr>
        <w:t>，</w:t>
      </w:r>
      <w:r>
        <w:t>暂停其评标资格</w:t>
      </w:r>
    </w:p>
    <w:p>
      <w:pPr>
        <w:pStyle w:val="3"/>
        <w:spacing w:line="364" w:lineRule="auto"/>
        <w:ind w:right="273"/>
      </w:pPr>
      <w:r>
        <w:t>3</w:t>
      </w:r>
      <w:r>
        <w:rPr>
          <w:spacing w:val="-13"/>
        </w:rPr>
        <w:t xml:space="preserve"> 个月；暂停评标期满后，无法参加或者未参加评标活动的次数和出勤率重新计算。</w:t>
      </w:r>
    </w:p>
    <w:p>
      <w:pPr>
        <w:pStyle w:val="3"/>
        <w:spacing w:line="364" w:lineRule="auto"/>
        <w:ind w:right="271" w:firstLine="638"/>
      </w:pPr>
      <w:r>
        <w:rPr>
          <w:spacing w:val="-5"/>
        </w:rPr>
        <w:t>前款出勤率的计算方法为出勤次数除以被抽中次数，一天之内被抽中多次的，被抽中次数只计算一次。</w:t>
      </w:r>
    </w:p>
    <w:p>
      <w:pPr>
        <w:pStyle w:val="3"/>
        <w:spacing w:before="1" w:line="364" w:lineRule="auto"/>
        <w:ind w:right="274" w:firstLine="638"/>
      </w:pPr>
      <w:r>
        <w:rPr>
          <w:rFonts w:hint="eastAsia" w:ascii="黑体" w:eastAsia="黑体"/>
        </w:rPr>
        <w:t xml:space="preserve">第二十三条 </w:t>
      </w:r>
      <w:r>
        <w:t>专家有下列情形之一的，专家库组建人应当如实记录其不良行为，并在管理系统中公示 1 年：</w:t>
      </w:r>
    </w:p>
    <w:p>
      <w:pPr>
        <w:pStyle w:val="3"/>
        <w:ind w:left="747"/>
      </w:pPr>
      <w:r>
        <w:t>（一）评标工作出现错误，复核时已纠错的；</w:t>
      </w:r>
    </w:p>
    <w:p>
      <w:pPr>
        <w:pStyle w:val="3"/>
        <w:spacing w:before="1" w:line="364" w:lineRule="auto"/>
        <w:ind w:right="274" w:firstLine="638"/>
      </w:pPr>
      <w:r>
        <w:t>（</w:t>
      </w:r>
      <w:r>
        <w:rPr>
          <w:rFonts w:hint="eastAsia"/>
        </w:rPr>
        <w:t>二</w:t>
      </w:r>
      <w:r>
        <w:t>）违法透露评标过程中应当保密信息，尚未造成不良影响的；</w:t>
      </w:r>
    </w:p>
    <w:p>
      <w:pPr>
        <w:pStyle w:val="3"/>
        <w:spacing w:before="1" w:line="364" w:lineRule="auto"/>
        <w:ind w:right="274" w:firstLine="638"/>
      </w:pPr>
      <w:r>
        <w:t>（</w:t>
      </w:r>
      <w:r>
        <w:rPr>
          <w:rFonts w:hint="eastAsia"/>
        </w:rPr>
        <w:t>三</w:t>
      </w:r>
      <w:r>
        <w:t>）</w:t>
      </w:r>
      <w:r>
        <w:t>单次迟到超过 1 小时的；</w:t>
      </w:r>
    </w:p>
    <w:p>
      <w:pPr>
        <w:pStyle w:val="3"/>
        <w:spacing w:before="1" w:line="364" w:lineRule="auto"/>
        <w:ind w:right="274" w:firstLine="638"/>
      </w:pPr>
      <w:r>
        <w:t>（</w:t>
      </w:r>
      <w:r>
        <w:rPr>
          <w:rFonts w:hint="eastAsia"/>
        </w:rPr>
        <w:t>四</w:t>
      </w:r>
      <w:r>
        <w:t>）本办法第十四条第一款所规定的信息发生变化，未在</w:t>
      </w:r>
    </w:p>
    <w:p>
      <w:pPr>
        <w:pStyle w:val="3"/>
        <w:spacing w:before="1" w:line="364" w:lineRule="auto"/>
        <w:ind w:right="274" w:firstLine="638"/>
      </w:pPr>
      <w:r>
        <w:t>5 个工作日内书面通知专家库组建人的。</w:t>
      </w:r>
    </w:p>
    <w:p>
      <w:pPr>
        <w:pStyle w:val="3"/>
        <w:spacing w:before="214" w:line="364" w:lineRule="auto"/>
        <w:ind w:right="273" w:firstLine="638"/>
      </w:pPr>
      <w:r>
        <w:rPr>
          <w:rFonts w:hint="eastAsia" w:ascii="黑体" w:eastAsia="黑体"/>
          <w:spacing w:val="3"/>
        </w:rPr>
        <w:t xml:space="preserve">第二十四条 </w:t>
      </w:r>
      <w:r>
        <w:t>专家有下列情形之一的，专家库组建人应当如</w:t>
      </w:r>
      <w:r>
        <w:rPr>
          <w:spacing w:val="-12"/>
        </w:rPr>
        <w:t xml:space="preserve">实记录其不良行为，暂停其评标资格 </w:t>
      </w:r>
      <w:r>
        <w:t>6</w:t>
      </w:r>
      <w:r>
        <w:rPr>
          <w:spacing w:val="-15"/>
        </w:rPr>
        <w:t xml:space="preserve"> 个月，并在管理系统中公</w:t>
      </w:r>
    </w:p>
    <w:p>
      <w:pPr>
        <w:pStyle w:val="3"/>
        <w:spacing w:before="2"/>
      </w:pPr>
      <w:r>
        <w:t>示 3 年：</w:t>
      </w:r>
    </w:p>
    <w:p>
      <w:pPr>
        <w:pStyle w:val="3"/>
        <w:spacing w:before="214" w:line="364" w:lineRule="auto"/>
        <w:ind w:right="271" w:firstLine="638"/>
      </w:pPr>
      <w:r>
        <w:t>（一</w:t>
      </w:r>
      <w:r>
        <w:rPr>
          <w:spacing w:val="-58"/>
        </w:rPr>
        <w:t>）</w:t>
      </w:r>
      <w:r>
        <w:rPr>
          <w:spacing w:val="-4"/>
        </w:rPr>
        <w:t>未按照相关规定及招标文件要求评标，评标工作存在错误，造成不良影响的；</w:t>
      </w:r>
    </w:p>
    <w:p>
      <w:pPr>
        <w:pStyle w:val="3"/>
        <w:spacing w:before="2" w:line="364" w:lineRule="auto"/>
        <w:ind w:right="273" w:firstLine="638"/>
      </w:pPr>
      <w:r>
        <w:t>（二</w:t>
      </w:r>
      <w:r>
        <w:rPr>
          <w:spacing w:val="-58"/>
        </w:rPr>
        <w:t>）</w:t>
      </w:r>
      <w:r>
        <w:rPr>
          <w:spacing w:val="-7"/>
        </w:rPr>
        <w:t>评标工作出现错误，不积极配合复核或者复核时拒绝纠正的；</w:t>
      </w:r>
    </w:p>
    <w:p>
      <w:pPr>
        <w:pStyle w:val="3"/>
        <w:spacing w:before="1" w:line="364" w:lineRule="auto"/>
        <w:ind w:right="274" w:firstLine="638"/>
      </w:pPr>
      <w:r>
        <w:t>（三</w:t>
      </w:r>
      <w:r>
        <w:rPr>
          <w:spacing w:val="-115"/>
        </w:rPr>
        <w:t>）</w:t>
      </w:r>
      <w:r>
        <w:t>评审意见与其他评标委员会成员存在重大分歧未作出书面说明，或者书面说明不合理的；</w:t>
      </w:r>
    </w:p>
    <w:p>
      <w:pPr>
        <w:pStyle w:val="3"/>
        <w:spacing w:before="2"/>
        <w:ind w:left="747"/>
      </w:pPr>
      <w:r>
        <w:t>（四）承诺出席而实际未出席评标会议，且没有请假的；</w:t>
      </w:r>
    </w:p>
    <w:p>
      <w:pPr>
        <w:sectPr>
          <w:pgSz w:w="11910" w:h="16840"/>
          <w:pgMar w:top="1580" w:right="1200" w:bottom="1860" w:left="1480" w:header="0" w:footer="1670" w:gutter="0"/>
          <w:cols w:space="720" w:num="1"/>
        </w:sectPr>
      </w:pPr>
    </w:p>
    <w:p>
      <w:pPr>
        <w:pStyle w:val="3"/>
        <w:ind w:left="0"/>
        <w:rPr>
          <w:sz w:val="20"/>
        </w:rPr>
      </w:pPr>
    </w:p>
    <w:p>
      <w:pPr>
        <w:pStyle w:val="3"/>
        <w:spacing w:before="2"/>
        <w:ind w:left="0"/>
        <w:rPr>
          <w:sz w:val="23"/>
        </w:rPr>
      </w:pPr>
    </w:p>
    <w:p>
      <w:pPr>
        <w:pStyle w:val="3"/>
        <w:spacing w:before="55"/>
        <w:ind w:left="747"/>
      </w:pPr>
      <w:r>
        <w:t>（五）</w:t>
      </w:r>
      <w:r>
        <w:rPr>
          <w:spacing w:val="-5"/>
        </w:rPr>
        <w:t xml:space="preserve">承诺出席但在预定评标开始时间前请假达到 </w:t>
      </w:r>
      <w:r>
        <w:t>3</w:t>
      </w:r>
      <w:r>
        <w:rPr>
          <w:spacing w:val="-22"/>
        </w:rPr>
        <w:t xml:space="preserve"> 次的；</w:t>
      </w:r>
    </w:p>
    <w:p>
      <w:pPr>
        <w:pStyle w:val="3"/>
        <w:spacing w:before="214"/>
        <w:ind w:left="747"/>
      </w:pPr>
      <w:r>
        <w:t>（六）</w:t>
      </w:r>
      <w:r>
        <w:rPr>
          <w:spacing w:val="-5"/>
        </w:rPr>
        <w:t xml:space="preserve">承诺出席但在预定评标开始时间后请假达到 </w:t>
      </w:r>
      <w:r>
        <w:t>2</w:t>
      </w:r>
      <w:r>
        <w:rPr>
          <w:spacing w:val="-22"/>
        </w:rPr>
        <w:t xml:space="preserve"> 次的；</w:t>
      </w:r>
    </w:p>
    <w:p>
      <w:pPr>
        <w:pStyle w:val="3"/>
        <w:spacing w:before="214"/>
        <w:ind w:left="747"/>
      </w:pPr>
      <w:r>
        <w:t>（七）提前离开评标场所达到 2 次的；</w:t>
      </w:r>
    </w:p>
    <w:p>
      <w:pPr>
        <w:pStyle w:val="3"/>
        <w:spacing w:before="214" w:line="364" w:lineRule="auto"/>
        <w:ind w:right="271" w:firstLine="638"/>
      </w:pPr>
      <w:r>
        <w:t>（八</w:t>
      </w:r>
      <w:r>
        <w:rPr>
          <w:spacing w:val="-58"/>
        </w:rPr>
        <w:t>）</w:t>
      </w:r>
      <w:r>
        <w:rPr>
          <w:spacing w:val="-11"/>
        </w:rPr>
        <w:t xml:space="preserve">迟到时间累计满 </w:t>
      </w:r>
      <w:r>
        <w:t>3</w:t>
      </w:r>
      <w:r>
        <w:rPr>
          <w:spacing w:val="-48"/>
        </w:rPr>
        <w:t xml:space="preserve"> 小时</w:t>
      </w:r>
      <w:r>
        <w:t>（不计算其个人已补偿专家候场薪酬的时间）的；</w:t>
      </w:r>
    </w:p>
    <w:p>
      <w:pPr>
        <w:pStyle w:val="3"/>
        <w:spacing w:before="214" w:line="364" w:lineRule="auto"/>
        <w:ind w:right="271" w:firstLine="638"/>
      </w:pPr>
      <w:r>
        <w:t>（</w:t>
      </w:r>
      <w:r>
        <w:rPr>
          <w:rFonts w:hint="eastAsia"/>
        </w:rPr>
        <w:t>九</w:t>
      </w:r>
      <w:r>
        <w:rPr>
          <w:spacing w:val="-58"/>
        </w:rPr>
        <w:t>）</w:t>
      </w:r>
      <w:r>
        <w:rPr>
          <w:spacing w:val="-4"/>
        </w:rPr>
        <w:t>拖延评标进度或者提出不合理要求</w:t>
      </w:r>
      <w:r>
        <w:t>（如超标准索要评标薪酬等）的；</w:t>
      </w:r>
    </w:p>
    <w:p>
      <w:pPr>
        <w:pStyle w:val="3"/>
        <w:spacing w:before="1"/>
        <w:ind w:left="747"/>
      </w:pPr>
      <w:r>
        <w:t>（</w:t>
      </w:r>
      <w:r>
        <w:rPr>
          <w:rFonts w:hint="eastAsia"/>
        </w:rPr>
        <w:t>十</w:t>
      </w:r>
      <w:r>
        <w:t>）其他不客观、不公正评标的行为。</w:t>
      </w:r>
    </w:p>
    <w:p>
      <w:pPr>
        <w:pStyle w:val="3"/>
        <w:spacing w:before="214"/>
        <w:ind w:left="747"/>
      </w:pPr>
      <w:r>
        <w:t>前款第（五）至（八）项情形在暂停评标期满后重新计算次</w:t>
      </w:r>
    </w:p>
    <w:p>
      <w:pPr>
        <w:pStyle w:val="3"/>
        <w:spacing w:before="6"/>
        <w:ind w:left="0"/>
        <w:rPr>
          <w:sz w:val="12"/>
        </w:rPr>
      </w:pPr>
    </w:p>
    <w:p>
      <w:pPr>
        <w:pStyle w:val="3"/>
        <w:spacing w:before="54"/>
      </w:pPr>
      <w:r>
        <w:t>数。</w:t>
      </w:r>
    </w:p>
    <w:p>
      <w:pPr>
        <w:pStyle w:val="3"/>
        <w:spacing w:before="214"/>
        <w:ind w:left="747"/>
      </w:pPr>
      <w:r>
        <w:rPr>
          <w:rFonts w:hint="eastAsia" w:ascii="黑体" w:eastAsia="黑体"/>
          <w:spacing w:val="3"/>
        </w:rPr>
        <w:t xml:space="preserve">第二十五条 </w:t>
      </w:r>
      <w:r>
        <w:t>专家有下列情形之一的，专家库组建人应当如</w:t>
      </w:r>
    </w:p>
    <w:p>
      <w:pPr>
        <w:pStyle w:val="3"/>
        <w:spacing w:before="6"/>
        <w:ind w:left="0"/>
        <w:rPr>
          <w:sz w:val="12"/>
        </w:rPr>
      </w:pPr>
    </w:p>
    <w:p>
      <w:pPr>
        <w:pStyle w:val="3"/>
        <w:spacing w:before="55"/>
      </w:pPr>
      <w:r>
        <w:rPr>
          <w:spacing w:val="-12"/>
        </w:rPr>
        <w:t xml:space="preserve">实记录其不良行为，暂停其评标资格 </w:t>
      </w:r>
      <w:r>
        <w:t>1</w:t>
      </w:r>
      <w:r>
        <w:rPr>
          <w:spacing w:val="-15"/>
        </w:rPr>
        <w:t xml:space="preserve"> 年，并在管理系统中公示</w:t>
      </w:r>
    </w:p>
    <w:p>
      <w:pPr>
        <w:pStyle w:val="3"/>
        <w:spacing w:before="214"/>
      </w:pPr>
      <w:r>
        <w:t>5 年：</w:t>
      </w:r>
    </w:p>
    <w:p>
      <w:pPr>
        <w:pStyle w:val="3"/>
        <w:spacing w:before="214" w:line="364" w:lineRule="auto"/>
        <w:ind w:right="271" w:firstLine="638"/>
      </w:pPr>
      <w:r>
        <w:t>（一</w:t>
      </w:r>
      <w:r>
        <w:rPr>
          <w:spacing w:val="-58"/>
        </w:rPr>
        <w:t>）</w:t>
      </w:r>
      <w:r>
        <w:rPr>
          <w:spacing w:val="-4"/>
        </w:rPr>
        <w:t>未按照相关规定及招标文件要求评标，评标工作存在错误，造成严重后果的；</w:t>
      </w:r>
    </w:p>
    <w:p>
      <w:pPr>
        <w:pStyle w:val="3"/>
        <w:spacing w:before="1"/>
        <w:ind w:left="747"/>
      </w:pPr>
      <w:r>
        <w:rPr>
          <w:w w:val="95"/>
        </w:rPr>
        <w:t>（二）私下接触投标人并接受投标人请托的；</w:t>
      </w:r>
    </w:p>
    <w:p>
      <w:pPr>
        <w:pStyle w:val="3"/>
        <w:spacing w:before="214"/>
        <w:ind w:left="747"/>
      </w:pPr>
      <w:r>
        <w:rPr>
          <w:w w:val="95"/>
        </w:rPr>
        <w:t>（三）无正当理由拒绝在评标报告上签字的；</w:t>
      </w:r>
    </w:p>
    <w:p>
      <w:pPr>
        <w:pStyle w:val="3"/>
        <w:spacing w:before="214"/>
        <w:ind w:left="747"/>
      </w:pPr>
      <w:r>
        <w:t>（四）不及时报告可能影响评标公正性情况的；</w:t>
      </w:r>
    </w:p>
    <w:p>
      <w:pPr>
        <w:pStyle w:val="3"/>
        <w:spacing w:before="214"/>
        <w:ind w:left="747"/>
      </w:pPr>
      <w:r>
        <w:t>（五）不遵守评标回避制度，应当回避而未回避的；</w:t>
      </w:r>
    </w:p>
    <w:p>
      <w:pPr>
        <w:pStyle w:val="3"/>
        <w:spacing w:before="214" w:line="364" w:lineRule="auto"/>
        <w:ind w:right="271" w:firstLine="638"/>
        <w:rPr>
          <w:w w:val="99"/>
        </w:rPr>
      </w:pPr>
      <w:r>
        <w:t>（六</w:t>
      </w:r>
      <w:r>
        <w:rPr>
          <w:spacing w:val="-58"/>
        </w:rPr>
        <w:t>）</w:t>
      </w:r>
      <w:r>
        <w:rPr>
          <w:spacing w:val="-4"/>
        </w:rPr>
        <w:t>招标人对专家评标质量评价为不客观、不公正的次数</w:t>
      </w:r>
      <w:r>
        <w:rPr>
          <w:spacing w:val="-4"/>
          <w:w w:val="99"/>
        </w:rPr>
        <w:t>达到</w:t>
      </w:r>
      <w:r>
        <w:rPr>
          <w:spacing w:val="-79"/>
        </w:rPr>
        <w:t xml:space="preserve"> </w:t>
      </w:r>
      <w:r>
        <w:rPr>
          <w:w w:val="99"/>
        </w:rPr>
        <w:t>3</w:t>
      </w:r>
      <w:r>
        <w:rPr>
          <w:spacing w:val="-80"/>
        </w:rPr>
        <w:t xml:space="preserve"> </w:t>
      </w:r>
      <w:r>
        <w:rPr>
          <w:spacing w:val="1"/>
          <w:w w:val="99"/>
        </w:rPr>
        <w:t>次的</w:t>
      </w:r>
      <w:r>
        <w:rPr>
          <w:w w:val="99"/>
        </w:rPr>
        <w:t>（暂停评标期满后重新计算次数</w:t>
      </w:r>
      <w:r>
        <w:rPr>
          <w:spacing w:val="-159"/>
          <w:w w:val="99"/>
        </w:rPr>
        <w:t>）</w:t>
      </w:r>
      <w:r>
        <w:rPr>
          <w:w w:val="99"/>
        </w:rPr>
        <w:t>；</w:t>
      </w:r>
    </w:p>
    <w:p>
      <w:pPr>
        <w:pStyle w:val="3"/>
        <w:spacing w:before="209"/>
        <w:ind w:left="747"/>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七</w:t>
      </w:r>
      <w:r>
        <w:rPr>
          <w:color w:val="000000" w:themeColor="text1"/>
          <w14:textFill>
            <w14:solidFill>
              <w14:schemeClr w14:val="tx1"/>
            </w14:solidFill>
          </w14:textFill>
        </w:rPr>
        <w:t>）不配合招标投标监管部门监督检查、调查取证的；</w:t>
      </w:r>
    </w:p>
    <w:p>
      <w:pPr>
        <w:pStyle w:val="3"/>
        <w:spacing w:before="214"/>
        <w:ind w:left="747"/>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八</w:t>
      </w:r>
      <w:r>
        <w:rPr>
          <w:color w:val="000000" w:themeColor="text1"/>
          <w14:textFill>
            <w14:solidFill>
              <w14:schemeClr w14:val="tx1"/>
            </w14:solidFill>
          </w14:textFill>
        </w:rPr>
        <w:t>）不服从评标现场管理，评标过程中擅离职守的；</w:t>
      </w:r>
    </w:p>
    <w:p>
      <w:pPr>
        <w:pStyle w:val="3"/>
        <w:spacing w:before="214"/>
        <w:ind w:left="7" w:firstLine="739" w:firstLineChars="231"/>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九</w:t>
      </w:r>
      <w:r>
        <w:rPr>
          <w:color w:val="000000" w:themeColor="text1"/>
          <w:spacing w:val="-115"/>
          <w14:textFill>
            <w14:solidFill>
              <w14:schemeClr w14:val="tx1"/>
            </w14:solidFill>
          </w14:textFill>
        </w:rPr>
        <w:t>）</w:t>
      </w:r>
      <w:r>
        <w:rPr>
          <w:color w:val="000000" w:themeColor="text1"/>
          <w14:textFill>
            <w14:solidFill>
              <w14:schemeClr w14:val="tx1"/>
            </w14:solidFill>
          </w14:textFill>
        </w:rPr>
        <w:t>擅自复制或者以其他方式将其评标过程中接触的资料带离评标场所的；</w:t>
      </w:r>
    </w:p>
    <w:p>
      <w:pPr>
        <w:pStyle w:val="3"/>
        <w:spacing w:before="1" w:line="364" w:lineRule="auto"/>
        <w:ind w:right="274" w:firstLine="638"/>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十</w:t>
      </w:r>
      <w:r>
        <w:rPr>
          <w:color w:val="000000" w:themeColor="text1"/>
          <w:spacing w:val="-115"/>
          <w14:textFill>
            <w14:solidFill>
              <w14:schemeClr w14:val="tx1"/>
            </w14:solidFill>
          </w14:textFill>
        </w:rPr>
        <w:t>）</w:t>
      </w:r>
      <w:r>
        <w:rPr>
          <w:color w:val="000000" w:themeColor="text1"/>
          <w14:textFill>
            <w14:solidFill>
              <w14:schemeClr w14:val="tx1"/>
            </w14:solidFill>
          </w14:textFill>
        </w:rPr>
        <w:t>在专家库组建人组织的考试中有作弊或者其他不良行为的；</w:t>
      </w:r>
    </w:p>
    <w:p>
      <w:pPr>
        <w:pStyle w:val="3"/>
        <w:spacing w:before="2"/>
        <w:ind w:left="747"/>
      </w:pPr>
      <w:r>
        <w:t>（</w:t>
      </w:r>
      <w:r>
        <w:rPr>
          <w:rFonts w:hint="eastAsia"/>
        </w:rPr>
        <w:t>十一</w:t>
      </w:r>
      <w:r>
        <w:t>）其他违反相关法律法规行为且情节较为严重的。</w:t>
      </w:r>
    </w:p>
    <w:p>
      <w:pPr>
        <w:pStyle w:val="3"/>
        <w:ind w:left="0"/>
        <w:rPr>
          <w:sz w:val="20"/>
        </w:rPr>
      </w:pPr>
    </w:p>
    <w:p>
      <w:pPr>
        <w:pStyle w:val="3"/>
        <w:spacing w:before="2"/>
        <w:ind w:left="0"/>
        <w:rPr>
          <w:sz w:val="23"/>
        </w:rPr>
      </w:pPr>
    </w:p>
    <w:p>
      <w:pPr>
        <w:pStyle w:val="3"/>
        <w:spacing w:before="55"/>
        <w:ind w:left="747"/>
      </w:pPr>
      <w:r>
        <w:rPr>
          <w:rFonts w:hint="eastAsia" w:ascii="黑体" w:eastAsia="黑体"/>
        </w:rPr>
        <w:t xml:space="preserve">第二十六条 </w:t>
      </w:r>
      <w:r>
        <w:t>专家存在下列情形之一的，予以出库处理：</w:t>
      </w:r>
    </w:p>
    <w:p>
      <w:pPr>
        <w:pStyle w:val="3"/>
        <w:spacing w:before="214"/>
        <w:ind w:left="747"/>
      </w:pPr>
      <w:r>
        <w:t>（一）自行申请出库的；</w:t>
      </w:r>
    </w:p>
    <w:p>
      <w:pPr>
        <w:pStyle w:val="3"/>
        <w:spacing w:before="214"/>
        <w:ind w:left="747"/>
      </w:pPr>
      <w:r>
        <w:t>（二）普通专家年满 65 周岁，资深专家年满 70 周岁的；</w:t>
      </w:r>
    </w:p>
    <w:p>
      <w:pPr>
        <w:pStyle w:val="3"/>
        <w:spacing w:before="214" w:line="364" w:lineRule="auto"/>
        <w:ind w:right="271" w:firstLine="638"/>
      </w:pPr>
      <w:r>
        <w:t>（三</w:t>
      </w:r>
      <w:r>
        <w:rPr>
          <w:spacing w:val="-58"/>
        </w:rPr>
        <w:t>）</w:t>
      </w:r>
      <w:r>
        <w:rPr>
          <w:spacing w:val="-3"/>
        </w:rPr>
        <w:t>因执业注册信息发生变化不再满足入库条件，或者出现其他不适宜继续担任专家情形的；</w:t>
      </w:r>
    </w:p>
    <w:p>
      <w:pPr>
        <w:pStyle w:val="3"/>
        <w:spacing w:before="1"/>
        <w:ind w:left="747"/>
      </w:pPr>
      <w:r>
        <w:t>（四）提供虚假材料骗取入库资格的；</w:t>
      </w:r>
    </w:p>
    <w:p>
      <w:pPr>
        <w:pStyle w:val="3"/>
        <w:spacing w:before="214"/>
        <w:ind w:left="747"/>
      </w:pPr>
      <w:r>
        <w:t>（五）收受投标人或者其他利害关系人任何形式利益的；</w:t>
      </w:r>
    </w:p>
    <w:p>
      <w:pPr>
        <w:pStyle w:val="3"/>
        <w:spacing w:before="214" w:line="364" w:lineRule="auto"/>
        <w:ind w:right="271" w:firstLine="638"/>
      </w:pPr>
      <w:r>
        <w:t>（六</w:t>
      </w:r>
      <w:r>
        <w:rPr>
          <w:spacing w:val="-58"/>
        </w:rPr>
        <w:t>）</w:t>
      </w:r>
      <w:r>
        <w:rPr>
          <w:spacing w:val="-4"/>
        </w:rPr>
        <w:t>标后评估发现其评标工作有重大过失，且造成严重后果的；</w:t>
      </w:r>
    </w:p>
    <w:p>
      <w:pPr>
        <w:pStyle w:val="3"/>
        <w:spacing w:before="2" w:line="364" w:lineRule="auto"/>
        <w:ind w:right="274" w:firstLine="638"/>
      </w:pPr>
      <w:r>
        <w:t>（七</w:t>
      </w:r>
      <w:r>
        <w:rPr>
          <w:spacing w:val="-115"/>
        </w:rPr>
        <w:t>）</w:t>
      </w:r>
      <w:r>
        <w:t>因本办法第二十二条所规定的原因导致暂停评标次数</w:t>
      </w:r>
      <w:r>
        <w:rPr>
          <w:spacing w:val="-41"/>
        </w:rPr>
        <w:t xml:space="preserve">满 </w:t>
      </w:r>
      <w:r>
        <w:t>3</w:t>
      </w:r>
      <w:r>
        <w:rPr>
          <w:spacing w:val="-21"/>
        </w:rPr>
        <w:t xml:space="preserve"> 次的；</w:t>
      </w:r>
    </w:p>
    <w:p>
      <w:pPr>
        <w:pStyle w:val="3"/>
        <w:spacing w:before="1"/>
        <w:ind w:left="747"/>
      </w:pPr>
      <w:r>
        <w:t>（八）其他违反法律法规行为且情节特别严重的。</w:t>
      </w:r>
    </w:p>
    <w:p>
      <w:pPr>
        <w:pStyle w:val="3"/>
        <w:spacing w:before="214" w:line="364" w:lineRule="auto"/>
        <w:ind w:right="114" w:firstLine="638"/>
      </w:pPr>
      <w:r>
        <w:rPr>
          <w:spacing w:val="-3"/>
        </w:rPr>
        <w:t>因前款第</w:t>
      </w:r>
      <w:r>
        <w:t>（四</w:t>
      </w:r>
      <w:r>
        <w:rPr>
          <w:spacing w:val="-12"/>
        </w:rPr>
        <w:t>）</w:t>
      </w:r>
      <w:r>
        <w:rPr>
          <w:spacing w:val="-6"/>
        </w:rPr>
        <w:t>至第</w:t>
      </w:r>
      <w:r>
        <w:t>（六</w:t>
      </w:r>
      <w:r>
        <w:rPr>
          <w:spacing w:val="-12"/>
        </w:rPr>
        <w:t>）</w:t>
      </w:r>
      <w:r>
        <w:rPr>
          <w:spacing w:val="-10"/>
        </w:rPr>
        <w:t>项、第</w:t>
      </w:r>
      <w:r>
        <w:t>（八</w:t>
      </w:r>
      <w:r>
        <w:rPr>
          <w:spacing w:val="-15"/>
        </w:rPr>
        <w:t>）</w:t>
      </w:r>
      <w:r>
        <w:rPr>
          <w:spacing w:val="-2"/>
        </w:rPr>
        <w:t>项原因出库的，任</w:t>
      </w:r>
      <w:r>
        <w:rPr>
          <w:spacing w:val="-7"/>
        </w:rPr>
        <w:t>何专家库均不得再受理其入库申请。因前款第</w:t>
      </w:r>
      <w:r>
        <w:t>（七</w:t>
      </w:r>
      <w:r>
        <w:rPr>
          <w:spacing w:val="-39"/>
        </w:rPr>
        <w:t>）</w:t>
      </w:r>
      <w:r>
        <w:t>项原因出库</w:t>
      </w:r>
      <w:r>
        <w:rPr>
          <w:spacing w:val="-22"/>
        </w:rPr>
        <w:t xml:space="preserve">的，管理系统自动将该专家予以出库处理。自出库之日起 </w:t>
      </w:r>
      <w:r>
        <w:t>2</w:t>
      </w:r>
      <w:r>
        <w:rPr>
          <w:spacing w:val="-22"/>
        </w:rPr>
        <w:t xml:space="preserve"> 年内， 任何专家库均不得再受理其入库申请。</w:t>
      </w:r>
    </w:p>
    <w:p>
      <w:pPr>
        <w:pStyle w:val="3"/>
        <w:spacing w:before="4" w:line="364" w:lineRule="auto"/>
        <w:ind w:right="114" w:firstLine="638"/>
      </w:pPr>
      <w:r>
        <w:rPr>
          <w:rFonts w:hint="eastAsia" w:ascii="黑体" w:eastAsia="黑体"/>
          <w:spacing w:val="2"/>
        </w:rPr>
        <w:t xml:space="preserve">第二十七条 </w:t>
      </w:r>
      <w:r>
        <w:t>专家库组建人按照本办法第二十二条、第二十</w:t>
      </w:r>
      <w:r>
        <w:rPr>
          <w:spacing w:val="-11"/>
        </w:rPr>
        <w:t>三条、第二十四条、第二十五条之规定，对专家作出不良行为记</w:t>
      </w:r>
      <w:r>
        <w:rPr>
          <w:spacing w:val="-22"/>
          <w:w w:val="95"/>
        </w:rPr>
        <w:t>录或者暂停评标资格决定的，或者按照本办法第二十六条第</w:t>
      </w:r>
      <w:r>
        <w:rPr>
          <w:w w:val="95"/>
        </w:rPr>
        <w:t xml:space="preserve">（四） </w:t>
      </w:r>
      <w:r>
        <w:rPr>
          <w:spacing w:val="-10"/>
        </w:rPr>
        <w:t>项至第</w:t>
      </w:r>
      <w:r>
        <w:t>（八</w:t>
      </w:r>
      <w:r>
        <w:rPr>
          <w:spacing w:val="-29"/>
        </w:rPr>
        <w:t>）</w:t>
      </w:r>
      <w:r>
        <w:rPr>
          <w:spacing w:val="-7"/>
        </w:rPr>
        <w:t>项的规定，对专家作出出库决定的，应当自上述决</w:t>
      </w:r>
      <w:r>
        <w:t>定作出之日起 10 个工作日内书面通报专家所在单位。</w:t>
      </w:r>
    </w:p>
    <w:p>
      <w:pPr>
        <w:pStyle w:val="3"/>
        <w:spacing w:before="214" w:line="364" w:lineRule="auto"/>
        <w:ind w:right="273" w:firstLine="638"/>
        <w:jc w:val="both"/>
        <w:rPr>
          <w:spacing w:val="-14"/>
        </w:rPr>
      </w:pPr>
      <w:r>
        <w:rPr>
          <w:spacing w:val="-7"/>
        </w:rPr>
        <w:t>专家对专家库组建人的上述决定有异议的，可在上述期限内</w:t>
      </w:r>
      <w:r>
        <w:rPr>
          <w:spacing w:val="-14"/>
          <w:w w:val="95"/>
        </w:rPr>
        <w:t xml:space="preserve">向专家库组建人提出申诉；专家库组建人接到专家申诉后，应当 </w:t>
      </w:r>
      <w:r>
        <w:rPr>
          <w:spacing w:val="-14"/>
        </w:rPr>
        <w:t>对原决定进行复核，并作出复核决定。</w:t>
      </w:r>
    </w:p>
    <w:p>
      <w:pPr>
        <w:pStyle w:val="3"/>
        <w:spacing w:before="214" w:line="364" w:lineRule="auto"/>
        <w:ind w:right="273" w:firstLine="638"/>
        <w:jc w:val="both"/>
        <w:rPr>
          <w:spacing w:val="-14"/>
        </w:rPr>
      </w:pPr>
      <w:r>
        <w:rPr>
          <w:rFonts w:hint="eastAsia"/>
          <w:spacing w:val="-14"/>
        </w:rPr>
        <w:t>专家库组建人可根据实际情况制定专家考核指标及相应处罚细则。</w:t>
      </w:r>
    </w:p>
    <w:p>
      <w:pPr>
        <w:pStyle w:val="3"/>
        <w:ind w:left="0"/>
      </w:pPr>
    </w:p>
    <w:p>
      <w:pPr>
        <w:pStyle w:val="3"/>
        <w:tabs>
          <w:tab w:val="left" w:pos="4848"/>
        </w:tabs>
        <w:spacing w:before="216"/>
        <w:ind w:left="3569"/>
        <w:rPr>
          <w:rFonts w:ascii="黑体" w:eastAsia="黑体"/>
        </w:rPr>
      </w:pPr>
      <w:r>
        <w:rPr>
          <w:rFonts w:hint="eastAsia" w:ascii="黑体" w:eastAsia="黑体"/>
        </w:rPr>
        <w:t>第五章</w:t>
      </w:r>
      <w:r>
        <w:rPr>
          <w:rFonts w:hint="eastAsia" w:ascii="黑体" w:eastAsia="黑体"/>
        </w:rPr>
        <w:tab/>
      </w:r>
      <w:r>
        <w:rPr>
          <w:rFonts w:hint="eastAsia" w:ascii="黑体" w:eastAsia="黑体"/>
        </w:rPr>
        <w:t>附则</w:t>
      </w:r>
    </w:p>
    <w:p>
      <w:pPr>
        <w:pStyle w:val="3"/>
        <w:spacing w:before="214" w:line="364" w:lineRule="auto"/>
        <w:ind w:right="271" w:firstLine="638"/>
        <w:jc w:val="both"/>
      </w:pPr>
      <w:r>
        <w:rPr>
          <w:rFonts w:hint="eastAsia" w:ascii="黑体" w:eastAsia="黑体"/>
          <w:spacing w:val="3"/>
        </w:rPr>
        <w:t xml:space="preserve">第二十八条 </w:t>
      </w:r>
      <w:r>
        <w:rPr>
          <w:rFonts w:hint="eastAsia"/>
          <w:color w:val="000000" w:themeColor="text1"/>
          <w:spacing w:val="-6"/>
          <w14:textFill>
            <w14:solidFill>
              <w14:schemeClr w14:val="tx1"/>
            </w14:solidFill>
          </w14:textFill>
        </w:rPr>
        <w:t>专家评标薪酬</w:t>
      </w:r>
      <w:r>
        <w:rPr>
          <w:spacing w:val="-12"/>
        </w:rPr>
        <w:t>标准由专家库组建人根据实际情况制定，并作为招标人发放评标薪酬的参考。</w:t>
      </w:r>
      <w:bookmarkStart w:id="2" w:name="_GoBack"/>
      <w:bookmarkEnd w:id="2"/>
    </w:p>
    <w:p>
      <w:pPr>
        <w:pStyle w:val="3"/>
        <w:spacing w:before="3" w:line="364" w:lineRule="auto"/>
        <w:ind w:right="271" w:firstLine="638"/>
        <w:jc w:val="both"/>
      </w:pPr>
      <w:r>
        <w:rPr>
          <w:spacing w:val="-11"/>
        </w:rPr>
        <w:t>截至预定评标时间，因部分评标专家迟到或者未到致使其他</w:t>
      </w:r>
      <w:r>
        <w:rPr>
          <w:spacing w:val="-13"/>
          <w:w w:val="95"/>
        </w:rPr>
        <w:t>评标专家候场的，迟到或者未到专家应当承</w:t>
      </w:r>
      <w:r>
        <w:rPr>
          <w:w w:val="95"/>
        </w:rPr>
        <w:t>（均</w:t>
      </w:r>
      <w:r>
        <w:rPr>
          <w:spacing w:val="-39"/>
          <w:w w:val="95"/>
        </w:rPr>
        <w:t>）</w:t>
      </w:r>
      <w:r>
        <w:rPr>
          <w:w w:val="95"/>
        </w:rPr>
        <w:t xml:space="preserve">担候场专家的 </w:t>
      </w:r>
      <w:r>
        <w:t>候场薪酬。</w:t>
      </w:r>
    </w:p>
    <w:p>
      <w:pPr>
        <w:pStyle w:val="3"/>
        <w:spacing w:line="367" w:lineRule="auto"/>
        <w:ind w:right="271" w:firstLine="638"/>
        <w:jc w:val="both"/>
      </w:pPr>
      <w:r>
        <w:rPr>
          <w:position w:val="1"/>
        </w:rPr>
        <w:t>前款所规定的专家候场薪酬按评标薪酬的</w:t>
      </w:r>
      <w:r>
        <w:rPr>
          <w:spacing w:val="-85"/>
          <w:position w:val="1"/>
        </w:rPr>
        <w:t xml:space="preserve"> </w:t>
      </w:r>
      <w:r>
        <w:rPr>
          <w:spacing w:val="4"/>
          <w:position w:val="1"/>
        </w:rPr>
        <w:t>50</w:t>
      </w:r>
      <w:r>
        <w:rPr>
          <w:spacing w:val="8"/>
          <w:w w:val="99"/>
          <w:lang w:val="en-US" w:bidi="ar-SA"/>
        </w:rPr>
        <w:drawing>
          <wp:inline distT="0" distB="0" distL="114300" distR="114300">
            <wp:extent cx="87630" cy="151130"/>
            <wp:effectExtent l="0" t="0" r="762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87630" cy="151130"/>
                    </a:xfrm>
                    <a:prstGeom prst="rect">
                      <a:avLst/>
                    </a:prstGeom>
                    <a:noFill/>
                    <a:ln w="9525">
                      <a:noFill/>
                    </a:ln>
                  </pic:spPr>
                </pic:pic>
              </a:graphicData>
            </a:graphic>
          </wp:inline>
        </w:drawing>
      </w:r>
      <w:r>
        <w:rPr>
          <w:position w:val="1"/>
        </w:rPr>
        <w:t>支付</w:t>
      </w:r>
      <w:r>
        <w:rPr>
          <w:spacing w:val="-34"/>
          <w:position w:val="1"/>
        </w:rPr>
        <w:t>，</w:t>
      </w:r>
      <w:r>
        <w:rPr>
          <w:position w:val="1"/>
        </w:rPr>
        <w:t>从迟到</w:t>
      </w:r>
      <w:r>
        <w:rPr>
          <w:spacing w:val="-8"/>
          <w:w w:val="95"/>
        </w:rPr>
        <w:t xml:space="preserve">专家当次应得评标薪酬中扣除，如有不足，由招标人根据标准进 </w:t>
      </w:r>
      <w:r>
        <w:rPr>
          <w:spacing w:val="-8"/>
        </w:rPr>
        <w:t>行发放。</w:t>
      </w:r>
    </w:p>
    <w:p>
      <w:pPr>
        <w:pStyle w:val="3"/>
        <w:tabs>
          <w:tab w:val="left" w:pos="5170"/>
          <w:tab w:val="left" w:pos="5808"/>
        </w:tabs>
        <w:spacing w:line="405" w:lineRule="exact"/>
        <w:ind w:left="747"/>
      </w:pPr>
      <w:r>
        <w:rPr>
          <w:rFonts w:hint="eastAsia" w:ascii="黑体" w:eastAsia="黑体"/>
        </w:rPr>
        <w:t>第二十九条</w:t>
      </w:r>
      <w:r>
        <w:rPr>
          <w:rFonts w:hint="eastAsia" w:ascii="黑体" w:eastAsia="黑体"/>
          <w:spacing w:val="-1"/>
        </w:rPr>
        <w:t xml:space="preserve"> </w:t>
      </w:r>
      <w:r>
        <w:t>本办法</w:t>
      </w:r>
      <w:r>
        <w:rPr>
          <w:spacing w:val="50"/>
        </w:rPr>
        <w:t>自</w:t>
      </w:r>
      <w:r>
        <w:t>2018</w:t>
      </w:r>
      <w:r>
        <w:rPr>
          <w:spacing w:val="-110"/>
        </w:rPr>
        <w:t xml:space="preserve"> </w:t>
      </w:r>
      <w:r>
        <w:t>年</w:t>
      </w:r>
      <w:r>
        <w:tab/>
      </w:r>
      <w:r>
        <w:t>月</w:t>
      </w:r>
      <w:r>
        <w:tab/>
      </w:r>
      <w:r>
        <w:t>日起施行</w:t>
      </w:r>
      <w:r>
        <w:rPr>
          <w:spacing w:val="-161"/>
        </w:rPr>
        <w:t>，</w:t>
      </w:r>
      <w:r>
        <w:t>有效</w:t>
      </w:r>
      <w:r>
        <w:rPr>
          <w:spacing w:val="53"/>
        </w:rPr>
        <w:t>期</w:t>
      </w:r>
      <w:r>
        <w:t>5</w:t>
      </w:r>
      <w:r>
        <w:rPr>
          <w:spacing w:val="-110"/>
        </w:rPr>
        <w:t xml:space="preserve"> </w:t>
      </w:r>
      <w:r>
        <w:t>年。</w:t>
      </w:r>
    </w:p>
    <w:p>
      <w:pPr>
        <w:pStyle w:val="3"/>
        <w:tabs>
          <w:tab w:val="left" w:pos="5170"/>
          <w:tab w:val="left" w:pos="5808"/>
        </w:tabs>
        <w:spacing w:line="405" w:lineRule="exact"/>
        <w:ind w:left="747"/>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rPr>
          <w:rFonts w:hint="eastAsia"/>
        </w:rPr>
      </w:pPr>
    </w:p>
    <w:p>
      <w:pPr>
        <w:pStyle w:val="3"/>
        <w:tabs>
          <w:tab w:val="left" w:pos="5170"/>
          <w:tab w:val="left" w:pos="5808"/>
        </w:tabs>
        <w:spacing w:line="405" w:lineRule="exact"/>
        <w:ind w:left="0"/>
      </w:pPr>
    </w:p>
    <w:p>
      <w:pPr>
        <w:pStyle w:val="3"/>
        <w:tabs>
          <w:tab w:val="left" w:pos="5170"/>
          <w:tab w:val="left" w:pos="5808"/>
        </w:tabs>
        <w:spacing w:line="405" w:lineRule="exact"/>
        <w:ind w:left="0"/>
      </w:pPr>
    </w:p>
    <w:p>
      <w:pPr>
        <w:pBdr>
          <w:top w:val="single" w:color="auto" w:sz="4" w:space="0"/>
          <w:bottom w:val="single" w:color="auto" w:sz="4" w:space="0"/>
        </w:pBdr>
        <w:snapToGrid w:val="0"/>
        <w:ind w:firstLine="280" w:firstLineChars="100"/>
        <w:rPr>
          <w:rFonts w:ascii="Times New Roman"/>
          <w:sz w:val="17"/>
        </w:rPr>
      </w:pPr>
      <w:bookmarkStart w:id="0" w:name="OLE_LINK1"/>
      <w:bookmarkStart w:id="1" w:name="OLE_LINK2"/>
      <w:r>
        <w:rPr>
          <w:rFonts w:hint="eastAsia" w:ascii="仿宋_GB2312" w:eastAsia="仿宋_GB2312"/>
          <w:sz w:val="28"/>
          <w:szCs w:val="28"/>
        </w:rPr>
        <w:t>深圳市住房和建设局办公室                   2018年7月25日</w:t>
      </w:r>
      <w:bookmarkEnd w:id="0"/>
      <w:bookmarkEnd w:id="1"/>
    </w:p>
    <w:sectPr>
      <w:pgSz w:w="11910" w:h="16840"/>
      <w:pgMar w:top="1580" w:right="1200" w:bottom="1780" w:left="1480" w:header="0" w:footer="16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6192" behindDoc="1" locked="0" layoutInCell="1" allowOverlap="1">
              <wp:simplePos x="0" y="0"/>
              <wp:positionH relativeFrom="page">
                <wp:posOffset>6167120</wp:posOffset>
              </wp:positionH>
              <wp:positionV relativeFrom="page">
                <wp:posOffset>9491980</wp:posOffset>
              </wp:positionV>
              <wp:extent cx="469900" cy="203835"/>
              <wp:effectExtent l="0" t="0" r="0" b="0"/>
              <wp:wrapNone/>
              <wp:docPr id="4" name="文本框 1"/>
              <wp:cNvGraphicFramePr/>
              <a:graphic xmlns:a="http://schemas.openxmlformats.org/drawingml/2006/main">
                <a:graphicData uri="http://schemas.microsoft.com/office/word/2010/wordprocessingShape">
                  <wps:wsp>
                    <wps:cNvSpPr/>
                    <wps:spPr>
                      <a:xfrm>
                        <a:off x="0" y="0"/>
                        <a:ext cx="469900" cy="203835"/>
                      </a:xfrm>
                      <a:prstGeom prst="rect">
                        <a:avLst/>
                      </a:prstGeom>
                      <a:noFill/>
                      <a:ln w="9525">
                        <a:noFill/>
                      </a:ln>
                      <a:effectLst/>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w:t>
                          </w:r>
                          <w:r>
                            <w:fldChar w:fldCharType="end"/>
                          </w:r>
                          <w:r>
                            <w:rPr>
                              <w:sz w:val="28"/>
                            </w:rPr>
                            <w:t xml:space="preserve"> -</w:t>
                          </w:r>
                        </w:p>
                      </w:txbxContent>
                    </wps:txbx>
                    <wps:bodyPr lIns="0" tIns="0" rIns="0" bIns="0" upright="1"/>
                  </wps:wsp>
                </a:graphicData>
              </a:graphic>
            </wp:anchor>
          </w:drawing>
        </mc:Choice>
        <mc:Fallback>
          <w:pict>
            <v:rect id="文本框 1" o:spid="_x0000_s1026" o:spt="1" style="position:absolute;left:0pt;margin-left:485.6pt;margin-top:747.4pt;height:16.05pt;width:37pt;mso-position-horizontal-relative:page;mso-position-vertical-relative:page;z-index:-251660288;mso-width-relative:page;mso-height-relative:page;" filled="f" stroked="f" coordsize="21600,21600" o:gfxdata="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Wofmt0AAAAO&#10;AQAADwAAAAAAAAABACAAAAAiAAAAZHJzL2Rvd25yZXYueG1sUEsBAhQAFAAAAAgAh07iQMZ9H2Wl&#10;AQAAMAMAAA4AAAAAAAAAAQAgAAAALAEAAGRycy9lMm9Eb2MueG1sUEsFBgAAAAAGAAYAWQEAAEMF&#10;AAAA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w:t>
                    </w:r>
                    <w:r>
                      <w:fldChar w:fldCharType="end"/>
                    </w:r>
                    <w:r>
                      <w:rPr>
                        <w:sz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7216" behindDoc="1" locked="0" layoutInCell="1" allowOverlap="1">
              <wp:simplePos x="0" y="0"/>
              <wp:positionH relativeFrom="page">
                <wp:posOffset>995680</wp:posOffset>
              </wp:positionH>
              <wp:positionV relativeFrom="page">
                <wp:posOffset>9491980</wp:posOffset>
              </wp:positionV>
              <wp:extent cx="469900" cy="203835"/>
              <wp:effectExtent l="0" t="0" r="0" b="0"/>
              <wp:wrapNone/>
              <wp:docPr id="3" name="文本框 2"/>
              <wp:cNvGraphicFramePr/>
              <a:graphic xmlns:a="http://schemas.openxmlformats.org/drawingml/2006/main">
                <a:graphicData uri="http://schemas.microsoft.com/office/word/2010/wordprocessingShape">
                  <wps:wsp>
                    <wps:cNvSpPr/>
                    <wps:spPr>
                      <a:xfrm>
                        <a:off x="0" y="0"/>
                        <a:ext cx="469900" cy="203835"/>
                      </a:xfrm>
                      <a:prstGeom prst="rect">
                        <a:avLst/>
                      </a:prstGeom>
                      <a:noFill/>
                      <a:ln w="9525">
                        <a:noFill/>
                      </a:ln>
                      <a:effectLst/>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2</w:t>
                          </w:r>
                          <w:r>
                            <w:fldChar w:fldCharType="end"/>
                          </w:r>
                          <w:r>
                            <w:rPr>
                              <w:sz w:val="28"/>
                            </w:rPr>
                            <w:t xml:space="preserve"> -</w:t>
                          </w:r>
                        </w:p>
                      </w:txbxContent>
                    </wps:txbx>
                    <wps:bodyPr lIns="0" tIns="0" rIns="0" bIns="0" upright="1"/>
                  </wps:wsp>
                </a:graphicData>
              </a:graphic>
            </wp:anchor>
          </w:drawing>
        </mc:Choice>
        <mc:Fallback>
          <w:pict>
            <v:rect id="文本框 2" o:spid="_x0000_s1026" o:spt="1" style="position:absolute;left:0pt;margin-left:78.4pt;margin-top:747.4pt;height:16.05pt;width:37pt;mso-position-horizontal-relative:page;mso-position-vertical-relative:page;z-index:-251659264;mso-width-relative:page;mso-height-relative:page;" filled="f" stroked="f" coordsize="21600,21600" o:gfxdata="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Ayjp9oAAAANAQAA&#10;DwAAAAAAAAABACAAAAAiAAAAZHJzL2Rvd25yZXYueG1sUEsBAhQAFAAAAAgAh07iQHbQ+Y6lAQAA&#10;MAMAAA4AAAAAAAAAAQAgAAAAKQEAAGRycy9lMm9Eb2MueG1sUEsFBgAAAAAGAAYAWQEAAEAFAAAA&#10;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2</w:t>
                    </w:r>
                    <w:r>
                      <w:fldChar w:fldCharType="end"/>
                    </w:r>
                    <w:r>
                      <w:rPr>
                        <w:sz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8240" behindDoc="1" locked="0" layoutInCell="1" allowOverlap="1">
              <wp:simplePos x="0" y="0"/>
              <wp:positionH relativeFrom="page">
                <wp:posOffset>6078220</wp:posOffset>
              </wp:positionH>
              <wp:positionV relativeFrom="page">
                <wp:posOffset>9491980</wp:posOffset>
              </wp:positionV>
              <wp:extent cx="558165" cy="203835"/>
              <wp:effectExtent l="0" t="0" r="0" b="0"/>
              <wp:wrapNone/>
              <wp:docPr id="6" name="文本框 4"/>
              <wp:cNvGraphicFramePr/>
              <a:graphic xmlns:a="http://schemas.openxmlformats.org/drawingml/2006/main">
                <a:graphicData uri="http://schemas.microsoft.com/office/word/2010/wordprocessingShape">
                  <wps:wsp>
                    <wps:cNvSpPr/>
                    <wps:spPr>
                      <a:xfrm>
                        <a:off x="0" y="0"/>
                        <a:ext cx="558165" cy="203835"/>
                      </a:xfrm>
                      <a:prstGeom prst="rect">
                        <a:avLst/>
                      </a:prstGeom>
                      <a:noFill/>
                      <a:ln w="9525">
                        <a:noFill/>
                      </a:ln>
                      <a:effectLst/>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11</w:t>
                          </w:r>
                          <w:r>
                            <w:fldChar w:fldCharType="end"/>
                          </w:r>
                          <w:r>
                            <w:rPr>
                              <w:sz w:val="28"/>
                            </w:rPr>
                            <w:t xml:space="preserve"> -</w:t>
                          </w:r>
                        </w:p>
                      </w:txbxContent>
                    </wps:txbx>
                    <wps:bodyPr lIns="0" tIns="0" rIns="0" bIns="0" upright="1"/>
                  </wps:wsp>
                </a:graphicData>
              </a:graphic>
            </wp:anchor>
          </w:drawing>
        </mc:Choice>
        <mc:Fallback>
          <w:pict>
            <v:rect id="文本框 4" o:spid="_x0000_s1026" o:spt="1" style="position:absolute;left:0pt;margin-left:478.6pt;margin-top:747.4pt;height:16.05pt;width:43.95pt;mso-position-horizontal-relative:page;mso-position-vertical-relative:page;z-index:-251658240;mso-width-relative:page;mso-height-relative:page;" filled="f" stroked="f" coordsize="21600,21600" o:gfxdata="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64X97dAAAA&#10;DgEAAA8AAAAAAAAAAQAgAAAAIgAAAGRycy9kb3ducmV2LnhtbFBLAQIUABQAAAAIAIdO4kApZ144&#10;pgEAADADAAAOAAAAAAAAAAEAIAAAACwBAABkcnMvZTJvRG9jLnhtbFBLBQYAAAAABgAGAFkBAABE&#10;BQAAA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11</w:t>
                    </w:r>
                    <w:r>
                      <w:fldChar w:fldCharType="end"/>
                    </w:r>
                    <w:r>
                      <w:rPr>
                        <w:sz w:val="28"/>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995680</wp:posOffset>
              </wp:positionH>
              <wp:positionV relativeFrom="page">
                <wp:posOffset>9491980</wp:posOffset>
              </wp:positionV>
              <wp:extent cx="558165" cy="203835"/>
              <wp:effectExtent l="0" t="0" r="0" b="0"/>
              <wp:wrapNone/>
              <wp:docPr id="5" name="文本框 3"/>
              <wp:cNvGraphicFramePr/>
              <a:graphic xmlns:a="http://schemas.openxmlformats.org/drawingml/2006/main">
                <a:graphicData uri="http://schemas.microsoft.com/office/word/2010/wordprocessingShape">
                  <wps:wsp>
                    <wps:cNvSpPr/>
                    <wps:spPr>
                      <a:xfrm>
                        <a:off x="0" y="0"/>
                        <a:ext cx="558165" cy="203835"/>
                      </a:xfrm>
                      <a:prstGeom prst="rect">
                        <a:avLst/>
                      </a:prstGeom>
                      <a:noFill/>
                      <a:ln w="9525">
                        <a:noFill/>
                      </a:ln>
                      <a:effectLst/>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10</w:t>
                          </w:r>
                          <w:r>
                            <w:fldChar w:fldCharType="end"/>
                          </w:r>
                          <w:r>
                            <w:rPr>
                              <w:sz w:val="28"/>
                            </w:rPr>
                            <w:t xml:space="preserve"> -</w:t>
                          </w:r>
                        </w:p>
                      </w:txbxContent>
                    </wps:txbx>
                    <wps:bodyPr lIns="0" tIns="0" rIns="0" bIns="0" upright="1"/>
                  </wps:wsp>
                </a:graphicData>
              </a:graphic>
            </wp:anchor>
          </w:drawing>
        </mc:Choice>
        <mc:Fallback>
          <w:pict>
            <v:rect id="文本框 3" o:spid="_x0000_s1026" o:spt="1" style="position:absolute;left:0pt;margin-left:78.4pt;margin-top:747.4pt;height:16.05pt;width:43.95pt;mso-position-horizontal-relative:page;mso-position-vertical-relative:page;z-index:-251657216;mso-width-relative:page;mso-height-relative:page;" filled="f" stroked="f" coordsize="21600,21600" o:gfxdata="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NYtItsAAAANAQAA&#10;DwAAAAAAAAABACAAAAAiAAAAZHJzL2Rvd25yZXYueG1sUEsBAhQAFAAAAAgAh07iQDTtVJSkAQAA&#10;MAMAAA4AAAAAAAAAAQAgAAAAKgEAAGRycy9lMm9Eb2MueG1sUEsFBgAAAAAGAAYAWQEAAEAFAAAA&#10;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10</w:t>
                    </w:r>
                    <w:r>
                      <w:fldChar w:fldCharType="end"/>
                    </w:r>
                    <w:r>
                      <w:rPr>
                        <w:sz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documentProtection w:enforcement="0"/>
  <w:defaultTabStop w:val="720"/>
  <w:evenAndOddHeaders w:val="1"/>
  <w:drawingGridHorizontalSpacing w:val="110"/>
  <w:displayHorizontalDrawingGridEvery w:val="2"/>
  <w:characterSpacingControl w:val="doNotCompress"/>
  <w:hdrShapeDefaults>
    <o:shapelayout v:ext="edit">
      <o:idmap v:ext="edit" data="1"/>
    </o:shapelayout>
  </w:hdrShapeDefault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64"/>
    <w:rsid w:val="003350C2"/>
    <w:rsid w:val="005A4DA7"/>
    <w:rsid w:val="007F1FFA"/>
    <w:rsid w:val="00A7700A"/>
    <w:rsid w:val="00CC3360"/>
    <w:rsid w:val="00CD4C64"/>
    <w:rsid w:val="00CE1389"/>
    <w:rsid w:val="00DE4E92"/>
    <w:rsid w:val="03BC52A1"/>
    <w:rsid w:val="0B313775"/>
    <w:rsid w:val="2A0C1A5F"/>
    <w:rsid w:val="338D656E"/>
    <w:rsid w:val="44254313"/>
    <w:rsid w:val="45825E7B"/>
    <w:rsid w:val="47042150"/>
    <w:rsid w:val="52F43D32"/>
    <w:rsid w:val="61DC1B96"/>
    <w:rsid w:val="6A503293"/>
    <w:rsid w:val="6CB60F02"/>
    <w:rsid w:val="7BF82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001"/>
      <w:outlineLvl w:val="0"/>
    </w:pPr>
    <w:rPr>
      <w:b/>
      <w:bCs/>
      <w:sz w:val="44"/>
      <w:szCs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08"/>
    </w:pPr>
    <w:rPr>
      <w:sz w:val="32"/>
      <w:szCs w:val="32"/>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1"/>
  </w:style>
  <w:style w:type="paragraph" w:customStyle="1" w:styleId="9">
    <w:name w:val="Table Paragraph"/>
    <w:basedOn w:val="1"/>
    <w:qFormat/>
    <w:uiPriority w:val="1"/>
  </w:style>
  <w:style w:type="table" w:customStyle="1" w:styleId="10">
    <w:name w:val="Table Normal"/>
    <w:unhideWhenUsed/>
    <w:qFormat/>
    <w:uiPriority w:val="2"/>
    <w:tblPr>
      <w:tblLayout w:type="fixed"/>
      <w:tblCellMar>
        <w:top w:w="0" w:type="dxa"/>
        <w:left w:w="0" w:type="dxa"/>
        <w:bottom w:w="0" w:type="dxa"/>
        <w:right w:w="0" w:type="dxa"/>
      </w:tblCellMar>
    </w:tblPr>
  </w:style>
  <w:style w:type="character" w:customStyle="1" w:styleId="11">
    <w:name w:val="页眉 Char"/>
    <w:basedOn w:val="6"/>
    <w:link w:val="5"/>
    <w:qFormat/>
    <w:uiPriority w:val="0"/>
    <w:rPr>
      <w:rFonts w:ascii="宋体" w:hAnsi="宋体" w:cs="宋体"/>
      <w:sz w:val="18"/>
      <w:szCs w:val="18"/>
      <w:lang w:val="zh-CN" w:bidi="zh-CN"/>
    </w:rPr>
  </w:style>
  <w:style w:type="character" w:customStyle="1" w:styleId="12">
    <w:name w:val="页脚 Char"/>
    <w:basedOn w:val="6"/>
    <w:link w:val="4"/>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szzjj</Company>
  <Pages>15</Pages>
  <Words>806</Words>
  <Characters>4597</Characters>
  <Lines>38</Lines>
  <Paragraphs>10</Paragraphs>
  <TotalTime>18</TotalTime>
  <ScaleCrop>false</ScaleCrop>
  <LinksUpToDate>false</LinksUpToDate>
  <CharactersWithSpaces>5393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2018-07-23T07:44:00Z</dcterms:created>
  <dc:creator>系统管理员</dc:creator>
  <cp:lastModifiedBy>LINHENG</cp:lastModifiedBy>
  <dcterms:modified xsi:type="dcterms:W3CDTF">2018-10-08T03:17:44Z</dcterms:modified>
  <dc:title>深圳市住房和建设局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WPS Office</vt:lpwstr>
  </property>
  <property fmtid="{D5CDD505-2E9C-101B-9397-08002B2CF9AE}" pid="4" name="LastSaved">
    <vt:filetime>2018-07-23T00:00:00Z</vt:filetime>
  </property>
  <property fmtid="{D5CDD505-2E9C-101B-9397-08002B2CF9AE}" pid="5" name="KSOProductBuildVer">
    <vt:lpwstr>2052-10.1.0.7521</vt:lpwstr>
  </property>
</Properties>
</file>