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ind w:firstLine="0" w:firstLineChars="0"/>
        <w:rPr>
          <w:rFonts w:hint="eastAsia" w:ascii="仿宋_GB2312" w:eastAsia="仿宋_GB2312"/>
          <w:sz w:val="32"/>
          <w:szCs w:val="32"/>
          <w:lang w:val="en-US" w:eastAsia="zh-CN"/>
        </w:rPr>
      </w:pPr>
      <w:bookmarkStart w:id="0" w:name="_GoBack"/>
      <w:bookmarkEnd w:id="0"/>
      <w:r>
        <w:rPr>
          <w:rFonts w:hint="eastAsia" w:ascii="仿宋_GB2312" w:eastAsia="仿宋_GB2312"/>
          <w:sz w:val="32"/>
          <w:szCs w:val="32"/>
        </w:rPr>
        <w:t>附件</w:t>
      </w:r>
      <w:r>
        <w:rPr>
          <w:rFonts w:hint="eastAsia" w:ascii="仿宋_GB2312" w:eastAsia="仿宋_GB2312"/>
          <w:sz w:val="32"/>
          <w:szCs w:val="32"/>
          <w:lang w:val="en-US" w:eastAsia="zh-CN"/>
        </w:rPr>
        <w:t>4</w:t>
      </w:r>
    </w:p>
    <w:p>
      <w:pPr>
        <w:spacing w:before="312" w:beforeLines="100" w:after="312" w:afterLines="100"/>
        <w:ind w:firstLine="0" w:firstLineChars="0"/>
        <w:jc w:val="center"/>
        <w:rPr>
          <w:rFonts w:hint="eastAsia" w:ascii="宋体" w:hAnsi="宋体"/>
          <w:b/>
          <w:bCs/>
          <w:sz w:val="32"/>
          <w:szCs w:val="32"/>
        </w:rPr>
      </w:pPr>
      <w:r>
        <w:rPr>
          <w:rFonts w:hint="eastAsia" w:ascii="宋体" w:hAnsi="宋体"/>
          <w:b/>
          <w:bCs/>
          <w:sz w:val="32"/>
          <w:szCs w:val="32"/>
        </w:rPr>
        <w:t>深圳市物业管理</w:t>
      </w:r>
      <w:r>
        <w:rPr>
          <w:rFonts w:hint="eastAsia" w:ascii="宋体" w:hAnsi="宋体"/>
          <w:b/>
          <w:bCs/>
          <w:sz w:val="32"/>
          <w:szCs w:val="32"/>
          <w:lang w:eastAsia="zh-CN"/>
        </w:rPr>
        <w:t>信息平台</w:t>
      </w:r>
      <w:r>
        <w:rPr>
          <w:rFonts w:hint="eastAsia" w:ascii="宋体" w:hAnsi="宋体"/>
          <w:b/>
          <w:bCs/>
          <w:sz w:val="32"/>
          <w:szCs w:val="32"/>
        </w:rPr>
        <w:t>小区信息公开</w:t>
      </w:r>
      <w:r>
        <w:rPr>
          <w:rFonts w:hint="eastAsia" w:ascii="宋体" w:hAnsi="宋体"/>
          <w:b/>
          <w:bCs/>
          <w:sz w:val="32"/>
          <w:szCs w:val="32"/>
          <w:lang w:eastAsia="zh-CN"/>
        </w:rPr>
        <w:t>子系统</w:t>
      </w:r>
      <w:r>
        <w:rPr>
          <w:rFonts w:hint="eastAsia" w:ascii="宋体" w:hAnsi="宋体"/>
          <w:b/>
          <w:bCs/>
          <w:sz w:val="32"/>
          <w:szCs w:val="32"/>
        </w:rPr>
        <w:t>操作手册</w:t>
      </w:r>
    </w:p>
    <w:p>
      <w:pPr>
        <w:pStyle w:val="2"/>
        <w:ind w:firstLine="562"/>
      </w:pPr>
      <w:r>
        <w:rPr>
          <w:rFonts w:hint="eastAsia"/>
        </w:rPr>
        <w:t>一、</w:t>
      </w:r>
      <w:r>
        <w:rPr>
          <w:rFonts w:hint="eastAsia"/>
          <w:lang w:eastAsia="zh-CN"/>
        </w:rPr>
        <w:t>市住房和建设局</w:t>
      </w:r>
    </w:p>
    <w:p>
      <w:pPr>
        <w:ind w:firstLine="400"/>
      </w:pPr>
      <w:r>
        <w:rPr>
          <w:rFonts w:hint="eastAsia"/>
        </w:rPr>
        <w:t>市住房和建设局角色通过深圳市物业微信公众号进入微信首页，在首页处点击“我的小区”，“物业事项办理”，“信息公开”进入。如图1、图2所示：</w:t>
      </w:r>
    </w:p>
    <w:p>
      <w:pPr>
        <w:ind w:firstLine="0" w:firstLineChars="0"/>
        <w:jc w:val="center"/>
        <w:rPr>
          <w:rFonts w:hint="eastAsia"/>
          <w:sz w:val="28"/>
          <w:szCs w:val="28"/>
        </w:rPr>
      </w:pPr>
      <w:r>
        <w:rPr>
          <w:rFonts w:hint="eastAsia"/>
          <w:sz w:val="28"/>
          <w:szCs w:val="28"/>
        </w:rPr>
        <w:drawing>
          <wp:inline distT="0" distB="0" distL="114300" distR="114300">
            <wp:extent cx="1536700" cy="3328670"/>
            <wp:effectExtent l="0" t="0" r="6350" b="5080"/>
            <wp:docPr id="1" name="图片 1" descr="IMG_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657"/>
                    <pic:cNvPicPr>
                      <a:picLocks noChangeAspect="1"/>
                    </pic:cNvPicPr>
                  </pic:nvPicPr>
                  <pic:blipFill>
                    <a:blip r:embed="rId5"/>
                    <a:stretch>
                      <a:fillRect/>
                    </a:stretch>
                  </pic:blipFill>
                  <pic:spPr>
                    <a:xfrm>
                      <a:off x="0" y="0"/>
                      <a:ext cx="1536700" cy="3328670"/>
                    </a:xfrm>
                    <a:prstGeom prst="rect">
                      <a:avLst/>
                    </a:prstGeom>
                    <a:noFill/>
                    <a:ln w="9525">
                      <a:noFill/>
                    </a:ln>
                  </pic:spPr>
                </pic:pic>
              </a:graphicData>
            </a:graphic>
          </wp:inline>
        </w:drawing>
      </w: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w:t>
      </w:r>
      <w:r>
        <w:rPr>
          <w:rFonts w:hint="eastAsia" w:ascii="Calibri" w:hAnsi="Calibri" w:eastAsia="宋体" w:cs="Times New Roman"/>
          <w:lang w:val="en-US" w:eastAsia="zh-CN" w:bidi="ar-SA"/>
        </w:rPr>
        <w:drawing>
          <wp:inline distT="0" distB="0" distL="114300" distR="114300">
            <wp:extent cx="1536065" cy="3327400"/>
            <wp:effectExtent l="0" t="0" r="6985" b="6350"/>
            <wp:docPr id="2" name="图片 2" descr="IMG_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658"/>
                    <pic:cNvPicPr>
                      <a:picLocks noChangeAspect="1"/>
                    </pic:cNvPicPr>
                  </pic:nvPicPr>
                  <pic:blipFill>
                    <a:blip r:embed="rId6"/>
                    <a:stretch>
                      <a:fillRect/>
                    </a:stretch>
                  </pic:blipFill>
                  <pic:spPr>
                    <a:xfrm>
                      <a:off x="0" y="0"/>
                      <a:ext cx="1536065" cy="3327400"/>
                    </a:xfrm>
                    <a:prstGeom prst="rect">
                      <a:avLst/>
                    </a:prstGeom>
                    <a:noFill/>
                    <a:ln w="9525">
                      <a:noFill/>
                    </a:ln>
                  </pic:spPr>
                </pic:pic>
              </a:graphicData>
            </a:graphic>
          </wp:inline>
        </w:drawing>
      </w:r>
    </w:p>
    <w:p>
      <w:pPr>
        <w:pStyle w:val="3"/>
        <w:rPr>
          <w:rFonts w:hint="eastAsia"/>
        </w:rPr>
      </w:pPr>
      <w:r>
        <w:rPr>
          <w:rFonts w:hint="eastAsia"/>
        </w:rPr>
        <w:t>图1：点击“</w:t>
      </w:r>
      <w:r>
        <w:rPr>
          <w:rFonts w:hint="eastAsia"/>
          <w:lang w:eastAsia="zh-CN"/>
        </w:rPr>
        <w:t>我的小区</w:t>
      </w:r>
      <w:r>
        <w:rPr>
          <w:rFonts w:hint="eastAsia"/>
        </w:rPr>
        <w:t>”-“物业事项办理”  图2：点击“信息公开”</w:t>
      </w:r>
    </w:p>
    <w:p>
      <w:pPr>
        <w:pStyle w:val="2"/>
        <w:ind w:firstLine="562"/>
      </w:pPr>
      <w:r>
        <w:rPr>
          <w:rFonts w:hint="eastAsia"/>
        </w:rPr>
        <w:t>1.1查询信息公开</w:t>
      </w:r>
    </w:p>
    <w:p>
      <w:pPr>
        <w:ind w:firstLine="400"/>
        <w:rPr>
          <w:rFonts w:hint="eastAsia" w:ascii="宋体" w:hAnsi="宋体" w:cs="宋体"/>
        </w:rPr>
      </w:pPr>
      <w:r>
        <w:rPr>
          <w:rFonts w:hint="eastAsia" w:ascii="宋体" w:hAnsi="宋体" w:cs="宋体"/>
        </w:rPr>
        <w:t>在信息公开列表，</w:t>
      </w:r>
      <w:r>
        <w:rPr>
          <w:rFonts w:hint="eastAsia" w:ascii="宋体" w:hAnsi="宋体" w:cs="宋体"/>
          <w:lang w:eastAsia="zh-CN"/>
        </w:rPr>
        <w:t>用户可以</w:t>
      </w:r>
      <w:r>
        <w:rPr>
          <w:rFonts w:hint="eastAsia" w:ascii="宋体" w:hAnsi="宋体" w:cs="宋体"/>
        </w:rPr>
        <w:t>通过输入小区名称、公告标题关键字</w:t>
      </w:r>
      <w:r>
        <w:rPr>
          <w:rFonts w:hint="eastAsia" w:ascii="宋体" w:hAnsi="宋体" w:cs="宋体"/>
          <w:lang w:eastAsia="zh-CN"/>
        </w:rPr>
        <w:t>等</w:t>
      </w:r>
      <w:r>
        <w:rPr>
          <w:rFonts w:hint="eastAsia" w:ascii="宋体" w:hAnsi="宋体" w:cs="宋体"/>
        </w:rPr>
        <w:t>进行查询，也可以通过公告的发布日期进行查询。可以选择查询公告的类型，</w:t>
      </w:r>
      <w:r>
        <w:rPr>
          <w:rFonts w:hint="eastAsia" w:ascii="宋体" w:hAnsi="宋体" w:cs="宋体"/>
          <w:lang w:eastAsia="zh-CN"/>
        </w:rPr>
        <w:t>目前</w:t>
      </w:r>
      <w:r>
        <w:rPr>
          <w:rFonts w:hint="eastAsia" w:ascii="宋体" w:hAnsi="宋体" w:cs="宋体"/>
        </w:rPr>
        <w:t>公告的类型分</w:t>
      </w:r>
      <w:r>
        <w:rPr>
          <w:rFonts w:hint="eastAsia" w:ascii="宋体" w:hAnsi="宋体" w:cs="宋体"/>
          <w:lang w:eastAsia="zh-CN"/>
        </w:rPr>
        <w:t>为</w:t>
      </w:r>
      <w:r>
        <w:rPr>
          <w:rFonts w:hint="eastAsia" w:ascii="宋体" w:hAnsi="宋体" w:cs="宋体"/>
        </w:rPr>
        <w:t>信息公开</w:t>
      </w:r>
      <w:r>
        <w:rPr>
          <w:rFonts w:hint="eastAsia" w:ascii="宋体" w:hAnsi="宋体" w:cs="宋体"/>
          <w:lang w:eastAsia="zh-CN"/>
        </w:rPr>
        <w:t>和</w:t>
      </w:r>
      <w:r>
        <w:rPr>
          <w:rFonts w:hint="eastAsia" w:ascii="宋体" w:hAnsi="宋体" w:cs="宋体"/>
        </w:rPr>
        <w:t>大额资金转账，选择完查询条件后，点击查询按钮完成查询，如图3所示：</w:t>
      </w:r>
    </w:p>
    <w:p>
      <w:pPr>
        <w:ind w:left="-132" w:leftChars="-66" w:firstLine="300" w:firstLineChars="150"/>
        <w:jc w:val="center"/>
        <w:rPr>
          <w:rFonts w:hint="eastAsia"/>
          <w:sz w:val="28"/>
          <w:szCs w:val="28"/>
        </w:rPr>
      </w:pPr>
      <w:r>
        <w:rPr>
          <w:rFonts w:ascii="Calibri" w:hAnsi="Calibri" w:eastAsia="宋体" w:cs="Times New Roman"/>
          <w:lang w:val="en-US" w:eastAsia="zh-CN" w:bidi="ar-SA"/>
        </w:rPr>
        <w:drawing>
          <wp:inline distT="0" distB="0" distL="114300" distR="114300">
            <wp:extent cx="1892300" cy="3336925"/>
            <wp:effectExtent l="0" t="0" r="1270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lum/>
                    </a:blip>
                    <a:stretch>
                      <a:fillRect/>
                    </a:stretch>
                  </pic:blipFill>
                  <pic:spPr>
                    <a:xfrm>
                      <a:off x="0" y="0"/>
                      <a:ext cx="1892300" cy="3336925"/>
                    </a:xfrm>
                    <a:prstGeom prst="rect">
                      <a:avLst/>
                    </a:prstGeom>
                    <a:noFill/>
                    <a:ln w="9525">
                      <a:noFill/>
                    </a:ln>
                  </pic:spPr>
                </pic:pic>
              </a:graphicData>
            </a:graphic>
          </wp:inline>
        </w:drawing>
      </w:r>
    </w:p>
    <w:p>
      <w:pPr>
        <w:pStyle w:val="3"/>
      </w:pPr>
      <w:r>
        <w:rPr>
          <w:rFonts w:hint="eastAsia"/>
        </w:rPr>
        <w:t>图3：查询信息公开</w:t>
      </w:r>
    </w:p>
    <w:p>
      <w:pPr>
        <w:pStyle w:val="2"/>
        <w:ind w:firstLine="562"/>
      </w:pPr>
      <w:r>
        <w:rPr>
          <w:rFonts w:hint="eastAsia"/>
        </w:rPr>
        <w:t>1.2查看信息公开内容</w:t>
      </w:r>
    </w:p>
    <w:p>
      <w:pPr>
        <w:ind w:firstLine="400"/>
      </w:pPr>
      <w:r>
        <w:rPr>
          <w:rFonts w:hint="eastAsia"/>
        </w:rPr>
        <w:t>市住房和建设局角色</w:t>
      </w:r>
      <w:r>
        <w:rPr>
          <w:rFonts w:hint="eastAsia"/>
          <w:lang w:eastAsia="zh-CN"/>
        </w:rPr>
        <w:t>可</w:t>
      </w:r>
      <w:r>
        <w:rPr>
          <w:rFonts w:hint="eastAsia"/>
        </w:rPr>
        <w:t>在信息公开列表页面选择需要查看的公告类型，再点击相应公告查看公告详情，如图4、图5：</w:t>
      </w:r>
    </w:p>
    <w:p>
      <w:pPr>
        <w:ind w:left="-132" w:leftChars="-66" w:firstLine="800" w:firstLineChars="400"/>
        <w:rPr>
          <w:rFonts w:hint="eastAsia"/>
          <w:sz w:val="28"/>
          <w:szCs w:val="28"/>
        </w:rPr>
      </w:pPr>
      <w:r>
        <w:rPr>
          <w:rFonts w:ascii="Calibri" w:hAnsi="Calibri" w:eastAsia="宋体" w:cs="Times New Roman"/>
          <w:lang w:val="en-US" w:eastAsia="zh-CN" w:bidi="ar-SA"/>
        </w:rPr>
        <w:drawing>
          <wp:inline distT="0" distB="0" distL="114300" distR="114300">
            <wp:extent cx="1416050" cy="2458085"/>
            <wp:effectExtent l="0" t="0" r="1270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lum/>
                    </a:blip>
                    <a:stretch>
                      <a:fillRect/>
                    </a:stretch>
                  </pic:blipFill>
                  <pic:spPr>
                    <a:xfrm>
                      <a:off x="0" y="0"/>
                      <a:ext cx="1416050" cy="2458085"/>
                    </a:xfrm>
                    <a:prstGeom prst="rect">
                      <a:avLst/>
                    </a:prstGeom>
                    <a:noFill/>
                    <a:ln w="9525">
                      <a:noFill/>
                    </a:ln>
                  </pic:spPr>
                </pic:pic>
              </a:graphicData>
            </a:graphic>
          </wp:inline>
        </w:drawing>
      </w:r>
      <w:r>
        <w:rPr>
          <w:rFonts w:hint="eastAsia"/>
          <w:sz w:val="28"/>
          <w:szCs w:val="28"/>
        </w:rPr>
        <w:t xml:space="preserve">          </w:t>
      </w:r>
      <w:r>
        <w:rPr>
          <w:rFonts w:ascii="Calibri" w:hAnsi="Calibri" w:eastAsia="宋体" w:cs="Times New Roman"/>
          <w:lang w:val="en-US" w:eastAsia="zh-CN" w:bidi="ar-SA"/>
        </w:rPr>
        <w:drawing>
          <wp:inline distT="0" distB="0" distL="114300" distR="114300">
            <wp:extent cx="1741805" cy="2503170"/>
            <wp:effectExtent l="0" t="0" r="1079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lum/>
                    </a:blip>
                    <a:stretch>
                      <a:fillRect/>
                    </a:stretch>
                  </pic:blipFill>
                  <pic:spPr>
                    <a:xfrm>
                      <a:off x="0" y="0"/>
                      <a:ext cx="1741805" cy="2503170"/>
                    </a:xfrm>
                    <a:prstGeom prst="rect">
                      <a:avLst/>
                    </a:prstGeom>
                    <a:noFill/>
                    <a:ln w="9525">
                      <a:noFill/>
                    </a:ln>
                  </pic:spPr>
                </pic:pic>
              </a:graphicData>
            </a:graphic>
          </wp:inline>
        </w:drawing>
      </w:r>
    </w:p>
    <w:p>
      <w:pPr>
        <w:pStyle w:val="3"/>
        <w:rPr>
          <w:rFonts w:hint="eastAsia"/>
        </w:rPr>
      </w:pPr>
      <w:r>
        <w:rPr>
          <w:rFonts w:hint="eastAsia"/>
        </w:rPr>
        <w:t>图4： 选择公告               图5：查看公告详情</w:t>
      </w:r>
    </w:p>
    <w:p>
      <w:pPr>
        <w:pStyle w:val="2"/>
        <w:ind w:firstLine="562"/>
      </w:pPr>
      <w:r>
        <w:rPr>
          <w:rFonts w:hint="eastAsia"/>
        </w:rPr>
        <w:t>1.3查看各区域公告发布情况</w:t>
      </w:r>
    </w:p>
    <w:p>
      <w:pPr>
        <w:spacing w:line="360" w:lineRule="auto"/>
        <w:ind w:firstLine="400"/>
        <w:jc w:val="both"/>
      </w:pPr>
      <w:r>
        <w:rPr>
          <w:rFonts w:hint="eastAsia"/>
        </w:rPr>
        <w:t>在信息公开列表页面会显示各行政区域下物业项目的公告应发实发统计（目前统计只统计了每月公示/每季度公示/每年公示的公示项），如图6；可从行政区域逐级穿透到街道办、社区，图7即为社区下物业区域列表，点击物业项目即可查看相应小区的应实发统计，如图8。</w:t>
      </w:r>
    </w:p>
    <w:p>
      <w:pPr>
        <w:spacing w:line="360" w:lineRule="auto"/>
        <w:ind w:firstLine="0" w:firstLineChars="0"/>
        <w:jc w:val="center"/>
      </w:pPr>
      <w:r>
        <w:rPr>
          <w:rFonts w:ascii="Calibri" w:hAnsi="Calibri" w:eastAsia="宋体" w:cs="Times New Roman"/>
          <w:lang w:val="en-US" w:eastAsia="zh-CN" w:bidi="ar-SA"/>
        </w:rPr>
        <w:drawing>
          <wp:inline distT="0" distB="0" distL="114300" distR="114300">
            <wp:extent cx="2228215" cy="39624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lum/>
                    </a:blip>
                    <a:stretch>
                      <a:fillRect/>
                    </a:stretch>
                  </pic:blipFill>
                  <pic:spPr>
                    <a:xfrm>
                      <a:off x="0" y="0"/>
                      <a:ext cx="2228215" cy="3962400"/>
                    </a:xfrm>
                    <a:prstGeom prst="rect">
                      <a:avLst/>
                    </a:prstGeom>
                    <a:noFill/>
                    <a:ln w="9525">
                      <a:noFill/>
                    </a:ln>
                  </pic:spPr>
                </pic:pic>
              </a:graphicData>
            </a:graphic>
          </wp:inline>
        </w:drawing>
      </w:r>
      <w:r>
        <w:rPr>
          <w:rFonts w:hint="eastAsia"/>
        </w:rPr>
        <w:t xml:space="preserve">         </w:t>
      </w:r>
      <w:r>
        <w:rPr>
          <w:rFonts w:ascii="Calibri" w:hAnsi="Calibri" w:eastAsia="宋体" w:cs="Times New Roman"/>
          <w:lang w:val="en-US" w:eastAsia="zh-CN" w:bidi="ar-SA"/>
        </w:rPr>
        <w:drawing>
          <wp:inline distT="0" distB="0" distL="114300" distR="114300">
            <wp:extent cx="2228215" cy="3961765"/>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lum/>
                    </a:blip>
                    <a:stretch>
                      <a:fillRect/>
                    </a:stretch>
                  </pic:blipFill>
                  <pic:spPr>
                    <a:xfrm>
                      <a:off x="0" y="0"/>
                      <a:ext cx="2228215" cy="3961765"/>
                    </a:xfrm>
                    <a:prstGeom prst="rect">
                      <a:avLst/>
                    </a:prstGeom>
                    <a:noFill/>
                    <a:ln w="9525">
                      <a:noFill/>
                    </a:ln>
                  </pic:spPr>
                </pic:pic>
              </a:graphicData>
            </a:graphic>
          </wp:inline>
        </w:drawing>
      </w:r>
    </w:p>
    <w:p>
      <w:pPr>
        <w:pStyle w:val="3"/>
        <w:rPr>
          <w:rFonts w:hint="eastAsia"/>
        </w:rPr>
      </w:pPr>
      <w:r>
        <w:rPr>
          <w:rFonts w:hint="eastAsia"/>
        </w:rPr>
        <w:t>图6：行政区域应实发统计</w:t>
      </w:r>
      <w:r>
        <w:rPr>
          <w:rFonts w:hint="eastAsia"/>
        </w:rPr>
        <w:tab/>
      </w:r>
      <w:r>
        <w:rPr>
          <w:rFonts w:hint="eastAsia"/>
        </w:rPr>
        <w:tab/>
      </w:r>
      <w:r>
        <w:rPr>
          <w:rFonts w:hint="eastAsia"/>
        </w:rPr>
        <w:tab/>
      </w:r>
      <w:r>
        <w:rPr>
          <w:rFonts w:hint="eastAsia"/>
        </w:rPr>
        <w:t>图7：社区下物业项目统计</w:t>
      </w:r>
    </w:p>
    <w:p>
      <w:pPr>
        <w:spacing w:line="360" w:lineRule="auto"/>
        <w:ind w:firstLine="0" w:firstLineChars="0"/>
        <w:jc w:val="center"/>
      </w:pPr>
      <w:r>
        <w:rPr>
          <w:rFonts w:ascii="Calibri" w:hAnsi="Calibri" w:eastAsia="宋体" w:cs="Times New Roman"/>
          <w:lang w:val="en-US" w:eastAsia="zh-CN" w:bidi="ar-SA"/>
        </w:rPr>
        <w:drawing>
          <wp:inline distT="0" distB="0" distL="114300" distR="114300">
            <wp:extent cx="2227580" cy="3961765"/>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lum/>
                    </a:blip>
                    <a:stretch>
                      <a:fillRect/>
                    </a:stretch>
                  </pic:blipFill>
                  <pic:spPr>
                    <a:xfrm>
                      <a:off x="0" y="0"/>
                      <a:ext cx="2227580" cy="3961765"/>
                    </a:xfrm>
                    <a:prstGeom prst="rect">
                      <a:avLst/>
                    </a:prstGeom>
                    <a:noFill/>
                    <a:ln w="9525">
                      <a:noFill/>
                    </a:ln>
                  </pic:spPr>
                </pic:pic>
              </a:graphicData>
            </a:graphic>
          </wp:inline>
        </w:drawing>
      </w:r>
    </w:p>
    <w:p>
      <w:pPr>
        <w:pStyle w:val="3"/>
        <w:rPr>
          <w:rFonts w:hint="eastAsia"/>
        </w:rPr>
      </w:pPr>
      <w:r>
        <w:rPr>
          <w:rFonts w:hint="eastAsia"/>
        </w:rPr>
        <w:t>图8：物业项目需要发送公示统计</w:t>
      </w:r>
    </w:p>
    <w:p>
      <w:pPr>
        <w:pStyle w:val="2"/>
        <w:ind w:firstLine="0" w:firstLineChars="0"/>
        <w:rPr>
          <w:rFonts w:hint="eastAsia"/>
          <w:bCs/>
          <w:kern w:val="44"/>
          <w:sz w:val="32"/>
          <w:szCs w:val="32"/>
        </w:rPr>
      </w:pPr>
      <w:r>
        <w:rPr>
          <w:rFonts w:hint="eastAsia"/>
          <w:bCs/>
          <w:kern w:val="44"/>
          <w:sz w:val="32"/>
          <w:szCs w:val="32"/>
        </w:rPr>
        <w:t>二、</w:t>
      </w:r>
      <w:r>
        <w:rPr>
          <w:rFonts w:hint="eastAsia"/>
          <w:bCs/>
          <w:kern w:val="44"/>
          <w:sz w:val="32"/>
          <w:szCs w:val="32"/>
          <w:lang w:eastAsia="zh-CN"/>
        </w:rPr>
        <w:t>区</w:t>
      </w:r>
      <w:r>
        <w:rPr>
          <w:rFonts w:hint="eastAsia"/>
          <w:bCs/>
          <w:kern w:val="44"/>
          <w:sz w:val="32"/>
          <w:szCs w:val="32"/>
        </w:rPr>
        <w:t>住房和建设局</w:t>
      </w:r>
    </w:p>
    <w:p>
      <w:pPr>
        <w:pStyle w:val="2"/>
        <w:ind w:firstLine="562" w:firstLineChars="200"/>
        <w:rPr>
          <w:rFonts w:hint="eastAsia"/>
        </w:rPr>
      </w:pPr>
      <w:r>
        <w:rPr>
          <w:rFonts w:hint="eastAsia"/>
        </w:rPr>
        <w:t>2.1查询信息公开</w:t>
      </w:r>
    </w:p>
    <w:p>
      <w:pPr>
        <w:ind w:firstLine="400"/>
        <w:rPr>
          <w:rFonts w:hint="eastAsia"/>
        </w:rPr>
      </w:pPr>
      <w:r>
        <w:rPr>
          <w:rFonts w:hint="eastAsia"/>
        </w:rPr>
        <w:t>在信息公开列表，通过输入小区名称、公告标题关键字进行查询，也可以通过公告的发布日期进行查询。可以选择查询公告的类型，公告的类型分两种，一种是信息公开，另外一种是大额资金转账，选择完查询条件后，点击查询按钮完成查询，如图3所示。</w:t>
      </w:r>
    </w:p>
    <w:p>
      <w:pPr>
        <w:pStyle w:val="2"/>
        <w:ind w:firstLine="562"/>
        <w:rPr>
          <w:rFonts w:hint="eastAsia"/>
        </w:rPr>
      </w:pPr>
      <w:r>
        <w:rPr>
          <w:rFonts w:hint="eastAsia"/>
        </w:rPr>
        <w:t>2.2查看信息公开内容</w:t>
      </w:r>
    </w:p>
    <w:p>
      <w:pPr>
        <w:ind w:firstLine="400"/>
        <w:rPr>
          <w:rFonts w:hint="eastAsia"/>
        </w:rPr>
      </w:pPr>
      <w:r>
        <w:rPr>
          <w:rFonts w:hint="eastAsia"/>
        </w:rPr>
        <w:t>在信息公开列表页面选择需要查看的公告类型，再点击相应公告查看公告详情，如图4、图5：</w:t>
      </w:r>
    </w:p>
    <w:p>
      <w:pPr>
        <w:pStyle w:val="2"/>
        <w:ind w:firstLine="562"/>
        <w:rPr>
          <w:rFonts w:hint="eastAsia"/>
        </w:rPr>
      </w:pPr>
      <w:r>
        <w:rPr>
          <w:rFonts w:hint="eastAsia"/>
        </w:rPr>
        <w:t>2.3查看各区域公告发布情况</w:t>
      </w:r>
    </w:p>
    <w:p>
      <w:pPr>
        <w:ind w:firstLine="400"/>
        <w:rPr>
          <w:rFonts w:hint="eastAsia"/>
        </w:rPr>
      </w:pPr>
      <w:r>
        <w:rPr>
          <w:rFonts w:hint="eastAsia"/>
        </w:rPr>
        <w:t>在信息公开列表页面会显示各行政区域下物业项目的公告应发实发统计（目前统计只统计了每月公示/每季度公示/每年公示的公示项），如图6；可从行政区域逐级穿透到街道办、社区，图7即为社区下物业区域列表，点击物业项目即可查看相应小区的应实发统计，如图9。</w:t>
      </w:r>
    </w:p>
    <w:p>
      <w:pPr>
        <w:spacing w:line="360" w:lineRule="auto"/>
        <w:ind w:firstLine="0" w:firstLineChars="0"/>
        <w:jc w:val="center"/>
      </w:pPr>
      <w:r>
        <w:rPr>
          <w:rFonts w:ascii="Calibri" w:hAnsi="Calibri" w:eastAsia="宋体" w:cs="Times New Roman"/>
          <w:lang w:val="en-US" w:eastAsia="zh-CN" w:bidi="ar-SA"/>
        </w:rPr>
        <w:drawing>
          <wp:inline distT="0" distB="0" distL="114300" distR="114300">
            <wp:extent cx="1896110" cy="3373120"/>
            <wp:effectExtent l="0" t="0" r="889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lum/>
                    </a:blip>
                    <a:stretch>
                      <a:fillRect/>
                    </a:stretch>
                  </pic:blipFill>
                  <pic:spPr>
                    <a:xfrm>
                      <a:off x="0" y="0"/>
                      <a:ext cx="1896110" cy="3373120"/>
                    </a:xfrm>
                    <a:prstGeom prst="rect">
                      <a:avLst/>
                    </a:prstGeom>
                    <a:noFill/>
                    <a:ln w="9525">
                      <a:noFill/>
                    </a:ln>
                  </pic:spPr>
                </pic:pic>
              </a:graphicData>
            </a:graphic>
          </wp:inline>
        </w:drawing>
      </w:r>
    </w:p>
    <w:p>
      <w:pPr>
        <w:pStyle w:val="3"/>
        <w:rPr>
          <w:rFonts w:hint="eastAsia"/>
        </w:rPr>
      </w:pPr>
      <w:r>
        <w:rPr>
          <w:rFonts w:hint="eastAsia"/>
        </w:rPr>
        <w:t>图9：物业项目需要发送公示统计</w:t>
      </w:r>
    </w:p>
    <w:p>
      <w:pPr>
        <w:pStyle w:val="2"/>
        <w:ind w:firstLine="562"/>
        <w:rPr>
          <w:rFonts w:hint="eastAsia"/>
        </w:rPr>
      </w:pPr>
      <w:r>
        <w:rPr>
          <w:rFonts w:hint="eastAsia"/>
        </w:rPr>
        <w:t>2.4发送催办消息</w:t>
      </w:r>
    </w:p>
    <w:p>
      <w:pPr>
        <w:ind w:firstLine="400"/>
      </w:pPr>
      <w:r>
        <w:rPr>
          <w:rFonts w:hint="eastAsia"/>
        </w:rPr>
        <w:t>在图9中发现部分物业项目未按时在物业小区内完成公告的公开，区级监管部门可以点击右侧的通知，对相应项目经理发送催办消息，督促他们完成公示项公开；发送人可自行编辑通知文本；通知类型分为三种，分别为催办通知，整改通知和处罚通知，催办通知指未按时发布公示信息，对其进行催办发布的通知消息；整改通知指超过公示发布期限后发送的通知；处罚通知指上诉两种通知发布后，接收人依旧不进行公示项公示，对其发送的处罚通知。</w:t>
      </w:r>
    </w:p>
    <w:p>
      <w:pPr>
        <w:ind w:firstLine="0" w:firstLineChars="0"/>
        <w:jc w:val="center"/>
      </w:pPr>
      <w:r>
        <w:rPr>
          <w:rFonts w:ascii="Calibri" w:hAnsi="Calibri" w:eastAsia="宋体" w:cs="Times New Roman"/>
          <w:lang w:val="en-US" w:eastAsia="zh-CN" w:bidi="ar-SA"/>
        </w:rPr>
        <w:drawing>
          <wp:inline distT="0" distB="0" distL="114300" distR="114300">
            <wp:extent cx="2226945" cy="3960495"/>
            <wp:effectExtent l="0" t="0" r="190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lum/>
                    </a:blip>
                    <a:stretch>
                      <a:fillRect/>
                    </a:stretch>
                  </pic:blipFill>
                  <pic:spPr>
                    <a:xfrm>
                      <a:off x="0" y="0"/>
                      <a:ext cx="2226945" cy="3960495"/>
                    </a:xfrm>
                    <a:prstGeom prst="rect">
                      <a:avLst/>
                    </a:prstGeom>
                    <a:noFill/>
                    <a:ln w="9525">
                      <a:noFill/>
                    </a:ln>
                  </pic:spPr>
                </pic:pic>
              </a:graphicData>
            </a:graphic>
          </wp:inline>
        </w:drawing>
      </w:r>
    </w:p>
    <w:p>
      <w:pPr>
        <w:pStyle w:val="3"/>
      </w:pPr>
      <w:r>
        <w:rPr>
          <w:rFonts w:hint="eastAsia"/>
        </w:rPr>
        <w:t>图10：催办通知</w:t>
      </w:r>
    </w:p>
    <w:p>
      <w:pPr>
        <w:pStyle w:val="2"/>
        <w:ind w:firstLine="562"/>
      </w:pPr>
      <w:r>
        <w:rPr>
          <w:rFonts w:hint="eastAsia"/>
        </w:rPr>
        <w:t>三、街道办事处</w:t>
      </w:r>
    </w:p>
    <w:p>
      <w:pPr>
        <w:pStyle w:val="2"/>
        <w:ind w:firstLine="562"/>
        <w:rPr>
          <w:rFonts w:hint="eastAsia"/>
        </w:rPr>
      </w:pPr>
      <w:r>
        <w:rPr>
          <w:rFonts w:hint="eastAsia"/>
        </w:rPr>
        <w:t>3.1查询信息公开</w:t>
      </w:r>
    </w:p>
    <w:p>
      <w:pPr>
        <w:ind w:firstLine="400"/>
      </w:pPr>
      <w:r>
        <w:rPr>
          <w:rFonts w:hint="eastAsia"/>
        </w:rPr>
        <w:t xml:space="preserve">    在物业事项办理页面点击“信息公开”进入信息公开列表，通过输入小区名称、公告标题关键字进行查询，也可以通过公告的发布日期进行查询。可以选择查询公告的类型，公告的类型两种，一种是信息公开，另外一种是大额资金转账，选择完查询条件后，点击查询按钮完成查询，如图3所示。</w:t>
      </w:r>
    </w:p>
    <w:p>
      <w:pPr>
        <w:pStyle w:val="2"/>
        <w:ind w:firstLine="562"/>
        <w:rPr>
          <w:rFonts w:hint="eastAsia"/>
        </w:rPr>
      </w:pPr>
      <w:r>
        <w:rPr>
          <w:rFonts w:hint="eastAsia"/>
        </w:rPr>
        <w:t>3.2发布信息公开</w:t>
      </w:r>
    </w:p>
    <w:p>
      <w:pPr>
        <w:ind w:firstLine="400"/>
      </w:pPr>
      <w:r>
        <w:rPr>
          <w:rFonts w:hint="eastAsia"/>
        </w:rPr>
        <w:t>在首页处点击“信息公开”进入信息公开列表后，点击“发布信息公开”进入发布信息公开页面，如图11所示：</w:t>
      </w:r>
    </w:p>
    <w:p>
      <w:pPr>
        <w:pStyle w:val="17"/>
        <w:ind w:firstLine="0" w:firstLineChars="0"/>
        <w:jc w:val="center"/>
      </w:pPr>
      <w:r>
        <w:rPr>
          <w:rFonts w:ascii="Calibri" w:hAnsi="Calibri" w:eastAsia="宋体" w:cs="Times New Roman"/>
          <w:kern w:val="2"/>
          <w:sz w:val="21"/>
          <w:szCs w:val="24"/>
          <w:lang w:val="en-US" w:eastAsia="zh-CN" w:bidi="ar-SA"/>
        </w:rPr>
        <w:drawing>
          <wp:inline distT="0" distB="0" distL="114300" distR="114300">
            <wp:extent cx="1909445" cy="2712085"/>
            <wp:effectExtent l="0" t="0" r="1460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lum/>
                    </a:blip>
                    <a:stretch>
                      <a:fillRect/>
                    </a:stretch>
                  </pic:blipFill>
                  <pic:spPr>
                    <a:xfrm>
                      <a:off x="0" y="0"/>
                      <a:ext cx="1909445" cy="2712085"/>
                    </a:xfrm>
                    <a:prstGeom prst="rect">
                      <a:avLst/>
                    </a:prstGeom>
                    <a:noFill/>
                    <a:ln w="9525">
                      <a:noFill/>
                    </a:ln>
                  </pic:spPr>
                </pic:pic>
              </a:graphicData>
            </a:graphic>
          </wp:inline>
        </w:drawing>
      </w:r>
    </w:p>
    <w:p>
      <w:pPr>
        <w:pStyle w:val="3"/>
        <w:rPr>
          <w:rFonts w:hint="eastAsia"/>
        </w:rPr>
      </w:pPr>
      <w:r>
        <w:rPr>
          <w:rFonts w:hint="eastAsia"/>
        </w:rPr>
        <w:t>图11：点击“发布信息公开”按钮</w:t>
      </w:r>
    </w:p>
    <w:p>
      <w:pPr>
        <w:ind w:firstLine="400"/>
      </w:pPr>
      <w:r>
        <w:rPr>
          <w:rFonts w:hint="eastAsia"/>
        </w:rPr>
        <w:t>在发布信息公开页面下，选择要发布的公告模板，填入公告内容，点击“发布按钮”完成发布信息公开。如图12所示：</w:t>
      </w:r>
    </w:p>
    <w:p>
      <w:pPr>
        <w:pStyle w:val="17"/>
        <w:ind w:firstLine="0" w:firstLineChars="0"/>
        <w:jc w:val="center"/>
        <w:rPr>
          <w:sz w:val="28"/>
          <w:szCs w:val="28"/>
        </w:rPr>
      </w:pPr>
      <w:r>
        <w:rPr>
          <w:rFonts w:ascii="Calibri" w:hAnsi="Calibri" w:eastAsia="宋体" w:cs="Times New Roman"/>
          <w:kern w:val="2"/>
          <w:sz w:val="21"/>
          <w:szCs w:val="24"/>
          <w:lang w:val="en-US" w:eastAsia="zh-CN" w:bidi="ar-SA"/>
        </w:rPr>
        <w:drawing>
          <wp:inline distT="0" distB="0" distL="114300" distR="114300">
            <wp:extent cx="1796415" cy="3079115"/>
            <wp:effectExtent l="0" t="0" r="1333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lum/>
                    </a:blip>
                    <a:stretch>
                      <a:fillRect/>
                    </a:stretch>
                  </pic:blipFill>
                  <pic:spPr>
                    <a:xfrm>
                      <a:off x="0" y="0"/>
                      <a:ext cx="1796415" cy="3079115"/>
                    </a:xfrm>
                    <a:prstGeom prst="rect">
                      <a:avLst/>
                    </a:prstGeom>
                    <a:noFill/>
                    <a:ln w="9525">
                      <a:noFill/>
                    </a:ln>
                  </pic:spPr>
                </pic:pic>
              </a:graphicData>
            </a:graphic>
          </wp:inline>
        </w:drawing>
      </w:r>
    </w:p>
    <w:p>
      <w:pPr>
        <w:pStyle w:val="3"/>
      </w:pPr>
      <w:r>
        <w:rPr>
          <w:rFonts w:hint="eastAsia"/>
        </w:rPr>
        <w:t>图12：发布公告</w:t>
      </w:r>
    </w:p>
    <w:p>
      <w:pPr>
        <w:pStyle w:val="2"/>
        <w:ind w:firstLine="562"/>
        <w:rPr>
          <w:rFonts w:hint="eastAsia"/>
        </w:rPr>
      </w:pPr>
      <w:r>
        <w:rPr>
          <w:rFonts w:hint="eastAsia"/>
        </w:rPr>
        <w:t>3.3查看信息公开内容</w:t>
      </w:r>
    </w:p>
    <w:p>
      <w:pPr>
        <w:ind w:firstLine="400"/>
        <w:rPr>
          <w:rFonts w:hint="eastAsia"/>
        </w:rPr>
      </w:pPr>
      <w:r>
        <w:rPr>
          <w:rFonts w:hint="eastAsia"/>
        </w:rPr>
        <w:t>在信息公开列表页面选择需要查看的公告类型，再点击公告查看公告内容，如图4、图5。</w:t>
      </w:r>
    </w:p>
    <w:p>
      <w:pPr>
        <w:ind w:firstLine="400"/>
        <w:rPr>
          <w:rFonts w:hint="eastAsia"/>
        </w:rPr>
      </w:pPr>
      <w:r>
        <w:rPr>
          <w:rFonts w:hint="eastAsia"/>
        </w:rPr>
        <w:t>街道办只能看到自己管辖区域内的公告。</w:t>
      </w:r>
    </w:p>
    <w:p>
      <w:pPr>
        <w:pStyle w:val="2"/>
        <w:ind w:firstLine="562"/>
      </w:pPr>
      <w:r>
        <w:rPr>
          <w:rFonts w:hint="eastAsia"/>
        </w:rPr>
        <w:t>四、业主委员会</w:t>
      </w:r>
    </w:p>
    <w:p>
      <w:pPr>
        <w:ind w:firstLine="400"/>
      </w:pPr>
      <w:r>
        <w:rPr>
          <w:rFonts w:hint="eastAsia"/>
        </w:rPr>
        <w:t>业委会通过深圳市物业微信公众号进入微信首页，在首页处点击“业务办理”，“物业事项办理”，“信息公开”进入。如图1、图2所示。</w:t>
      </w:r>
    </w:p>
    <w:p>
      <w:pPr>
        <w:pStyle w:val="2"/>
        <w:ind w:firstLine="562"/>
      </w:pPr>
      <w:r>
        <w:rPr>
          <w:rFonts w:hint="eastAsia"/>
        </w:rPr>
        <w:t>4.1查询信息公开</w:t>
      </w:r>
    </w:p>
    <w:p>
      <w:pPr>
        <w:ind w:firstLine="400"/>
      </w:pPr>
      <w:r>
        <w:rPr>
          <w:rFonts w:hint="eastAsia"/>
        </w:rPr>
        <w:t>在物业事项办理页面点击“信息公开”进入信息公开列表，通过输入小区名称、公告标题关键字进行查询，也可以通过公告的发布日期进行查询。可以选择查询公告的类型，公告的类型两种，一种是信息公开，另外一种是大额资金转账，选择完查询条件后，点击查询按钮完成查询，如图3所示。</w:t>
      </w:r>
    </w:p>
    <w:p>
      <w:pPr>
        <w:pStyle w:val="2"/>
        <w:ind w:firstLine="562"/>
      </w:pPr>
      <w:r>
        <w:rPr>
          <w:rFonts w:hint="eastAsia"/>
        </w:rPr>
        <w:t>4.2发布信息公开</w:t>
      </w:r>
    </w:p>
    <w:p>
      <w:pPr>
        <w:ind w:firstLine="400"/>
      </w:pPr>
      <w:r>
        <w:rPr>
          <w:rFonts w:hint="eastAsia"/>
        </w:rPr>
        <w:t>在物业事项办理页面点击“信息公开”进入信息公开列表后，点击“发布信息公开”进入发布信息公开页面，如图11所示。</w:t>
      </w:r>
    </w:p>
    <w:p>
      <w:pPr>
        <w:ind w:firstLine="400"/>
      </w:pPr>
      <w:r>
        <w:rPr>
          <w:rFonts w:hint="eastAsia"/>
        </w:rPr>
        <w:t>选择发布信息公开的模板，填写发布内容，点击“发布”，完成信息公开发布，如图12所示。</w:t>
      </w:r>
    </w:p>
    <w:p>
      <w:pPr>
        <w:pStyle w:val="2"/>
        <w:ind w:firstLine="562"/>
      </w:pPr>
      <w:r>
        <w:rPr>
          <w:rFonts w:hint="eastAsia"/>
        </w:rPr>
        <w:t>4.3查看信息公开内容</w:t>
      </w:r>
    </w:p>
    <w:p>
      <w:pPr>
        <w:ind w:firstLine="400"/>
        <w:rPr>
          <w:rFonts w:hint="eastAsia"/>
        </w:rPr>
      </w:pPr>
      <w:r>
        <w:rPr>
          <w:rFonts w:hint="eastAsia"/>
        </w:rPr>
        <w:t>在信息公开列表页面，点击公告进行查看，如图4、图5。</w:t>
      </w:r>
    </w:p>
    <w:p>
      <w:pPr>
        <w:ind w:firstLine="400"/>
        <w:rPr>
          <w:rFonts w:hint="eastAsia"/>
          <w:sz w:val="28"/>
          <w:szCs w:val="28"/>
        </w:rPr>
      </w:pPr>
      <w:r>
        <w:rPr>
          <w:rFonts w:hint="eastAsia"/>
        </w:rPr>
        <w:t>业委会只能看到本小区的公告。</w:t>
      </w:r>
    </w:p>
    <w:p>
      <w:pPr>
        <w:pStyle w:val="2"/>
        <w:ind w:firstLine="562"/>
        <w:rPr>
          <w:rFonts w:hint="eastAsia"/>
        </w:rPr>
      </w:pPr>
      <w:r>
        <w:rPr>
          <w:rFonts w:hint="eastAsia"/>
        </w:rPr>
        <w:t>4.4查看监管部门发送的催办通知</w:t>
      </w:r>
    </w:p>
    <w:p>
      <w:pPr>
        <w:ind w:firstLine="400"/>
        <w:rPr>
          <w:rFonts w:hint="eastAsia"/>
        </w:rPr>
      </w:pPr>
      <w:r>
        <w:rPr>
          <w:rFonts w:hint="eastAsia"/>
        </w:rPr>
        <w:t>在“物业事项办理”，“待办事项”页面的信息公开标签，可查看监管部门发送的相应公示项公示催办、整改、处罚通知，如图13所示。</w:t>
      </w:r>
    </w:p>
    <w:p>
      <w:pPr>
        <w:ind w:firstLine="0" w:firstLineChars="0"/>
        <w:jc w:val="center"/>
      </w:pPr>
      <w:r>
        <w:rPr>
          <w:rFonts w:ascii="Calibri" w:hAnsi="Calibri" w:eastAsia="宋体" w:cs="Times New Roman"/>
          <w:lang w:val="en-US" w:eastAsia="zh-CN" w:bidi="ar-SA"/>
        </w:rPr>
        <w:drawing>
          <wp:inline distT="0" distB="0" distL="114300" distR="114300">
            <wp:extent cx="1512570" cy="2691765"/>
            <wp:effectExtent l="0" t="0" r="1143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lum/>
                    </a:blip>
                    <a:stretch>
                      <a:fillRect/>
                    </a:stretch>
                  </pic:blipFill>
                  <pic:spPr>
                    <a:xfrm>
                      <a:off x="0" y="0"/>
                      <a:ext cx="1512570" cy="2691765"/>
                    </a:xfrm>
                    <a:prstGeom prst="rect">
                      <a:avLst/>
                    </a:prstGeom>
                    <a:noFill/>
                    <a:ln w="9525">
                      <a:noFill/>
                    </a:ln>
                  </pic:spPr>
                </pic:pic>
              </a:graphicData>
            </a:graphic>
          </wp:inline>
        </w:drawing>
      </w:r>
    </w:p>
    <w:p>
      <w:pPr>
        <w:pStyle w:val="3"/>
        <w:rPr>
          <w:rFonts w:hint="eastAsia"/>
        </w:rPr>
      </w:pPr>
      <w:r>
        <w:rPr>
          <w:rFonts w:hint="eastAsia"/>
        </w:rPr>
        <w:t>图13：查看监管部门发送的催办消息</w:t>
      </w:r>
    </w:p>
    <w:p>
      <w:pPr>
        <w:pStyle w:val="2"/>
        <w:ind w:firstLine="562"/>
      </w:pPr>
      <w:r>
        <w:rPr>
          <w:rFonts w:hint="eastAsia"/>
        </w:rPr>
        <w:t>五、物业企业</w:t>
      </w:r>
    </w:p>
    <w:p>
      <w:pPr>
        <w:pStyle w:val="2"/>
        <w:ind w:firstLine="562"/>
      </w:pPr>
      <w:r>
        <w:rPr>
          <w:rFonts w:hint="eastAsia"/>
        </w:rPr>
        <w:t>5.1查询信息公开</w:t>
      </w:r>
    </w:p>
    <w:p>
      <w:pPr>
        <w:ind w:firstLine="400"/>
      </w:pPr>
      <w:r>
        <w:rPr>
          <w:rFonts w:hint="eastAsia"/>
        </w:rPr>
        <w:t>在物业事项办理页面点击“信息公开”进入信息公开列表，通过输入小区名称、公告标题关键字进行查询，也可以通过公告的发布日期进行查询。可以选择查询公告的类型，公告的类型两种，一种是信息公开，另外一种是大额资金转账，选择完查询条件后，点击查询按钮完成查询，如图3所示。</w:t>
      </w:r>
    </w:p>
    <w:p>
      <w:pPr>
        <w:pStyle w:val="2"/>
        <w:ind w:firstLine="562"/>
      </w:pPr>
      <w:r>
        <w:rPr>
          <w:rFonts w:hint="eastAsia"/>
        </w:rPr>
        <w:t>5.2发布信息公开</w:t>
      </w:r>
    </w:p>
    <w:p>
      <w:pPr>
        <w:ind w:firstLine="400"/>
      </w:pPr>
      <w:r>
        <w:rPr>
          <w:rFonts w:hint="eastAsia"/>
        </w:rPr>
        <w:t>在物业事项办理页面点击“信息公开”进入信息公开列表后，点击“发布信息公开”进入发布信息公开页面，如图6所示。</w:t>
      </w:r>
    </w:p>
    <w:p>
      <w:pPr>
        <w:ind w:firstLine="400"/>
      </w:pPr>
      <w:r>
        <w:rPr>
          <w:rFonts w:hint="eastAsia"/>
        </w:rPr>
        <w:t>选择发布信息公开的模板，填写发布内容，点击“发布”，完成信息公开发布，如图7所示。</w:t>
      </w:r>
    </w:p>
    <w:p>
      <w:pPr>
        <w:pStyle w:val="2"/>
        <w:ind w:firstLine="562"/>
      </w:pPr>
      <w:r>
        <w:rPr>
          <w:rFonts w:hint="eastAsia"/>
        </w:rPr>
        <w:t>5.3查看信息公开</w:t>
      </w:r>
    </w:p>
    <w:p>
      <w:pPr>
        <w:ind w:firstLine="400"/>
        <w:rPr>
          <w:rFonts w:hint="eastAsia"/>
        </w:rPr>
      </w:pPr>
      <w:r>
        <w:rPr>
          <w:rFonts w:hint="eastAsia"/>
        </w:rPr>
        <w:t>在信息公开列表页面，点击公告进行查看，如图4、图5。</w:t>
      </w:r>
    </w:p>
    <w:p>
      <w:pPr>
        <w:pStyle w:val="2"/>
        <w:ind w:firstLine="562"/>
        <w:rPr>
          <w:rFonts w:hint="eastAsia"/>
        </w:rPr>
      </w:pPr>
      <w:r>
        <w:rPr>
          <w:rFonts w:hint="eastAsia"/>
        </w:rPr>
        <w:t>5.4查看监管部门发送的催办通知</w:t>
      </w:r>
    </w:p>
    <w:p>
      <w:pPr>
        <w:ind w:firstLine="400"/>
      </w:pPr>
      <w:r>
        <w:rPr>
          <w:rFonts w:hint="eastAsia"/>
        </w:rPr>
        <w:t>在“物业事项办理”，“待办事项”页面的信息公开标签，可查看监管部门发送的相应公示项公示催办、整改、处罚通知，如图13所示。</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ascii="Times New Roman" w:hAnsi="Times New Roman" w:eastAsia="Times New Roman" w:cs="Times New Roman"/>
        <w:kern w:val="2"/>
        <w:sz w:val="18"/>
        <w:szCs w:val="18"/>
        <w:lang w:val="en-US" w:eastAsia="zh-CN" w:bidi="ar-SA"/>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7"/>
                            <w:ind w:firstLine="36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w:t>
                          </w:r>
                          <w:r>
                            <w:rPr>
                              <w:rFonts w:hint="eastAsia"/>
                              <w:lang w:eastAsia="zh-CN"/>
                            </w:rP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l1uVLQAAAA&#10;BQEAAA8AAAAAAAAAAQAgAAAAIgAAAGRycy9kb3ducmV2LnhtbFBLAQIUABQAAAAIAIdO4kDAdOWK&#10;swEAAEsDAAAOAAAAAAAAAAEAIAAAAB8BAABkcnMvZTJvRG9jLnhtbFBLBQYAAAAABgAGAFkBAABE&#10;BQAAAAA=&#10;">
              <v:fill on="f" focussize="0,0"/>
              <v:stroke on="f"/>
              <v:imagedata o:title=""/>
              <o:lock v:ext="edit" aspectratio="f"/>
              <v:textbox inset="0mm,0mm,0mm,0mm" style="mso-fit-shape-to-text:t;">
                <w:txbxContent>
                  <w:p>
                    <w:pPr>
                      <w:pStyle w:val="7"/>
                      <w:ind w:firstLine="36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w:t>
                    </w:r>
                    <w:r>
                      <w:rPr>
                        <w:rFonts w:hint="eastAsia"/>
                        <w:lang w:eastAsia="zh-CN"/>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337"/>
    <w:rsid w:val="00097A1D"/>
    <w:rsid w:val="000C299F"/>
    <w:rsid w:val="00110913"/>
    <w:rsid w:val="00113337"/>
    <w:rsid w:val="00193212"/>
    <w:rsid w:val="0034691A"/>
    <w:rsid w:val="004A57FF"/>
    <w:rsid w:val="00662335"/>
    <w:rsid w:val="00941712"/>
    <w:rsid w:val="00A617E0"/>
    <w:rsid w:val="00E63813"/>
    <w:rsid w:val="01D6256E"/>
    <w:rsid w:val="03BA01AE"/>
    <w:rsid w:val="04B31D80"/>
    <w:rsid w:val="069B6E64"/>
    <w:rsid w:val="08F63D52"/>
    <w:rsid w:val="09960498"/>
    <w:rsid w:val="0A402289"/>
    <w:rsid w:val="0A46777D"/>
    <w:rsid w:val="0D755621"/>
    <w:rsid w:val="1039742E"/>
    <w:rsid w:val="1744663C"/>
    <w:rsid w:val="18A253F3"/>
    <w:rsid w:val="1ABB1E72"/>
    <w:rsid w:val="1B6A21C1"/>
    <w:rsid w:val="1E551952"/>
    <w:rsid w:val="201E47C1"/>
    <w:rsid w:val="2090127C"/>
    <w:rsid w:val="20F132F8"/>
    <w:rsid w:val="23AB19F2"/>
    <w:rsid w:val="243F116F"/>
    <w:rsid w:val="3BAD4A7D"/>
    <w:rsid w:val="3C6630B7"/>
    <w:rsid w:val="3D866D3E"/>
    <w:rsid w:val="3E045226"/>
    <w:rsid w:val="3F815EBD"/>
    <w:rsid w:val="40857C73"/>
    <w:rsid w:val="473C2707"/>
    <w:rsid w:val="478E203A"/>
    <w:rsid w:val="47C353F6"/>
    <w:rsid w:val="480F7446"/>
    <w:rsid w:val="4852532E"/>
    <w:rsid w:val="4A796146"/>
    <w:rsid w:val="50CC71C5"/>
    <w:rsid w:val="521F4DBC"/>
    <w:rsid w:val="530D2513"/>
    <w:rsid w:val="533812C3"/>
    <w:rsid w:val="53462EAB"/>
    <w:rsid w:val="574C52C4"/>
    <w:rsid w:val="574D2D46"/>
    <w:rsid w:val="575539D5"/>
    <w:rsid w:val="586E7CC9"/>
    <w:rsid w:val="59D121EA"/>
    <w:rsid w:val="5A284778"/>
    <w:rsid w:val="5AC163B7"/>
    <w:rsid w:val="60083E99"/>
    <w:rsid w:val="61C21F70"/>
    <w:rsid w:val="6D8B07C8"/>
    <w:rsid w:val="6E487964"/>
    <w:rsid w:val="76AA5A61"/>
    <w:rsid w:val="7A566842"/>
    <w:rsid w:val="7E7B5DD3"/>
  </w:rsids>
  <m:mathPr>
    <m:lMargin m:val="0"/>
    <m:rMargin m:val="0"/>
    <m:wrapIndent m:val="1440"/>
    <m:brkBin m:val="before"/>
    <m:brkBinSub m:val="--"/>
    <m:defJc m:val="centerGroup"/>
    <m:intLim m:val="subSup"/>
    <m:naryLim m:val="undOvr"/>
    <m:smallFrac m:val="0"/>
    <m:dispDef/>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640" w:firstLineChars="200"/>
    </w:pPr>
    <w:rPr>
      <w:rFonts w:ascii="Calibri" w:hAnsi="Calibri" w:eastAsia="宋体" w:cs="Times New Roman"/>
      <w:lang w:val="en-US" w:eastAsia="zh-CN" w:bidi="ar-SA"/>
    </w:rPr>
  </w:style>
  <w:style w:type="paragraph" w:styleId="2">
    <w:name w:val="heading 1"/>
    <w:basedOn w:val="1"/>
    <w:next w:val="1"/>
    <w:link w:val="14"/>
    <w:qFormat/>
    <w:uiPriority w:val="0"/>
    <w:pPr>
      <w:keepNext/>
      <w:spacing w:before="240" w:after="60"/>
      <w:outlineLvl w:val="0"/>
    </w:pPr>
    <w:rPr>
      <w:rFonts w:ascii="Arial" w:hAnsi="Arial"/>
      <w:b/>
      <w:kern w:val="28"/>
      <w:sz w:val="28"/>
    </w:rPr>
  </w:style>
  <w:style w:type="paragraph" w:styleId="3">
    <w:name w:val="heading 2"/>
    <w:basedOn w:val="1"/>
    <w:next w:val="1"/>
    <w:link w:val="15"/>
    <w:qFormat/>
    <w:uiPriority w:val="0"/>
    <w:pPr>
      <w:keepNext/>
      <w:ind w:firstLine="0" w:firstLineChars="0"/>
      <w:jc w:val="center"/>
      <w:outlineLvl w:val="1"/>
    </w:pPr>
    <w:rPr>
      <w:rFonts w:ascii="Arial" w:hAnsi="Arial"/>
      <w:b/>
    </w:rPr>
  </w:style>
  <w:style w:type="paragraph" w:styleId="4">
    <w:name w:val="heading 3"/>
    <w:basedOn w:val="1"/>
    <w:next w:val="1"/>
    <w:link w:val="19"/>
    <w:qFormat/>
    <w:uiPriority w:val="0"/>
    <w:pPr>
      <w:keepNext/>
      <w:spacing w:before="240" w:after="60"/>
      <w:outlineLvl w:val="2"/>
    </w:pPr>
    <w:rPr>
      <w:b/>
    </w:rPr>
  </w:style>
  <w:style w:type="character" w:default="1" w:styleId="10">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alloon Text"/>
    <w:basedOn w:val="1"/>
    <w:link w:val="24"/>
    <w:semiHidden/>
    <w:qFormat/>
    <w:uiPriority w:val="0"/>
    <w:rPr>
      <w:rFonts w:ascii="Times New Roman" w:hAnsi="Times New Roman" w:eastAsia="Times New Roman"/>
      <w:sz w:val="18"/>
      <w:szCs w:val="18"/>
    </w:rPr>
  </w:style>
  <w:style w:type="paragraph" w:styleId="7">
    <w:name w:val="footer"/>
    <w:basedOn w:val="1"/>
    <w:link w:val="21"/>
    <w:unhideWhenUsed/>
    <w:qFormat/>
    <w:uiPriority w:val="0"/>
    <w:pPr>
      <w:widowControl w:val="0"/>
      <w:tabs>
        <w:tab w:val="center" w:pos="4153"/>
        <w:tab w:val="right" w:pos="8306"/>
      </w:tabs>
      <w:snapToGrid w:val="0"/>
    </w:pPr>
    <w:rPr>
      <w:rFonts w:ascii="Times New Roman" w:hAnsi="Times New Roman" w:eastAsia="Times New Roman"/>
      <w:kern w:val="2"/>
      <w:sz w:val="18"/>
      <w:szCs w:val="18"/>
    </w:rPr>
  </w:style>
  <w:style w:type="paragraph" w:styleId="8">
    <w:name w:val="header"/>
    <w:basedOn w:val="1"/>
    <w:link w:val="20"/>
    <w:unhideWhenUsed/>
    <w:qFormat/>
    <w:uiPriority w:val="0"/>
    <w:pPr>
      <w:widowControl w:val="0"/>
      <w:pBdr>
        <w:bottom w:val="single" w:color="auto" w:sz="6" w:space="1"/>
      </w:pBdr>
      <w:tabs>
        <w:tab w:val="center" w:pos="4153"/>
        <w:tab w:val="right" w:pos="8306"/>
      </w:tabs>
      <w:snapToGrid w:val="0"/>
      <w:jc w:val="center"/>
    </w:pPr>
    <w:rPr>
      <w:rFonts w:ascii="Times New Roman" w:hAnsi="Times New Roman" w:eastAsia="Times New Roman"/>
      <w:kern w:val="2"/>
      <w:sz w:val="18"/>
      <w:szCs w:val="18"/>
    </w:rPr>
  </w:style>
  <w:style w:type="paragraph" w:styleId="9">
    <w:name w:val="footnote text"/>
    <w:basedOn w:val="1"/>
    <w:link w:val="23"/>
    <w:unhideWhenUsed/>
    <w:qFormat/>
    <w:uiPriority w:val="0"/>
    <w:pPr>
      <w:snapToGrid w:val="0"/>
    </w:pPr>
    <w:rPr>
      <w:rFonts w:ascii="Times New Roman" w:hAnsi="Times New Roman" w:eastAsia="Times New Roman"/>
      <w:sz w:val="18"/>
      <w:szCs w:val="18"/>
    </w:rPr>
  </w:style>
  <w:style w:type="character" w:styleId="11">
    <w:name w:val="Hyperlink"/>
    <w:unhideWhenUsed/>
    <w:qFormat/>
    <w:uiPriority w:val="0"/>
    <w:rPr>
      <w:color w:val="0000FF"/>
      <w:u w:val="single"/>
    </w:rPr>
  </w:style>
  <w:style w:type="character" w:styleId="12">
    <w:name w:val="footnote reference"/>
    <w:unhideWhenUsed/>
    <w:qFormat/>
    <w:uiPriority w:val="0"/>
    <w:rPr>
      <w:vertAlign w:val="superscript"/>
    </w:rPr>
  </w:style>
  <w:style w:type="character" w:customStyle="1" w:styleId="14">
    <w:name w:val="标题 1 Char"/>
    <w:link w:val="2"/>
    <w:qFormat/>
    <w:uiPriority w:val="0"/>
    <w:rPr>
      <w:rFonts w:ascii="Arial" w:hAnsi="Arial" w:eastAsia="宋体"/>
      <w:b/>
      <w:kern w:val="28"/>
      <w:sz w:val="28"/>
      <w:lang w:val="en-US" w:eastAsia="zh-CN" w:bidi="ar-SA"/>
    </w:rPr>
  </w:style>
  <w:style w:type="character" w:customStyle="1" w:styleId="15">
    <w:name w:val="标题 2 Char"/>
    <w:basedOn w:val="10"/>
    <w:link w:val="3"/>
    <w:qFormat/>
    <w:uiPriority w:val="0"/>
    <w:rPr>
      <w:rFonts w:ascii="Arial" w:hAnsi="Arial" w:eastAsia="宋体"/>
      <w:b/>
      <w:lang w:val="en-US" w:eastAsia="zh-CN" w:bidi="ar-SA"/>
    </w:rPr>
  </w:style>
  <w:style w:type="paragraph" w:customStyle="1" w:styleId="16">
    <w:name w:val="无间隔"/>
    <w:qFormat/>
    <w:uiPriority w:val="0"/>
    <w:pPr>
      <w:ind w:hanging="420"/>
      <w:jc w:val="both"/>
    </w:pPr>
    <w:rPr>
      <w:rFonts w:ascii="Calibri" w:hAnsi="Calibri" w:eastAsia="宋体" w:cs="Times New Roman"/>
      <w:kern w:val="2"/>
      <w:sz w:val="21"/>
      <w:szCs w:val="24"/>
      <w:lang w:val="en-US" w:eastAsia="zh-CN" w:bidi="ar-SA"/>
    </w:rPr>
  </w:style>
  <w:style w:type="paragraph" w:customStyle="1" w:styleId="17">
    <w:name w:val="列出段落"/>
    <w:basedOn w:val="1"/>
    <w:qFormat/>
    <w:uiPriority w:val="0"/>
    <w:pPr>
      <w:spacing w:line="360" w:lineRule="auto"/>
      <w:ind w:firstLine="420"/>
      <w:jc w:val="both"/>
    </w:pPr>
    <w:rPr>
      <w:kern w:val="2"/>
      <w:sz w:val="21"/>
      <w:szCs w:val="24"/>
    </w:rPr>
  </w:style>
  <w:style w:type="paragraph" w:customStyle="1" w:styleId="18">
    <w:name w:val="List Paragraph"/>
    <w:basedOn w:val="1"/>
    <w:qFormat/>
    <w:uiPriority w:val="34"/>
    <w:pPr>
      <w:ind w:firstLine="420" w:firstLineChars="200"/>
    </w:pPr>
  </w:style>
  <w:style w:type="character" w:customStyle="1" w:styleId="19">
    <w:name w:val="标题 3 Char"/>
    <w:link w:val="4"/>
    <w:qFormat/>
    <w:uiPriority w:val="0"/>
    <w:rPr>
      <w:rFonts w:ascii="Calibri" w:hAnsi="Calibri" w:eastAsia="宋体"/>
      <w:b/>
      <w:lang w:val="en-US" w:eastAsia="zh-CN" w:bidi="ar-SA"/>
    </w:rPr>
  </w:style>
  <w:style w:type="character" w:customStyle="1" w:styleId="20">
    <w:name w:val="页眉 Char"/>
    <w:link w:val="8"/>
    <w:qFormat/>
    <w:uiPriority w:val="0"/>
    <w:rPr>
      <w:kern w:val="2"/>
      <w:sz w:val="18"/>
      <w:szCs w:val="18"/>
      <w:lang w:bidi="ar-SA"/>
    </w:rPr>
  </w:style>
  <w:style w:type="character" w:customStyle="1" w:styleId="21">
    <w:name w:val="页脚 Char"/>
    <w:link w:val="7"/>
    <w:qFormat/>
    <w:uiPriority w:val="0"/>
    <w:rPr>
      <w:kern w:val="2"/>
      <w:sz w:val="18"/>
      <w:szCs w:val="18"/>
      <w:lang w:bidi="ar-SA"/>
    </w:rPr>
  </w:style>
  <w:style w:type="character" w:customStyle="1" w:styleId="22">
    <w:name w:val="15"/>
    <w:qFormat/>
    <w:uiPriority w:val="0"/>
    <w:rPr>
      <w:rFonts w:hint="default" w:ascii="Calibri" w:hAnsi="Calibri"/>
      <w:color w:val="0000FF"/>
      <w:u w:val="single"/>
    </w:rPr>
  </w:style>
  <w:style w:type="character" w:customStyle="1" w:styleId="23">
    <w:name w:val="脚注文本 Char"/>
    <w:link w:val="9"/>
    <w:semiHidden/>
    <w:qFormat/>
    <w:uiPriority w:val="0"/>
    <w:rPr>
      <w:sz w:val="18"/>
      <w:szCs w:val="18"/>
      <w:lang w:bidi="ar-SA"/>
    </w:rPr>
  </w:style>
  <w:style w:type="character" w:customStyle="1" w:styleId="24">
    <w:name w:val="批注框文本 Char"/>
    <w:link w:val="6"/>
    <w:semiHidden/>
    <w:qFormat/>
    <w:uiPriority w:val="0"/>
    <w:rPr>
      <w:sz w:val="18"/>
      <w:szCs w:val="18"/>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zjj</Company>
  <Pages>1</Pages>
  <Words>2174</Words>
  <Characters>12393</Characters>
  <Lines>103</Lines>
  <Paragraphs>29</Paragraphs>
  <TotalTime>0</TotalTime>
  <ScaleCrop>false</ScaleCrop>
  <LinksUpToDate>false</LinksUpToDate>
  <CharactersWithSpaces>0</CharactersWithSpaces>
  <Application>WPS Office_10.8.0.5918_F1E327BC-269C-435d-A152-05C5408002CA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2020-06-04T06:37:00Z</dcterms:created>
  <dc:creator>仇晨卉</dc:creator>
  <cp:lastModifiedBy>温倩</cp:lastModifiedBy>
  <dcterms:modified xsi:type="dcterms:W3CDTF">2020-08-31T03:53:28Z</dcterms:modified>
  <dc:title>深圳市住房和建设局关于启用物业管理信息</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