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仿宋_GB2312" w:eastAsia="仿宋_GB2312"/>
          <w:b/>
          <w:bCs/>
          <w:sz w:val="44"/>
          <w:szCs w:val="44"/>
          <w:lang w:val="en-US" w:eastAsia="zh-CN"/>
        </w:rPr>
      </w:pPr>
      <w:r>
        <w:rPr>
          <w:rFonts w:hint="eastAsia" w:ascii="仿宋_GB2312" w:eastAsia="仿宋_GB2312"/>
          <w:b/>
          <w:bCs/>
          <w:sz w:val="44"/>
          <w:szCs w:val="44"/>
        </w:rPr>
        <w:t>深圳市建设工程新技术推广目录</w:t>
      </w:r>
      <w:r>
        <w:rPr>
          <w:rFonts w:hint="eastAsia" w:ascii="仿宋_GB2312" w:eastAsia="仿宋_GB2312"/>
          <w:b/>
          <w:bCs/>
          <w:sz w:val="44"/>
          <w:szCs w:val="44"/>
          <w:lang w:eastAsia="zh-CN"/>
        </w:rPr>
        <w:t>（</w:t>
      </w:r>
      <w:r>
        <w:rPr>
          <w:rFonts w:hint="eastAsia" w:ascii="仿宋_GB2312" w:eastAsia="仿宋_GB2312"/>
          <w:b/>
          <w:bCs/>
          <w:sz w:val="44"/>
          <w:szCs w:val="44"/>
        </w:rPr>
        <w:t>2021年</w:t>
      </w:r>
      <w:r>
        <w:rPr>
          <w:rFonts w:hint="eastAsia" w:ascii="仿宋_GB2312" w:eastAsia="仿宋_GB2312"/>
          <w:b/>
          <w:bCs/>
          <w:sz w:val="44"/>
          <w:szCs w:val="44"/>
          <w:lang w:eastAsia="zh-CN"/>
        </w:rPr>
        <w:t>）</w:t>
      </w:r>
    </w:p>
    <w:tbl>
      <w:tblPr>
        <w:tblStyle w:val="5"/>
        <w:tblW w:w="14907"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05"/>
        <w:gridCol w:w="6613"/>
        <w:gridCol w:w="1673"/>
        <w:gridCol w:w="2886"/>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20" w:type="dxa"/>
            <w:noWrap w:val="0"/>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序号</w:t>
            </w:r>
          </w:p>
        </w:tc>
        <w:tc>
          <w:tcPr>
            <w:tcW w:w="1505" w:type="dxa"/>
            <w:noWrap w:val="0"/>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新技术名称</w:t>
            </w:r>
          </w:p>
        </w:tc>
        <w:tc>
          <w:tcPr>
            <w:tcW w:w="6613" w:type="dxa"/>
            <w:noWrap w:val="0"/>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技术要点</w:t>
            </w:r>
          </w:p>
        </w:tc>
        <w:tc>
          <w:tcPr>
            <w:tcW w:w="1673" w:type="dxa"/>
            <w:noWrap w:val="0"/>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适用范围</w:t>
            </w:r>
          </w:p>
        </w:tc>
        <w:tc>
          <w:tcPr>
            <w:tcW w:w="2886" w:type="dxa"/>
            <w:noWrap w:val="0"/>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lang w:eastAsia="zh-CN"/>
              </w:rPr>
              <w:t>应用</w:t>
            </w:r>
            <w:r>
              <w:rPr>
                <w:rFonts w:hint="eastAsia" w:ascii="仿宋" w:hAnsi="仿宋" w:eastAsia="仿宋" w:cs="仿宋"/>
                <w:b/>
                <w:bCs/>
                <w:kern w:val="0"/>
                <w:sz w:val="24"/>
              </w:rPr>
              <w:t>案例</w:t>
            </w:r>
          </w:p>
        </w:tc>
        <w:tc>
          <w:tcPr>
            <w:tcW w:w="1510" w:type="dxa"/>
            <w:noWrap w:val="0"/>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3"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w:t>
            </w:r>
          </w:p>
        </w:tc>
        <w:tc>
          <w:tcPr>
            <w:tcW w:w="1505" w:type="dxa"/>
            <w:noWrap w:val="0"/>
            <w:vAlign w:val="center"/>
          </w:tcPr>
          <w:p>
            <w:pPr>
              <w:spacing w:line="320" w:lineRule="exact"/>
              <w:jc w:val="left"/>
              <w:rPr>
                <w:rFonts w:hint="eastAsia" w:ascii="仿宋" w:hAnsi="仿宋" w:eastAsia="仿宋" w:cs="仿宋"/>
                <w:b/>
                <w:bCs/>
                <w:kern w:val="0"/>
                <w:sz w:val="24"/>
              </w:rPr>
            </w:pPr>
            <w:r>
              <w:rPr>
                <w:rFonts w:hint="eastAsia" w:ascii="仿宋_GB2312" w:eastAsia="仿宋_GB2312"/>
                <w:sz w:val="24"/>
                <w:lang w:val="en-US" w:eastAsia="zh-CN"/>
              </w:rPr>
              <w:t>室内空气质量预评价设计软件IndoorPACT</w:t>
            </w:r>
          </w:p>
        </w:tc>
        <w:tc>
          <w:tcPr>
            <w:tcW w:w="6613" w:type="dxa"/>
            <w:noWrap w:val="0"/>
            <w:vAlign w:val="center"/>
          </w:tcPr>
          <w:p>
            <w:pPr>
              <w:spacing w:line="320" w:lineRule="exact"/>
              <w:rPr>
                <w:rFonts w:hint="eastAsia" w:ascii="仿宋" w:hAnsi="仿宋" w:eastAsia="仿宋" w:cs="仿宋"/>
                <w:b/>
                <w:bCs/>
                <w:kern w:val="0"/>
                <w:sz w:val="24"/>
              </w:rPr>
            </w:pPr>
            <w:r>
              <w:rPr>
                <w:rFonts w:hint="eastAsia" w:ascii="仿宋_GB2312" w:eastAsia="仿宋_GB2312"/>
                <w:sz w:val="24"/>
                <w:lang w:val="en-US" w:eastAsia="zh-CN"/>
              </w:rPr>
              <w:t>为技术人员提供室内空气质量设计工具。在工程设计阶段定量预测工程实施和建成后室内空气质量动态趋势，包括VOC污染、颗粒物污染。软件采用性能指标法，耦合了污染源、净化、通风、环境温湿度、时间等因素，基于污染散发、吸附、传播的规律，定量分析装修材料污染散发量、叠加后室内空气污染物浓度。</w:t>
            </w:r>
          </w:p>
        </w:tc>
        <w:tc>
          <w:tcPr>
            <w:tcW w:w="1673" w:type="dxa"/>
            <w:noWrap w:val="0"/>
            <w:vAlign w:val="center"/>
          </w:tcPr>
          <w:p>
            <w:pPr>
              <w:spacing w:line="320" w:lineRule="exact"/>
              <w:rPr>
                <w:rFonts w:hint="eastAsia" w:ascii="仿宋" w:hAnsi="仿宋" w:eastAsia="仿宋" w:cs="仿宋"/>
                <w:b/>
                <w:bCs/>
                <w:kern w:val="0"/>
                <w:sz w:val="24"/>
              </w:rPr>
            </w:pPr>
            <w:r>
              <w:rPr>
                <w:rFonts w:hint="eastAsia" w:ascii="仿宋_GB2312" w:eastAsia="仿宋_GB2312"/>
                <w:sz w:val="24"/>
                <w:lang w:val="en-US" w:eastAsia="zh-CN"/>
              </w:rPr>
              <w:t>建筑室内空气质量控制设计</w:t>
            </w:r>
          </w:p>
        </w:tc>
        <w:tc>
          <w:tcPr>
            <w:tcW w:w="2886" w:type="dxa"/>
            <w:noWrap w:val="0"/>
            <w:vAlign w:val="center"/>
          </w:tcPr>
          <w:p>
            <w:pPr>
              <w:spacing w:line="320" w:lineRule="exact"/>
              <w:rPr>
                <w:rFonts w:hint="eastAsia" w:ascii="仿宋" w:hAnsi="仿宋" w:eastAsia="仿宋" w:cs="仿宋"/>
                <w:b/>
                <w:bCs/>
                <w:kern w:val="0"/>
                <w:sz w:val="24"/>
              </w:rPr>
            </w:pPr>
            <w:r>
              <w:rPr>
                <w:rFonts w:hint="eastAsia" w:ascii="仿宋_GB2312" w:eastAsia="仿宋_GB2312"/>
                <w:sz w:val="24"/>
                <w:lang w:val="en-US" w:eastAsia="zh-CN"/>
              </w:rPr>
              <w:t>深</w:t>
            </w:r>
            <w:bookmarkStart w:id="4" w:name="_GoBack"/>
            <w:r>
              <w:rPr>
                <w:rFonts w:hint="eastAsia" w:ascii="仿宋_GB2312" w:eastAsia="仿宋_GB2312"/>
                <w:sz w:val="24"/>
                <w:lang w:val="en-US" w:eastAsia="zh-CN"/>
              </w:rPr>
              <w:t>圳</w:t>
            </w:r>
            <w:bookmarkEnd w:id="4"/>
            <w:r>
              <w:rPr>
                <w:rFonts w:hint="eastAsia" w:ascii="仿宋_GB2312" w:eastAsia="仿宋_GB2312"/>
                <w:sz w:val="24"/>
                <w:lang w:val="en-US" w:eastAsia="zh-CN"/>
              </w:rPr>
              <w:t>国信金融大厦、香蜜湖第二机关幼儿园、深业碧海红树园托育园</w:t>
            </w:r>
          </w:p>
        </w:tc>
        <w:tc>
          <w:tcPr>
            <w:tcW w:w="1510" w:type="dxa"/>
            <w:noWrap w:val="0"/>
            <w:vAlign w:val="center"/>
          </w:tcPr>
          <w:p>
            <w:pPr>
              <w:spacing w:line="320" w:lineRule="exact"/>
              <w:jc w:val="left"/>
              <w:rPr>
                <w:rFonts w:hint="eastAsia" w:ascii="仿宋" w:hAnsi="仿宋" w:eastAsia="仿宋" w:cs="仿宋"/>
                <w:b/>
                <w:bCs/>
                <w:kern w:val="0"/>
                <w:sz w:val="24"/>
              </w:rPr>
            </w:pPr>
            <w:r>
              <w:rPr>
                <w:rFonts w:hint="eastAsia" w:ascii="仿宋_GB2312" w:eastAsia="仿宋_GB2312"/>
                <w:sz w:val="24"/>
                <w:lang w:val="en-US" w:eastAsia="zh-CN"/>
              </w:rPr>
              <w:t>深圳市建筑科学研究院股份有限公司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w:t>
            </w:r>
          </w:p>
        </w:tc>
        <w:tc>
          <w:tcPr>
            <w:tcW w:w="1505" w:type="dxa"/>
            <w:noWrap w:val="0"/>
            <w:vAlign w:val="center"/>
          </w:tcPr>
          <w:p>
            <w:pPr>
              <w:spacing w:line="320" w:lineRule="exact"/>
              <w:jc w:val="left"/>
              <w:rPr>
                <w:rFonts w:hint="eastAsia" w:ascii="仿宋" w:hAnsi="仿宋" w:eastAsia="仿宋" w:cs="仿宋"/>
                <w:b/>
                <w:bCs/>
                <w:kern w:val="0"/>
                <w:sz w:val="24"/>
              </w:rPr>
            </w:pPr>
            <w:r>
              <w:rPr>
                <w:rFonts w:hint="eastAsia" w:ascii="仿宋_GB2312" w:eastAsia="仿宋_GB2312"/>
                <w:sz w:val="24"/>
                <w:lang w:val="en-US" w:eastAsia="zh-CN"/>
              </w:rPr>
              <w:t>装修污染全过程控制方法</w:t>
            </w:r>
          </w:p>
        </w:tc>
        <w:tc>
          <w:tcPr>
            <w:tcW w:w="6613" w:type="dxa"/>
            <w:noWrap w:val="0"/>
            <w:vAlign w:val="center"/>
          </w:tcPr>
          <w:p>
            <w:pPr>
              <w:spacing w:line="320" w:lineRule="exact"/>
              <w:rPr>
                <w:rFonts w:hint="eastAsia" w:ascii="仿宋" w:hAnsi="仿宋" w:eastAsia="仿宋" w:cs="仿宋"/>
                <w:b/>
                <w:bCs/>
                <w:kern w:val="0"/>
                <w:sz w:val="24"/>
              </w:rPr>
            </w:pPr>
            <w:r>
              <w:rPr>
                <w:rFonts w:hint="eastAsia" w:ascii="仿宋_GB2312" w:eastAsia="仿宋_GB2312"/>
                <w:sz w:val="24"/>
                <w:lang w:val="en-US" w:eastAsia="zh-CN"/>
              </w:rPr>
              <w:t>以“事前预防”为核心，借助预评估仿真模拟，将影响室内空气质量的相关因素耦合考虑，实现空气污染的预测。以控制目标为导向，针对具体设计方案，制定每一类材料污染释放率等环保要求，将污染防治前置到设计和选材阶段。在材料和家具选择和使用、施工、验收等相关环节进行预防管控，降低由装修引起的室内空气污染风险，提升建筑健康舒适环境。</w:t>
            </w:r>
          </w:p>
        </w:tc>
        <w:tc>
          <w:tcPr>
            <w:tcW w:w="1673" w:type="dxa"/>
            <w:noWrap w:val="0"/>
            <w:vAlign w:val="center"/>
          </w:tcPr>
          <w:p>
            <w:pPr>
              <w:spacing w:line="320" w:lineRule="exact"/>
              <w:rPr>
                <w:rFonts w:hint="eastAsia" w:ascii="仿宋" w:hAnsi="仿宋" w:eastAsia="仿宋" w:cs="仿宋"/>
                <w:b/>
                <w:bCs/>
                <w:kern w:val="0"/>
                <w:sz w:val="24"/>
              </w:rPr>
            </w:pPr>
            <w:r>
              <w:rPr>
                <w:rFonts w:hint="eastAsia" w:ascii="仿宋_GB2312" w:eastAsia="仿宋_GB2312"/>
                <w:sz w:val="24"/>
                <w:lang w:val="en-US" w:eastAsia="zh-CN"/>
              </w:rPr>
              <w:t>室内装修工程</w:t>
            </w:r>
          </w:p>
        </w:tc>
        <w:tc>
          <w:tcPr>
            <w:tcW w:w="2886" w:type="dxa"/>
            <w:noWrap w:val="0"/>
            <w:vAlign w:val="center"/>
          </w:tcPr>
          <w:p>
            <w:pPr>
              <w:spacing w:line="320" w:lineRule="exact"/>
              <w:rPr>
                <w:rFonts w:hint="eastAsia" w:ascii="仿宋" w:hAnsi="仿宋" w:eastAsia="仿宋" w:cs="仿宋"/>
                <w:b/>
                <w:bCs/>
                <w:kern w:val="0"/>
                <w:sz w:val="24"/>
              </w:rPr>
            </w:pPr>
            <w:r>
              <w:rPr>
                <w:rFonts w:hint="eastAsia" w:ascii="仿宋_GB2312" w:eastAsia="仿宋_GB2312"/>
                <w:sz w:val="24"/>
                <w:lang w:val="en-US" w:eastAsia="zh-CN"/>
              </w:rPr>
              <w:t>深圳华润总部大厦、南园派出所营房、长圳公共住房及其附属工程、福田区梅香学校、深圳改革开放干部学院</w:t>
            </w:r>
          </w:p>
        </w:tc>
        <w:tc>
          <w:tcPr>
            <w:tcW w:w="1510" w:type="dxa"/>
            <w:noWrap w:val="0"/>
            <w:vAlign w:val="center"/>
          </w:tcPr>
          <w:p>
            <w:pPr>
              <w:spacing w:line="320" w:lineRule="exact"/>
              <w:jc w:val="left"/>
              <w:rPr>
                <w:rFonts w:hint="eastAsia" w:ascii="仿宋" w:hAnsi="仿宋" w:eastAsia="仿宋" w:cs="仿宋"/>
                <w:b/>
                <w:bCs/>
                <w:kern w:val="0"/>
                <w:sz w:val="24"/>
              </w:rPr>
            </w:pPr>
            <w:r>
              <w:rPr>
                <w:rFonts w:hint="eastAsia" w:ascii="仿宋_GB2312" w:eastAsia="仿宋_GB2312"/>
                <w:sz w:val="24"/>
                <w:lang w:val="en-US" w:eastAsia="zh-CN"/>
              </w:rPr>
              <w:t>深圳市建筑科学研究院股份有限公司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3</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彩色高强自密实生态砂浆与混凝土</w:t>
            </w:r>
          </w:p>
        </w:tc>
        <w:tc>
          <w:tcPr>
            <w:tcW w:w="661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通过添加无机聚合物并对聚合物的合成机理及抗腐蚀性能、彩色高强自密实生态砂浆与混凝土配制与性能进行了深入研究，提升了砂浆和混凝土的抗渗、抗收缩、抗腐蚀性能，为对耐久性要求高的建设工程（尤其是海洋工程）提供了新材料。</w:t>
            </w:r>
          </w:p>
        </w:tc>
        <w:tc>
          <w:tcPr>
            <w:tcW w:w="167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水工工程、建筑工程、景观工程、地面工程</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深圳东部海堤重建项目、华润总部大厦及瑞府停车场地坪工程、广州南沙海堤</w:t>
            </w:r>
          </w:p>
        </w:tc>
        <w:tc>
          <w:tcPr>
            <w:tcW w:w="1510"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深圳市航天新材科技有限公司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4</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高性能无机人造石生产关键技术</w:t>
            </w:r>
          </w:p>
        </w:tc>
        <w:tc>
          <w:tcPr>
            <w:tcW w:w="661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以水泥和其他无机胶黏材料为</w:t>
            </w:r>
            <w:r>
              <w:rPr>
                <w:rFonts w:hint="eastAsia" w:ascii="仿宋_GB2312" w:eastAsia="仿宋_GB2312"/>
                <w:sz w:val="24"/>
                <w:shd w:val="clear" w:fill="auto"/>
                <w:lang w:val="en-US" w:eastAsia="zh-CN"/>
              </w:rPr>
              <w:t>粘合</w:t>
            </w:r>
            <w:r>
              <w:rPr>
                <w:rFonts w:hint="eastAsia" w:ascii="仿宋_GB2312" w:eastAsia="仿宋_GB2312"/>
                <w:sz w:val="24"/>
                <w:lang w:val="en-US" w:eastAsia="zh-CN"/>
              </w:rPr>
              <w:t>材料，以天然石材碎粉料和天然石英石砂粉为主要原料制成新型绿色建材产品。采用高度自动化的连续稳定生产工艺以及严格的生产环境保障产品性能。</w:t>
            </w:r>
          </w:p>
        </w:tc>
        <w:tc>
          <w:tcPr>
            <w:tcW w:w="1673" w:type="dxa"/>
            <w:noWrap w:val="0"/>
            <w:vAlign w:val="center"/>
          </w:tcPr>
          <w:p>
            <w:pPr>
              <w:spacing w:line="320" w:lineRule="exact"/>
              <w:rPr>
                <w:rFonts w:hint="default" w:ascii="仿宋_GB2312" w:eastAsia="仿宋_GB2312"/>
                <w:sz w:val="24"/>
                <w:lang w:val="en-US" w:eastAsia="zh-CN"/>
              </w:rPr>
            </w:pPr>
            <w:r>
              <w:rPr>
                <w:rFonts w:hint="eastAsia" w:ascii="仿宋_GB2312" w:eastAsia="仿宋_GB2312"/>
                <w:sz w:val="24"/>
                <w:lang w:val="en-US" w:eastAsia="zh-CN"/>
              </w:rPr>
              <w:t xml:space="preserve">室内外墙地面装修工程 </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深圳坪山高新区综合服务中心装饰装修项目、广州金沙洲金铂广场、北京五彩城项目</w:t>
            </w:r>
          </w:p>
        </w:tc>
        <w:tc>
          <w:tcPr>
            <w:tcW w:w="1510"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 xml:space="preserve">东莞环球经典新型材料有限公司、深圳市润丰新材料科技有限公司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5</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地面无机渗透结晶硬化剂</w:t>
            </w:r>
          </w:p>
        </w:tc>
        <w:tc>
          <w:tcPr>
            <w:tcW w:w="661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主要成分为硅酸盐，能够渗透到水泥砂浆或混凝土中，与混凝土中的钙离子发生化学反应，生成不溶于水的水化硅酸钙结晶体，填充水泥或混凝土的毛细孔。当用于混凝土或砂浆地坪时，使得基层表面更加致密，可提高砂浆或混凝土地面的表面硬度和耐磨性。</w:t>
            </w:r>
          </w:p>
        </w:tc>
        <w:tc>
          <w:tcPr>
            <w:tcW w:w="167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室内外砂浆或混凝土地坪工程</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深圳香山美树苑地下停车场地坪工程、爱斯福电讯设备（深圳）有限公司新厂车间地面装修、大族激光福永基地车间项目</w:t>
            </w:r>
          </w:p>
        </w:tc>
        <w:tc>
          <w:tcPr>
            <w:tcW w:w="1510"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深圳市邦士富科技有限公司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6</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预应力带肋混凝土叠合板生产技术</w:t>
            </w:r>
          </w:p>
        </w:tc>
        <w:tc>
          <w:tcPr>
            <w:tcW w:w="661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革新长线法生产线，研发了适应于大规模连续生产的长线法组装式模台；适用于不同配筋、不同张拉力、不同截面尺寸预应力带肋混凝土叠合板的张拉和整体放张装置，增强了生产线对设计的适应性，保障张拉和放张质量。</w:t>
            </w:r>
          </w:p>
        </w:tc>
        <w:tc>
          <w:tcPr>
            <w:tcW w:w="167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预制构件</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深圳长圳公共住房及其附属工程、坪山区实验学校南校区二期、竹坑学校、锦龙学校</w:t>
            </w:r>
          </w:p>
        </w:tc>
        <w:tc>
          <w:tcPr>
            <w:tcW w:w="1510"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eastAsia="zh-CN"/>
              </w:rPr>
              <w:t>中建科技集团有限公司深圳分公司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7</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预制混凝土柱和钢梁框架结构体系设计关键技术</w:t>
            </w:r>
          </w:p>
        </w:tc>
        <w:tc>
          <w:tcPr>
            <w:tcW w:w="661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采用标准化、模块化设计，建立了一套预制混凝土柱+钢梁+预制楼板的新型框架结构体系。采用的新型梁柱节点设计技术包括两端车丝螺纹钢筋代替节点竖向横隔板，优化节点侧板尺寸扭剪型高强螺栓预安装，节点+混凝土柱一体化预制生产。</w:t>
            </w:r>
          </w:p>
        </w:tc>
        <w:tc>
          <w:tcPr>
            <w:tcW w:w="167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抗震设防烈度为6～8度的多层建筑，尤其是标准化程度高的学校项目</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深圳坪山区实验学校南校区二期、竹坑学校、锦龙学校</w:t>
            </w:r>
          </w:p>
        </w:tc>
        <w:tc>
          <w:tcPr>
            <w:tcW w:w="1510"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eastAsia="zh-CN"/>
              </w:rPr>
              <w:t>中建科技集团有限公司深圳分公司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720" w:type="dxa"/>
            <w:noWrap w:val="0"/>
            <w:vAlign w:val="center"/>
          </w:tcPr>
          <w:p>
            <w:pPr>
              <w:widowControl/>
              <w:jc w:val="center"/>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8</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装配式钢结构轻板建筑成套技术体系</w:t>
            </w:r>
          </w:p>
        </w:tc>
        <w:tc>
          <w:tcPr>
            <w:tcW w:w="661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成套技术体系由全钢结构主体+钢筋桁架楼承板+轻质墙体外围护体系三部分组成，其中轻质墙板外围护体系减轻了自重，优化了墙板节点构造，有利于缩短建设工期。</w:t>
            </w:r>
          </w:p>
        </w:tc>
        <w:tc>
          <w:tcPr>
            <w:tcW w:w="167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钢结构建筑工程</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深圳库马克大厦、第三高科技预制学校、江苏盐城东台宁熙悦府、泰州南韵家园</w:t>
            </w:r>
          </w:p>
        </w:tc>
        <w:tc>
          <w:tcPr>
            <w:tcW w:w="1510" w:type="dxa"/>
            <w:noWrap w:val="0"/>
            <w:vAlign w:val="center"/>
          </w:tcPr>
          <w:p>
            <w:pPr>
              <w:spacing w:line="320" w:lineRule="exact"/>
              <w:jc w:val="left"/>
              <w:rPr>
                <w:rFonts w:hint="eastAsia" w:ascii="仿宋_GB2312" w:eastAsia="仿宋_GB2312"/>
                <w:sz w:val="24"/>
                <w:lang w:eastAsia="zh-CN"/>
              </w:rPr>
            </w:pPr>
            <w:r>
              <w:rPr>
                <w:rFonts w:hint="eastAsia" w:ascii="仿宋_GB2312" w:eastAsia="仿宋_GB2312"/>
                <w:sz w:val="24"/>
                <w:lang w:val="en-US" w:eastAsia="zh-CN"/>
              </w:rPr>
              <w:t>深圳金鑫绿建股份有限公司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trPr>
        <w:tc>
          <w:tcPr>
            <w:tcW w:w="720" w:type="dxa"/>
            <w:noWrap w:val="0"/>
            <w:vAlign w:val="center"/>
          </w:tcPr>
          <w:p>
            <w:pPr>
              <w:spacing w:line="320" w:lineRule="exact"/>
              <w:jc w:val="center"/>
              <w:rPr>
                <w:rFonts w:hint="default" w:ascii="仿宋_GB2312" w:eastAsia="仿宋_GB2312"/>
                <w:b w:val="0"/>
                <w:bCs w:val="0"/>
                <w:sz w:val="24"/>
                <w:lang w:val="en-US" w:eastAsia="zh-CN"/>
              </w:rPr>
            </w:pPr>
            <w:bookmarkStart w:id="0" w:name="OLE_LINK3" w:colFirst="2" w:colLast="2"/>
            <w:bookmarkStart w:id="1" w:name="OLE_LINK2" w:colFirst="2" w:colLast="2"/>
            <w:bookmarkStart w:id="2" w:name="OLE_LINK1" w:colFirst="2" w:colLast="2"/>
            <w:bookmarkStart w:id="3" w:name="_Hlk386031088"/>
            <w:r>
              <w:rPr>
                <w:rFonts w:hint="eastAsia" w:ascii="仿宋_GB2312" w:eastAsia="仿宋_GB2312"/>
                <w:b w:val="0"/>
                <w:bCs w:val="0"/>
                <w:sz w:val="24"/>
                <w:lang w:val="en-US" w:eastAsia="zh-CN"/>
              </w:rPr>
              <w:t>9</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rPr>
              <w:t>新型钢管混凝土柱－钢筋混凝土梁连接节点技术</w:t>
            </w:r>
          </w:p>
        </w:tc>
        <w:tc>
          <w:tcPr>
            <w:tcW w:w="6613" w:type="dxa"/>
            <w:noWrap w:val="0"/>
            <w:vAlign w:val="center"/>
          </w:tcPr>
          <w:p>
            <w:pPr>
              <w:spacing w:line="320" w:lineRule="exact"/>
              <w:rPr>
                <w:rFonts w:hint="eastAsia" w:ascii="仿宋_GB2312" w:eastAsia="仿宋_GB2312"/>
                <w:sz w:val="24"/>
              </w:rPr>
            </w:pPr>
            <w:r>
              <w:rPr>
                <w:rFonts w:hint="eastAsia" w:ascii="仿宋_GB2312" w:eastAsia="仿宋_GB2312"/>
                <w:sz w:val="24"/>
                <w:lang w:eastAsia="zh-CN"/>
              </w:rPr>
              <w:t>在对</w:t>
            </w:r>
            <w:r>
              <w:rPr>
                <w:rFonts w:hint="eastAsia" w:ascii="仿宋_GB2312" w:eastAsia="仿宋_GB2312"/>
                <w:sz w:val="24"/>
                <w:lang w:val="en-US" w:eastAsia="zh-CN"/>
              </w:rPr>
              <w:t>节点抗震性能进行充分研究论证前提下，</w:t>
            </w:r>
            <w:r>
              <w:rPr>
                <w:rFonts w:hint="eastAsia" w:ascii="仿宋_GB2312" w:eastAsia="仿宋_GB2312"/>
                <w:sz w:val="24"/>
              </w:rPr>
              <w:t>在梁柱连接处钢管柱壁开洞，整根钢筋混凝土梁遇钢管不</w:t>
            </w:r>
            <w:r>
              <w:rPr>
                <w:rFonts w:hint="eastAsia" w:ascii="仿宋_GB2312" w:eastAsia="仿宋_GB2312"/>
                <w:sz w:val="24"/>
                <w:lang w:eastAsia="zh-CN"/>
              </w:rPr>
              <w:t>间断</w:t>
            </w:r>
            <w:r>
              <w:rPr>
                <w:rFonts w:hint="eastAsia" w:ascii="仿宋_GB2312" w:eastAsia="仿宋_GB2312"/>
                <w:sz w:val="24"/>
              </w:rPr>
              <w:t>直接穿过管壁与管内混凝土形成整体。洞口的顶和底设置环向钢板加强环，弥补开洞对管内混凝土的影响。</w:t>
            </w:r>
          </w:p>
        </w:tc>
        <w:tc>
          <w:tcPr>
            <w:tcW w:w="1673" w:type="dxa"/>
            <w:noWrap w:val="0"/>
            <w:vAlign w:val="center"/>
          </w:tcPr>
          <w:p>
            <w:pPr>
              <w:spacing w:line="320" w:lineRule="exact"/>
              <w:rPr>
                <w:rFonts w:hint="eastAsia" w:ascii="仿宋_GB2312" w:eastAsia="仿宋_GB2312"/>
                <w:sz w:val="24"/>
              </w:rPr>
            </w:pPr>
            <w:r>
              <w:rPr>
                <w:rFonts w:hint="eastAsia" w:ascii="仿宋_GB2312" w:eastAsia="仿宋_GB2312"/>
                <w:sz w:val="24"/>
              </w:rPr>
              <w:t>建筑工程</w:t>
            </w:r>
          </w:p>
        </w:tc>
        <w:tc>
          <w:tcPr>
            <w:tcW w:w="2886" w:type="dxa"/>
            <w:noWrap w:val="0"/>
            <w:vAlign w:val="center"/>
          </w:tcPr>
          <w:p>
            <w:pPr>
              <w:spacing w:line="320" w:lineRule="exact"/>
              <w:rPr>
                <w:rFonts w:hint="eastAsia" w:ascii="仿宋_GB2312" w:eastAsia="仿宋_GB2312"/>
                <w:sz w:val="24"/>
              </w:rPr>
            </w:pPr>
            <w:r>
              <w:rPr>
                <w:rFonts w:hint="eastAsia" w:ascii="仿宋_GB2312" w:eastAsia="仿宋_GB2312"/>
                <w:color w:val="auto"/>
                <w:sz w:val="24"/>
                <w:lang w:val="en-US" w:eastAsia="zh-CN"/>
              </w:rPr>
              <w:t>深圳</w:t>
            </w:r>
            <w:r>
              <w:rPr>
                <w:rFonts w:hint="eastAsia" w:ascii="仿宋_GB2312" w:eastAsia="仿宋_GB2312"/>
                <w:color w:val="auto"/>
                <w:sz w:val="24"/>
              </w:rPr>
              <w:t>嘉汇新城</w:t>
            </w:r>
          </w:p>
        </w:tc>
        <w:tc>
          <w:tcPr>
            <w:tcW w:w="1510" w:type="dxa"/>
            <w:noWrap w:val="0"/>
            <w:vAlign w:val="center"/>
          </w:tcPr>
          <w:p>
            <w:pPr>
              <w:spacing w:line="320" w:lineRule="exact"/>
              <w:jc w:val="left"/>
              <w:rPr>
                <w:rFonts w:hint="eastAsia" w:ascii="仿宋_GB2312" w:eastAsia="仿宋_GB2312"/>
                <w:sz w:val="24"/>
              </w:rPr>
            </w:pPr>
            <w:r>
              <w:rPr>
                <w:rFonts w:hint="eastAsia" w:ascii="仿宋_GB2312" w:eastAsia="仿宋_GB2312"/>
                <w:sz w:val="24"/>
              </w:rPr>
              <w:t>香港华艺设计顾问（深圳）有限公司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720" w:type="dxa"/>
            <w:noWrap w:val="0"/>
            <w:vAlign w:val="center"/>
          </w:tcPr>
          <w:p>
            <w:pPr>
              <w:spacing w:line="320" w:lineRule="exact"/>
              <w:jc w:val="center"/>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10</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rPr>
              <w:t>装配式建筑中的新型防雷引下线结构连接做法</w:t>
            </w:r>
          </w:p>
        </w:tc>
        <w:tc>
          <w:tcPr>
            <w:tcW w:w="6613" w:type="dxa"/>
            <w:noWrap w:val="0"/>
            <w:vAlign w:val="center"/>
          </w:tcPr>
          <w:p>
            <w:pPr>
              <w:spacing w:line="320" w:lineRule="exact"/>
              <w:rPr>
                <w:rFonts w:hint="default" w:ascii="仿宋_GB2312" w:eastAsia="仿宋_GB2312"/>
                <w:sz w:val="24"/>
                <w:lang w:val="en-US" w:eastAsia="zh-CN"/>
              </w:rPr>
            </w:pPr>
            <w:r>
              <w:rPr>
                <w:rFonts w:hint="eastAsia" w:ascii="仿宋_GB2312" w:eastAsia="仿宋_GB2312"/>
                <w:sz w:val="24"/>
                <w:lang w:eastAsia="zh-CN"/>
              </w:rPr>
              <w:t>针对装配式建筑防雷设计，对预制墙体内防雷接地端子的预留提出设计要求，指导预制构件在工厂生产制作时提前预留防雷接地端子位置。</w:t>
            </w:r>
          </w:p>
        </w:tc>
        <w:tc>
          <w:tcPr>
            <w:tcW w:w="167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高预制率混凝土</w:t>
            </w:r>
            <w:r>
              <w:rPr>
                <w:rFonts w:hint="eastAsia" w:ascii="仿宋_GB2312" w:eastAsia="仿宋_GB2312"/>
                <w:sz w:val="24"/>
              </w:rPr>
              <w:t>建筑工程</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w:t>
            </w:r>
            <w:r>
              <w:rPr>
                <w:rFonts w:hint="eastAsia" w:ascii="仿宋_GB2312" w:eastAsia="仿宋_GB2312"/>
                <w:sz w:val="24"/>
              </w:rPr>
              <w:t>华盛珑悦保障房（龙华宝龙项目）</w:t>
            </w:r>
            <w:r>
              <w:rPr>
                <w:rFonts w:hint="eastAsia" w:ascii="仿宋_GB2312" w:eastAsia="仿宋_GB2312"/>
                <w:sz w:val="24"/>
                <w:lang w:eastAsia="zh-CN"/>
              </w:rPr>
              <w:t>、中海慧智大厦项目</w:t>
            </w:r>
          </w:p>
        </w:tc>
        <w:tc>
          <w:tcPr>
            <w:tcW w:w="1510"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rPr>
              <w:t>香港华艺设计顾问（深圳）有限公司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720" w:type="dxa"/>
            <w:noWrap w:val="0"/>
            <w:vAlign w:val="center"/>
          </w:tcPr>
          <w:p>
            <w:pPr>
              <w:spacing w:line="320" w:lineRule="exact"/>
              <w:jc w:val="center"/>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11</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rPr>
              <w:t>斜交大跨空间连体结构</w:t>
            </w:r>
            <w:r>
              <w:rPr>
                <w:rFonts w:hint="eastAsia" w:ascii="仿宋_GB2312" w:eastAsia="仿宋_GB2312"/>
                <w:sz w:val="24"/>
                <w:lang w:val="en-US" w:eastAsia="zh-CN"/>
              </w:rPr>
              <w:t>关键技术</w:t>
            </w:r>
          </w:p>
        </w:tc>
        <w:tc>
          <w:tcPr>
            <w:tcW w:w="6613" w:type="dxa"/>
            <w:noWrap w:val="0"/>
            <w:vAlign w:val="center"/>
          </w:tcPr>
          <w:p>
            <w:pPr>
              <w:spacing w:line="320" w:lineRule="exact"/>
              <w:rPr>
                <w:rFonts w:hint="default" w:ascii="仿宋_GB2312" w:eastAsia="仿宋_GB2312"/>
                <w:sz w:val="24"/>
                <w:lang w:val="en-US"/>
              </w:rPr>
            </w:pPr>
            <w:r>
              <w:rPr>
                <w:rFonts w:hint="eastAsia" w:ascii="仿宋_GB2312" w:eastAsia="仿宋_GB2312"/>
                <w:sz w:val="24"/>
                <w:lang w:eastAsia="zh-CN"/>
              </w:rPr>
              <w:t>基于</w:t>
            </w:r>
            <w:r>
              <w:rPr>
                <w:rFonts w:hint="eastAsia" w:ascii="仿宋_GB2312" w:eastAsia="仿宋_GB2312"/>
                <w:sz w:val="24"/>
              </w:rPr>
              <w:t>斜交大跨空间连体结构主要特点</w:t>
            </w:r>
            <w:r>
              <w:rPr>
                <w:rFonts w:hint="eastAsia" w:ascii="仿宋_GB2312" w:eastAsia="仿宋_GB2312"/>
                <w:sz w:val="24"/>
                <w:lang w:eastAsia="zh-CN"/>
              </w:rPr>
              <w:t>和</w:t>
            </w:r>
            <w:r>
              <w:rPr>
                <w:rFonts w:hint="eastAsia" w:ascii="仿宋_GB2312" w:eastAsia="仿宋_GB2312"/>
                <w:sz w:val="24"/>
              </w:rPr>
              <w:t>动力特性</w:t>
            </w:r>
            <w:r>
              <w:rPr>
                <w:rFonts w:hint="eastAsia" w:ascii="仿宋_GB2312" w:eastAsia="仿宋_GB2312"/>
                <w:sz w:val="24"/>
                <w:lang w:eastAsia="zh-CN"/>
              </w:rPr>
              <w:t>研究</w:t>
            </w:r>
            <w:r>
              <w:rPr>
                <w:rFonts w:hint="eastAsia" w:ascii="仿宋_GB2312" w:eastAsia="仿宋_GB2312"/>
                <w:sz w:val="24"/>
              </w:rPr>
              <w:t>，</w:t>
            </w:r>
            <w:r>
              <w:rPr>
                <w:rFonts w:hint="eastAsia" w:ascii="仿宋_GB2312" w:eastAsia="仿宋_GB2312"/>
                <w:sz w:val="24"/>
                <w:lang w:val="en-US" w:eastAsia="zh-CN"/>
              </w:rPr>
              <w:t>建立了一套</w:t>
            </w:r>
            <w:r>
              <w:rPr>
                <w:rFonts w:hint="eastAsia" w:ascii="仿宋_GB2312" w:eastAsia="仿宋_GB2312"/>
                <w:sz w:val="24"/>
              </w:rPr>
              <w:t>斜交大跨空间连体结构</w:t>
            </w:r>
            <w:r>
              <w:rPr>
                <w:rFonts w:hint="eastAsia" w:ascii="仿宋_GB2312" w:eastAsia="仿宋_GB2312"/>
                <w:sz w:val="24"/>
                <w:lang w:val="en-US" w:eastAsia="zh-CN"/>
              </w:rPr>
              <w:t>设计方法，提出了连体拼装变形控制以及相应的施工安装方法。</w:t>
            </w:r>
          </w:p>
        </w:tc>
        <w:tc>
          <w:tcPr>
            <w:tcW w:w="1673" w:type="dxa"/>
            <w:noWrap w:val="0"/>
            <w:vAlign w:val="center"/>
          </w:tcPr>
          <w:p>
            <w:pPr>
              <w:spacing w:line="320" w:lineRule="exact"/>
              <w:rPr>
                <w:rFonts w:hint="eastAsia" w:ascii="仿宋_GB2312" w:eastAsia="仿宋_GB2312"/>
                <w:sz w:val="24"/>
                <w:lang w:eastAsia="zh-CN"/>
              </w:rPr>
            </w:pPr>
            <w:r>
              <w:rPr>
                <w:rFonts w:hint="eastAsia" w:ascii="仿宋_GB2312" w:eastAsia="仿宋_GB2312"/>
                <w:sz w:val="24"/>
              </w:rPr>
              <w:t>高层和超高层建筑</w:t>
            </w:r>
            <w:r>
              <w:rPr>
                <w:rFonts w:hint="eastAsia" w:ascii="仿宋_GB2312" w:eastAsia="仿宋_GB2312"/>
                <w:sz w:val="24"/>
                <w:lang w:eastAsia="zh-CN"/>
              </w:rPr>
              <w:t>工程</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rPr>
              <w:t>深圳湾创新科技中心</w:t>
            </w:r>
          </w:p>
        </w:tc>
        <w:tc>
          <w:tcPr>
            <w:tcW w:w="1510" w:type="dxa"/>
            <w:noWrap w:val="0"/>
            <w:vAlign w:val="center"/>
          </w:tcPr>
          <w:p>
            <w:pPr>
              <w:spacing w:line="320" w:lineRule="exact"/>
              <w:jc w:val="left"/>
              <w:rPr>
                <w:rFonts w:hint="eastAsia" w:ascii="仿宋_GB2312" w:eastAsia="仿宋_GB2312"/>
                <w:sz w:val="24"/>
              </w:rPr>
            </w:pPr>
            <w:r>
              <w:rPr>
                <w:rFonts w:hint="eastAsia" w:ascii="仿宋_GB2312" w:eastAsia="仿宋_GB2312"/>
                <w:sz w:val="24"/>
              </w:rPr>
              <w:t>深圳市建筑设计研究总院有限公司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720" w:type="dxa"/>
            <w:noWrap w:val="0"/>
            <w:vAlign w:val="center"/>
          </w:tcPr>
          <w:p>
            <w:pPr>
              <w:spacing w:line="320" w:lineRule="exact"/>
              <w:jc w:val="center"/>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12</w:t>
            </w:r>
          </w:p>
        </w:tc>
        <w:tc>
          <w:tcPr>
            <w:tcW w:w="1505" w:type="dxa"/>
            <w:noWrap w:val="0"/>
            <w:vAlign w:val="center"/>
          </w:tcPr>
          <w:p>
            <w:pPr>
              <w:spacing w:line="320" w:lineRule="exact"/>
              <w:jc w:val="left"/>
              <w:rPr>
                <w:rFonts w:hint="eastAsia" w:ascii="仿宋_GB2312" w:eastAsia="仿宋_GB2312"/>
                <w:sz w:val="24"/>
              </w:rPr>
            </w:pPr>
            <w:r>
              <w:rPr>
                <w:rFonts w:hint="eastAsia" w:ascii="仿宋_GB2312" w:eastAsia="仿宋_GB2312"/>
                <w:sz w:val="24"/>
              </w:rPr>
              <w:t>废旧混凝土一体化再生利用关键技术</w:t>
            </w:r>
          </w:p>
        </w:tc>
        <w:tc>
          <w:tcPr>
            <w:tcW w:w="6613" w:type="dxa"/>
            <w:noWrap w:val="0"/>
            <w:vAlign w:val="center"/>
          </w:tcPr>
          <w:p>
            <w:pPr>
              <w:spacing w:line="320" w:lineRule="exact"/>
              <w:rPr>
                <w:rFonts w:hint="eastAsia" w:ascii="仿宋_GB2312" w:eastAsia="仿宋_GB2312"/>
                <w:sz w:val="24"/>
              </w:rPr>
            </w:pPr>
            <w:r>
              <w:rPr>
                <w:rFonts w:hint="eastAsia" w:ascii="仿宋_GB2312" w:eastAsia="仿宋_GB2312"/>
                <w:sz w:val="24"/>
              </w:rPr>
              <w:t>对废旧混凝土</w:t>
            </w:r>
            <w:r>
              <w:rPr>
                <w:rFonts w:hint="eastAsia" w:ascii="仿宋_GB2312" w:eastAsia="仿宋_GB2312"/>
                <w:sz w:val="24"/>
                <w:lang w:eastAsia="zh-CN"/>
              </w:rPr>
              <w:t>再利用，包括</w:t>
            </w:r>
            <w:r>
              <w:rPr>
                <w:rFonts w:hint="eastAsia" w:ascii="仿宋_GB2312" w:eastAsia="仿宋_GB2312"/>
                <w:sz w:val="24"/>
              </w:rPr>
              <w:t>再生块体混凝土、再生骨料混凝土、新型再生块体混凝土、再生砖/砌块等多种</w:t>
            </w:r>
            <w:r>
              <w:rPr>
                <w:rFonts w:hint="eastAsia" w:ascii="仿宋_GB2312" w:eastAsia="仿宋_GB2312"/>
                <w:sz w:val="24"/>
                <w:lang w:eastAsia="zh-CN"/>
              </w:rPr>
              <w:t>形式</w:t>
            </w:r>
            <w:r>
              <w:rPr>
                <w:rFonts w:hint="eastAsia" w:ascii="仿宋_GB2312" w:eastAsia="仿宋_GB2312"/>
                <w:sz w:val="24"/>
              </w:rPr>
              <w:t>，提高</w:t>
            </w:r>
            <w:r>
              <w:rPr>
                <w:rFonts w:hint="eastAsia" w:ascii="仿宋_GB2312" w:eastAsia="仿宋_GB2312"/>
                <w:sz w:val="24"/>
                <w:lang w:eastAsia="zh-CN"/>
              </w:rPr>
              <w:t>废旧</w:t>
            </w:r>
            <w:r>
              <w:rPr>
                <w:rFonts w:hint="eastAsia" w:ascii="仿宋_GB2312" w:eastAsia="仿宋_GB2312"/>
                <w:sz w:val="24"/>
              </w:rPr>
              <w:t>混凝土资源利用率。</w:t>
            </w:r>
          </w:p>
        </w:tc>
        <w:tc>
          <w:tcPr>
            <w:tcW w:w="1673" w:type="dxa"/>
            <w:noWrap w:val="0"/>
            <w:vAlign w:val="center"/>
          </w:tcPr>
          <w:p>
            <w:pPr>
              <w:spacing w:line="320" w:lineRule="exact"/>
              <w:rPr>
                <w:rFonts w:hint="default" w:ascii="仿宋_GB2312" w:eastAsia="仿宋_GB2312"/>
                <w:sz w:val="24"/>
                <w:lang w:val="en-US" w:eastAsia="zh-CN"/>
              </w:rPr>
            </w:pPr>
            <w:r>
              <w:rPr>
                <w:rFonts w:hint="eastAsia" w:ascii="仿宋_GB2312" w:eastAsia="仿宋_GB2312"/>
                <w:sz w:val="24"/>
                <w:lang w:val="en-US" w:eastAsia="zh-CN"/>
              </w:rPr>
              <w:t>民用和市政工程的非关键构件</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rPr>
              <w:t>深圳湾创新科技中心</w:t>
            </w:r>
            <w:r>
              <w:rPr>
                <w:rFonts w:hint="eastAsia" w:ascii="仿宋_GB2312" w:eastAsia="仿宋_GB2312"/>
                <w:sz w:val="24"/>
                <w:lang w:eastAsia="zh-CN"/>
              </w:rPr>
              <w:t>、</w:t>
            </w:r>
            <w:r>
              <w:rPr>
                <w:rFonts w:hint="eastAsia" w:ascii="仿宋_GB2312" w:eastAsia="仿宋_GB2312"/>
                <w:sz w:val="24"/>
              </w:rPr>
              <w:t>紫金文化活动中心</w:t>
            </w:r>
          </w:p>
        </w:tc>
        <w:tc>
          <w:tcPr>
            <w:tcW w:w="1510" w:type="dxa"/>
            <w:noWrap w:val="0"/>
            <w:vAlign w:val="center"/>
          </w:tcPr>
          <w:p>
            <w:pPr>
              <w:spacing w:line="320" w:lineRule="exact"/>
              <w:jc w:val="left"/>
              <w:rPr>
                <w:rFonts w:hint="eastAsia" w:ascii="仿宋_GB2312" w:eastAsia="仿宋_GB2312"/>
                <w:sz w:val="24"/>
              </w:rPr>
            </w:pPr>
            <w:r>
              <w:rPr>
                <w:rFonts w:hint="eastAsia" w:ascii="仿宋_GB2312" w:eastAsia="仿宋_GB2312"/>
                <w:sz w:val="24"/>
              </w:rPr>
              <w:t>深圳市建筑设计研究总院有限公司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720" w:type="dxa"/>
            <w:noWrap w:val="0"/>
            <w:vAlign w:val="center"/>
          </w:tcPr>
          <w:p>
            <w:pPr>
              <w:spacing w:line="320" w:lineRule="exact"/>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13</w:t>
            </w:r>
          </w:p>
        </w:tc>
        <w:tc>
          <w:tcPr>
            <w:tcW w:w="1505"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lang w:val="en-US" w:eastAsia="zh-CN"/>
              </w:rPr>
              <w:t>基于电力线载波通信技术的全屋智能系统</w:t>
            </w:r>
          </w:p>
        </w:tc>
        <w:tc>
          <w:tcPr>
            <w:tcW w:w="661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rPr>
              <w:t>以全屋智能主机为中央控制系统，具备稳定可靠的PLC（电力线</w:t>
            </w:r>
            <w:r>
              <w:rPr>
                <w:rFonts w:hint="eastAsia" w:ascii="仿宋_GB2312" w:eastAsia="仿宋_GB2312"/>
                <w:sz w:val="24"/>
                <w:lang w:eastAsia="zh-CN"/>
              </w:rPr>
              <w:t>载波</w:t>
            </w:r>
            <w:r>
              <w:rPr>
                <w:rFonts w:hint="eastAsia" w:ascii="仿宋_GB2312" w:eastAsia="仿宋_GB2312"/>
                <w:sz w:val="24"/>
              </w:rPr>
              <w:t>通信）全屋网络，高速全覆盖的全屋Wi-Fi，支持丰富的可扩展鸿蒙生态配套，对全屋环境、</w:t>
            </w:r>
            <w:r>
              <w:rPr>
                <w:rFonts w:hint="eastAsia" w:ascii="仿宋_GB2312" w:eastAsia="仿宋_GB2312"/>
                <w:sz w:val="24"/>
                <w:lang w:eastAsia="zh-CN"/>
              </w:rPr>
              <w:t>操控</w:t>
            </w:r>
            <w:r>
              <w:rPr>
                <w:rFonts w:hint="eastAsia" w:ascii="仿宋_GB2312" w:eastAsia="仿宋_GB2312"/>
                <w:sz w:val="24"/>
              </w:rPr>
              <w:t>及系统设备等进行分布式信息处理和智能决策，</w:t>
            </w:r>
            <w:r>
              <w:rPr>
                <w:rFonts w:hint="eastAsia" w:ascii="仿宋_GB2312" w:eastAsia="仿宋_GB2312"/>
                <w:sz w:val="24"/>
                <w:lang w:eastAsia="zh-CN"/>
              </w:rPr>
              <w:t>为</w:t>
            </w:r>
            <w:r>
              <w:rPr>
                <w:rFonts w:hint="eastAsia" w:ascii="仿宋_GB2312" w:eastAsia="仿宋_GB2312"/>
                <w:sz w:val="24"/>
              </w:rPr>
              <w:t>用户带来全场景智慧体验</w:t>
            </w:r>
            <w:r>
              <w:rPr>
                <w:rFonts w:hint="eastAsia" w:ascii="仿宋_GB2312" w:eastAsia="仿宋_GB2312"/>
                <w:sz w:val="24"/>
                <w:lang w:eastAsia="zh-CN"/>
              </w:rPr>
              <w:t>。</w:t>
            </w:r>
          </w:p>
        </w:tc>
        <w:tc>
          <w:tcPr>
            <w:tcW w:w="1673"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rPr>
              <w:t>家居、酒店</w:t>
            </w:r>
            <w:r>
              <w:rPr>
                <w:rFonts w:hint="eastAsia" w:ascii="仿宋_GB2312" w:eastAsia="仿宋_GB2312"/>
                <w:sz w:val="24"/>
                <w:lang w:eastAsia="zh-CN"/>
              </w:rPr>
              <w:t>、</w:t>
            </w:r>
            <w:r>
              <w:rPr>
                <w:rFonts w:hint="eastAsia" w:ascii="仿宋_GB2312" w:eastAsia="仿宋_GB2312"/>
                <w:sz w:val="24"/>
              </w:rPr>
              <w:t>会议室、教室、医院等空间智能化装修工程</w:t>
            </w:r>
          </w:p>
        </w:tc>
        <w:tc>
          <w:tcPr>
            <w:tcW w:w="2886" w:type="dxa"/>
            <w:noWrap w:val="0"/>
            <w:vAlign w:val="center"/>
          </w:tcPr>
          <w:p>
            <w:pPr>
              <w:spacing w:line="320" w:lineRule="exact"/>
              <w:rPr>
                <w:rFonts w:hint="eastAsia" w:ascii="仿宋_GB2312" w:eastAsia="仿宋_GB2312"/>
                <w:sz w:val="24"/>
                <w:lang w:val="en-US" w:eastAsia="zh-CN"/>
              </w:rPr>
            </w:pPr>
            <w:r>
              <w:rPr>
                <w:rFonts w:hint="eastAsia" w:ascii="仿宋_GB2312" w:eastAsia="仿宋_GB2312"/>
                <w:sz w:val="24"/>
                <w:lang w:val="en-US" w:eastAsia="zh-CN"/>
              </w:rPr>
              <w:t>深圳</w:t>
            </w:r>
            <w:r>
              <w:rPr>
                <w:rFonts w:hint="eastAsia" w:ascii="仿宋_GB2312" w:eastAsia="仿宋_GB2312"/>
                <w:sz w:val="24"/>
              </w:rPr>
              <w:t>世茂深港国际</w:t>
            </w:r>
            <w:r>
              <w:rPr>
                <w:rFonts w:hint="eastAsia" w:ascii="仿宋_GB2312" w:eastAsia="仿宋_GB2312"/>
                <w:sz w:val="24"/>
                <w:lang w:eastAsia="zh-CN"/>
              </w:rPr>
              <w:t>、</w:t>
            </w:r>
            <w:r>
              <w:rPr>
                <w:rFonts w:hint="eastAsia" w:ascii="仿宋_GB2312" w:eastAsia="仿宋_GB2312"/>
                <w:sz w:val="24"/>
              </w:rPr>
              <w:t>西安绿地中心</w:t>
            </w:r>
            <w:r>
              <w:rPr>
                <w:rFonts w:hint="eastAsia" w:ascii="仿宋_GB2312" w:eastAsia="仿宋_GB2312"/>
                <w:sz w:val="24"/>
                <w:lang w:eastAsia="zh-CN"/>
              </w:rPr>
              <w:t>、</w:t>
            </w:r>
            <w:r>
              <w:rPr>
                <w:rFonts w:hint="eastAsia" w:ascii="仿宋_GB2312" w:eastAsia="仿宋_GB2312"/>
                <w:sz w:val="24"/>
              </w:rPr>
              <w:t>北京金茂府</w:t>
            </w:r>
          </w:p>
        </w:tc>
        <w:tc>
          <w:tcPr>
            <w:tcW w:w="1510" w:type="dxa"/>
            <w:noWrap w:val="0"/>
            <w:vAlign w:val="center"/>
          </w:tcPr>
          <w:p>
            <w:pPr>
              <w:spacing w:line="320" w:lineRule="exact"/>
              <w:jc w:val="left"/>
              <w:rPr>
                <w:rFonts w:hint="eastAsia" w:ascii="仿宋_GB2312" w:eastAsia="仿宋_GB2312"/>
                <w:sz w:val="24"/>
                <w:lang w:val="en-US" w:eastAsia="zh-CN"/>
              </w:rPr>
            </w:pPr>
            <w:r>
              <w:rPr>
                <w:rFonts w:hint="eastAsia" w:ascii="仿宋_GB2312" w:eastAsia="仿宋_GB2312"/>
                <w:sz w:val="24"/>
              </w:rPr>
              <w:t>华为终端有限公司</w:t>
            </w:r>
          </w:p>
        </w:tc>
      </w:tr>
      <w:bookmarkEnd w:id="0"/>
      <w:bookmarkEnd w:id="1"/>
      <w:bookmarkEnd w:id="2"/>
      <w:bookmarkEnd w:id="3"/>
    </w:tbl>
    <w:p>
      <w:pPr>
        <w:rPr>
          <w:rFonts w:hint="eastAsia"/>
        </w:rPr>
      </w:pPr>
    </w:p>
    <w:sectPr>
      <w:footerReference r:id="rId3" w:type="default"/>
      <w:pgSz w:w="16838" w:h="11906" w:orient="landscape"/>
      <w:pgMar w:top="147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kVBSmswBAAB6AwAADgAAAAAAAAABACAAAAAiAQAAZHJz&#10;L2Uyb0RvYy54bWxQSwUGAAAAAAYABgBZAQAAYA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91A"/>
    <w:rsid w:val="0003722B"/>
    <w:rsid w:val="00074541"/>
    <w:rsid w:val="000F2855"/>
    <w:rsid w:val="00107CD9"/>
    <w:rsid w:val="001B2682"/>
    <w:rsid w:val="001F0CD1"/>
    <w:rsid w:val="001F0DC9"/>
    <w:rsid w:val="00216E77"/>
    <w:rsid w:val="00244AC7"/>
    <w:rsid w:val="002E5C3C"/>
    <w:rsid w:val="00394D7B"/>
    <w:rsid w:val="00395393"/>
    <w:rsid w:val="003C7061"/>
    <w:rsid w:val="00443C6E"/>
    <w:rsid w:val="00446961"/>
    <w:rsid w:val="00466A98"/>
    <w:rsid w:val="004D3230"/>
    <w:rsid w:val="004E0155"/>
    <w:rsid w:val="00514A58"/>
    <w:rsid w:val="00534509"/>
    <w:rsid w:val="00560435"/>
    <w:rsid w:val="005915C7"/>
    <w:rsid w:val="00596458"/>
    <w:rsid w:val="005D1656"/>
    <w:rsid w:val="006533EC"/>
    <w:rsid w:val="00666EA6"/>
    <w:rsid w:val="00721FCE"/>
    <w:rsid w:val="007A189F"/>
    <w:rsid w:val="007B741B"/>
    <w:rsid w:val="007E4D81"/>
    <w:rsid w:val="00803EDB"/>
    <w:rsid w:val="008315D8"/>
    <w:rsid w:val="008F232A"/>
    <w:rsid w:val="008F529F"/>
    <w:rsid w:val="0093732E"/>
    <w:rsid w:val="00941412"/>
    <w:rsid w:val="00976426"/>
    <w:rsid w:val="009E7A39"/>
    <w:rsid w:val="00AC5131"/>
    <w:rsid w:val="00BD73B7"/>
    <w:rsid w:val="00BF5FC0"/>
    <w:rsid w:val="00C77C78"/>
    <w:rsid w:val="00CA7E2B"/>
    <w:rsid w:val="00CD4855"/>
    <w:rsid w:val="00D20416"/>
    <w:rsid w:val="00DB0B77"/>
    <w:rsid w:val="00E0053F"/>
    <w:rsid w:val="00E10B6D"/>
    <w:rsid w:val="00E34B47"/>
    <w:rsid w:val="00E40ADA"/>
    <w:rsid w:val="00E86336"/>
    <w:rsid w:val="00E9766F"/>
    <w:rsid w:val="00EA64F8"/>
    <w:rsid w:val="00EC253E"/>
    <w:rsid w:val="00EE5331"/>
    <w:rsid w:val="00F02837"/>
    <w:rsid w:val="00F443C1"/>
    <w:rsid w:val="00F97251"/>
    <w:rsid w:val="00FC01F4"/>
    <w:rsid w:val="01653F35"/>
    <w:rsid w:val="0214137F"/>
    <w:rsid w:val="02D7032B"/>
    <w:rsid w:val="03265AA7"/>
    <w:rsid w:val="03BD0A12"/>
    <w:rsid w:val="044349A8"/>
    <w:rsid w:val="053F7B22"/>
    <w:rsid w:val="05877112"/>
    <w:rsid w:val="06BF0EB3"/>
    <w:rsid w:val="09042364"/>
    <w:rsid w:val="09170314"/>
    <w:rsid w:val="0A1659F9"/>
    <w:rsid w:val="0B8A2E46"/>
    <w:rsid w:val="0BA9076D"/>
    <w:rsid w:val="0C2D3A89"/>
    <w:rsid w:val="0DBF3735"/>
    <w:rsid w:val="0FA82FA8"/>
    <w:rsid w:val="0FEE2FFB"/>
    <w:rsid w:val="10861DCA"/>
    <w:rsid w:val="10D27457"/>
    <w:rsid w:val="12ED5476"/>
    <w:rsid w:val="13DE3FA9"/>
    <w:rsid w:val="14F11F69"/>
    <w:rsid w:val="16CE749C"/>
    <w:rsid w:val="16F46383"/>
    <w:rsid w:val="18D8125D"/>
    <w:rsid w:val="1A0E40CA"/>
    <w:rsid w:val="1A650741"/>
    <w:rsid w:val="1B1C34B2"/>
    <w:rsid w:val="1B79308F"/>
    <w:rsid w:val="1BD8204A"/>
    <w:rsid w:val="1C284A0B"/>
    <w:rsid w:val="1CD27DB2"/>
    <w:rsid w:val="1CD719CF"/>
    <w:rsid w:val="1E076D4C"/>
    <w:rsid w:val="1E3B7723"/>
    <w:rsid w:val="1E5C1BC7"/>
    <w:rsid w:val="1F4941B3"/>
    <w:rsid w:val="1F706606"/>
    <w:rsid w:val="202B3996"/>
    <w:rsid w:val="20364A62"/>
    <w:rsid w:val="21C430AA"/>
    <w:rsid w:val="23B36AC2"/>
    <w:rsid w:val="24730705"/>
    <w:rsid w:val="24A5483D"/>
    <w:rsid w:val="258609AC"/>
    <w:rsid w:val="26613544"/>
    <w:rsid w:val="28590B87"/>
    <w:rsid w:val="2AE4641D"/>
    <w:rsid w:val="2B3D339C"/>
    <w:rsid w:val="2BA02A20"/>
    <w:rsid w:val="2D85331A"/>
    <w:rsid w:val="2E280966"/>
    <w:rsid w:val="2EF31932"/>
    <w:rsid w:val="2F167A80"/>
    <w:rsid w:val="2F6A271D"/>
    <w:rsid w:val="2F6F44D2"/>
    <w:rsid w:val="2F863568"/>
    <w:rsid w:val="304402E8"/>
    <w:rsid w:val="304E6769"/>
    <w:rsid w:val="3127022B"/>
    <w:rsid w:val="31741E81"/>
    <w:rsid w:val="3307638A"/>
    <w:rsid w:val="33975AA0"/>
    <w:rsid w:val="35181174"/>
    <w:rsid w:val="36367B57"/>
    <w:rsid w:val="364048E6"/>
    <w:rsid w:val="36952A3D"/>
    <w:rsid w:val="374E0544"/>
    <w:rsid w:val="37F34F40"/>
    <w:rsid w:val="385D1E0F"/>
    <w:rsid w:val="39290FD6"/>
    <w:rsid w:val="3A854D8B"/>
    <w:rsid w:val="3BED222E"/>
    <w:rsid w:val="3CC305E6"/>
    <w:rsid w:val="3D08104C"/>
    <w:rsid w:val="3D0D6625"/>
    <w:rsid w:val="3E3F4AB1"/>
    <w:rsid w:val="3E8B4D1E"/>
    <w:rsid w:val="3E8D3D90"/>
    <w:rsid w:val="3F217C08"/>
    <w:rsid w:val="3F4D5A2C"/>
    <w:rsid w:val="3FA515A2"/>
    <w:rsid w:val="3FBA10EC"/>
    <w:rsid w:val="40485708"/>
    <w:rsid w:val="41BF0ACF"/>
    <w:rsid w:val="42DF6415"/>
    <w:rsid w:val="42EF0F7B"/>
    <w:rsid w:val="43004F98"/>
    <w:rsid w:val="44422AB1"/>
    <w:rsid w:val="444A4B27"/>
    <w:rsid w:val="454B6152"/>
    <w:rsid w:val="45BC068B"/>
    <w:rsid w:val="45F26AE7"/>
    <w:rsid w:val="46381E58"/>
    <w:rsid w:val="47CE09C1"/>
    <w:rsid w:val="47DF317C"/>
    <w:rsid w:val="48250431"/>
    <w:rsid w:val="4851715A"/>
    <w:rsid w:val="497D4A7D"/>
    <w:rsid w:val="49BF20A4"/>
    <w:rsid w:val="4B434ACB"/>
    <w:rsid w:val="4BA76BC0"/>
    <w:rsid w:val="4CE379AF"/>
    <w:rsid w:val="4F086C5B"/>
    <w:rsid w:val="4FF9696A"/>
    <w:rsid w:val="505A3B73"/>
    <w:rsid w:val="51766187"/>
    <w:rsid w:val="5302429B"/>
    <w:rsid w:val="533A5B56"/>
    <w:rsid w:val="538D6932"/>
    <w:rsid w:val="53DC2379"/>
    <w:rsid w:val="54122E96"/>
    <w:rsid w:val="55A17692"/>
    <w:rsid w:val="568A1113"/>
    <w:rsid w:val="568C5430"/>
    <w:rsid w:val="578D583C"/>
    <w:rsid w:val="57BE722E"/>
    <w:rsid w:val="598B337A"/>
    <w:rsid w:val="599128D2"/>
    <w:rsid w:val="5B87302D"/>
    <w:rsid w:val="5C24723B"/>
    <w:rsid w:val="5D5028CA"/>
    <w:rsid w:val="60FA6527"/>
    <w:rsid w:val="61524EDE"/>
    <w:rsid w:val="61635FBC"/>
    <w:rsid w:val="61C05D8E"/>
    <w:rsid w:val="61CA666E"/>
    <w:rsid w:val="62E5561A"/>
    <w:rsid w:val="63C935FC"/>
    <w:rsid w:val="63E46062"/>
    <w:rsid w:val="642746E4"/>
    <w:rsid w:val="64524B2C"/>
    <w:rsid w:val="654B30A8"/>
    <w:rsid w:val="65C06E48"/>
    <w:rsid w:val="66155631"/>
    <w:rsid w:val="673A4663"/>
    <w:rsid w:val="68046A8E"/>
    <w:rsid w:val="68300EDA"/>
    <w:rsid w:val="68652974"/>
    <w:rsid w:val="68CB0AB7"/>
    <w:rsid w:val="694E0D4E"/>
    <w:rsid w:val="69705D1F"/>
    <w:rsid w:val="69965CF2"/>
    <w:rsid w:val="6ABC335A"/>
    <w:rsid w:val="6B293A59"/>
    <w:rsid w:val="6B895619"/>
    <w:rsid w:val="6BAE38A1"/>
    <w:rsid w:val="6C694928"/>
    <w:rsid w:val="6E022DE1"/>
    <w:rsid w:val="6E214EBC"/>
    <w:rsid w:val="6E5D548C"/>
    <w:rsid w:val="6E897321"/>
    <w:rsid w:val="6EB845FB"/>
    <w:rsid w:val="6F002971"/>
    <w:rsid w:val="6F67197D"/>
    <w:rsid w:val="6FFF5C47"/>
    <w:rsid w:val="701521DA"/>
    <w:rsid w:val="71593AEE"/>
    <w:rsid w:val="71D277F8"/>
    <w:rsid w:val="72A908DB"/>
    <w:rsid w:val="737D41CE"/>
    <w:rsid w:val="75E34CCC"/>
    <w:rsid w:val="772643E8"/>
    <w:rsid w:val="77910024"/>
    <w:rsid w:val="781D7784"/>
    <w:rsid w:val="79CB3E55"/>
    <w:rsid w:val="79DF06EF"/>
    <w:rsid w:val="7AEB4CB9"/>
    <w:rsid w:val="7C607C05"/>
    <w:rsid w:val="7CFD2771"/>
    <w:rsid w:val="7E464B8E"/>
    <w:rsid w:val="7FAD15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5"/>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w:basedOn w:val="1"/>
    <w:next w:val="2"/>
    <w:uiPriority w:val="0"/>
    <w:pPr>
      <w:snapToGrid w:val="0"/>
      <w:spacing w:line="440" w:lineRule="exact"/>
      <w:ind w:firstLine="200" w:firstLineChars="200"/>
    </w:pPr>
  </w:style>
  <w:style w:type="character" w:customStyle="1" w:styleId="8">
    <w:name w:val="l-btn-left3"/>
    <w:basedOn w:val="6"/>
    <w:uiPriority w:val="0"/>
  </w:style>
  <w:style w:type="character" w:customStyle="1" w:styleId="9">
    <w:name w:val="l-btn-text"/>
    <w:uiPriority w:val="0"/>
  </w:style>
  <w:style w:type="character" w:customStyle="1" w:styleId="10">
    <w:name w:val="l-btn-left2"/>
    <w:basedOn w:val="6"/>
    <w:uiPriority w:val="0"/>
  </w:style>
  <w:style w:type="character" w:customStyle="1" w:styleId="11">
    <w:name w:val="l-btn-empty"/>
    <w:uiPriority w:val="0"/>
  </w:style>
  <w:style w:type="character" w:customStyle="1" w:styleId="12">
    <w:name w:val="页脚 Char"/>
    <w:link w:val="3"/>
    <w:uiPriority w:val="0"/>
    <w:rPr>
      <w:kern w:val="2"/>
      <w:sz w:val="18"/>
      <w:szCs w:val="18"/>
    </w:rPr>
  </w:style>
  <w:style w:type="character" w:customStyle="1" w:styleId="13">
    <w:name w:val="l-btn-left"/>
    <w:uiPriority w:val="0"/>
  </w:style>
  <w:style w:type="character" w:customStyle="1" w:styleId="14">
    <w:name w:val="页眉 Char"/>
    <w:link w:val="4"/>
    <w:uiPriority w:val="0"/>
    <w:rPr>
      <w:kern w:val="2"/>
      <w:sz w:val="18"/>
      <w:szCs w:val="18"/>
    </w:rPr>
  </w:style>
  <w:style w:type="character" w:customStyle="1" w:styleId="15">
    <w:name w:val="l-btn-left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51</Words>
  <Characters>297</Characters>
  <Lines>2</Lines>
  <Paragraphs>1</Paragraphs>
  <TotalTime>10</TotalTime>
  <ScaleCrop>false</ScaleCrop>
  <LinksUpToDate>false</LinksUpToDate>
  <CharactersWithSpaces>347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2017-03-16T01:20:00Z</dcterms:created>
  <dc:creator>陈凯</dc:creator>
  <cp:lastModifiedBy>薄壳</cp:lastModifiedBy>
  <cp:lastPrinted>2021-12-15T02:31:07Z</cp:lastPrinted>
  <dcterms:modified xsi:type="dcterms:W3CDTF">2022-01-18T02:25:54Z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677A939A828E4C1EBF857D216F140578</vt:lpwstr>
  </property>
</Properties>
</file>