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220" w:right="0" w:firstLine="0"/>
        <w:jc w:val="center"/>
        <w:rPr>
          <w:rFonts w:hint="default" w:ascii="宋体" w:eastAsia="宋体"/>
          <w:b w:val="0"/>
          <w:bCs w:val="0"/>
          <w:color w:val="auto"/>
          <w:sz w:val="44"/>
          <w:highlight w:val="none"/>
          <w:lang w:val="en-US" w:eastAsia="zh-CN"/>
        </w:rPr>
      </w:pPr>
      <w:r>
        <w:rPr>
          <w:rFonts w:hint="eastAsia" w:ascii="宋体" w:eastAsia="宋体"/>
          <w:b w:val="0"/>
          <w:bCs w:val="0"/>
          <w:color w:val="auto"/>
          <w:sz w:val="44"/>
          <w:highlight w:val="none"/>
          <w:lang w:val="en-US" w:eastAsia="zh-CN"/>
        </w:rPr>
        <w:t>卓弘星辰花园</w:t>
      </w:r>
    </w:p>
    <w:p>
      <w:pPr>
        <w:spacing w:before="0"/>
        <w:ind w:left="220" w:right="0" w:firstLine="0"/>
        <w:jc w:val="center"/>
        <w:rPr>
          <w:rFonts w:hint="eastAsia" w:ascii="宋体" w:eastAsia="宋体"/>
          <w:b w:val="0"/>
          <w:bCs w:val="0"/>
          <w:color w:val="auto"/>
          <w:sz w:val="44"/>
          <w:highlight w:val="none"/>
        </w:rPr>
      </w:pPr>
      <w:r>
        <w:rPr>
          <w:rFonts w:hint="eastAsia" w:ascii="宋体" w:eastAsia="宋体"/>
          <w:b w:val="0"/>
          <w:bCs w:val="0"/>
          <w:color w:val="auto"/>
          <w:sz w:val="44"/>
          <w:highlight w:val="none"/>
        </w:rPr>
        <w:t>选房交通指引和注意事项</w:t>
      </w:r>
    </w:p>
    <w:p>
      <w:pPr>
        <w:pStyle w:val="2"/>
        <w:spacing w:line="360" w:lineRule="auto"/>
        <w:ind w:right="409" w:firstLine="600" w:firstLineChars="200"/>
        <w:jc w:val="both"/>
        <w:rPr>
          <w:b w:val="0"/>
          <w:bCs w:val="0"/>
          <w:color w:val="auto"/>
          <w:highlight w:val="none"/>
        </w:rPr>
      </w:pPr>
    </w:p>
    <w:p>
      <w:pPr>
        <w:pStyle w:val="2"/>
        <w:spacing w:line="360" w:lineRule="auto"/>
        <w:ind w:right="409" w:firstLine="60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zh-CN" w:eastAsia="zh-CN" w:bidi="ar-SA"/>
        </w:rPr>
      </w:pPr>
      <w:r>
        <w:rPr>
          <w:rFonts w:hint="eastAsia" w:cs="仿宋"/>
          <w:b w:val="0"/>
          <w:bCs w:val="0"/>
          <w:kern w:val="2"/>
          <w:sz w:val="30"/>
          <w:szCs w:val="30"/>
          <w:lang w:val="en-US" w:eastAsia="zh-CN" w:bidi="ar-SA"/>
        </w:rPr>
        <w:t>选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zh-CN" w:eastAsia="zh-CN" w:bidi="ar-SA"/>
        </w:rPr>
        <w:t>房现场</w:t>
      </w:r>
      <w:r>
        <w:rPr>
          <w:rFonts w:hint="eastAsia" w:cs="仿宋"/>
          <w:b w:val="0"/>
          <w:bCs w:val="0"/>
          <w:kern w:val="2"/>
          <w:sz w:val="30"/>
          <w:szCs w:val="30"/>
          <w:lang w:val="en-US" w:eastAsia="zh-CN" w:bidi="ar-SA"/>
        </w:rPr>
        <w:t>不提供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zh-CN" w:eastAsia="zh-CN" w:bidi="ar-SA"/>
        </w:rPr>
        <w:t>停车位，建议绿色出行。请</w:t>
      </w:r>
      <w:r>
        <w:rPr>
          <w:rFonts w:hint="eastAsia" w:cs="仿宋"/>
          <w:b w:val="0"/>
          <w:bCs w:val="0"/>
          <w:kern w:val="2"/>
          <w:sz w:val="30"/>
          <w:szCs w:val="30"/>
          <w:lang w:val="en-US" w:eastAsia="zh-CN" w:bidi="ar-SA"/>
        </w:rPr>
        <w:t>选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zh-CN" w:eastAsia="zh-CN" w:bidi="ar-SA"/>
        </w:rPr>
        <w:t>房家庭认真仔细阅读以下事项：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一、选房交通</w:t>
      </w:r>
    </w:p>
    <w:p>
      <w:pPr>
        <w:pStyle w:val="2"/>
        <w:spacing w:line="360" w:lineRule="auto"/>
        <w:ind w:right="409" w:firstLine="600" w:firstLineChars="200"/>
        <w:jc w:val="both"/>
        <w:rPr>
          <w:rFonts w:hint="eastAsia"/>
          <w:b w:val="0"/>
          <w:bCs w:val="0"/>
          <w:color w:val="auto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选房家庭可选择以下任意一种形式前往项目选房现场：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卓弘星辰花园</w:t>
      </w:r>
      <w:r>
        <w:rPr>
          <w:rFonts w:hint="eastAsia"/>
          <w:b w:val="0"/>
          <w:bCs w:val="0"/>
          <w:color w:val="auto"/>
          <w:highlight w:val="none"/>
          <w:lang w:val="zh-CN" w:eastAsia="zh-CN"/>
        </w:rPr>
        <w:t>营销中心（下简称营销中心），地址：龙岗区横坪路与龙岗大道交汇处。</w:t>
      </w:r>
    </w:p>
    <w:p>
      <w:pPr>
        <w:pStyle w:val="2"/>
        <w:spacing w:line="360" w:lineRule="auto"/>
        <w:ind w:right="409" w:firstLine="600" w:firstLineChars="200"/>
        <w:jc w:val="both"/>
        <w:rPr>
          <w:rFonts w:hint="eastAsia"/>
          <w:b w:val="0"/>
          <w:bCs w:val="0"/>
          <w:color w:val="auto"/>
          <w:highlight w:val="none"/>
          <w:lang w:val="zh-CN" w:eastAsia="zh-CN"/>
        </w:rPr>
      </w:pPr>
      <w:r>
        <w:rPr>
          <w:rFonts w:hint="eastAsia"/>
          <w:b w:val="0"/>
          <w:bCs w:val="0"/>
          <w:color w:val="auto"/>
          <w:highlight w:val="none"/>
          <w:lang w:val="zh-CN" w:eastAsia="zh-CN"/>
        </w:rPr>
        <w:t>（一）乘坐地铁</w:t>
      </w:r>
    </w:p>
    <w:p>
      <w:pPr>
        <w:pStyle w:val="2"/>
        <w:spacing w:before="7" w:line="360" w:lineRule="auto"/>
        <w:ind w:right="259" w:firstLine="600" w:firstLineChars="200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t>您的位置-地铁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号线-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永湖地铁站A2出口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-步行约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250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米到项目营销中心。</w:t>
      </w:r>
    </w:p>
    <w:p>
      <w:pPr>
        <w:pStyle w:val="2"/>
        <w:spacing w:before="7" w:line="360" w:lineRule="auto"/>
        <w:ind w:right="259" w:firstLine="600" w:firstLineChars="200"/>
        <w:rPr>
          <w:rFonts w:hint="eastAsia" w:eastAsia="仿宋"/>
          <w:b w:val="0"/>
          <w:bCs w:val="0"/>
          <w:color w:val="auto"/>
          <w:highlight w:val="yellow"/>
          <w:lang w:eastAsia="zh-CN"/>
        </w:rPr>
      </w:pPr>
      <w:r>
        <w:rPr>
          <w:b w:val="0"/>
          <w:bCs w:val="0"/>
        </w:rPr>
        <w:drawing>
          <wp:inline distT="0" distB="0" distL="114300" distR="114300">
            <wp:extent cx="4272915" cy="284670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7" w:line="360" w:lineRule="auto"/>
        <w:ind w:right="259" w:firstLine="600" w:firstLineChars="200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二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）乘坐公交（请密切留意最新公共交通信息）</w:t>
      </w:r>
    </w:p>
    <w:p>
      <w:pPr>
        <w:pStyle w:val="2"/>
        <w:spacing w:before="7" w:line="360" w:lineRule="auto"/>
        <w:ind w:right="259" w:firstLine="600" w:firstLineChars="200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t>您的位置-永湖地铁站</w:t>
      </w:r>
      <w:r>
        <w:rPr>
          <w:rFonts w:hint="default"/>
          <w:b w:val="0"/>
          <w:bCs w:val="0"/>
          <w:color w:val="auto"/>
          <w:highlight w:val="none"/>
          <w:lang w:eastAsia="zh-CN"/>
        </w:rPr>
        <w:t>①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/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②站（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351路、358路、深惠3A线；M295路；366路；M239路等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）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-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步行约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250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米到项目营销中心</w:t>
      </w:r>
    </w:p>
    <w:p>
      <w:pPr>
        <w:pStyle w:val="2"/>
        <w:spacing w:before="7" w:line="360" w:lineRule="auto"/>
        <w:ind w:right="259" w:firstLine="600" w:firstLineChars="200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drawing>
          <wp:inline distT="0" distB="0" distL="114300" distR="114300">
            <wp:extent cx="4469765" cy="2748280"/>
            <wp:effectExtent l="0" t="0" r="6985" b="13970"/>
            <wp:docPr id="3" name="图片 3" descr="96e53401c3826613a62208fee4bc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e53401c3826613a62208fee4bc9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（三）自驾车</w:t>
      </w:r>
      <w:r>
        <w:rPr>
          <w:rFonts w:hint="eastAsia" w:ascii="仿宋" w:hAnsi="仿宋" w:eastAsia="仿宋" w:cs="仿宋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（注：现场停车位数目较少，建议公交出行）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1．从罗湖出发：</w:t>
      </w: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北环大道（泥岗东路）/深南东路/滨河大道——沿河北路——丹平快速——龙岗大道——卓弘星辰花园营销中心</w:t>
      </w:r>
    </w:p>
    <w:p>
      <w:pPr>
        <w:spacing w:line="360" w:lineRule="auto"/>
        <w:ind w:firstLine="600" w:firstLineChars="20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2．从福田出发：北环大道/深南大道/滨河大道——沿河北路——丹平快速——龙岗大道——卓弘星辰花园营销中心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3．从南山出发：北环大道/深南大道/滨河大道——沿河北路——丹平快速——龙岗大道——卓弘星辰花园营销中心</w:t>
      </w:r>
    </w:p>
    <w:p>
      <w:pPr>
        <w:spacing w:line="360" w:lineRule="auto"/>
        <w:ind w:firstLine="640"/>
        <w:rPr>
          <w:rFonts w:hint="default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4．从龙华出发：龙华大道/人民路——布龙路——水官高速——横坪路/横岗/坪山出口——南坪快速——龙岗大道——卓弘星辰花园项目营销中心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5．从龙岗出发：黄阁路/吉祥路/龙城大道——龙岗大道——卓弘星辰花园项目营销中心</w:t>
      </w:r>
    </w:p>
    <w:p>
      <w:pPr>
        <w:spacing w:line="360" w:lineRule="auto"/>
        <w:ind w:firstLine="640"/>
        <w:rPr>
          <w:rFonts w:hint="default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6．从宝安出发：宝安大道/广深公路——北环大道——南坪快速——水官高速——横坪路/横岗/坪山出口——南坪快速——龙岗大道——卓弘星辰花园项目营销中心</w:t>
      </w:r>
    </w:p>
    <w:p>
      <w:pPr>
        <w:spacing w:before="55"/>
        <w:ind w:right="0" w:firstLine="60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zh-CN" w:eastAsia="zh-CN" w:bidi="zh-CN"/>
        </w:rPr>
        <w:t>二、交通区位图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yellow"/>
          <w:lang w:eastAsia="zh-CN"/>
        </w:rPr>
        <w:drawing>
          <wp:inline distT="0" distB="0" distL="114300" distR="114300">
            <wp:extent cx="4043680" cy="2525395"/>
            <wp:effectExtent l="0" t="0" r="13970" b="8255"/>
            <wp:docPr id="4" name="图片 4" descr="2676ac7e0908078f707536a6efed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676ac7e0908078f707536a6efeda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三、注意事项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（一）认购家庭应当按照选房通知书规定的时间，携带选房通知书、本人身份证原件以及申请人或共同申请人的储蓄卡，到达指定地点参加选房。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（二）考虑到选房现场接待能力有限，为了营造顺畅、良好的选房环境，请每个选房家庭最多安排两人到现场选房。从安全角度考虑，请选房家庭尽量不要携带老人、儿童。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（三）为了保证选房家庭人身安全，请遵循现场工作人员统一安排，不要在选房现场随意走动，以免发生意外。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（四）疫情防控措施：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1、到场选房人员须佩戴口罩入场并接受体温检测；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家庭需持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48小时核酸阴性证明，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健康码和行程码均为绿码，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并做好场所码登记后，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方可进入选房现场。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如有交通路线疑问，欢迎来电咨询：</w:t>
      </w:r>
    </w:p>
    <w:p>
      <w:pPr>
        <w:spacing w:line="360" w:lineRule="auto"/>
        <w:ind w:firstLine="640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如有任何疑问，欢迎来电咨询：0755-8989 0888</w:t>
      </w:r>
    </w:p>
    <w:p>
      <w:pPr>
        <w:spacing w:line="360" w:lineRule="auto"/>
        <w:ind w:firstLine="900" w:firstLineChars="3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</w:p>
    <w:p>
      <w:pPr>
        <w:spacing w:line="360" w:lineRule="auto"/>
        <w:ind w:firstLine="900" w:firstLineChars="300"/>
        <w:jc w:val="righ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深圳市卓弘新城实业有限公司</w:t>
      </w:r>
    </w:p>
    <w:p>
      <w:pPr>
        <w:spacing w:line="360" w:lineRule="auto"/>
        <w:ind w:firstLine="900" w:firstLineChars="300"/>
        <w:jc w:val="righ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202</w:t>
      </w: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选房现场地点：</w:t>
      </w: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卓弘星辰花园定位二维码（高德地图）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drawing>
          <wp:inline distT="0" distB="0" distL="114300" distR="114300">
            <wp:extent cx="2337435" cy="2118995"/>
            <wp:effectExtent l="0" t="0" r="1206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00" w:firstLineChars="300"/>
        <w:jc w:val="righ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</w:p>
    <w:sectPr>
      <w:pgSz w:w="11910" w:h="16840"/>
      <w:pgMar w:top="1600" w:right="14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5481"/>
    <w:rsid w:val="012F3222"/>
    <w:rsid w:val="01751055"/>
    <w:rsid w:val="018469EA"/>
    <w:rsid w:val="027C0F0B"/>
    <w:rsid w:val="08075FA8"/>
    <w:rsid w:val="094B67A2"/>
    <w:rsid w:val="0A436754"/>
    <w:rsid w:val="11A4130A"/>
    <w:rsid w:val="11C51F54"/>
    <w:rsid w:val="12A534DE"/>
    <w:rsid w:val="19247D07"/>
    <w:rsid w:val="19D61256"/>
    <w:rsid w:val="19E405BC"/>
    <w:rsid w:val="1A4062D5"/>
    <w:rsid w:val="1CAA2BD6"/>
    <w:rsid w:val="1ECC60B9"/>
    <w:rsid w:val="21E9488E"/>
    <w:rsid w:val="22DC4FDA"/>
    <w:rsid w:val="25D047C9"/>
    <w:rsid w:val="268B3C0D"/>
    <w:rsid w:val="29335FEA"/>
    <w:rsid w:val="2A7F4C4A"/>
    <w:rsid w:val="2B9729AA"/>
    <w:rsid w:val="30FB7C67"/>
    <w:rsid w:val="324C037B"/>
    <w:rsid w:val="33853A7D"/>
    <w:rsid w:val="33907FF3"/>
    <w:rsid w:val="34FA1C97"/>
    <w:rsid w:val="35D80881"/>
    <w:rsid w:val="361D5846"/>
    <w:rsid w:val="38607DE2"/>
    <w:rsid w:val="39BD4514"/>
    <w:rsid w:val="3AE94FE6"/>
    <w:rsid w:val="3BB7106B"/>
    <w:rsid w:val="3F6019A4"/>
    <w:rsid w:val="409A11CA"/>
    <w:rsid w:val="413904B5"/>
    <w:rsid w:val="436D3191"/>
    <w:rsid w:val="43A157E6"/>
    <w:rsid w:val="4457098C"/>
    <w:rsid w:val="45540A8B"/>
    <w:rsid w:val="477B433D"/>
    <w:rsid w:val="499B6D8A"/>
    <w:rsid w:val="49E968B4"/>
    <w:rsid w:val="4B416599"/>
    <w:rsid w:val="4E975B26"/>
    <w:rsid w:val="4FEB3F4F"/>
    <w:rsid w:val="539668ED"/>
    <w:rsid w:val="5454628B"/>
    <w:rsid w:val="54E85290"/>
    <w:rsid w:val="55890DA9"/>
    <w:rsid w:val="589A5F81"/>
    <w:rsid w:val="58FF6A98"/>
    <w:rsid w:val="5DD05191"/>
    <w:rsid w:val="5E4302CA"/>
    <w:rsid w:val="5EAA2CCB"/>
    <w:rsid w:val="61C65C04"/>
    <w:rsid w:val="63EC0681"/>
    <w:rsid w:val="64225A6A"/>
    <w:rsid w:val="68F96A0A"/>
    <w:rsid w:val="6AD12CF2"/>
    <w:rsid w:val="6FF915FB"/>
    <w:rsid w:val="70563CE5"/>
    <w:rsid w:val="714A181D"/>
    <w:rsid w:val="76D909DA"/>
    <w:rsid w:val="7825635E"/>
    <w:rsid w:val="789F3387"/>
    <w:rsid w:val="79663D4B"/>
    <w:rsid w:val="7B0765E0"/>
    <w:rsid w:val="7C671271"/>
    <w:rsid w:val="7D2324B9"/>
    <w:rsid w:val="7F103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2021-07-12T03:39:00Z</dcterms:created>
  <dc:creator>Administrator.DESKTOP-UBJIL0S</dc:creator>
  <cp:lastModifiedBy>跑马地汉子</cp:lastModifiedBy>
  <dcterms:modified xsi:type="dcterms:W3CDTF">2022-02-15T02:46:25Z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1391BC5C24E54384B1A89F0DCB09696D</vt:lpwstr>
  </property>
</Properties>
</file>