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312" w:beforeLines="100"/>
      </w:pPr>
      <w:bookmarkStart w:id="0" w:name="_GoBack"/>
      <w:bookmarkEnd w:id="0"/>
      <w:r>
        <w:rPr>
          <w:rFonts w:hint="eastAsia"/>
        </w:rPr>
        <w:t>深圳市住房和建设局关于对20220</w:t>
      </w:r>
      <w:r>
        <w:t>226</w:t>
      </w:r>
      <w:r>
        <w:rPr>
          <w:rFonts w:hint="eastAsia"/>
        </w:rPr>
        <w:t>号提案的答复函</w:t>
      </w:r>
    </w:p>
    <w:p/>
    <w:p>
      <w:pPr>
        <w:ind w:firstLine="0" w:firstLineChars="0"/>
      </w:pPr>
      <w:r>
        <w:rPr>
          <w:rFonts w:hint="eastAsia"/>
        </w:rPr>
        <w:t>尊敬的龙武剑委员：</w:t>
      </w:r>
    </w:p>
    <w:p>
      <w:r>
        <w:rPr>
          <w:rFonts w:hint="eastAsia"/>
        </w:rPr>
        <w:t>《关于绿色建材赋能绿色建筑高质量发展的提案》收悉，现就提案办理有关情况答复如下：</w:t>
      </w:r>
    </w:p>
    <w:p>
      <w:pPr>
        <w:pStyle w:val="3"/>
        <w:ind w:firstLine="640"/>
      </w:pPr>
      <w:r>
        <w:rPr>
          <w:rFonts w:hint="eastAsia"/>
        </w:rPr>
        <w:t>一、意见建议采纳落实情况</w:t>
      </w:r>
    </w:p>
    <w:p>
      <w:pPr>
        <w:pStyle w:val="4"/>
        <w:ind w:firstLine="640"/>
      </w:pPr>
      <w:r>
        <w:rPr>
          <w:rFonts w:hint="eastAsia"/>
        </w:rPr>
        <w:t>（一）针对提案“提升绿色建材的认可度，打通绿色建材销售渠道”建议，答复如下：</w:t>
      </w:r>
    </w:p>
    <w:p>
      <w:r>
        <w:rPr>
          <w:rFonts w:hint="eastAsia"/>
        </w:rPr>
        <w:t>市住房和建设局持续在国际绿色建筑与建筑节能大会等展会论坛上，对绿色建材及其应用进行推广宣传。</w:t>
      </w:r>
    </w:p>
    <w:p>
      <w:r>
        <w:rPr>
          <w:rFonts w:hint="eastAsia"/>
        </w:rPr>
        <w:t>市建筑工务署在官方公众号上推送绿色建材相关推文，并将持续做好绿色建材使用的宣传工作，提高绿色建材信息传播广度。</w:t>
      </w:r>
    </w:p>
    <w:p>
      <w:pPr>
        <w:pStyle w:val="4"/>
        <w:ind w:firstLine="640"/>
      </w:pPr>
      <w:r>
        <w:rPr>
          <w:rFonts w:hint="eastAsia"/>
        </w:rPr>
        <w:t>（二）针对提案“推动绿色建材的研发及应用”建议，答复如下：</w:t>
      </w:r>
    </w:p>
    <w:p>
      <w:pPr>
        <w:pStyle w:val="4"/>
        <w:ind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一是做好顶层设计规划，《深圳市科技创新“十四五”规划》明确提出</w:t>
      </w:r>
      <w:r>
        <w:rPr>
          <w:rFonts w:ascii="仿宋_GB2312" w:hAnsi="仿宋_GB2312" w:eastAsia="仿宋_GB2312"/>
        </w:rPr>
        <w:t>,重点在绿色低碳建筑技术领域开展技术攻关,研发光储直柔技术、高效空调系统技术、建筑废弃物再生利用技术等,推动建设国家可持续发展议程创新示范区,打造安全、宜居、智慧、绿色、韧性城市。为充分发挥科技创新对我市实现碳达峰、碳中和目标的支撑和引领作用,全面推进各项工作的实施,</w:t>
      </w:r>
      <w:r>
        <w:rPr>
          <w:rFonts w:hint="eastAsia" w:ascii="仿宋_GB2312" w:hAnsi="仿宋_GB2312" w:eastAsia="仿宋_GB2312"/>
        </w:rPr>
        <w:t>市科技创新委员会</w:t>
      </w:r>
      <w:r>
        <w:rPr>
          <w:rFonts w:ascii="仿宋_GB2312" w:hAnsi="仿宋_GB2312" w:eastAsia="仿宋_GB2312"/>
        </w:rPr>
        <w:t>成立了碳达峰、碳中和科技创新工作领导小组,组织制定了《深圳市碳达峰碳中和科技创新行动方案》。</w:t>
      </w:r>
    </w:p>
    <w:p>
      <w:r>
        <w:rPr>
          <w:rFonts w:hint="eastAsia"/>
        </w:rPr>
        <w:t>二是做好项目实施探索，市建筑工务署多次组织优秀企业召开座谈会，到相关行业协会进行调研，及时关注国家、省、市关于绿色建材方面的政策变化，后续将根据行业主管部门发布的绿色建材应用相关政策要求，在项目建设中逐步开展应用探索。</w:t>
      </w:r>
    </w:p>
    <w:p>
      <w:pPr>
        <w:pStyle w:val="4"/>
        <w:ind w:firstLine="640"/>
      </w:pPr>
      <w:r>
        <w:rPr>
          <w:rFonts w:hint="eastAsia"/>
        </w:rPr>
        <w:t>（三）针对提案“促进企业超低碳排放改造，落实绿色化生产”建议，答复如下：</w:t>
      </w:r>
    </w:p>
    <w:p>
      <w:pPr>
        <w:pStyle w:val="2"/>
        <w:ind w:firstLine="640"/>
      </w:pPr>
      <w:r>
        <w:rPr>
          <w:rFonts w:hint="eastAsia"/>
        </w:rPr>
        <w:t>一是监察落实，市工业和信息化局发布</w:t>
      </w:r>
      <w:r>
        <w:t>2022年节能监察方案，开展“双随机、一公开”节能监察执法</w:t>
      </w:r>
      <w:r>
        <w:rPr>
          <w:rFonts w:hint="eastAsia"/>
        </w:rPr>
        <w:t>；研究出台《深圳市绿色制造试点示范管理办法》，研究制定绿色制造评价指标体系；</w:t>
      </w:r>
      <w:r>
        <w:t>发布《市工业和信息化局关于征集2022年度工业企业自愿性清洁生产审核计划的通知》；研究发布《2023年绿色低碳产业扶持计划申请指南》</w:t>
      </w:r>
      <w:r>
        <w:rPr>
          <w:rFonts w:hint="eastAsia"/>
        </w:rPr>
        <w:t>，重点支持节能环保领域优质企业产业链关键关键提升项目、绿色低碳领域公共产业服务体系项目；出台《深圳市工业和信息化局支持绿色发展促进工业“碳达峰”扶持计划操作规程》对工业能源资源节约和综合利用项目和清洁生产、绿色制造等</w:t>
      </w:r>
      <w:r>
        <w:t>13类试点示范项目进行扶持。</w:t>
      </w:r>
    </w:p>
    <w:p>
      <w:pPr>
        <w:pStyle w:val="2"/>
        <w:ind w:firstLine="640"/>
      </w:pPr>
      <w:r>
        <w:rPr>
          <w:rFonts w:hint="eastAsia"/>
        </w:rPr>
        <w:t>二是积极探索，市建筑工务署已组织绿色建材及产品标准的研究工作，并积极促进绿色生产技术标准、成熟先进技术在市建筑工务署负责建设项目上的推广应用，为促进企业超低碳排放改造，落实绿色化生产做出贡献。</w:t>
      </w:r>
    </w:p>
    <w:p>
      <w:pPr>
        <w:pStyle w:val="4"/>
        <w:ind w:firstLine="640"/>
      </w:pPr>
      <w:r>
        <w:rPr>
          <w:rFonts w:hint="eastAsia"/>
        </w:rPr>
        <w:t>（四）针对提案“深圳绿色建筑条例补充意见”建议，答复如下：</w:t>
      </w:r>
    </w:p>
    <w:p>
      <w:pPr>
        <w:pStyle w:val="2"/>
        <w:ind w:firstLine="640"/>
      </w:pPr>
      <w:r>
        <w:rPr>
          <w:rFonts w:hint="eastAsia"/>
        </w:rPr>
        <w:t>一是在绿色建筑中落实绿色建材，绿色建材是绿色建筑的重要物质基础。《绿色建筑评价标准》GB/</w:t>
      </w:r>
      <w:r>
        <w:t>T50378-2019新增条文评分项7.2.18选用绿色建材，评价总分值为12分。绿色建材需通过相关评价认证方能得分，主要是指依据住房城乡建设部、工业和信息化部《绿色建材评价标识管理办法》开展的绿色建材评价标识。</w:t>
      </w:r>
      <w:r>
        <w:rPr>
          <w:rFonts w:hint="eastAsia"/>
        </w:rPr>
        <w:t>项目通过选用绿色建材，可在绿色建筑认定时获得相应的分数。</w:t>
      </w:r>
    </w:p>
    <w:p>
      <w:pPr>
        <w:pStyle w:val="2"/>
        <w:ind w:firstLine="640"/>
      </w:pPr>
      <w:r>
        <w:rPr>
          <w:rFonts w:hint="eastAsia"/>
        </w:rPr>
        <w:t>二是提高绿色建材在政府投资项目上的应用，市建筑工务署已组织开展《绿色建材及产品认定标准及实施规则》课题研究工作，旨在实现绿色建材在市政府投资项目上的应用，提高建筑品质，实现建筑高质量发展。</w:t>
      </w:r>
    </w:p>
    <w:p>
      <w:pPr>
        <w:pStyle w:val="2"/>
        <w:ind w:firstLine="640"/>
      </w:pPr>
      <w:r>
        <w:rPr>
          <w:rFonts w:hint="eastAsia"/>
        </w:rPr>
        <w:t>《深圳经济特区绿色建筑条例》于2</w:t>
      </w:r>
      <w:r>
        <w:t>022</w:t>
      </w:r>
      <w:r>
        <w:rPr>
          <w:rFonts w:hint="eastAsia"/>
        </w:rPr>
        <w:t>年7月1日正式实施，作为刚刚发布实施的一款条例，后续我们将在执行过程中收集各类反馈意见，认真研究、完善、落实《条例》的各项内容，为绿色建材的推广发挥力量。</w:t>
      </w:r>
    </w:p>
    <w:p>
      <w:r>
        <w:rPr>
          <w:rFonts w:hint="eastAsia"/>
        </w:rPr>
        <w:t>再次感谢您对我们工作的关心和支持。</w:t>
      </w:r>
    </w:p>
    <w:p>
      <w:pPr>
        <w:pStyle w:val="3"/>
        <w:ind w:firstLine="640"/>
      </w:pPr>
      <w:r>
        <w:rPr>
          <w:rFonts w:hint="eastAsia"/>
        </w:rPr>
        <w:t>二、其他</w:t>
      </w:r>
    </w:p>
    <w:p>
      <w:pPr>
        <w:pStyle w:val="4"/>
        <w:ind w:firstLine="640"/>
      </w:pPr>
      <w:r>
        <w:rPr>
          <w:rFonts w:hint="eastAsia"/>
        </w:rPr>
        <w:t>（一）办理过程</w:t>
      </w:r>
    </w:p>
    <w:p>
      <w:r>
        <w:rPr>
          <w:rFonts w:hint="eastAsia"/>
        </w:rPr>
        <w:t>收到该提案后，我局立即组织相关责任处室进行了认真研究，并与各汇办单位进行了沟通，根据沟通情况和提案建议形成办理意见。</w:t>
      </w:r>
    </w:p>
    <w:p>
      <w:pPr>
        <w:pStyle w:val="4"/>
        <w:ind w:firstLine="640"/>
      </w:pPr>
      <w:r>
        <w:rPr>
          <w:rFonts w:hint="eastAsia"/>
        </w:rPr>
        <w:t>（二）办理实效评估类别</w:t>
      </w:r>
    </w:p>
    <w:p>
      <w:r>
        <w:rPr>
          <w:rFonts w:hint="eastAsia"/>
        </w:rPr>
        <w:t>A类。</w:t>
      </w:r>
    </w:p>
    <w:p>
      <w:r>
        <w:rPr>
          <w:rFonts w:hint="eastAsia"/>
        </w:rPr>
        <w:t>（A类：提案所提问题已经解决或基本解决；B类：提案所提问题正在解决或已列入计划准备解决；C类：提案所提问题因受目前条件限制或其他原因需以后研究解决；D类：留作参考。）</w:t>
      </w:r>
    </w:p>
    <w:p>
      <w:pPr>
        <w:pStyle w:val="4"/>
        <w:ind w:firstLine="640"/>
      </w:pPr>
      <w:r>
        <w:rPr>
          <w:rFonts w:hint="eastAsia"/>
        </w:rPr>
        <w:t>（三）其他需要说明的问题</w:t>
      </w:r>
    </w:p>
    <w:p>
      <w:r>
        <w:rPr>
          <w:rFonts w:hint="eastAsia"/>
        </w:rPr>
        <w:t>无。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专此函复。</w:t>
      </w:r>
    </w:p>
    <w:p/>
    <w:p>
      <w:pPr>
        <w:ind w:right="1280" w:rightChars="400"/>
        <w:jc w:val="right"/>
      </w:pPr>
      <w:r>
        <w:rPr>
          <w:rFonts w:hint="eastAsia"/>
        </w:rPr>
        <w:t>深圳市住房和建设局</w:t>
      </w:r>
    </w:p>
    <w:p>
      <w:pPr>
        <w:wordWrap w:val="0"/>
        <w:jc w:val="right"/>
      </w:pPr>
      <w:r>
        <w:rPr>
          <w:rFonts w:hint="eastAsia"/>
        </w:rPr>
        <w:t>2022年9月</w:t>
      </w:r>
      <w:r>
        <w:t>16</w:t>
      </w:r>
      <w:r>
        <w:rPr>
          <w:rFonts w:hint="eastAsia"/>
        </w:rPr>
        <w:t xml:space="preserve">日         </w:t>
      </w:r>
    </w:p>
    <w:p>
      <w:pPr>
        <w:pStyle w:val="2"/>
        <w:ind w:firstLine="640"/>
      </w:pPr>
    </w:p>
    <w:p>
      <w:pPr>
        <w:ind w:firstLine="0" w:firstLineChars="0"/>
        <w:jc w:val="center"/>
      </w:pPr>
      <w:r>
        <w:rPr>
          <w:rFonts w:hint="eastAsia"/>
        </w:rPr>
        <w:t>（联系人：冯杨晴，电话：83786656）</w:t>
      </w:r>
    </w:p>
    <w:p>
      <w:pPr>
        <w:pStyle w:val="2"/>
        <w:ind w:firstLine="640"/>
      </w:pPr>
    </w:p>
    <w:p>
      <w:pPr>
        <w:pStyle w:val="2"/>
        <w:ind w:firstLine="640"/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是否公开：公开</w:t>
      </w:r>
    </w:p>
    <w:p>
      <w:pPr>
        <w:pStyle w:val="7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A6"/>
    <w:rsid w:val="00001003"/>
    <w:rsid w:val="000470BF"/>
    <w:rsid w:val="00077159"/>
    <w:rsid w:val="00095677"/>
    <w:rsid w:val="000B630E"/>
    <w:rsid w:val="000B7F3C"/>
    <w:rsid w:val="000E4800"/>
    <w:rsid w:val="000E7ABD"/>
    <w:rsid w:val="000F0B47"/>
    <w:rsid w:val="00135F72"/>
    <w:rsid w:val="0014191A"/>
    <w:rsid w:val="00182F5C"/>
    <w:rsid w:val="00183F20"/>
    <w:rsid w:val="00187A02"/>
    <w:rsid w:val="00192BC9"/>
    <w:rsid w:val="001B235D"/>
    <w:rsid w:val="001B7F23"/>
    <w:rsid w:val="001D745A"/>
    <w:rsid w:val="001F550A"/>
    <w:rsid w:val="0022087E"/>
    <w:rsid w:val="00255900"/>
    <w:rsid w:val="00256004"/>
    <w:rsid w:val="002945A5"/>
    <w:rsid w:val="002C375B"/>
    <w:rsid w:val="002D261F"/>
    <w:rsid w:val="00321EB1"/>
    <w:rsid w:val="0033588F"/>
    <w:rsid w:val="00370F91"/>
    <w:rsid w:val="003A0B15"/>
    <w:rsid w:val="003C246C"/>
    <w:rsid w:val="003C7316"/>
    <w:rsid w:val="003F461B"/>
    <w:rsid w:val="00441283"/>
    <w:rsid w:val="00484CE7"/>
    <w:rsid w:val="00487A87"/>
    <w:rsid w:val="00490ED4"/>
    <w:rsid w:val="0049438B"/>
    <w:rsid w:val="004963E6"/>
    <w:rsid w:val="004C11FF"/>
    <w:rsid w:val="004C7078"/>
    <w:rsid w:val="004E536D"/>
    <w:rsid w:val="004E5409"/>
    <w:rsid w:val="004F3761"/>
    <w:rsid w:val="00534515"/>
    <w:rsid w:val="00542902"/>
    <w:rsid w:val="005B1F97"/>
    <w:rsid w:val="005C4E30"/>
    <w:rsid w:val="00605FD2"/>
    <w:rsid w:val="00683014"/>
    <w:rsid w:val="00696C8C"/>
    <w:rsid w:val="006D7BA6"/>
    <w:rsid w:val="006E46B6"/>
    <w:rsid w:val="007325D6"/>
    <w:rsid w:val="00742E7E"/>
    <w:rsid w:val="00744B2C"/>
    <w:rsid w:val="0075601C"/>
    <w:rsid w:val="00777384"/>
    <w:rsid w:val="0078286C"/>
    <w:rsid w:val="00797207"/>
    <w:rsid w:val="007D4969"/>
    <w:rsid w:val="007D5951"/>
    <w:rsid w:val="007E26D7"/>
    <w:rsid w:val="007E3511"/>
    <w:rsid w:val="007F29D9"/>
    <w:rsid w:val="007F4B7A"/>
    <w:rsid w:val="00834C0C"/>
    <w:rsid w:val="00874227"/>
    <w:rsid w:val="00880B9A"/>
    <w:rsid w:val="0089073D"/>
    <w:rsid w:val="00891F36"/>
    <w:rsid w:val="008C094D"/>
    <w:rsid w:val="00902D0D"/>
    <w:rsid w:val="009655F8"/>
    <w:rsid w:val="009664B3"/>
    <w:rsid w:val="009D53F1"/>
    <w:rsid w:val="009E16D1"/>
    <w:rsid w:val="00A03571"/>
    <w:rsid w:val="00A0682B"/>
    <w:rsid w:val="00A10EBA"/>
    <w:rsid w:val="00A5241D"/>
    <w:rsid w:val="00A80F32"/>
    <w:rsid w:val="00A91390"/>
    <w:rsid w:val="00AA3B47"/>
    <w:rsid w:val="00AB71E5"/>
    <w:rsid w:val="00AF44C1"/>
    <w:rsid w:val="00B26049"/>
    <w:rsid w:val="00B27D48"/>
    <w:rsid w:val="00B36D0D"/>
    <w:rsid w:val="00B579C4"/>
    <w:rsid w:val="00B87670"/>
    <w:rsid w:val="00BA2A31"/>
    <w:rsid w:val="00BA2B08"/>
    <w:rsid w:val="00BC3D95"/>
    <w:rsid w:val="00BD0820"/>
    <w:rsid w:val="00BD50AB"/>
    <w:rsid w:val="00C2452F"/>
    <w:rsid w:val="00C32890"/>
    <w:rsid w:val="00C360A5"/>
    <w:rsid w:val="00C671E3"/>
    <w:rsid w:val="00CB37A4"/>
    <w:rsid w:val="00CC1F93"/>
    <w:rsid w:val="00CC5F16"/>
    <w:rsid w:val="00CD0EFC"/>
    <w:rsid w:val="00CE0398"/>
    <w:rsid w:val="00CE2927"/>
    <w:rsid w:val="00CF64F1"/>
    <w:rsid w:val="00D0582B"/>
    <w:rsid w:val="00D1103F"/>
    <w:rsid w:val="00D1690C"/>
    <w:rsid w:val="00D379E9"/>
    <w:rsid w:val="00D6372B"/>
    <w:rsid w:val="00D743EA"/>
    <w:rsid w:val="00D83384"/>
    <w:rsid w:val="00DA62EB"/>
    <w:rsid w:val="00DC3ADA"/>
    <w:rsid w:val="00DC44BC"/>
    <w:rsid w:val="00E046DA"/>
    <w:rsid w:val="00E1106E"/>
    <w:rsid w:val="00E5360E"/>
    <w:rsid w:val="00E718C3"/>
    <w:rsid w:val="00E87801"/>
    <w:rsid w:val="00E9098C"/>
    <w:rsid w:val="00E9217B"/>
    <w:rsid w:val="00F2354B"/>
    <w:rsid w:val="00F44F7F"/>
    <w:rsid w:val="00F46C23"/>
    <w:rsid w:val="00F57077"/>
    <w:rsid w:val="00F76BD5"/>
    <w:rsid w:val="00FC23DD"/>
    <w:rsid w:val="3D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next w:val="1"/>
    <w:link w:val="10"/>
    <w:qFormat/>
    <w:uiPriority w:val="0"/>
    <w:pPr>
      <w:spacing w:line="560" w:lineRule="exact"/>
      <w:ind w:firstLine="883" w:firstLineChars="200"/>
      <w:jc w:val="both"/>
      <w:outlineLvl w:val="0"/>
    </w:pPr>
    <w:rPr>
      <w:rFonts w:ascii="黑体" w:hAnsi="黑体" w:eastAsia="黑体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unhideWhenUsed/>
    <w:qFormat/>
    <w:uiPriority w:val="0"/>
    <w:pPr>
      <w:ind w:firstLine="200"/>
      <w:outlineLvl w:val="1"/>
    </w:pPr>
    <w:rPr>
      <w:rFonts w:ascii="楷体" w:hAnsi="楷体" w:eastAsia="楷体_GB231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next w:val="1"/>
    <w:link w:val="12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_GBK" w:cstheme="majorEastAsia"/>
      <w:kern w:val="2"/>
      <w:sz w:val="44"/>
      <w:szCs w:val="44"/>
      <w:lang w:val="en-US" w:eastAsia="zh-CN" w:bidi="ar-SA"/>
    </w:rPr>
  </w:style>
  <w:style w:type="character" w:customStyle="1" w:styleId="10">
    <w:name w:val="标题 1 字符"/>
    <w:basedOn w:val="9"/>
    <w:link w:val="3"/>
    <w:qFormat/>
    <w:uiPriority w:val="0"/>
    <w:rPr>
      <w:rFonts w:ascii="黑体" w:hAnsi="黑体" w:eastAsia="黑体" w:cs="Times New Roman"/>
      <w:sz w:val="32"/>
      <w:szCs w:val="24"/>
    </w:rPr>
  </w:style>
  <w:style w:type="character" w:customStyle="1" w:styleId="11">
    <w:name w:val="标题 2 字符"/>
    <w:basedOn w:val="9"/>
    <w:link w:val="4"/>
    <w:qFormat/>
    <w:uiPriority w:val="0"/>
    <w:rPr>
      <w:rFonts w:ascii="楷体" w:hAnsi="楷体" w:eastAsia="楷体_GB2312" w:cs="Times New Roman"/>
      <w:sz w:val="32"/>
      <w:szCs w:val="24"/>
    </w:rPr>
  </w:style>
  <w:style w:type="character" w:customStyle="1" w:styleId="12">
    <w:name w:val="标题 字符"/>
    <w:basedOn w:val="9"/>
    <w:link w:val="7"/>
    <w:qFormat/>
    <w:uiPriority w:val="0"/>
    <w:rPr>
      <w:rFonts w:ascii="方正小标宋_GBK" w:hAnsi="方正小标宋_GBK" w:eastAsia="方正小标宋_GBK" w:cstheme="majorEastAsia"/>
      <w:sz w:val="44"/>
      <w:szCs w:val="44"/>
    </w:rPr>
  </w:style>
  <w:style w:type="character" w:customStyle="1" w:styleId="13">
    <w:name w:val="页眉 字符"/>
    <w:basedOn w:val="9"/>
    <w:link w:val="6"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仿宋_GB2312" w:hAnsi="仿宋_GB2312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467</Words>
  <Characters>2663</Characters>
  <Lines>22</Lines>
  <Paragraphs>6</Paragraphs>
  <TotalTime>0</TotalTime>
  <ScaleCrop>false</ScaleCrop>
  <LinksUpToDate>false</LinksUpToDate>
  <CharactersWithSpaces>3124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2022-09-04T22:42:00Z</dcterms:created>
  <dc:creator>FENG, isaiah [Alumni]</dc:creator>
  <cp:lastModifiedBy>chenxin</cp:lastModifiedBy>
  <dcterms:modified xsi:type="dcterms:W3CDTF">2022-11-22T15:47:28Z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