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auto"/>
        <w:jc w:val="center"/>
        <w:outlineLvl w:val="9"/>
        <w:rPr>
          <w:rFonts w:hint="eastAsia" w:ascii="宋体" w:hAnsi="宋体" w:eastAsia="宋体" w:cs="宋体"/>
          <w:b/>
          <w:bCs/>
          <w:sz w:val="52"/>
          <w:szCs w:val="52"/>
        </w:rPr>
      </w:pPr>
    </w:p>
    <w:p>
      <w:pPr>
        <w:spacing w:line="720" w:lineRule="auto"/>
        <w:jc w:val="center"/>
        <w:outlineLvl w:val="9"/>
        <w:rPr>
          <w:rFonts w:hint="eastAsia" w:ascii="宋体" w:hAnsi="宋体" w:eastAsia="宋体" w:cs="宋体"/>
          <w:b/>
          <w:bCs/>
          <w:sz w:val="52"/>
          <w:szCs w:val="52"/>
        </w:rPr>
      </w:pPr>
    </w:p>
    <w:p>
      <w:pPr>
        <w:spacing w:line="720" w:lineRule="auto"/>
        <w:jc w:val="center"/>
        <w:outlineLvl w:val="9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52"/>
          <w:szCs w:val="52"/>
        </w:rPr>
        <w:t>深圳市物业</w:t>
      </w: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专项维修资金管理系统操作手册</w:t>
      </w:r>
    </w:p>
    <w:p>
      <w:pPr>
        <w:jc w:val="center"/>
        <w:outlineLvl w:val="9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（</w:t>
      </w: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instrText xml:space="preserve"> HYPERLINK "http://zjj.sz.gov.cn/attachment/0/746/746902/8519834.docx" \o "深圳市物业专项维修资金管理系统物业灭失退还使用指南（棚改实施主体，区中心篇）" </w:instrText>
      </w: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审价单位篇）</w:t>
      </w: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fldChar w:fldCharType="end"/>
      </w:r>
    </w:p>
    <w:p>
      <w:pPr>
        <w:bidi w:val="0"/>
        <w:jc w:val="both"/>
        <w:outlineLvl w:val="9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sdt>
      <w:sdtPr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  <w:id w:val="147477836"/>
        <w15:color w:val="DBDBDB"/>
        <w:docPartObj>
          <w:docPartGallery w:val="Table of Contents"/>
          <w:docPartUnique/>
        </w:docPartObj>
      </w:sdtPr>
      <w:sdtEndPr>
        <w:rPr>
          <w:rFonts w:hint="eastAsia" w:ascii="仿宋" w:hAnsi="仿宋" w:eastAsia="仿宋" w:cs="仿宋"/>
          <w:bCs/>
          <w:kern w:val="2"/>
          <w:sz w:val="28"/>
          <w:szCs w:val="4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36"/>
              <w:szCs w:val="36"/>
            </w:rPr>
          </w:pPr>
          <w:r>
            <w:rPr>
              <w:rFonts w:ascii="宋体" w:hAnsi="宋体" w:eastAsia="宋体"/>
              <w:b/>
              <w:bCs/>
              <w:sz w:val="36"/>
              <w:szCs w:val="36"/>
            </w:rPr>
            <w:t>目录</w:t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/>
              <w:bCs/>
              <w:sz w:val="44"/>
              <w:szCs w:val="4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44"/>
              <w:szCs w:val="44"/>
              <w:lang w:val="en-US" w:eastAsia="zh-CN"/>
            </w:rPr>
            <w:instrText xml:space="preserve">TOC \o "1-3" \h \u </w:instrText>
          </w:r>
          <w:r>
            <w:rPr>
              <w:rFonts w:hint="eastAsia" w:ascii="仿宋" w:hAnsi="仿宋" w:eastAsia="仿宋" w:cs="仿宋"/>
              <w:b/>
              <w:bCs/>
              <w:sz w:val="44"/>
              <w:szCs w:val="4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instrText xml:space="preserve"> HYPERLINK \l _Toc27560 </w:instrText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separate"/>
          </w:r>
          <w:r>
            <w:rPr>
              <w:rFonts w:hint="default" w:ascii="仿宋" w:hAnsi="仿宋" w:eastAsia="仿宋" w:cs="仿宋"/>
              <w:lang w:val="en-US" w:eastAsia="zh-CN"/>
            </w:rPr>
            <w:t xml:space="preserve">1. </w:t>
          </w:r>
          <w:r>
            <w:rPr>
              <w:rFonts w:hint="eastAsia" w:ascii="仿宋" w:hAnsi="仿宋" w:eastAsia="仿宋" w:cs="仿宋"/>
              <w:lang w:val="en-US" w:eastAsia="zh-CN"/>
            </w:rPr>
            <w:t>造价</w:t>
          </w:r>
          <w:r>
            <w:rPr>
              <w:rFonts w:hint="eastAsia" w:ascii="仿宋" w:hAnsi="仿宋" w:cs="仿宋"/>
              <w:lang w:val="en-US" w:eastAsia="zh-CN"/>
            </w:rPr>
            <w:t>信息审核</w:t>
          </w:r>
          <w:r>
            <w:tab/>
          </w:r>
          <w:r>
            <w:fldChar w:fldCharType="begin"/>
          </w:r>
          <w:r>
            <w:instrText xml:space="preserve"> PAGEREF _Toc27560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instrText xml:space="preserve"> HYPERLINK \l _Toc26405 </w:instrText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1.1. </w:t>
          </w:r>
          <w:r>
            <w:rPr>
              <w:rFonts w:hint="eastAsia" w:ascii="仿宋" w:hAnsi="仿宋" w:eastAsia="仿宋" w:cs="仿宋"/>
              <w:lang w:val="en-US" w:eastAsia="zh-CN"/>
            </w:rPr>
            <w:t>收件</w:t>
          </w:r>
          <w:r>
            <w:tab/>
          </w:r>
          <w:r>
            <w:fldChar w:fldCharType="begin"/>
          </w:r>
          <w:r>
            <w:instrText xml:space="preserve"> PAGEREF _Toc26405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instrText xml:space="preserve"> HYPERLINK \l _Toc21966 </w:instrText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1.2. </w:t>
          </w:r>
          <w:r>
            <w:rPr>
              <w:rFonts w:hint="eastAsia" w:ascii="仿宋" w:hAnsi="仿宋" w:eastAsia="仿宋" w:cs="仿宋"/>
              <w:lang w:val="en-US" w:eastAsia="zh-CN"/>
            </w:rPr>
            <w:t>受理</w:t>
          </w:r>
          <w:r>
            <w:tab/>
          </w:r>
          <w:r>
            <w:fldChar w:fldCharType="begin"/>
          </w:r>
          <w:r>
            <w:instrText xml:space="preserve"> PAGEREF _Toc21966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instrText xml:space="preserve"> HYPERLINK \l _Toc26214 </w:instrText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1.2.1. </w:t>
          </w:r>
          <w:r>
            <w:rPr>
              <w:rFonts w:hint="eastAsia" w:ascii="仿宋" w:hAnsi="仿宋" w:eastAsia="仿宋" w:cs="仿宋"/>
              <w:lang w:val="en-US" w:eastAsia="zh-CN"/>
            </w:rPr>
            <w:t>补正补件</w:t>
          </w:r>
          <w:r>
            <w:tab/>
          </w:r>
          <w:r>
            <w:fldChar w:fldCharType="begin"/>
          </w:r>
          <w:r>
            <w:instrText xml:space="preserve"> PAGEREF _Toc26214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instrText xml:space="preserve"> HYPERLINK \l _Toc24341 </w:instrText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1.2.2. </w:t>
          </w:r>
          <w:r>
            <w:rPr>
              <w:rFonts w:hint="eastAsia" w:ascii="仿宋" w:hAnsi="仿宋" w:eastAsia="仿宋" w:cs="仿宋"/>
              <w:lang w:val="en-US" w:eastAsia="zh-CN"/>
            </w:rPr>
            <w:t>补正受理</w:t>
          </w:r>
          <w:r>
            <w:tab/>
          </w:r>
          <w:r>
            <w:fldChar w:fldCharType="begin"/>
          </w:r>
          <w:r>
            <w:instrText xml:space="preserve"> PAGEREF _Toc24341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instrText xml:space="preserve"> HYPERLINK \l _Toc29965 </w:instrText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1.2.3. </w:t>
          </w:r>
          <w:r>
            <w:rPr>
              <w:rFonts w:hint="eastAsia" w:ascii="仿宋" w:hAnsi="仿宋" w:eastAsia="仿宋" w:cs="仿宋"/>
              <w:lang w:val="en-US" w:eastAsia="zh-CN"/>
            </w:rPr>
            <w:t>延期</w:t>
          </w:r>
          <w:r>
            <w:tab/>
          </w:r>
          <w:r>
            <w:fldChar w:fldCharType="begin"/>
          </w:r>
          <w:r>
            <w:instrText xml:space="preserve"> PAGEREF _Toc29965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instrText xml:space="preserve"> HYPERLINK \l _Toc29896 </w:instrText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1.3. </w:t>
          </w:r>
          <w:r>
            <w:rPr>
              <w:rFonts w:hint="eastAsia" w:ascii="仿宋" w:hAnsi="仿宋" w:eastAsia="仿宋" w:cs="仿宋"/>
              <w:lang w:val="en-US" w:eastAsia="zh-CN"/>
            </w:rPr>
            <w:t>已完结</w:t>
          </w:r>
          <w:r>
            <w:tab/>
          </w:r>
          <w:r>
            <w:fldChar w:fldCharType="begin"/>
          </w:r>
          <w:r>
            <w:instrText xml:space="preserve"> PAGEREF _Toc29896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instrText xml:space="preserve"> HYPERLINK \l _Toc11169 </w:instrText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separate"/>
          </w:r>
          <w:r>
            <w:rPr>
              <w:rFonts w:hint="default" w:ascii="仿宋" w:hAnsi="仿宋" w:eastAsia="仿宋" w:cs="仿宋"/>
              <w:lang w:val="en-US" w:eastAsia="zh-CN"/>
            </w:rPr>
            <w:t xml:space="preserve">2. </w:t>
          </w:r>
          <w:r>
            <w:rPr>
              <w:rFonts w:hint="eastAsia" w:ascii="仿宋" w:hAnsi="仿宋" w:eastAsia="仿宋" w:cs="仿宋"/>
              <w:lang w:val="en-US" w:eastAsia="zh-CN"/>
            </w:rPr>
            <w:t>审价</w:t>
          </w:r>
          <w:r>
            <w:rPr>
              <w:rFonts w:hint="eastAsia" w:ascii="仿宋" w:hAnsi="仿宋" w:cs="仿宋"/>
              <w:lang w:val="en-US" w:eastAsia="zh-CN"/>
            </w:rPr>
            <w:t>情况查看</w:t>
          </w:r>
          <w:r>
            <w:tab/>
          </w:r>
          <w:r>
            <w:fldChar w:fldCharType="begin"/>
          </w:r>
          <w:r>
            <w:instrText xml:space="preserve"> PAGEREF _Toc11169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end"/>
          </w:r>
        </w:p>
        <w:p>
          <w:pPr>
            <w:bidi w:val="0"/>
            <w:ind w:firstLine="560" w:firstLineChars="200"/>
            <w:jc w:val="center"/>
            <w:outlineLvl w:val="9"/>
            <w:rPr>
              <w:rFonts w:hint="eastAsia" w:ascii="仿宋" w:hAnsi="仿宋" w:eastAsia="仿宋" w:cs="仿宋"/>
              <w:b/>
              <w:bCs/>
              <w:sz w:val="44"/>
              <w:szCs w:val="44"/>
              <w:lang w:val="en-US" w:eastAsia="zh-CN"/>
            </w:rPr>
          </w:pP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end"/>
          </w:r>
        </w:p>
      </w:sdtContent>
    </w:sdt>
    <w:p>
      <w:pPr>
        <w:pStyle w:val="3"/>
        <w:numPr>
          <w:ilvl w:val="0"/>
          <w:numId w:val="0"/>
        </w:numPr>
        <w:bidi w:val="0"/>
        <w:ind w:left="280" w:leftChars="0"/>
        <w:rPr>
          <w:rFonts w:hint="eastAsia" w:ascii="仿宋" w:hAnsi="仿宋" w:eastAsia="仿宋" w:cs="仿宋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3"/>
        <w:bidi w:val="0"/>
        <w:ind w:left="705" w:leftChars="0" w:hanging="425" w:firstLineChars="0"/>
        <w:rPr>
          <w:rFonts w:hint="eastAsia" w:ascii="仿宋" w:hAnsi="仿宋" w:eastAsia="仿宋" w:cs="仿宋"/>
          <w:lang w:val="en-US" w:eastAsia="zh-CN"/>
        </w:rPr>
      </w:pPr>
      <w:bookmarkStart w:id="0" w:name="_Toc27560"/>
      <w:r>
        <w:rPr>
          <w:rFonts w:hint="eastAsia" w:ascii="仿宋" w:hAnsi="仿宋" w:eastAsia="仿宋" w:cs="仿宋"/>
          <w:lang w:val="en-US" w:eastAsia="zh-CN"/>
        </w:rPr>
        <w:t>造价</w:t>
      </w:r>
      <w:r>
        <w:rPr>
          <w:rFonts w:hint="eastAsia" w:ascii="仿宋" w:hAnsi="仿宋" w:cs="仿宋"/>
          <w:lang w:val="en-US" w:eastAsia="zh-CN"/>
        </w:rPr>
        <w:t>信息审核</w:t>
      </w:r>
      <w:bookmarkEnd w:id="0"/>
    </w:p>
    <w:p>
      <w:pPr>
        <w:ind w:firstLine="562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办理流程：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申请人提交→区中心预审→审价单位收件、受理→审价单位办结。</w:t>
      </w:r>
    </w:p>
    <w:p>
      <w:pPr>
        <w:pStyle w:val="4"/>
        <w:bidi w:val="0"/>
        <w:ind w:left="733" w:leftChars="0" w:hanging="453" w:firstLineChars="0"/>
        <w:rPr>
          <w:rFonts w:hint="eastAsia" w:ascii="仿宋" w:hAnsi="仿宋" w:eastAsia="仿宋" w:cs="仿宋"/>
          <w:lang w:val="en-US" w:eastAsia="zh-CN"/>
        </w:rPr>
      </w:pPr>
      <w:bookmarkStart w:id="1" w:name="_Toc26405"/>
      <w:r>
        <w:rPr>
          <w:rFonts w:hint="eastAsia" w:ascii="仿宋" w:hAnsi="仿宋" w:eastAsia="仿宋" w:cs="仿宋"/>
          <w:lang w:val="en-US" w:eastAsia="zh-CN"/>
        </w:rPr>
        <w:t>收件</w:t>
      </w:r>
      <w:bookmarkEnd w:id="1"/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区中心预审通过后，由审价机构经办人进行收文，在系统首页的待办列表中可找到该申请单，点击进入收件页面。进入收件页面后，勾选对应的收件材料，点击收件材料名称后“查看”按钮，可下载电子附件进行查看，点击“审价申请记录”按钮，可以查看到该小区以往申请的所有审价记录。如下图所示：</w:t>
      </w:r>
    </w:p>
    <w:p>
      <w:pPr>
        <w:numPr>
          <w:ilvl w:val="0"/>
          <w:numId w:val="0"/>
        </w:numPr>
        <w:ind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1610" cy="2604135"/>
            <wp:effectExtent l="0" t="0" r="15240" b="5715"/>
            <wp:docPr id="21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审价申请记录页面，如下图所示：</w:t>
      </w:r>
    </w:p>
    <w:p>
      <w:pPr>
        <w:numPr>
          <w:ilvl w:val="0"/>
          <w:numId w:val="0"/>
        </w:numPr>
        <w:ind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8595" cy="2133600"/>
            <wp:effectExtent l="0" t="0" r="8255" b="0"/>
            <wp:docPr id="19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确认信息无误后可点击“收文”按钮，如需退文点击“退件”按钮。如下图所示：</w:t>
      </w:r>
    </w:p>
    <w:p>
      <w:pPr>
        <w:numPr>
          <w:ilvl w:val="0"/>
          <w:numId w:val="0"/>
        </w:numPr>
        <w:ind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0500" cy="2632075"/>
            <wp:effectExtent l="0" t="0" r="6350" b="15875"/>
            <wp:docPr id="23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33" w:leftChars="0" w:hanging="453" w:firstLineChars="0"/>
        <w:rPr>
          <w:rFonts w:hint="eastAsia" w:ascii="仿宋" w:hAnsi="仿宋" w:eastAsia="仿宋" w:cs="仿宋"/>
          <w:lang w:val="en-US" w:eastAsia="zh-CN"/>
        </w:rPr>
      </w:pPr>
      <w:bookmarkStart w:id="2" w:name="_Toc21966"/>
      <w:r>
        <w:rPr>
          <w:rFonts w:hint="eastAsia" w:ascii="仿宋" w:hAnsi="仿宋" w:eastAsia="仿宋" w:cs="仿宋"/>
          <w:lang w:val="en-US" w:eastAsia="zh-CN"/>
        </w:rPr>
        <w:t>受理</w:t>
      </w:r>
      <w:bookmarkEnd w:id="2"/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经办人确认信息无误后，点击“受理”按钮进行受理或不予受理。如下图所示：</w:t>
      </w:r>
    </w:p>
    <w:p>
      <w:pPr>
        <w:numPr>
          <w:ilvl w:val="0"/>
          <w:numId w:val="0"/>
        </w:numPr>
        <w:ind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5420" cy="2650490"/>
            <wp:effectExtent l="0" t="0" r="11430" b="16510"/>
            <wp:docPr id="60" name="图片 5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点击“受理”按钮进行受理，该业务状态办理进度为“审核中”状态。如下图所示：</w:t>
      </w:r>
    </w:p>
    <w:p>
      <w:pPr>
        <w:numPr>
          <w:ilvl w:val="0"/>
          <w:numId w:val="0"/>
        </w:numPr>
        <w:ind w:leftChars="0" w:firstLine="0" w:firstLineChars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7325" cy="1845945"/>
            <wp:effectExtent l="0" t="0" r="9525" b="1905"/>
            <wp:docPr id="68" name="图片 5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8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点击“不予受理”按钮，则不予受理，该业务状态办理进度为“审核退文”状态。如下图所示：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1610" cy="1818005"/>
            <wp:effectExtent l="0" t="0" r="15240" b="10795"/>
            <wp:docPr id="66" name="图片 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6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733" w:leftChars="0" w:hanging="453" w:firstLineChars="0"/>
        <w:rPr>
          <w:rFonts w:hint="eastAsia" w:ascii="仿宋" w:hAnsi="仿宋" w:eastAsia="仿宋" w:cs="仿宋"/>
          <w:lang w:val="en-US" w:eastAsia="zh-CN"/>
        </w:rPr>
      </w:pPr>
      <w:bookmarkStart w:id="3" w:name="_Toc26214"/>
      <w:r>
        <w:rPr>
          <w:rFonts w:hint="eastAsia" w:ascii="仿宋" w:hAnsi="仿宋" w:eastAsia="仿宋" w:cs="仿宋"/>
          <w:lang w:val="en-US" w:eastAsia="zh-CN"/>
        </w:rPr>
        <w:t>补正补件</w:t>
      </w:r>
      <w:bookmarkEnd w:id="3"/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如需补充材料，可点击“补正补件”按钮，进入补正补件材料列表页面。如下图所示：</w:t>
      </w:r>
    </w:p>
    <w:p>
      <w:pPr>
        <w:numPr>
          <w:ilvl w:val="0"/>
          <w:numId w:val="0"/>
        </w:numPr>
        <w:ind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7960" cy="2654935"/>
            <wp:effectExtent l="0" t="0" r="8890" b="12065"/>
            <wp:docPr id="36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9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在补正补件的列表页面，点击“新增”按钮新增材料信息，选择材料名称填写所属份数，确认无误后点击“确定”按钮。如下图所示：</w:t>
      </w:r>
    </w:p>
    <w:p>
      <w:pPr>
        <w:numPr>
          <w:ilvl w:val="0"/>
          <w:numId w:val="0"/>
        </w:numPr>
        <w:ind w:leftChars="0" w:firstLine="0" w:firstLineChars="0"/>
        <w:jc w:val="center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ind w:leftChars="0" w:firstLine="0" w:firstLineChars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15255" cy="1156335"/>
            <wp:effectExtent l="0" t="0" r="0" b="0"/>
            <wp:docPr id="29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true"/>
                    </pic:cNvPicPr>
                  </pic:nvPicPr>
                  <pic:blipFill>
                    <a:blip r:embed="rId12"/>
                    <a:srcRect l="615" t="29971" r="314" b="29025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如需修改点击“编辑”按钮修改编辑材料信息，如需删除点击“删除”按钮删除材料信息，填写备注信息，确认信息无误后点击“送出”按钮</w:t>
      </w:r>
      <w:r>
        <w:rPr>
          <w:rFonts w:hint="eastAsia" w:ascii="仿宋" w:hAnsi="仿宋" w:cs="仿宋"/>
          <w:b w:val="0"/>
          <w:bCs w:val="0"/>
          <w:sz w:val="28"/>
          <w:szCs w:val="28"/>
          <w:lang w:val="en-US"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该业务的办理进度为“挂起”状态。如下图所示：</w:t>
      </w:r>
    </w:p>
    <w:p>
      <w:pPr>
        <w:numPr>
          <w:ilvl w:val="-1"/>
          <w:numId w:val="0"/>
        </w:numPr>
        <w:ind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3675" cy="2814955"/>
            <wp:effectExtent l="0" t="0" r="3175" b="4445"/>
            <wp:docPr id="31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在业务申请的列表页，该申请单的办理进度为“挂起”状态，如下图所示：</w:t>
      </w:r>
    </w:p>
    <w:p>
      <w:pPr>
        <w:numPr>
          <w:ilvl w:val="0"/>
          <w:numId w:val="0"/>
        </w:numPr>
        <w:ind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4310" cy="1616075"/>
            <wp:effectExtent l="0" t="0" r="2540" b="3175"/>
            <wp:docPr id="35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8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Chars="0" w:firstLine="562" w:firstLineChars="200"/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eastAsia="zh-CN"/>
        </w:rPr>
        <w:t>注意：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挂起30日内未进行补交材料系统自动退文。</w:t>
      </w:r>
    </w:p>
    <w:p>
      <w:pPr>
        <w:pStyle w:val="5"/>
        <w:bidi w:val="0"/>
        <w:ind w:left="733" w:leftChars="0" w:hanging="453" w:firstLineChars="0"/>
        <w:rPr>
          <w:rFonts w:hint="eastAsia" w:ascii="仿宋" w:hAnsi="仿宋" w:eastAsia="仿宋" w:cs="仿宋"/>
          <w:lang w:val="en-US" w:eastAsia="zh-CN"/>
        </w:rPr>
      </w:pPr>
      <w:bookmarkStart w:id="4" w:name="_Toc24341"/>
      <w:r>
        <w:rPr>
          <w:rFonts w:hint="eastAsia" w:ascii="仿宋" w:hAnsi="仿宋" w:eastAsia="仿宋" w:cs="仿宋"/>
          <w:lang w:val="en-US" w:eastAsia="zh-CN"/>
        </w:rPr>
        <w:t>补正受理</w:t>
      </w:r>
      <w:bookmarkEnd w:id="4"/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材料信息补齐确认无误后，点击“补正受理”按钮，该业务的办理进度为“待受理”状态，如下图所示：</w:t>
      </w:r>
    </w:p>
    <w:p>
      <w:pPr>
        <w:numPr>
          <w:ilvl w:val="0"/>
          <w:numId w:val="0"/>
        </w:numPr>
        <w:ind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2245" cy="2639060"/>
            <wp:effectExtent l="0" t="0" r="14605" b="8890"/>
            <wp:docPr id="37" name="图片 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0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在业务申请列表页，该申请单的办理进度为“待受理”，如下图所示：</w:t>
      </w:r>
    </w:p>
    <w:p>
      <w:pPr>
        <w:numPr>
          <w:ilvl w:val="0"/>
          <w:numId w:val="0"/>
        </w:numPr>
        <w:ind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4310" cy="1597025"/>
            <wp:effectExtent l="0" t="0" r="2540" b="3175"/>
            <wp:docPr id="39" name="图片 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2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733" w:leftChars="0" w:hanging="453" w:firstLineChars="0"/>
        <w:rPr>
          <w:rFonts w:hint="eastAsia" w:ascii="仿宋" w:hAnsi="仿宋" w:eastAsia="仿宋" w:cs="仿宋"/>
          <w:lang w:val="en-US" w:eastAsia="zh-CN"/>
        </w:rPr>
      </w:pPr>
      <w:bookmarkStart w:id="5" w:name="_Toc29965"/>
      <w:r>
        <w:rPr>
          <w:rFonts w:hint="eastAsia" w:ascii="仿宋" w:hAnsi="仿宋" w:eastAsia="仿宋" w:cs="仿宋"/>
          <w:lang w:val="en-US" w:eastAsia="zh-CN"/>
        </w:rPr>
        <w:t>延期</w:t>
      </w:r>
      <w:bookmarkEnd w:id="5"/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根据业务实际情况，可对造价审核业务进行延期。点击“申请延期”按钮进行延期，延期天数在原有办理时限的基础上新增一倍，如之前办理时限为5个工作日，延期后办理时限增加5个工作日，总办理时限为10个工作日，确认信息无误后点击“提交”按钮，提交后由区中心人员进行审批。如下图示：</w:t>
      </w:r>
    </w:p>
    <w:p>
      <w:pPr>
        <w:ind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1610" cy="2645410"/>
            <wp:effectExtent l="0" t="0" r="15240" b="2540"/>
            <wp:docPr id="40" name="图片 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3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延期申请页面，如下图所示：</w:t>
      </w:r>
    </w:p>
    <w:p>
      <w:pPr>
        <w:ind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3675" cy="1815465"/>
            <wp:effectExtent l="0" t="0" r="3175" b="13335"/>
            <wp:docPr id="43" name="图片 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6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审批通过后该业务的办理时限（工作日）由原来的5个工作日变为10个工作日，延期天数在原有办理基础上新增一倍。如下图所示：</w:t>
      </w:r>
    </w:p>
    <w:p>
      <w:pPr>
        <w:ind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5420" cy="1600200"/>
            <wp:effectExtent l="0" t="0" r="11430" b="0"/>
            <wp:docPr id="51" name="图片 4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4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延期申请通过后的办理时限，如下图所示：</w:t>
      </w:r>
    </w:p>
    <w:p>
      <w:pPr>
        <w:ind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9230" cy="1585595"/>
            <wp:effectExtent l="0" t="0" r="7620" b="14605"/>
            <wp:docPr id="52" name="图片 4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5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33" w:leftChars="0" w:hanging="453" w:firstLineChars="0"/>
        <w:rPr>
          <w:rFonts w:hint="eastAsia" w:ascii="仿宋" w:hAnsi="仿宋" w:eastAsia="仿宋" w:cs="仿宋"/>
          <w:lang w:val="en-US" w:eastAsia="zh-CN"/>
        </w:rPr>
      </w:pPr>
      <w:bookmarkStart w:id="6" w:name="_Toc29896"/>
      <w:r>
        <w:rPr>
          <w:rFonts w:hint="eastAsia" w:ascii="仿宋" w:hAnsi="仿宋" w:eastAsia="仿宋" w:cs="仿宋"/>
          <w:lang w:val="en-US" w:eastAsia="zh-CN"/>
        </w:rPr>
        <w:t>已完结</w:t>
      </w:r>
      <w:bookmarkEnd w:id="6"/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审价完</w:t>
      </w:r>
      <w:r>
        <w:rPr>
          <w:rFonts w:hint="eastAsia" w:ascii="仿宋" w:hAnsi="仿宋" w:cs="仿宋"/>
          <w:sz w:val="28"/>
          <w:szCs w:val="28"/>
          <w:lang w:val="en-US" w:eastAsia="zh-CN"/>
        </w:rPr>
        <w:t>成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后需填写审价结果信息，上传对应的电子附件，确认信息无误后点击“办结”按钮，可进行办结或退文。如下图所示：</w:t>
      </w:r>
    </w:p>
    <w:p>
      <w:pPr>
        <w:numPr>
          <w:ilvl w:val="0"/>
          <w:numId w:val="0"/>
        </w:numPr>
        <w:ind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7960" cy="2643505"/>
            <wp:effectExtent l="0" t="0" r="8890" b="4445"/>
            <wp:docPr id="55" name="图片 4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8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点击办结下</w:t>
      </w:r>
      <w:r>
        <w:rPr>
          <w:rFonts w:hint="eastAsia" w:ascii="仿宋" w:hAnsi="仿宋" w:cs="仿宋"/>
          <w:sz w:val="28"/>
          <w:szCs w:val="28"/>
          <w:lang w:val="en-US" w:eastAsia="zh-CN"/>
        </w:rPr>
        <w:t>拉选项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的“办结完成”按钮后，该业务的办理进度为“已完结”状态。如下图所示：</w:t>
      </w:r>
    </w:p>
    <w:p>
      <w:pPr>
        <w:numPr>
          <w:ilvl w:val="0"/>
          <w:numId w:val="0"/>
        </w:numPr>
        <w:ind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3675" cy="1905635"/>
            <wp:effectExtent l="0" t="0" r="3175" b="18415"/>
            <wp:docPr id="56" name="图片 4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9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点击办结下</w:t>
      </w:r>
      <w:r>
        <w:rPr>
          <w:rFonts w:hint="eastAsia" w:ascii="仿宋" w:hAnsi="仿宋" w:cs="仿宋"/>
          <w:sz w:val="28"/>
          <w:szCs w:val="28"/>
          <w:lang w:val="en-US" w:eastAsia="zh-CN"/>
        </w:rPr>
        <w:t>拉选项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的“退文”按钮，该业务的办理进度为“审核退文”状态。如下图所示：</w:t>
      </w:r>
      <w:bookmarkStart w:id="8" w:name="_GoBack"/>
      <w:bookmarkEnd w:id="8"/>
    </w:p>
    <w:p>
      <w:pPr>
        <w:numPr>
          <w:ilvl w:val="0"/>
          <w:numId w:val="0"/>
        </w:numPr>
        <w:ind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3515" cy="1831975"/>
            <wp:effectExtent l="0" t="0" r="13335" b="15875"/>
            <wp:docPr id="57" name="图片 5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0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705" w:leftChars="0" w:hanging="425" w:firstLineChars="0"/>
        <w:rPr>
          <w:rFonts w:hint="eastAsia" w:ascii="仿宋" w:hAnsi="仿宋" w:eastAsia="仿宋" w:cs="仿宋"/>
          <w:lang w:val="en-US" w:eastAsia="zh-CN"/>
        </w:rPr>
      </w:pPr>
      <w:bookmarkStart w:id="7" w:name="_Toc11169"/>
      <w:r>
        <w:rPr>
          <w:rFonts w:hint="eastAsia" w:ascii="仿宋" w:hAnsi="仿宋" w:eastAsia="仿宋" w:cs="仿宋"/>
          <w:lang w:val="en-US" w:eastAsia="zh-CN"/>
        </w:rPr>
        <w:t>审价</w:t>
      </w:r>
      <w:r>
        <w:rPr>
          <w:rFonts w:hint="eastAsia" w:ascii="仿宋" w:hAnsi="仿宋" w:cs="仿宋"/>
          <w:lang w:val="en-US" w:eastAsia="zh-CN"/>
        </w:rPr>
        <w:t>情况查看</w:t>
      </w:r>
      <w:bookmarkEnd w:id="7"/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点击系统左侧菜单：“造价审核管理”-“审价项目完成情况统计表”，可以查看到审价机构已完成的审价记录。如下图所示：</w:t>
      </w:r>
    </w:p>
    <w:p>
      <w:pPr>
        <w:ind w:firstLine="0" w:firstLineChars="0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62245" cy="1725295"/>
            <wp:effectExtent l="0" t="0" r="14605" b="8255"/>
            <wp:docPr id="6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Microsoft YaHei">
    <w:altName w:val="方正黑体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BYAAABkcnMvUEsBAhQAFAAAAAgA&#10;h07iQLNJWO7QAAAABQEAAA8AAAAAAAAAAQAgAAAAOAAAAGRycy9kb3ducmV2LnhtbFBLAQIUABQA&#10;AAAIAIdO4kA8FiLyGwIAACkEAAAOAAAAAAAAAAEAIAAAADU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F02589"/>
    <w:multiLevelType w:val="multilevel"/>
    <w:tmpl w:val="8DF02589"/>
    <w:lvl w:ilvl="0" w:tentative="0">
      <w:start w:val="1"/>
      <w:numFmt w:val="decimal"/>
      <w:pStyle w:val="3"/>
      <w:lvlText w:val="%1."/>
      <w:lvlJc w:val="left"/>
      <w:pPr>
        <w:ind w:left="705" w:hanging="425"/>
      </w:pPr>
      <w:rPr>
        <w:rFonts w:hint="default"/>
      </w:rPr>
    </w:lvl>
    <w:lvl w:ilvl="1" w:tentative="0">
      <w:start w:val="1"/>
      <w:numFmt w:val="decimal"/>
      <w:pStyle w:val="4"/>
      <w:lvlText w:val="%1.%2."/>
      <w:lvlJc w:val="left"/>
      <w:pPr>
        <w:ind w:left="733" w:hanging="453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5"/>
      <w:lvlText w:val="%1.%2.%3."/>
      <w:lvlJc w:val="left"/>
      <w:pPr>
        <w:ind w:left="2348" w:hanging="708"/>
      </w:pPr>
      <w:rPr>
        <w:rFonts w:hint="default" w:ascii="宋体" w:hAnsi="宋体" w:eastAsia="宋体" w:cs="宋体"/>
      </w:rPr>
    </w:lvl>
    <w:lvl w:ilvl="3" w:tentative="0">
      <w:start w:val="1"/>
      <w:numFmt w:val="decimal"/>
      <w:pStyle w:val="6"/>
      <w:lvlText w:val="%1.%2.%3.%4."/>
      <w:lvlJc w:val="left"/>
      <w:pPr>
        <w:ind w:left="2893" w:hanging="853"/>
      </w:pPr>
      <w:rPr>
        <w:rFonts w:hint="default" w:ascii="宋体" w:hAnsi="宋体" w:eastAsia="宋体" w:cs="宋体"/>
      </w:rPr>
    </w:lvl>
    <w:lvl w:ilvl="4" w:tentative="0">
      <w:start w:val="1"/>
      <w:numFmt w:val="decimal"/>
      <w:lvlText w:val="%1.%2.%3.%4.%5."/>
      <w:lvlJc w:val="left"/>
      <w:pPr>
        <w:ind w:left="333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97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451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505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5488" w:hanging="144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NhNGQ2MGJhZDkzNDY3NjU0YWVmZmRjMDAxZGQ4NzUifQ=="/>
  </w:docVars>
  <w:rsids>
    <w:rsidRoot w:val="53036E37"/>
    <w:rsid w:val="02915EE9"/>
    <w:rsid w:val="080B044A"/>
    <w:rsid w:val="08A16908"/>
    <w:rsid w:val="0BE1433A"/>
    <w:rsid w:val="0EB3B477"/>
    <w:rsid w:val="12825656"/>
    <w:rsid w:val="12B74046"/>
    <w:rsid w:val="166F74AF"/>
    <w:rsid w:val="19F67B09"/>
    <w:rsid w:val="1A4A5CAA"/>
    <w:rsid w:val="1BF279CC"/>
    <w:rsid w:val="1D201A8B"/>
    <w:rsid w:val="2168668A"/>
    <w:rsid w:val="24070EDF"/>
    <w:rsid w:val="256059E5"/>
    <w:rsid w:val="2BBD710F"/>
    <w:rsid w:val="303D099F"/>
    <w:rsid w:val="304940D8"/>
    <w:rsid w:val="31CF353E"/>
    <w:rsid w:val="330A2382"/>
    <w:rsid w:val="33D571B6"/>
    <w:rsid w:val="39627FB8"/>
    <w:rsid w:val="41DE664A"/>
    <w:rsid w:val="4B381D67"/>
    <w:rsid w:val="4EDC07A9"/>
    <w:rsid w:val="4FA26143"/>
    <w:rsid w:val="53036E37"/>
    <w:rsid w:val="53C5125C"/>
    <w:rsid w:val="54B509A9"/>
    <w:rsid w:val="55770F5A"/>
    <w:rsid w:val="58510280"/>
    <w:rsid w:val="59084281"/>
    <w:rsid w:val="5D844816"/>
    <w:rsid w:val="5F4B3119"/>
    <w:rsid w:val="5FA55D24"/>
    <w:rsid w:val="65470284"/>
    <w:rsid w:val="6AF7B31E"/>
    <w:rsid w:val="6CD27A01"/>
    <w:rsid w:val="700C5673"/>
    <w:rsid w:val="709027A3"/>
    <w:rsid w:val="74EB7663"/>
    <w:rsid w:val="76324266"/>
    <w:rsid w:val="777F42B6"/>
    <w:rsid w:val="77BA8D73"/>
    <w:rsid w:val="7D9B56EA"/>
    <w:rsid w:val="D7E3ACEA"/>
    <w:rsid w:val="DFFD73A2"/>
    <w:rsid w:val="E5D7CE1C"/>
    <w:rsid w:val="EF5F40FD"/>
    <w:rsid w:val="F4CE7292"/>
    <w:rsid w:val="F7FBEE55"/>
    <w:rsid w:val="FFDD0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" w:cs="Times New Roman"/>
      <w:kern w:val="2"/>
      <w:sz w:val="28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25" w:hanging="425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link w:val="15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850" w:hanging="453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1508" w:hanging="708"/>
      <w:outlineLvl w:val="2"/>
    </w:pPr>
    <w:rPr>
      <w:b/>
      <w:sz w:val="32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2053" w:hanging="853"/>
      <w:outlineLvl w:val="3"/>
    </w:pPr>
    <w:rPr>
      <w:rFonts w:ascii="Arial" w:hAnsi="Arial" w:eastAsia="黑体"/>
      <w:b/>
      <w:sz w:val="28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eastAsia="仿宋"/>
    </w:rPr>
  </w:style>
  <w:style w:type="paragraph" w:styleId="7">
    <w:name w:val="annotation text"/>
    <w:basedOn w:val="1"/>
    <w:qFormat/>
    <w:uiPriority w:val="0"/>
    <w:pPr>
      <w:jc w:val="left"/>
    </w:pPr>
  </w:style>
  <w:style w:type="paragraph" w:styleId="8">
    <w:name w:val="toc 3"/>
    <w:basedOn w:val="1"/>
    <w:next w:val="1"/>
    <w:qFormat/>
    <w:uiPriority w:val="0"/>
    <w:pPr>
      <w:ind w:left="840" w:leftChars="400"/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character" w:customStyle="1" w:styleId="15">
    <w:name w:val="标题 2 Char"/>
    <w:link w:val="4"/>
    <w:qFormat/>
    <w:uiPriority w:val="0"/>
    <w:rPr>
      <w:rFonts w:ascii="Arial" w:hAnsi="Arial" w:eastAsia="黑体"/>
      <w:b/>
      <w:sz w:val="32"/>
    </w:rPr>
  </w:style>
  <w:style w:type="paragraph" w:customStyle="1" w:styleId="1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7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8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1160</Words>
  <Characters>1191</Characters>
  <Lines>0</Lines>
  <Paragraphs>0</Paragraphs>
  <TotalTime>0</TotalTime>
  <ScaleCrop>false</ScaleCrop>
  <LinksUpToDate>false</LinksUpToDate>
  <CharactersWithSpaces>1223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2023-02-01T09:06:00Z</dcterms:created>
  <dc:creator>球星</dc:creator>
  <cp:lastModifiedBy>heyj</cp:lastModifiedBy>
  <dcterms:modified xsi:type="dcterms:W3CDTF">2023-05-29T19:50:03Z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ECDAF847EA864A74A32DBCCC4EEE8BCB_13</vt:lpwstr>
  </property>
</Properties>
</file>