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left"/>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  开</w:t>
      </w:r>
    </w:p>
    <w:p>
      <w:pPr>
        <w:bidi w:val="0"/>
        <w:ind w:left="0" w:leftChars="0" w:firstLine="0" w:firstLineChars="0"/>
        <w:jc w:val="left"/>
        <w:rPr>
          <w:rFonts w:hint="default" w:ascii="黑体" w:hAnsi="黑体" w:eastAsia="黑体" w:cs="黑体"/>
          <w:spacing w:val="640"/>
          <w:kern w:val="0"/>
          <w:fitText w:val="960" w:id="2046563430"/>
          <w:lang w:val="en-US" w:eastAsia="zh-CN"/>
        </w:rPr>
      </w:pPr>
      <w:r>
        <w:rPr>
          <w:rFonts w:hint="eastAsia" w:ascii="黑体" w:hAnsi="黑体" w:eastAsia="黑体" w:cs="黑体"/>
          <w:kern w:val="0"/>
          <w:lang w:val="en-US" w:eastAsia="zh-CN"/>
        </w:rPr>
        <w:t>A  类</w:t>
      </w:r>
    </w:p>
    <w:p>
      <w:pPr>
        <w:pStyle w:val="5"/>
        <w:keepNext w:val="0"/>
        <w:keepLines w:val="0"/>
        <w:pageBreakBefore w:val="0"/>
        <w:widowControl/>
        <w:kinsoku/>
        <w:wordWrap/>
        <w:overflowPunct/>
        <w:topLinePunct w:val="0"/>
        <w:autoSpaceDE/>
        <w:autoSpaceDN/>
        <w:bidi w:val="0"/>
        <w:adjustRightInd/>
        <w:snapToGrid/>
        <w:spacing w:before="313" w:beforeLines="100"/>
        <w:textAlignment w:val="auto"/>
        <w:rPr>
          <w:rFonts w:hint="eastAsia"/>
          <w:lang w:val="en-US" w:eastAsia="zh-CN"/>
        </w:rPr>
      </w:pPr>
      <w:r>
        <w:rPr>
          <w:rFonts w:hint="eastAsia"/>
          <w:lang w:val="en-US" w:eastAsia="zh-CN"/>
        </w:rPr>
        <w:t>深圳市住房和建设局关于市七届人大四次</w:t>
      </w:r>
      <w:r>
        <w:rPr>
          <w:rFonts w:hint="eastAsia"/>
          <w:lang w:val="en-US" w:eastAsia="zh-CN"/>
        </w:rPr>
        <w:br w:type="textWrapping"/>
      </w:r>
      <w:r>
        <w:rPr>
          <w:rFonts w:hint="eastAsia"/>
          <w:lang w:val="en-US" w:eastAsia="zh-CN"/>
        </w:rPr>
        <w:t>会议第20230284号建议答复的函</w:t>
      </w:r>
    </w:p>
    <w:p>
      <w:pPr>
        <w:bidi w:val="0"/>
        <w:rPr>
          <w:rFonts w:hint="eastAsia"/>
          <w:lang w:val="en-US" w:eastAsia="zh-CN"/>
        </w:rPr>
      </w:pPr>
    </w:p>
    <w:p>
      <w:pPr>
        <w:bidi w:val="0"/>
        <w:ind w:left="0" w:leftChars="0" w:firstLine="0" w:firstLineChars="0"/>
        <w:rPr>
          <w:rFonts w:hint="eastAsia"/>
          <w:lang w:val="en-US" w:eastAsia="zh-CN"/>
        </w:rPr>
      </w:pPr>
      <w:r>
        <w:rPr>
          <w:rFonts w:hint="eastAsia"/>
          <w:lang w:val="en-US" w:eastAsia="zh-CN"/>
        </w:rPr>
        <w:t>尊敬的王希耘、王艳梅、何珊珊、叶海强、叶伟强、曲光吉、许明炎、陈琳、肖文杰、孙嘉、孙迎彤、帅红宇、赵燕锡、邓鹏、刘德全、谢粤辉代表：</w:t>
      </w:r>
    </w:p>
    <w:p>
      <w:pPr>
        <w:bidi w:val="0"/>
        <w:rPr>
          <w:rFonts w:hint="eastAsia"/>
          <w:lang w:val="en-US" w:eastAsia="zh-CN"/>
        </w:rPr>
      </w:pPr>
      <w:r>
        <w:rPr>
          <w:rFonts w:hint="eastAsia"/>
          <w:lang w:val="en-US" w:eastAsia="zh-CN"/>
        </w:rPr>
        <w:t>您在市七届人大四次会议上提出的代表建议《关于合理规划新建幼儿园、严格落实建设标准的建议》（建议第20230284号）已经市人大常委会转我局办理。非常感谢您对我们工作的关心和支持。代表建议中涉及我局的内容主要为</w:t>
      </w:r>
      <w:r>
        <w:rPr>
          <w:rFonts w:hint="eastAsia" w:ascii="仿宋_GB2312" w:hAnsi="仿宋_GB2312" w:eastAsia="仿宋_GB2312" w:cs="仿宋_GB2312"/>
          <w:b w:val="0"/>
          <w:sz w:val="32"/>
          <w:szCs w:val="32"/>
          <w:lang w:val="en-US" w:eastAsia="zh-CN"/>
        </w:rPr>
        <w:t>严格落实幼儿园新的建设标准，严格按照2017年《幼儿园建设标准》进行验收，并把配套幼儿园建设达标作为发放房屋预售的前置条件</w:t>
      </w:r>
      <w:r>
        <w:rPr>
          <w:rFonts w:hint="default" w:cs="仿宋_GB2312"/>
          <w:b w:val="0"/>
          <w:sz w:val="32"/>
          <w:szCs w:val="32"/>
          <w:lang w:eastAsia="zh-CN"/>
        </w:rPr>
        <w:t>。</w:t>
      </w:r>
      <w:r>
        <w:rPr>
          <w:rFonts w:hint="eastAsia"/>
          <w:lang w:val="en-US" w:eastAsia="zh-CN"/>
        </w:rPr>
        <w:t>对您的建议，我们进行了认真研究，现答复如下：</w:t>
      </w:r>
    </w:p>
    <w:p>
      <w:pPr>
        <w:bidi w:val="0"/>
        <w:rPr>
          <w:rFonts w:hint="eastAsia" w:ascii="CESI黑体-GB2312" w:hAnsi="CESI黑体-GB2312" w:eastAsia="CESI黑体-GB2312" w:cs="CESI黑体-GB2312"/>
          <w:b w:val="0"/>
          <w:sz w:val="32"/>
          <w:szCs w:val="32"/>
          <w:lang w:val="en-US" w:eastAsia="zh-CN"/>
        </w:rPr>
      </w:pPr>
      <w:r>
        <w:rPr>
          <w:rFonts w:hint="eastAsia" w:ascii="CESI黑体-GB2312" w:hAnsi="CESI黑体-GB2312" w:eastAsia="CESI黑体-GB2312" w:cs="CESI黑体-GB2312"/>
          <w:b w:val="0"/>
          <w:sz w:val="32"/>
          <w:szCs w:val="32"/>
          <w:lang w:val="en-US" w:eastAsia="zh-CN"/>
        </w:rPr>
        <w:t>一、关于严格落实幼儿园新的建设标准，严格按照2017年《幼儿园建设标准》进行验收的建议</w:t>
      </w:r>
    </w:p>
    <w:p>
      <w:pPr>
        <w:pStyle w:val="8"/>
        <w:bidi w:val="0"/>
        <w:ind w:firstLine="632" w:firstLineChars="200"/>
        <w:rPr>
          <w:rFonts w:hint="eastAsia" w:cs="Times New Roman"/>
          <w:b w:val="0"/>
          <w:bCs w:val="0"/>
          <w:kern w:val="0"/>
          <w:sz w:val="32"/>
          <w:szCs w:val="32"/>
          <w:lang w:val="en-US" w:eastAsia="zh-CN"/>
        </w:rPr>
      </w:pPr>
      <w:r>
        <w:rPr>
          <w:rFonts w:hint="eastAsia" w:ascii="仿宋_GB2312" w:hAnsi="仿宋_GB2312" w:eastAsia="仿宋_GB2312" w:cs="Times New Roman"/>
          <w:b w:val="0"/>
          <w:kern w:val="2"/>
          <w:sz w:val="32"/>
          <w:szCs w:val="24"/>
          <w:lang w:val="en-US" w:eastAsia="zh-CN" w:bidi="ar-SA"/>
        </w:rPr>
        <w:t>《幼儿园建设标准》主要对幼儿园建设项目的选址与规划布局、面积指标、建筑与建筑设备、主要经济指标等进行规定，主要涉及规划层面事项。结合我局职责，我局主要负责幼儿园建设项目施工许可、竣工验收备案等审批和服务事项，同时在幼儿园建设</w:t>
      </w:r>
      <w:r>
        <w:rPr>
          <w:rFonts w:hint="eastAsia" w:cs="仿宋_GB2312"/>
          <w:b w:val="0"/>
          <w:sz w:val="32"/>
          <w:szCs w:val="32"/>
          <w:lang w:val="en-US" w:eastAsia="zh-CN"/>
        </w:rPr>
        <w:t>项目建设过程中对工程质量安全进行监管。一直以来</w:t>
      </w:r>
      <w:r>
        <w:rPr>
          <w:rFonts w:hint="default" w:cs="仿宋_GB2312"/>
          <w:b w:val="0"/>
          <w:sz w:val="32"/>
          <w:szCs w:val="32"/>
          <w:lang w:eastAsia="zh-CN"/>
        </w:rPr>
        <w:t>，</w:t>
      </w:r>
      <w:r>
        <w:rPr>
          <w:rFonts w:hint="eastAsia"/>
          <w:lang w:val="en-US" w:eastAsia="zh-CN"/>
        </w:rPr>
        <w:t>我局严格把关幼儿园建设项目审批，做实做细幼儿园建设项目的监管。</w:t>
      </w:r>
      <w:r>
        <w:rPr>
          <w:rFonts w:hint="eastAsia"/>
          <w:b/>
          <w:bCs/>
          <w:lang w:val="en-US" w:eastAsia="zh-CN"/>
        </w:rPr>
        <w:t>一是</w:t>
      </w:r>
      <w:r>
        <w:rPr>
          <w:rFonts w:hint="eastAsia"/>
          <w:b w:val="0"/>
          <w:bCs w:val="0"/>
          <w:lang w:val="en-US" w:eastAsia="zh-CN"/>
        </w:rPr>
        <w:t>审批环节对配套幼儿园情况进行严格审查。</w:t>
      </w:r>
      <w:r>
        <w:rPr>
          <w:rFonts w:hint="eastAsia"/>
          <w:lang w:val="en-US" w:eastAsia="zh-CN"/>
        </w:rPr>
        <w:t>在进行项目施工许可等审批时，审查项目《建设用地规划许可证》《建设工程规划许可证》中载明的配套幼儿园情况，并严格要求建设单位落实，确保配套幼儿园与相关建设项目同时设计、同时施工、同时使用。</w:t>
      </w:r>
      <w:r>
        <w:rPr>
          <w:rFonts w:hint="eastAsia"/>
          <w:b/>
          <w:bCs/>
          <w:lang w:val="en-US" w:eastAsia="zh-CN"/>
        </w:rPr>
        <w:t>二是</w:t>
      </w:r>
      <w:r>
        <w:rPr>
          <w:rFonts w:hint="eastAsia"/>
          <w:lang w:val="en-US" w:eastAsia="zh-CN"/>
        </w:rPr>
        <w:t>幼儿园建设过程中严把质量安全关。</w:t>
      </w:r>
      <w:r>
        <w:rPr>
          <w:rFonts w:hint="eastAsia" w:cs="Times New Roman"/>
          <w:b w:val="0"/>
          <w:bCs w:val="0"/>
          <w:kern w:val="0"/>
          <w:sz w:val="32"/>
          <w:szCs w:val="32"/>
          <w:lang w:val="en-US" w:eastAsia="zh-CN"/>
        </w:rPr>
        <w:t>首先把好原材料质量关，日常</w:t>
      </w:r>
      <w:r>
        <w:rPr>
          <w:rFonts w:hint="eastAsia" w:ascii="仿宋_GB2312" w:hAnsi="仿宋_GB2312" w:eastAsia="仿宋_GB2312"/>
          <w:sz w:val="32"/>
          <w:szCs w:val="32"/>
        </w:rPr>
        <w:t>对钢筋原材、钢筋接头、混凝土试块及原材料、管材、防水材料、电气材料、涂料等涉及结构安全以及主要使用功能建筑材料进行监督抽检</w:t>
      </w:r>
      <w:r>
        <w:rPr>
          <w:rFonts w:hint="eastAsia"/>
          <w:sz w:val="32"/>
          <w:szCs w:val="32"/>
          <w:lang w:eastAsia="zh-CN"/>
        </w:rPr>
        <w:t>，</w:t>
      </w:r>
      <w:r>
        <w:rPr>
          <w:rFonts w:hint="eastAsia" w:cs="Times New Roman"/>
          <w:b w:val="0"/>
          <w:bCs w:val="0"/>
          <w:kern w:val="0"/>
          <w:sz w:val="32"/>
          <w:szCs w:val="32"/>
          <w:lang w:val="en-US" w:eastAsia="zh-CN"/>
        </w:rPr>
        <w:t>严抓工程质量</w:t>
      </w:r>
      <w:r>
        <w:rPr>
          <w:rFonts w:hint="eastAsia"/>
          <w:sz w:val="32"/>
          <w:szCs w:val="32"/>
          <w:lang w:eastAsia="zh-CN"/>
        </w:rPr>
        <w:t>。其次</w:t>
      </w:r>
      <w:r>
        <w:rPr>
          <w:rFonts w:hint="eastAsia" w:cs="Times New Roman"/>
          <w:b w:val="0"/>
          <w:bCs w:val="0"/>
          <w:kern w:val="0"/>
          <w:sz w:val="32"/>
          <w:szCs w:val="32"/>
          <w:lang w:val="en-US" w:eastAsia="zh-CN"/>
        </w:rPr>
        <w:t>委托建筑工程质量安全监督站通过日常巡查及专项检查等形式，对项目责任主体是否按图施工、施工是否符合规范等进行监督</w:t>
      </w:r>
      <w:r>
        <w:rPr>
          <w:rFonts w:hint="default" w:cs="Times New Roman"/>
          <w:b w:val="0"/>
          <w:bCs w:val="0"/>
          <w:kern w:val="0"/>
          <w:sz w:val="32"/>
          <w:szCs w:val="32"/>
          <w:lang w:eastAsia="zh-CN"/>
        </w:rPr>
        <w:t>抽查</w:t>
      </w:r>
      <w:r>
        <w:rPr>
          <w:rFonts w:hint="eastAsia" w:cs="Times New Roman"/>
          <w:b w:val="0"/>
          <w:bCs w:val="0"/>
          <w:kern w:val="0"/>
          <w:sz w:val="32"/>
          <w:szCs w:val="32"/>
          <w:lang w:val="en-US" w:eastAsia="zh-CN"/>
        </w:rPr>
        <w:t>。</w:t>
      </w:r>
      <w:r>
        <w:rPr>
          <w:rFonts w:hint="eastAsia"/>
          <w:lang w:val="en-US" w:eastAsia="zh-CN"/>
        </w:rPr>
        <w:t>严格依据《建设工程质量管理条例》等法律法规，把幼儿园建设项目的质量安全监管工作做实做细，</w:t>
      </w:r>
      <w:r>
        <w:rPr>
          <w:rFonts w:hint="default"/>
          <w:lang w:eastAsia="zh-CN"/>
        </w:rPr>
        <w:t>保障</w:t>
      </w:r>
      <w:r>
        <w:rPr>
          <w:rFonts w:hint="eastAsia"/>
          <w:lang w:val="en-US" w:eastAsia="zh-CN"/>
        </w:rPr>
        <w:t>幼儿园建设项目工程质量</w:t>
      </w:r>
      <w:r>
        <w:rPr>
          <w:rFonts w:hint="default"/>
          <w:lang w:eastAsia="zh-CN"/>
        </w:rPr>
        <w:t>可控</w:t>
      </w:r>
      <w:r>
        <w:rPr>
          <w:rFonts w:hint="eastAsia"/>
          <w:lang w:val="en-US" w:eastAsia="zh-CN"/>
        </w:rPr>
        <w:t>。</w:t>
      </w:r>
      <w:r>
        <w:rPr>
          <w:rFonts w:hint="eastAsia" w:cs="Times New Roman"/>
          <w:b/>
          <w:bCs/>
          <w:kern w:val="0"/>
          <w:sz w:val="32"/>
          <w:szCs w:val="32"/>
          <w:lang w:val="en-US" w:eastAsia="zh-CN"/>
        </w:rPr>
        <w:t>三是</w:t>
      </w:r>
      <w:r>
        <w:rPr>
          <w:rFonts w:hint="eastAsia" w:cs="Times New Roman"/>
          <w:b w:val="0"/>
          <w:bCs w:val="0"/>
          <w:kern w:val="0"/>
          <w:sz w:val="32"/>
          <w:szCs w:val="32"/>
          <w:lang w:val="en-US" w:eastAsia="zh-CN"/>
        </w:rPr>
        <w:t>加强竣工验收环节监管，保障项目交付质量，提升师生使用体验感。在竣工验收阶段，对参建单位验收的组织形式、程序进行监督，同时抽查工程的资料及实体质量，待抽查发现问题闭合后才允许通过竣工验收。除此之外，在竣工验收环节对项目无障碍建设情况严格把关，提升项目交付后学校师生使用体验感</w:t>
      </w:r>
      <w:r>
        <w:rPr>
          <w:rFonts w:hint="default" w:cs="Times New Roman"/>
          <w:b w:val="0"/>
          <w:bCs w:val="0"/>
          <w:kern w:val="0"/>
          <w:sz w:val="32"/>
          <w:szCs w:val="32"/>
          <w:lang w:val="en-US" w:eastAsia="zh-CN"/>
        </w:rPr>
        <w:t>：</w:t>
      </w:r>
      <w:r>
        <w:rPr>
          <w:rFonts w:hint="default" w:cs="Times New Roman"/>
          <w:b w:val="0"/>
          <w:bCs w:val="0"/>
          <w:kern w:val="0"/>
          <w:sz w:val="32"/>
          <w:szCs w:val="32"/>
          <w:lang w:eastAsia="zh-CN"/>
        </w:rPr>
        <w:t>保障</w:t>
      </w:r>
      <w:r>
        <w:rPr>
          <w:rFonts w:hint="eastAsia" w:cs="Times New Roman"/>
          <w:b w:val="0"/>
          <w:bCs w:val="0"/>
          <w:kern w:val="0"/>
          <w:sz w:val="32"/>
          <w:szCs w:val="32"/>
          <w:lang w:val="en-US" w:eastAsia="zh-CN"/>
        </w:rPr>
        <w:t>项目无障碍设施严格按照设计及报建要求施工；</w:t>
      </w:r>
      <w:r>
        <w:rPr>
          <w:rFonts w:hint="default" w:cs="Times New Roman"/>
          <w:b w:val="0"/>
          <w:bCs w:val="0"/>
          <w:kern w:val="0"/>
          <w:sz w:val="32"/>
          <w:szCs w:val="32"/>
          <w:lang w:eastAsia="zh-CN"/>
        </w:rPr>
        <w:t>保障</w:t>
      </w:r>
      <w:r>
        <w:rPr>
          <w:rFonts w:hint="eastAsia" w:cs="Times New Roman"/>
          <w:b w:val="0"/>
          <w:bCs w:val="0"/>
          <w:kern w:val="0"/>
          <w:sz w:val="32"/>
          <w:szCs w:val="32"/>
          <w:lang w:val="en-US" w:eastAsia="zh-CN"/>
        </w:rPr>
        <w:t>项目已组织无障碍设施专项验收，验收合格；根据《深圳经济特区无障碍城市建设条例》等要求，督促项目建设单位邀请妇女联合会组织儿童代表试用。在竣工验收监督过程中，发现不满足无障碍设施设计或相关标准要求的，责令建设单位立即整改并重新组织验收，验收合格后同意通过竣工验收。</w:t>
      </w:r>
    </w:p>
    <w:p>
      <w:pPr>
        <w:bidi w:val="0"/>
        <w:rPr>
          <w:rFonts w:hint="eastAsia" w:ascii="CESI黑体-GB2312" w:hAnsi="CESI黑体-GB2312" w:eastAsia="CESI黑体-GB2312" w:cs="CESI黑体-GB2312"/>
          <w:szCs w:val="32"/>
          <w:lang w:val="en-US" w:eastAsia="zh-CN"/>
        </w:rPr>
      </w:pPr>
      <w:r>
        <w:rPr>
          <w:rFonts w:hint="eastAsia" w:ascii="CESI黑体-GB2312" w:hAnsi="CESI黑体-GB2312" w:eastAsia="CESI黑体-GB2312" w:cs="CESI黑体-GB2312"/>
          <w:szCs w:val="32"/>
          <w:lang w:val="en-US" w:eastAsia="zh-CN"/>
        </w:rPr>
        <w:t>二、关于把配套幼儿园建设达标作为发放房屋预售的前置条件的建议</w:t>
      </w:r>
    </w:p>
    <w:p>
      <w:pPr>
        <w:bidi w:val="0"/>
        <w:ind w:firstLine="632"/>
        <w:rPr>
          <w:rFonts w:hint="eastAsia"/>
          <w:lang w:val="en-US" w:eastAsia="zh-CN"/>
        </w:rPr>
      </w:pPr>
      <w:r>
        <w:rPr>
          <w:rFonts w:hint="eastAsia"/>
          <w:lang w:val="en-US" w:eastAsia="zh-CN"/>
        </w:rPr>
        <w:t>就上述建议，我局已认真研究。商品房预售是指开发企业将未竣工的商品房进行销售并收取相应房屋价款的行为，根据《深圳市房地产市场监管办法》等相关规定，七层以下（含本数）的商品房项目已封顶，七层以上的商品房项目已完成地面以上三分之二形象进度（装配式建筑完成三分之一形象进度），就可以申请预售。即商品房预售时，建筑物暂未完成竣工验收。与商品房配套建设的幼儿园通常与商品房同步办理规划许可证、施工许可证，同步进行建设，因此，将配套幼儿园建设达标作为房屋预售许可的前置条件实际难以操作。</w:t>
      </w:r>
    </w:p>
    <w:p>
      <w:pPr>
        <w:bidi w:val="0"/>
        <w:ind w:firstLine="632"/>
        <w:rPr>
          <w:rFonts w:hint="eastAsia"/>
          <w:lang w:val="en-US" w:eastAsia="zh-CN"/>
        </w:rPr>
      </w:pPr>
      <w:r>
        <w:rPr>
          <w:rFonts w:hint="eastAsia"/>
          <w:lang w:val="en-US" w:eastAsia="zh-CN"/>
        </w:rPr>
        <w:t>为解决配套幼儿园建设达标问题，中共中央国务院《关于学前教育深化改革规范发展的若干意见》提出“……老城（棚户区）改造、新城开发和居住区建设、易地扶贫搬迁应将配套建设幼儿园纳入公共管理和公共服务设施建设规划，并按照相关标准和规范予以建设，确保配套幼儿园与首期建设的居民住宅区同步规划、同步设计、同步建设、同步验收、同步交付使用。配套幼儿园由当地政府统筹安排，办成公办园或委托办成普惠性民办园，不得办成营利性幼儿园。对存在配套幼儿园缓建、缩建、停建、不建和建而不交等问题的，在整改到位之前，不得办理竣工验收。”《广东省加强住宅小区配套幼儿园建设和管理工作的指导意见》（粤教基〔2022〕33号）提出“……（八）分期开发的项目，配建的幼儿园应与住宅开发项目首期同步验收，幼儿园竣工验收不合格的，不得办理开发项目竣工验收。对有幼儿园完整配建规划但未按要求开工建设或未列入首期建设的，由各县（市、区）人民政府责令限期开工。……”</w:t>
      </w:r>
    </w:p>
    <w:p>
      <w:pPr>
        <w:bidi w:val="0"/>
        <w:ind w:firstLine="632"/>
        <w:rPr>
          <w:rFonts w:hint="eastAsia"/>
          <w:lang w:val="en-US" w:eastAsia="zh-CN"/>
        </w:rPr>
      </w:pPr>
      <w:r>
        <w:rPr>
          <w:rFonts w:hint="eastAsia"/>
          <w:lang w:val="en-US" w:eastAsia="zh-CN"/>
        </w:rPr>
        <w:t>综上，按照上述两个文件将配套幼儿园的建设纳入项目首期建设并与项目同步验收，亦能保证配套幼儿园建设达标。</w:t>
      </w:r>
    </w:p>
    <w:p>
      <w:pPr>
        <w:bidi w:val="0"/>
        <w:rPr>
          <w:rFonts w:hint="eastAsia"/>
          <w:lang w:val="en-US" w:eastAsia="zh-CN"/>
        </w:rPr>
      </w:pPr>
      <w:r>
        <w:rPr>
          <w:rFonts w:hint="eastAsia"/>
          <w:lang w:val="en-US" w:eastAsia="zh-CN"/>
        </w:rPr>
        <w:t>再次感谢您对我们工作的关心和支持。</w:t>
      </w:r>
    </w:p>
    <w:p>
      <w:pPr>
        <w:keepNext w:val="0"/>
        <w:keepLines w:val="0"/>
        <w:pageBreakBefore w:val="0"/>
        <w:widowControl w:val="0"/>
        <w:kinsoku/>
        <w:wordWrap/>
        <w:overflowPunct/>
        <w:topLinePunct w:val="0"/>
        <w:autoSpaceDE/>
        <w:autoSpaceDN/>
        <w:bidi w:val="0"/>
        <w:adjustRightInd/>
        <w:snapToGrid/>
        <w:ind w:right="1264" w:rightChars="400"/>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right="1264" w:rightChars="400"/>
        <w:jc w:val="right"/>
        <w:textAlignment w:val="auto"/>
        <w:rPr>
          <w:rFonts w:hint="eastAsia"/>
          <w:lang w:val="en-US" w:eastAsia="zh-CN"/>
        </w:rPr>
      </w:pPr>
      <w:r>
        <w:rPr>
          <w:rFonts w:hint="eastAsia"/>
          <w:lang w:val="en-US" w:eastAsia="zh-CN"/>
        </w:rPr>
        <w:t>深圳市住房和建设局</w:t>
      </w:r>
    </w:p>
    <w:p>
      <w:pPr>
        <w:wordWrap w:val="0"/>
        <w:bidi w:val="0"/>
        <w:jc w:val="right"/>
        <w:rPr>
          <w:rFonts w:hint="eastAsia"/>
          <w:lang w:val="en-US" w:eastAsia="zh-CN"/>
        </w:rPr>
      </w:pPr>
      <w:r>
        <w:rPr>
          <w:rFonts w:hint="eastAsia"/>
          <w:lang w:val="en-US" w:eastAsia="zh-CN"/>
        </w:rPr>
        <w:t>2023年6月</w:t>
      </w:r>
      <w:bookmarkStart w:id="0" w:name="_GoBack"/>
      <w:bookmarkEnd w:id="0"/>
      <w:r>
        <w:rPr>
          <w:rFonts w:hint="eastAsia"/>
          <w:lang w:val="en-US" w:eastAsia="zh-CN"/>
        </w:rPr>
        <w:t xml:space="preserve">1日         </w:t>
      </w:r>
    </w:p>
    <w:p>
      <w:pPr>
        <w:pStyle w:val="2"/>
        <w:wordWrap/>
        <w:rPr>
          <w:rFonts w:hint="default"/>
          <w:lang w:val="en-US" w:eastAsia="zh-CN"/>
        </w:rPr>
      </w:pPr>
    </w:p>
    <w:p>
      <w:pPr>
        <w:bidi w:val="0"/>
        <w:ind w:firstLine="0" w:firstLineChars="0"/>
        <w:jc w:val="center"/>
        <w:rPr>
          <w:rFonts w:hint="eastAsia" w:ascii="黑体" w:hAnsi="黑体" w:eastAsia="黑体" w:cs="黑体"/>
          <w:lang w:val="en-US" w:eastAsia="zh-CN"/>
        </w:rPr>
      </w:pPr>
      <w:r>
        <w:rPr>
          <w:rFonts w:hint="eastAsia"/>
          <w:lang w:val="en-US" w:eastAsia="zh-CN"/>
        </w:rPr>
        <w:t>（联系人：颜 飞，电话：83787174）</w:t>
      </w:r>
    </w:p>
    <w:p>
      <w:pPr>
        <w:spacing w:line="240" w:lineRule="auto"/>
        <w:ind w:right="0" w:firstLine="0" w:firstLineChars="0"/>
        <w:jc w:val="left"/>
        <w:rPr>
          <w:rFonts w:hint="default"/>
          <w:lang w:val="en-US" w:eastAsia="zh-CN"/>
        </w:rPr>
      </w:pPr>
    </w:p>
    <w:p/>
    <w:sectPr>
      <w:footerReference r:id="rId6" w:type="default"/>
      <w:headerReference r:id="rId5" w:type="even"/>
      <w:footerReference r:id="rId7" w:type="even"/>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left="0" w:leftChars="0" w:right="0" w:rightChars="0" w:firstLine="0" w:firstLineChars="0"/>
      <w:jc w:val="right"/>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79.35pt;margin-top:754.05pt;height:144pt;width:144pt;mso-position-horizontal-relative:page;mso-position-vertical-relative:page;mso-wrap-style:none;z-index:251661312;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PXvojAdAgAAKQ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RI1361QAAAAcBAAAPAAAAAAAAAAEAIAAAADgAAABkcnMvZG93bnJldi54bWxQ&#10;SwECFAAUAAAACACHTuJA9e+iMB0CAAApBAAADgAAAAAAAAABACAAAAA6AQAAZHJzL2Uyb0RvYy54&#10;bWxQSwUGAAAAAAYABgBZAQAAyQ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jc w:val="both"/>
      <w:rPr>
        <w:rFonts w:hint="eastAsia" w:asciiTheme="minorEastAsia" w:hAnsiTheme="minorEastAsia" w:eastAsiaTheme="minorEastAsia" w:cstheme="minorEastAsia"/>
        <w:sz w:val="28"/>
        <w:szCs w:val="44"/>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ind w:left="0" w:leftChars="0" w:firstLine="0" w:firstLineChars="0"/>
                            <w:jc w:val="right"/>
                            <w:rPr>
                              <w:rFonts w:hint="default"/>
                              <w:lang w:val="en-US"/>
                            </w:rPr>
                          </w:pPr>
                          <w:r>
                            <w:rPr>
                              <w:rFonts w:hint="eastAsia" w:asciiTheme="minorEastAsia" w:hAnsiTheme="minorEastAsia" w:eastAsiaTheme="minorEastAsia" w:cstheme="minorEastAsia"/>
                              <w:sz w:val="28"/>
                              <w:szCs w:val="44"/>
                              <w:lang w:val="en-US" w:eastAsia="zh-CN"/>
                            </w:rPr>
                            <w:t xml:space="preserve">　—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- 1 -</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pt;margin-top:0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OIy4A4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kSNd+tUAAAAHAQAADwAAAAAAAAABACAAAAA4AAAAZHJzL2Rvd25yZXYueG1sUEsB&#10;AhQAFAAAAAgAh07iQOIy4A4bAgAAKQQAAA4AAAAAAAAAAQAgAAAAOgEAAGRycy9lMm9Eb2MueG1s&#10;UEsFBgAAAAAGAAYAWQEAAMcFAAAAAA==&#10;">
              <v:fill on="f" focussize="0,0"/>
              <v:stroke on="f" weight="0.5pt"/>
              <v:imagedata o:title=""/>
              <o:lock v:ext="edit" aspectratio="f"/>
              <v:textbox inset="0mm,0mm,0mm,0mm" style="mso-fit-shape-to-text:t;">
                <w:txbxContent>
                  <w:p>
                    <w:pPr>
                      <w:pStyle w:val="3"/>
                      <w:wordWrap w:val="0"/>
                      <w:ind w:left="0" w:leftChars="0" w:firstLine="0" w:firstLineChars="0"/>
                      <w:jc w:val="right"/>
                      <w:rPr>
                        <w:rFonts w:hint="default"/>
                        <w:lang w:val="en-US"/>
                      </w:rPr>
                    </w:pPr>
                    <w:r>
                      <w:rPr>
                        <w:rFonts w:hint="eastAsia" w:asciiTheme="minorEastAsia" w:hAnsiTheme="minorEastAsia" w:eastAsiaTheme="minorEastAsia" w:cstheme="minorEastAsia"/>
                        <w:sz w:val="28"/>
                        <w:szCs w:val="44"/>
                        <w:lang w:val="en-US" w:eastAsia="zh-CN"/>
                      </w:rPr>
                      <w:t xml:space="preserve">　—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- 1 -</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EE507"/>
    <w:rsid w:val="3F7F88D3"/>
    <w:rsid w:val="5F7FF64D"/>
    <w:rsid w:val="6EFBFE5A"/>
    <w:rsid w:val="7A722589"/>
    <w:rsid w:val="9FDFC91D"/>
    <w:rsid w:val="AFBC9B21"/>
    <w:rsid w:val="D7BF121B"/>
    <w:rsid w:val="FDFC2F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next w:val="1"/>
    <w:qFormat/>
    <w:uiPriority w:val="0"/>
    <w:pPr>
      <w:spacing w:line="560" w:lineRule="exact"/>
      <w:jc w:val="center"/>
      <w:outlineLvl w:val="0"/>
    </w:pPr>
    <w:rPr>
      <w:rFonts w:ascii="方正小标宋_GBK" w:hAnsi="方正小标宋_GBK" w:eastAsia="方正小标宋_GBK" w:cstheme="majorEastAsia"/>
      <w:kern w:val="2"/>
      <w:sz w:val="44"/>
      <w:szCs w:val="44"/>
      <w:lang w:val="en-US" w:eastAsia="zh-CN" w:bidi="ar-SA"/>
    </w:rPr>
  </w:style>
  <w:style w:type="paragraph" w:customStyle="1" w:styleId="8">
    <w:name w:val="BZWFS"/>
    <w:qFormat/>
    <w:uiPriority w:val="0"/>
    <w:pPr>
      <w:widowControl w:val="0"/>
      <w:spacing w:line="560" w:lineRule="exact"/>
      <w:ind w:firstLine="880" w:firstLineChars="200"/>
      <w:jc w:val="both"/>
    </w:pPr>
    <w:rPr>
      <w:rFonts w:ascii="仿宋_GB2312" w:hAnsi="仿宋_GB2312"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2023-05-31T02:23:00Z</dcterms:created>
  <dc:creator>chenxin</dc:creator>
  <cp:lastModifiedBy>chenxin</cp:lastModifiedBy>
  <dcterms:modified xsi:type="dcterms:W3CDTF">2023-06-01T14:34:45Z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