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560" w:lineRule="exact"/>
        <w:ind w:left="0" w:leftChars="0" w:firstLine="0" w:firstLineChars="0"/>
        <w:jc w:val="left"/>
        <w:rPr>
          <w:rFonts w:hint="eastAsia" w:ascii="黑体" w:hAnsi="黑体" w:eastAsia="黑体" w:cs="黑体"/>
          <w:sz w:val="32"/>
          <w:vertAlign w:val="baseline"/>
          <w:lang w:val="en-US" w:eastAsia="zh-CN"/>
        </w:rPr>
      </w:pPr>
      <w:bookmarkStart w:id="0" w:name="_GoBack"/>
      <w:bookmarkEnd w:id="0"/>
      <w:r>
        <w:rPr>
          <w:rFonts w:hint="eastAsia" w:ascii="黑体" w:hAnsi="黑体" w:eastAsia="黑体" w:cs="黑体"/>
          <w:sz w:val="32"/>
          <w:vertAlign w:val="baseline"/>
          <w:lang w:val="en-US" w:eastAsia="zh-CN"/>
        </w:rPr>
        <w:t>公  开</w:t>
      </w:r>
    </w:p>
    <w:p>
      <w:pPr>
        <w:bidi w:val="0"/>
        <w:spacing w:line="560" w:lineRule="exact"/>
        <w:jc w:val="left"/>
        <w:rPr>
          <w:rFonts w:hint="default" w:ascii="黑体" w:hAnsi="黑体" w:eastAsia="黑体" w:cs="黑体"/>
          <w:sz w:val="32"/>
          <w:vertAlign w:val="baseline"/>
          <w:lang w:val="en-US" w:eastAsia="zh-CN"/>
        </w:rPr>
      </w:pPr>
      <w:r>
        <w:rPr>
          <w:rFonts w:hint="default" w:ascii="黑体" w:hAnsi="黑体" w:eastAsia="黑体" w:cs="黑体"/>
          <w:sz w:val="32"/>
          <w:vertAlign w:val="baseline"/>
          <w:lang w:val="en" w:eastAsia="zh-CN"/>
        </w:rPr>
        <w:t>A</w:t>
      </w:r>
      <w:r>
        <w:rPr>
          <w:rFonts w:hint="eastAsia" w:ascii="黑体" w:hAnsi="黑体" w:eastAsia="黑体" w:cs="黑体"/>
          <w:sz w:val="32"/>
          <w:vertAlign w:val="baseline"/>
          <w:lang w:val="en-US" w:eastAsia="zh-CN"/>
        </w:rPr>
        <w:t xml:space="preserve">   类</w:t>
      </w:r>
    </w:p>
    <w:p>
      <w:pPr>
        <w:pStyle w:val="8"/>
        <w:keepNext w:val="0"/>
        <w:keepLines w:val="0"/>
        <w:pageBreakBefore w:val="0"/>
        <w:widowControl/>
        <w:kinsoku/>
        <w:wordWrap/>
        <w:overflowPunct/>
        <w:topLinePunct w:val="0"/>
        <w:autoSpaceDE/>
        <w:autoSpaceDN/>
        <w:bidi w:val="0"/>
        <w:adjustRightInd/>
        <w:snapToGrid/>
        <w:spacing w:before="313" w:beforeLines="100"/>
        <w:textAlignment w:val="auto"/>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lang w:val="en-US" w:eastAsia="zh-CN"/>
        </w:rPr>
        <w:t>深圳市住房和建设局关于市七届人大四次会议第20230096号建议答复的函</w:t>
      </w:r>
    </w:p>
    <w:p>
      <w:pPr>
        <w:pStyle w:val="6"/>
        <w:bidi w:val="0"/>
        <w:rPr>
          <w:rFonts w:hint="eastAsia"/>
          <w:lang w:val="en-US" w:eastAsia="zh-CN"/>
        </w:rPr>
      </w:pPr>
    </w:p>
    <w:p>
      <w:pPr>
        <w:bidi w:val="0"/>
        <w:spacing w:line="560" w:lineRule="exac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尊敬的洪巍、刘剑洪、杜量衡、江锦意、谌凯代表：</w:t>
      </w:r>
    </w:p>
    <w:p>
      <w:pPr>
        <w:pStyle w:val="6"/>
        <w:bidi w:val="0"/>
        <w:rPr>
          <w:rFonts w:hint="eastAsia"/>
          <w:lang w:val="en-US" w:eastAsia="zh-CN"/>
        </w:rPr>
      </w:pPr>
      <w:r>
        <w:rPr>
          <w:rFonts w:hint="eastAsia"/>
          <w:lang w:val="en-US" w:eastAsia="zh-CN"/>
        </w:rPr>
        <w:t>您们在市七届人大四次会议上提出的代表建议《关于加快推动物业管理行政执法下放街道事宜的建议》（建议第20230096号）已经市人大常委会转我局办理。非常感谢您们对我们工作的关心和支持。对您们的建议，我们进行了认真研究，现答复如下：</w:t>
      </w:r>
    </w:p>
    <w:p>
      <w:pPr>
        <w:pStyle w:val="3"/>
        <w:bidi w:val="0"/>
        <w:ind w:firstLine="640" w:firstLineChars="200"/>
        <w:jc w:val="both"/>
        <w:rPr>
          <w:rFonts w:hint="eastAsia" w:ascii="黑体" w:hAnsi="黑体" w:eastAsia="黑体" w:cs="黑体"/>
          <w:sz w:val="32"/>
          <w:szCs w:val="32"/>
          <w:lang w:val="en" w:eastAsia="zh-CN"/>
        </w:rPr>
      </w:pPr>
      <w:r>
        <w:rPr>
          <w:rFonts w:hint="eastAsia" w:ascii="黑体" w:hAnsi="黑体" w:eastAsia="黑体" w:cs="黑体"/>
          <w:sz w:val="32"/>
          <w:szCs w:val="32"/>
          <w:lang w:val="en-US" w:eastAsia="zh-CN"/>
        </w:rPr>
        <w:t>一、物业管理行政执法下放街道办确有必要</w:t>
      </w:r>
    </w:p>
    <w:p>
      <w:pPr>
        <w:pStyle w:val="6"/>
        <w:bidi w:val="0"/>
        <w:rPr>
          <w:rFonts w:hint="eastAsia"/>
          <w:lang w:val="en-US" w:eastAsia="zh-CN"/>
        </w:rPr>
      </w:pPr>
      <w:r>
        <w:rPr>
          <w:rStyle w:val="13"/>
          <w:rFonts w:hint="eastAsia"/>
          <w:lang w:val="en-US" w:eastAsia="zh-CN"/>
        </w:rPr>
        <w:t>（一）有利于简化物业管理工作链条。</w:t>
      </w:r>
      <w:r>
        <w:rPr>
          <w:rFonts w:hint="eastAsia"/>
          <w:lang w:val="en-US" w:eastAsia="zh-CN"/>
        </w:rPr>
        <w:t>《深圳经济特区物业管理条例》（以下简称《条例》）规定，区住房和建设部门负责辖区内物业管理的监督管理和指导工作，街道办事处配合对物业管理活动进行监督管理。但区住建部门工作力量不足，难以保障在辖区各街道开展全覆盖巡查检查和精准执法，而街道办事处又不具备具体的执法权限，使其配合工作难以落地。在实际工作中，街道办常常因为没有“抓手”而难以对物业管理各责任主体进行有效管理。在遇到物业管理纠纷时，往往需要区住建部门、街道办、社区工作站、公安派出所等多个部门协同处置。此做法拉长了物业管理行政监管、物业服务矛盾化解的工作链条。推动物业管理行政执法下放街道办，有利于小区治理“抓早抓小、防微杜渐”，有利于高效精准地解决问题。</w:t>
      </w:r>
    </w:p>
    <w:p>
      <w:pPr>
        <w:pStyle w:val="6"/>
        <w:bidi w:val="0"/>
        <w:rPr>
          <w:rFonts w:hint="default"/>
          <w:lang w:val="en-US" w:eastAsia="zh-CN"/>
        </w:rPr>
      </w:pPr>
      <w:r>
        <w:rPr>
          <w:rStyle w:val="13"/>
          <w:rFonts w:hint="eastAsia"/>
          <w:lang w:val="en-US" w:eastAsia="zh-CN"/>
        </w:rPr>
        <w:t>（二）有利于推进</w:t>
      </w:r>
      <w:r>
        <w:rPr>
          <w:rStyle w:val="13"/>
          <w:rFonts w:hint="default"/>
          <w:lang w:val="en-US" w:eastAsia="zh-CN"/>
        </w:rPr>
        <w:t>物业管理权责对等</w:t>
      </w:r>
      <w:r>
        <w:rPr>
          <w:rStyle w:val="13"/>
          <w:rFonts w:hint="eastAsia"/>
          <w:lang w:val="en-US" w:eastAsia="zh-CN"/>
        </w:rPr>
        <w:t>。</w:t>
      </w:r>
      <w:r>
        <w:rPr>
          <w:rFonts w:hint="default"/>
        </w:rPr>
        <w:t>《条例》规定，街道办负责组织、协调业主大会成立以及业主委员会的选举工作，指导、监督业主大会和业主委员会的日常活动，调解物业管理纠纷。</w:t>
      </w:r>
      <w:r>
        <w:rPr>
          <w:rFonts w:hint="default"/>
          <w:lang w:val="en-US" w:eastAsia="zh-CN"/>
        </w:rPr>
        <w:t>物业管理违法违规行为的发现、制止、查处具有时效性强的特点</w:t>
      </w:r>
      <w:r>
        <w:rPr>
          <w:rFonts w:hint="eastAsia"/>
          <w:lang w:eastAsia="zh-CN"/>
        </w:rPr>
        <w:t>。</w:t>
      </w:r>
      <w:r>
        <w:rPr>
          <w:rFonts w:hint="default"/>
        </w:rPr>
        <w:t>为避免“看得见的管不了，管得了的看不见”，</w:t>
      </w:r>
      <w:r>
        <w:rPr>
          <w:rFonts w:hint="default"/>
          <w:lang w:val="en-US" w:eastAsia="zh-CN"/>
        </w:rPr>
        <w:t>避免同一件事引发不同维度执法</w:t>
      </w:r>
      <w:r>
        <w:rPr>
          <w:rFonts w:hint="default"/>
          <w:lang w:eastAsia="zh-CN"/>
        </w:rPr>
        <w:t>，</w:t>
      </w:r>
      <w:r>
        <w:rPr>
          <w:rFonts w:hint="default"/>
        </w:rPr>
        <w:t>坚持“事权合一</w:t>
      </w:r>
      <w:r>
        <w:rPr>
          <w:rFonts w:hint="eastAsia"/>
          <w:lang w:eastAsia="zh-CN"/>
        </w:rPr>
        <w:t>，分级管理，属地负责”</w:t>
      </w:r>
      <w:r>
        <w:rPr>
          <w:rFonts w:hint="default"/>
        </w:rPr>
        <w:t>的原则，将物业管理行政执法权下放，</w:t>
      </w:r>
      <w:r>
        <w:rPr>
          <w:rFonts w:hint="eastAsia"/>
          <w:lang w:eastAsia="zh-CN"/>
        </w:rPr>
        <w:t>赋权</w:t>
      </w:r>
      <w:r>
        <w:rPr>
          <w:rFonts w:hint="default"/>
          <w:lang w:val="en-US" w:eastAsia="zh-CN"/>
        </w:rPr>
        <w:t>街道办事处</w:t>
      </w:r>
      <w:r>
        <w:rPr>
          <w:rFonts w:hint="eastAsia"/>
          <w:lang w:val="en-US" w:eastAsia="zh-CN"/>
        </w:rPr>
        <w:t>进行</w:t>
      </w:r>
      <w:r>
        <w:rPr>
          <w:rFonts w:hint="default"/>
          <w:lang w:val="en-US" w:eastAsia="zh-CN"/>
        </w:rPr>
        <w:t>执法，有利于进一步捋顺机制，</w:t>
      </w:r>
      <w:r>
        <w:rPr>
          <w:rFonts w:hint="default"/>
        </w:rPr>
        <w:t>强化基层治理能力，</w:t>
      </w:r>
      <w:r>
        <w:rPr>
          <w:rFonts w:hint="default"/>
          <w:lang w:val="en-US" w:eastAsia="zh-CN"/>
        </w:rPr>
        <w:t>提高执法效率。</w:t>
      </w:r>
    </w:p>
    <w:p>
      <w:pPr>
        <w:pStyle w:val="3"/>
        <w:bidi w:val="0"/>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二、积极</w:t>
      </w:r>
      <w:r>
        <w:rPr>
          <w:rFonts w:hint="eastAsia" w:ascii="黑体" w:hAnsi="黑体" w:eastAsia="黑体" w:cs="黑体"/>
          <w:sz w:val="32"/>
          <w:szCs w:val="32"/>
          <w:lang w:val="en-US" w:eastAsia="zh-CN"/>
        </w:rPr>
        <w:t>争取将物业管理执法权下放街道办</w:t>
      </w:r>
    </w:p>
    <w:p>
      <w:pPr>
        <w:adjustRightInd w:val="0"/>
        <w:snapToGrid w:val="0"/>
        <w:spacing w:line="580" w:lineRule="exact"/>
        <w:ind w:left="0" w:leftChars="0" w:firstLine="640" w:firstLineChars="200"/>
        <w:jc w:val="both"/>
        <w:textAlignment w:val="auto"/>
        <w:rPr>
          <w:rFonts w:hint="default" w:ascii="仿宋_GB2312" w:hAnsi="宋体" w:eastAsia="仿宋_GB2312" w:cs="仿宋_GB2312"/>
          <w:kern w:val="2"/>
          <w:sz w:val="32"/>
          <w:szCs w:val="32"/>
          <w:lang w:val="en-US" w:eastAsia="zh-CN"/>
        </w:rPr>
      </w:pPr>
      <w:r>
        <w:rPr>
          <w:rStyle w:val="14"/>
          <w:rFonts w:hint="eastAsia"/>
          <w:lang w:val="en-US" w:eastAsia="zh-CN"/>
        </w:rPr>
        <w:t>2020年，市司法局组织市直相关部门、各区全面梳理拟下放职权事项清单，市住房建设局借此机会提议，将物业管理执法权移交街道综合执法。物业小区的矛盾不但是行业管理问题，更应是社区基层治理问题。为了规范物业管理活动的监督管理，有必要进一步落实基层执法，强化物业管理“最后一公里”。</w:t>
      </w:r>
      <w:r>
        <w:rPr>
          <w:rStyle w:val="14"/>
          <w:rFonts w:hint="eastAsia"/>
          <w:b w:val="0"/>
          <w:bCs w:val="0"/>
          <w:lang w:val="en-US" w:eastAsia="zh-CN"/>
        </w:rPr>
        <w:t>市住房建设局提出了明确</w:t>
      </w:r>
      <w:r>
        <w:rPr>
          <w:rStyle w:val="14"/>
          <w:rFonts w:hint="default"/>
          <w:b w:val="0"/>
          <w:bCs w:val="0"/>
          <w:lang w:val="en-US" w:eastAsia="zh-CN"/>
        </w:rPr>
        <w:t>建议</w:t>
      </w:r>
      <w:r>
        <w:rPr>
          <w:rStyle w:val="14"/>
          <w:rFonts w:hint="eastAsia"/>
          <w:b w:val="0"/>
          <w:bCs w:val="0"/>
          <w:lang w:val="en-US" w:eastAsia="zh-CN"/>
        </w:rPr>
        <w:t>和具体方案，</w:t>
      </w:r>
      <w:r>
        <w:rPr>
          <w:rStyle w:val="14"/>
          <w:rFonts w:hint="default"/>
          <w:lang w:val="en-US" w:eastAsia="zh-CN"/>
        </w:rPr>
        <w:t>结合市司法局牵头开展的街道综合执法体制机制改革事宜，在全市范围内将物业管理行政执法权下放至街道办事处，并采取以下措施确保街道办事处“接得住、接的稳”：</w:t>
      </w:r>
      <w:r>
        <w:rPr>
          <w:rStyle w:val="14"/>
          <w:rFonts w:hint="default"/>
          <w:b/>
          <w:bCs/>
          <w:lang w:val="en-US" w:eastAsia="zh-CN"/>
        </w:rPr>
        <w:t>一是</w:t>
      </w:r>
      <w:r>
        <w:rPr>
          <w:rStyle w:val="14"/>
          <w:rFonts w:hint="default"/>
          <w:lang w:val="en-US" w:eastAsia="zh-CN"/>
        </w:rPr>
        <w:t>市住建部门建立统一的市物业管理信息平台，建立物业服务企业及其从业人员信用档案，便于各区、街道办查阅数据，公开并共享执法信息；</w:t>
      </w:r>
      <w:r>
        <w:rPr>
          <w:rStyle w:val="14"/>
          <w:rFonts w:hint="default"/>
          <w:b/>
          <w:bCs/>
          <w:lang w:val="en-US" w:eastAsia="zh-CN"/>
        </w:rPr>
        <w:t>二是</w:t>
      </w:r>
      <w:r>
        <w:rPr>
          <w:rStyle w:val="14"/>
          <w:rFonts w:hint="default"/>
          <w:lang w:val="en-US" w:eastAsia="zh-CN"/>
        </w:rPr>
        <w:t>市住建部门制定全市物业管理违法违规行为行政执法指引，便于各区、街道办事处参照实施；</w:t>
      </w:r>
      <w:r>
        <w:rPr>
          <w:rStyle w:val="14"/>
          <w:rFonts w:hint="default"/>
          <w:b/>
          <w:bCs/>
          <w:lang w:val="en-US" w:eastAsia="zh-CN"/>
        </w:rPr>
        <w:t>三是</w:t>
      </w:r>
      <w:r>
        <w:rPr>
          <w:rStyle w:val="14"/>
          <w:rFonts w:hint="default"/>
          <w:lang w:val="en-US" w:eastAsia="zh-CN"/>
        </w:rPr>
        <w:t>区住建部门加强对街道办及其工作人员的业务指导和监督，跟进下放事项的实施情况；</w:t>
      </w:r>
      <w:r>
        <w:rPr>
          <w:rStyle w:val="14"/>
          <w:rFonts w:hint="default"/>
          <w:b/>
          <w:bCs/>
          <w:lang w:val="en-US" w:eastAsia="zh-CN"/>
        </w:rPr>
        <w:t>四是</w:t>
      </w:r>
      <w:r>
        <w:rPr>
          <w:rStyle w:val="14"/>
          <w:rFonts w:hint="default"/>
          <w:lang w:val="en-US" w:eastAsia="zh-CN"/>
        </w:rPr>
        <w:t>街道办事处应配备执法人员，并定期组织参加市区相关</w:t>
      </w:r>
      <w:r>
        <w:rPr>
          <w:rFonts w:hint="default" w:ascii="仿宋_GB2312" w:hAnsi="宋体" w:eastAsia="仿宋_GB2312" w:cs="仿宋_GB2312"/>
          <w:kern w:val="2"/>
          <w:sz w:val="32"/>
          <w:szCs w:val="32"/>
          <w:lang w:val="en-US" w:eastAsia="zh-CN"/>
        </w:rPr>
        <w:t>培训，提升执法人员专业水平和管理技巧。</w:t>
      </w:r>
    </w:p>
    <w:p>
      <w:pPr>
        <w:pStyle w:val="6"/>
        <w:bidi w:val="0"/>
        <w:rPr>
          <w:rFonts w:hint="eastAsia"/>
          <w:lang w:val="en-US" w:eastAsia="zh-CN"/>
        </w:rPr>
      </w:pPr>
      <w:r>
        <w:rPr>
          <w:rFonts w:hint="eastAsia"/>
          <w:lang w:val="en-US" w:eastAsia="zh-CN"/>
        </w:rPr>
        <w:t>遗憾的是，《深圳市人民政府关于完善街道综合行政执法体制机制的决定》（深府函〔2021〕18号，）明确除当前街道已承担的城管综合执法事项、规划土地监察执法事项以外，新增“互联网上网服务营业场所、房屋租赁、水务、建筑废弃物”等领域4类执法事项，纳入街道综合行政执法范围。按照“全市一盘棋”原则，各区政府不得擅自增减纳入街道综合行政执法范围的事项，</w:t>
      </w:r>
      <w:r>
        <w:rPr>
          <w:rStyle w:val="14"/>
          <w:rFonts w:hint="eastAsia"/>
          <w:lang w:val="en-US" w:eastAsia="zh-CN"/>
        </w:rPr>
        <w:t>物业管理执法事项未能成功下放。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kern w:val="2"/>
          <w:sz w:val="32"/>
          <w:szCs w:val="32"/>
          <w:lang w:val="en" w:eastAsia="zh-CN" w:bidi="ar-SA"/>
        </w:rPr>
      </w:pPr>
      <w:r>
        <w:rPr>
          <w:rFonts w:hint="eastAsia" w:ascii="黑体" w:hAnsi="黑体" w:eastAsia="黑体" w:cs="黑体"/>
          <w:kern w:val="2"/>
          <w:sz w:val="32"/>
          <w:szCs w:val="32"/>
          <w:lang w:val="en-US" w:eastAsia="zh-CN"/>
        </w:rPr>
        <w:t>三、</w:t>
      </w:r>
      <w:r>
        <w:rPr>
          <w:rFonts w:hint="eastAsia" w:ascii="黑体" w:hAnsi="黑体" w:eastAsia="黑体" w:cs="黑体"/>
          <w:kern w:val="2"/>
          <w:sz w:val="32"/>
          <w:szCs w:val="32"/>
          <w:lang w:val="en" w:eastAsia="zh-CN" w:bidi="ar-SA"/>
        </w:rPr>
        <w:t>借助立法契机明确可委托街道办执法</w:t>
      </w:r>
    </w:p>
    <w:p>
      <w:pPr>
        <w:pStyle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我局已牵头起草《深圳市业主组织若干规定》（征求意见稿），目前由市司法局牵头对外征求意见，其中第三条第二款明确，区住房和建设部门可以依法委托街道综合行政执法单位对业主组织运作过程中的违法违规行为开展行政执法。由区住房和建设部门根据各街道办的需要，开展物业管理委托执法工作。</w:t>
      </w:r>
    </w:p>
    <w:p>
      <w:pPr>
        <w:pStyle w:val="6"/>
        <w:bidi w:val="0"/>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四、下一步工作计划</w:t>
      </w:r>
    </w:p>
    <w:p>
      <w:pPr>
        <w:pStyle w:val="6"/>
        <w:bidi w:val="0"/>
        <w:rPr>
          <w:rFonts w:hint="eastAsia"/>
          <w:lang w:val="en-US" w:eastAsia="zh-CN"/>
        </w:rPr>
      </w:pPr>
      <w:r>
        <w:rPr>
          <w:rFonts w:hint="eastAsia" w:cs="仿宋_GB2312"/>
          <w:kern w:val="2"/>
          <w:sz w:val="32"/>
          <w:szCs w:val="32"/>
          <w:lang w:val="en-US" w:eastAsia="zh-CN"/>
        </w:rPr>
        <w:t>根据《国务院关于进一步贯彻实施〈中华人民共和国行政处罚法〉的通知》（国发〔2021〕26号）要求，积极稳妥赋权乡镇街道实施行政处罚“要注重听取基层意见，关注基层需求，积极稳妥、科学合理下放行政处罚权，成熟一批、下放一批，确保放得下、接得住、管得好、有监督”。因此，建议按照“成熟一批，下放一批”的要求，有序推动街道综合行政执法工作。下一步，市司法局也将根据市政府的工作安排，会同市委编办、市城市管理和综合执法局、市住房建设局、各区政府持续关注街道综合行政执法具体实施情况，及时总结经验，积极倾听基层呼声，研究论证包括物业管理在内的其他事项下放街道的可行性，不断强化基层治理能力，提升街道严格规范公正文明执法水平。</w:t>
      </w:r>
    </w:p>
    <w:p>
      <w:pPr>
        <w:pStyle w:val="6"/>
        <w:bidi w:val="0"/>
        <w:rPr>
          <w:rFonts w:hint="eastAsia"/>
          <w:lang w:val="en-US" w:eastAsia="zh-CN"/>
        </w:rPr>
      </w:pPr>
      <w:r>
        <w:rPr>
          <w:rFonts w:hint="eastAsia"/>
          <w:lang w:val="en-US" w:eastAsia="zh-CN"/>
        </w:rPr>
        <w:t>同时，联合市司法局积极推动</w:t>
      </w:r>
      <w:r>
        <w:rPr>
          <w:rFonts w:hint="eastAsia" w:ascii="仿宋_GB2312" w:hAnsi="仿宋_GB2312" w:eastAsia="仿宋_GB2312" w:cs="仿宋_GB2312"/>
          <w:kern w:val="2"/>
          <w:sz w:val="32"/>
          <w:szCs w:val="32"/>
          <w:lang w:val="en-US" w:eastAsia="zh-CN" w:bidi="ar-SA"/>
        </w:rPr>
        <w:t>《深圳市业主组织若干规定》（征求意见稿）</w:t>
      </w:r>
      <w:r>
        <w:rPr>
          <w:rFonts w:hint="eastAsia" w:cs="仿宋_GB2312"/>
          <w:kern w:val="2"/>
          <w:sz w:val="32"/>
          <w:szCs w:val="32"/>
          <w:lang w:val="en-US" w:eastAsia="zh-CN" w:bidi="ar-SA"/>
        </w:rPr>
        <w:t>尽快出台施行。</w:t>
      </w:r>
    </w:p>
    <w:p>
      <w:pPr>
        <w:pStyle w:val="6"/>
        <w:bidi w:val="0"/>
        <w:rPr>
          <w:rFonts w:hint="eastAsia"/>
          <w:lang w:val="en-US" w:eastAsia="zh-CN"/>
        </w:rPr>
      </w:pPr>
      <w:r>
        <w:rPr>
          <w:rFonts w:hint="eastAsia"/>
          <w:lang w:val="en-US" w:eastAsia="zh-CN"/>
        </w:rPr>
        <w:t>再次感谢您对我们工作的关心和支持。</w:t>
      </w:r>
    </w:p>
    <w:p>
      <w:pPr>
        <w:pStyle w:val="6"/>
        <w:bidi w:val="0"/>
        <w:rPr>
          <w:rFonts w:hint="eastAsia"/>
          <w:lang w:val="en-US" w:eastAsia="zh-CN"/>
        </w:rPr>
      </w:pPr>
    </w:p>
    <w:p>
      <w:pPr>
        <w:pStyle w:val="6"/>
        <w:bidi w:val="0"/>
        <w:rPr>
          <w:rFonts w:hint="eastAsia"/>
          <w:lang w:val="en-US" w:eastAsia="zh-CN"/>
        </w:rPr>
      </w:pPr>
    </w:p>
    <w:p>
      <w:pPr>
        <w:pStyle w:val="6"/>
        <w:bidi w:val="0"/>
        <w:ind w:firstLine="4960" w:firstLineChars="1550"/>
        <w:rPr>
          <w:rFonts w:hint="eastAsia"/>
          <w:lang w:val="en-US" w:eastAsia="zh-CN"/>
        </w:rPr>
      </w:pPr>
      <w:r>
        <w:rPr>
          <w:rFonts w:hint="eastAsia"/>
          <w:lang w:val="en-US" w:eastAsia="zh-CN"/>
        </w:rPr>
        <w:t>深圳市住房和建设局</w:t>
      </w:r>
    </w:p>
    <w:p>
      <w:pPr>
        <w:pStyle w:val="6"/>
        <w:bidi w:val="0"/>
        <w:ind w:firstLine="5280" w:firstLineChars="1650"/>
        <w:rPr>
          <w:rFonts w:hint="eastAsia"/>
          <w:lang w:val="en-US" w:eastAsia="zh-CN"/>
        </w:rPr>
      </w:pPr>
      <w:r>
        <w:rPr>
          <w:rFonts w:hint="eastAsia"/>
          <w:lang w:val="en-US" w:eastAsia="zh-CN"/>
        </w:rPr>
        <w:t>2023年5月31日</w:t>
      </w:r>
    </w:p>
    <w:p>
      <w:pPr>
        <w:pStyle w:val="6"/>
        <w:bidi w:val="0"/>
        <w:rPr>
          <w:rFonts w:hint="default"/>
          <w:lang w:val="en-US" w:eastAsia="zh-CN"/>
        </w:rPr>
      </w:pPr>
    </w:p>
    <w:p>
      <w:pPr>
        <w:pStyle w:val="6"/>
        <w:bidi w:val="0"/>
        <w:ind w:firstLine="0" w:firstLineChars="0"/>
        <w:rPr>
          <w:rFonts w:hint="eastAsia"/>
          <w:lang w:val="en-US" w:eastAsia="zh-CN"/>
        </w:rPr>
      </w:pPr>
      <w:r>
        <w:rPr>
          <w:rFonts w:hint="eastAsia"/>
          <w:lang w:val="en-US" w:eastAsia="zh-CN"/>
        </w:rPr>
        <w:t>（联系人</w:t>
      </w:r>
      <w:r>
        <w:rPr>
          <w:rFonts w:hint="eastAsia" w:ascii="仿宋_GB2312" w:eastAsia="仿宋_GB2312"/>
          <w:lang w:val="en-US" w:eastAsia="zh-CN"/>
        </w:rPr>
        <w:t>：</w:t>
      </w:r>
      <w:r>
        <w:rPr>
          <w:rFonts w:hint="eastAsia"/>
          <w:lang w:val="en-US" w:eastAsia="zh-CN"/>
        </w:rPr>
        <w:t>刘国彪，13631556564；李亚力，18676348188</w:t>
      </w:r>
      <w:r>
        <w:rPr>
          <w:rFonts w:hint="eastAsia" w:ascii="仿宋_GB2312" w:eastAsia="仿宋_GB2312"/>
          <w:lang w:val="en-US" w:eastAsia="zh-CN"/>
        </w:rPr>
        <w:t>）</w:t>
      </w:r>
    </w:p>
    <w:p/>
    <w:p/>
    <w:sectPr>
      <w:footerReference r:id="rId3" w:type="default"/>
      <w:pgSz w:w="11906" w:h="16838"/>
      <w:pgMar w:top="2041" w:right="1531"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FE1525"/>
    <w:multiLevelType w:val="singleLevel"/>
    <w:tmpl w:val="FCFE1525"/>
    <w:lvl w:ilvl="0" w:tentative="0">
      <w:start w:val="1"/>
      <w:numFmt w:val="chineseCounting"/>
      <w:pStyle w:val="4"/>
      <w:suff w:val="nothing"/>
      <w:lvlText w:val="%1、"/>
      <w:lvlJc w:val="left"/>
      <w:pPr>
        <w:ind w:left="0" w:firstLine="420"/>
      </w:pPr>
      <w:rPr>
        <w:rFonts w:hint="eastAsia"/>
      </w:rPr>
    </w:lvl>
  </w:abstractNum>
  <w:abstractNum w:abstractNumId="1">
    <w:nsid w:val="FF9B4A20"/>
    <w:multiLevelType w:val="singleLevel"/>
    <w:tmpl w:val="FF9B4A20"/>
    <w:lvl w:ilvl="0" w:tentative="0">
      <w:start w:val="1"/>
      <w:numFmt w:val="chineseCounting"/>
      <w:pStyle w:val="5"/>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757E21"/>
    <w:rsid w:val="5ADEE9BF"/>
    <w:rsid w:val="5AFF8E75"/>
    <w:rsid w:val="6DFDD19F"/>
    <w:rsid w:val="6FEE806E"/>
    <w:rsid w:val="77E795FC"/>
    <w:rsid w:val="7B73B4FD"/>
    <w:rsid w:val="7EBF3A5F"/>
    <w:rsid w:val="BF7729D3"/>
    <w:rsid w:val="CEBF15C4"/>
    <w:rsid w:val="DBF3975E"/>
    <w:rsid w:val="E77F2FBF"/>
    <w:rsid w:val="EDEBF077"/>
    <w:rsid w:val="F27F8D80"/>
    <w:rsid w:val="F7CFC2E7"/>
    <w:rsid w:val="F91F5397"/>
    <w:rsid w:val="FBDF451D"/>
    <w:rsid w:val="FDEC7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val="0"/>
      <w:keepLines w:val="0"/>
      <w:spacing w:beforeLines="0" w:beforeAutospacing="0" w:afterLines="0" w:afterAutospacing="0" w:line="560" w:lineRule="exact"/>
      <w:jc w:val="center"/>
      <w:outlineLvl w:val="0"/>
    </w:pPr>
    <w:rPr>
      <w:rFonts w:ascii="Calibri" w:hAnsi="Calibri" w:eastAsia="方正小标宋简体" w:cs="Times New Roman"/>
      <w:kern w:val="44"/>
      <w:sz w:val="44"/>
    </w:rPr>
  </w:style>
  <w:style w:type="paragraph" w:styleId="4">
    <w:name w:val="heading 2"/>
    <w:basedOn w:val="1"/>
    <w:next w:val="1"/>
    <w:semiHidden/>
    <w:unhideWhenUsed/>
    <w:qFormat/>
    <w:uiPriority w:val="0"/>
    <w:pPr>
      <w:keepNext w:val="0"/>
      <w:keepLines w:val="0"/>
      <w:numPr>
        <w:ilvl w:val="0"/>
        <w:numId w:val="1"/>
      </w:numPr>
      <w:spacing w:beforeLines="0" w:beforeAutospacing="0" w:afterLines="0" w:afterAutospacing="0" w:line="560" w:lineRule="exact"/>
      <w:ind w:firstLine="880" w:firstLineChars="200"/>
      <w:outlineLvl w:val="1"/>
    </w:pPr>
    <w:rPr>
      <w:rFonts w:ascii="Arial" w:hAnsi="Arial" w:eastAsia="黑体" w:cs="Times New Roman"/>
      <w:sz w:val="32"/>
    </w:rPr>
  </w:style>
  <w:style w:type="paragraph" w:styleId="5">
    <w:name w:val="heading 3"/>
    <w:basedOn w:val="1"/>
    <w:next w:val="1"/>
    <w:link w:val="13"/>
    <w:semiHidden/>
    <w:unhideWhenUsed/>
    <w:qFormat/>
    <w:uiPriority w:val="0"/>
    <w:pPr>
      <w:keepNext w:val="0"/>
      <w:keepLines w:val="0"/>
      <w:numPr>
        <w:ilvl w:val="0"/>
        <w:numId w:val="2"/>
      </w:numPr>
      <w:spacing w:beforeLines="0" w:beforeAutospacing="0" w:afterLines="0" w:afterAutospacing="0" w:line="560" w:lineRule="exact"/>
      <w:ind w:firstLine="628" w:firstLineChars="200"/>
      <w:outlineLvl w:val="2"/>
    </w:pPr>
    <w:rPr>
      <w:rFonts w:ascii="Calibri" w:hAnsi="Calibri" w:eastAsia="楷体_GB2312" w:cs="Times New Roman"/>
      <w:sz w:val="32"/>
    </w:rPr>
  </w:style>
  <w:style w:type="paragraph" w:styleId="6">
    <w:name w:val="heading 4"/>
    <w:basedOn w:val="1"/>
    <w:next w:val="1"/>
    <w:link w:val="14"/>
    <w:semiHidden/>
    <w:unhideWhenUsed/>
    <w:qFormat/>
    <w:uiPriority w:val="0"/>
    <w:pPr>
      <w:keepNext w:val="0"/>
      <w:keepLines w:val="0"/>
      <w:spacing w:beforeLines="0" w:beforeAutospacing="0" w:afterLines="0" w:afterAutospacing="0" w:line="560" w:lineRule="exact"/>
      <w:ind w:firstLine="880" w:firstLineChars="200"/>
      <w:outlineLvl w:val="3"/>
    </w:pPr>
    <w:rPr>
      <w:rFonts w:ascii="仿宋_GB2312" w:hAnsi="仿宋_GB2312" w:eastAsia="仿宋_GB2312" w:cs="Times New Roman"/>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Title"/>
    <w:next w:val="1"/>
    <w:qFormat/>
    <w:uiPriority w:val="0"/>
    <w:pPr>
      <w:spacing w:line="560" w:lineRule="exact"/>
      <w:jc w:val="center"/>
      <w:outlineLvl w:val="0"/>
    </w:pPr>
    <w:rPr>
      <w:rFonts w:ascii="方正小标宋_GBK" w:hAnsi="方正小标宋_GBK" w:eastAsia="方正小标宋_GBK" w:cs="宋体"/>
      <w:kern w:val="2"/>
      <w:sz w:val="44"/>
      <w:szCs w:val="44"/>
      <w:lang w:val="en-US" w:eastAsia="zh-CN" w:bidi="ar-SA"/>
    </w:rPr>
  </w:style>
  <w:style w:type="character" w:customStyle="1" w:styleId="11">
    <w:name w:val="标题 4 Char"/>
    <w:link w:val="6"/>
    <w:qFormat/>
    <w:uiPriority w:val="0"/>
    <w:rPr>
      <w:rFonts w:ascii="仿宋_GB2312" w:hAnsi="仿宋_GB2312" w:eastAsia="仿宋_GB2312" w:cs="Times New Roman"/>
      <w:sz w:val="32"/>
    </w:rPr>
  </w:style>
  <w:style w:type="character" w:customStyle="1" w:styleId="12">
    <w:name w:val="标题 3 Char"/>
    <w:link w:val="5"/>
    <w:qFormat/>
    <w:uiPriority w:val="0"/>
    <w:rPr>
      <w:rFonts w:ascii="Calibri" w:hAnsi="Calibri" w:eastAsia="楷体_GB2312" w:cs="Times New Roman"/>
      <w:sz w:val="32"/>
    </w:rPr>
  </w:style>
  <w:style w:type="character" w:customStyle="1" w:styleId="13">
    <w:name w:val="标题 3 Char1"/>
    <w:link w:val="5"/>
    <w:qFormat/>
    <w:uiPriority w:val="0"/>
    <w:rPr>
      <w:rFonts w:ascii="Calibri" w:hAnsi="Calibri" w:eastAsia="楷体_GB2312" w:cs="Times New Roman"/>
      <w:sz w:val="32"/>
    </w:rPr>
  </w:style>
  <w:style w:type="character" w:customStyle="1" w:styleId="14">
    <w:name w:val="标题 4 Char1"/>
    <w:link w:val="6"/>
    <w:qFormat/>
    <w:uiPriority w:val="0"/>
    <w:rPr>
      <w:rFonts w:ascii="仿宋_GB2312" w:hAnsi="仿宋_GB2312" w:eastAsia="仿宋_GB2312" w:cs="Times New Roman"/>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2022-07-22T22:56:00Z</dcterms:created>
  <dc:creator>chenxin</dc:creator>
  <cp:lastModifiedBy>chenxin</cp:lastModifiedBy>
  <dcterms:modified xsi:type="dcterms:W3CDTF">2023-06-02T16:42:41Z</dcterms:modified>
  <dc:title>公  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