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ind w:left="0" w:leftChars="0" w:firstLine="0" w:firstLineChars="0"/>
        <w:jc w:val="left"/>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公  开</w:t>
      </w:r>
    </w:p>
    <w:p>
      <w:pPr>
        <w:bidi w:val="0"/>
        <w:spacing w:line="560" w:lineRule="exact"/>
        <w:jc w:val="left"/>
        <w:rPr>
          <w:rFonts w:hint="default" w:ascii="黑体" w:hAnsi="黑体" w:eastAsia="黑体" w:cs="黑体"/>
          <w:sz w:val="32"/>
          <w:vertAlign w:val="baseline"/>
          <w:lang w:val="en-US" w:eastAsia="zh-CN"/>
        </w:rPr>
      </w:pPr>
      <w:r>
        <w:rPr>
          <w:rFonts w:hint="default" w:ascii="黑体" w:hAnsi="黑体" w:eastAsia="黑体" w:cs="黑体"/>
          <w:sz w:val="32"/>
          <w:vertAlign w:val="baseline"/>
          <w:lang w:val="en" w:eastAsia="zh-CN"/>
        </w:rPr>
        <w:t>A</w:t>
      </w:r>
      <w:r>
        <w:rPr>
          <w:rFonts w:hint="eastAsia" w:ascii="黑体" w:hAnsi="黑体" w:eastAsia="黑体" w:cs="黑体"/>
          <w:sz w:val="32"/>
          <w:vertAlign w:val="baseline"/>
          <w:lang w:val="en-US" w:eastAsia="zh-CN"/>
        </w:rPr>
        <w:t xml:space="preserve">   类</w:t>
      </w:r>
    </w:p>
    <w:p>
      <w:pPr>
        <w:pStyle w:val="8"/>
        <w:keepNext w:val="0"/>
        <w:keepLines w:val="0"/>
        <w:pageBreakBefore w:val="0"/>
        <w:widowControl/>
        <w:tabs>
          <w:tab w:val="left" w:pos="2730"/>
        </w:tabs>
        <w:kinsoku/>
        <w:wordWrap/>
        <w:overflowPunct/>
        <w:topLinePunct w:val="0"/>
        <w:autoSpaceDE/>
        <w:autoSpaceDN/>
        <w:bidi w:val="0"/>
        <w:adjustRightInd/>
        <w:snapToGrid/>
        <w:spacing w:before="313" w:beforeLines="100"/>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深圳市住房和建设局关于市七届人大四次会议第20230849号建议答复的函</w:t>
      </w:r>
    </w:p>
    <w:p>
      <w:pPr>
        <w:pStyle w:val="6"/>
        <w:bidi w:val="0"/>
        <w:rPr>
          <w:rFonts w:hint="eastAsia"/>
          <w:lang w:val="en-US" w:eastAsia="zh-CN"/>
        </w:rPr>
      </w:pPr>
    </w:p>
    <w:p>
      <w:pPr>
        <w:bidi w:val="0"/>
        <w:spacing w:line="560" w:lineRule="exac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尊敬的曾滔代表：</w:t>
      </w:r>
    </w:p>
    <w:p>
      <w:pPr>
        <w:pStyle w:val="6"/>
        <w:bidi w:val="0"/>
        <w:rPr>
          <w:rFonts w:hint="eastAsia"/>
          <w:lang w:val="en-US" w:eastAsia="zh-CN"/>
        </w:rPr>
      </w:pPr>
      <w:r>
        <w:rPr>
          <w:rFonts w:hint="eastAsia"/>
          <w:lang w:val="en-US" w:eastAsia="zh-CN"/>
        </w:rPr>
        <w:t>您在市七届人大四次会议上提出的代表建议《关于下放部分物业管理监管执法权至街道办事处的建议》（建议第20230849号）已经市人大常委会转我局办理。非常感谢您对我们工作的关心和支持。对您的建议，我们进行了认真研究，现答复如下：</w:t>
      </w:r>
    </w:p>
    <w:p>
      <w:pPr>
        <w:pStyle w:val="3"/>
        <w:bidi w:val="0"/>
        <w:ind w:firstLine="640" w:firstLineChars="200"/>
        <w:jc w:val="both"/>
        <w:rPr>
          <w:rFonts w:hint="eastAsia" w:ascii="黑体" w:hAnsi="黑体" w:eastAsia="黑体" w:cs="黑体"/>
          <w:sz w:val="32"/>
          <w:szCs w:val="32"/>
          <w:lang w:val="en" w:eastAsia="zh-CN"/>
        </w:rPr>
      </w:pPr>
      <w:r>
        <w:rPr>
          <w:rFonts w:hint="eastAsia" w:ascii="黑体" w:hAnsi="黑体" w:eastAsia="黑体" w:cs="黑体"/>
          <w:sz w:val="32"/>
          <w:szCs w:val="32"/>
          <w:lang w:val="en-US" w:eastAsia="zh-CN"/>
        </w:rPr>
        <w:t>一、关于“为了加强特区物业条例的落实，在各街道办已经成立综合执法部门，查违、城管部门执法权都已经下放街道实施的情况下，要求市住建部门和市司法局积极推动将物业管理方面的执法权也下放街道实施”的建议</w:t>
      </w:r>
    </w:p>
    <w:p>
      <w:pPr>
        <w:pStyle w:val="5"/>
        <w:bidi w:val="0"/>
        <w:rPr>
          <w:rFonts w:hint="eastAsia"/>
          <w:lang w:val="en-US" w:eastAsia="zh-CN"/>
        </w:rPr>
      </w:pPr>
      <w:r>
        <w:rPr>
          <w:rFonts w:hint="eastAsia"/>
          <w:lang w:val="en-US" w:eastAsia="zh-CN"/>
        </w:rPr>
        <w:t>市司法局启动完善街道综合行政执法机制工作</w:t>
      </w:r>
    </w:p>
    <w:p>
      <w:pPr>
        <w:pStyle w:val="6"/>
        <w:bidi w:val="0"/>
        <w:rPr>
          <w:rFonts w:hint="eastAsia" w:ascii="仿宋_GB2312" w:hAnsi="仿宋_GB2312" w:eastAsia="仿宋_GB2312" w:cs="仿宋_GB2312"/>
          <w:sz w:val="32"/>
          <w:szCs w:val="32"/>
          <w:lang w:val="en-US" w:eastAsia="zh-CN"/>
        </w:rPr>
      </w:pPr>
      <w:r>
        <w:rPr>
          <w:rFonts w:hint="eastAsia"/>
          <w:lang w:val="en-US" w:eastAsia="zh-CN"/>
        </w:rPr>
        <w:t>2020年8月，为贯彻落实中央、省关于构建简约高效基层管理体制，推进行政执法权限和力量向基层延伸和下沉的工作部署和要求，根据市政府工作安排，市司法局牵头开展了街道综合行政执法改革工作。为确保街道综合行政执法依法有序推进，相关事项“放得下、接得住、管得好”，市司法局深入调研，深度走访了10个区10余个街道办事处，了解基层执法现状和事权需求；全面收集，组织市直相关执法部门、各区全面梳理拟下放职权事项清单3800余项；充分论证，与市委编办、市城市管理和综合执法局、市住房和建设局及各区政府等多次协调研究，开展多轮意见征求，结合我市街道办的承接能力和基层治理中最迫切最急需的事权需求，</w:t>
      </w:r>
      <w:r>
        <w:rPr>
          <w:rFonts w:hint="eastAsia" w:ascii="仿宋_GB2312" w:hAnsi="仿宋_GB2312" w:eastAsia="仿宋_GB2312" w:cs="仿宋_GB2312"/>
          <w:sz w:val="32"/>
          <w:szCs w:val="32"/>
          <w:lang w:val="en-US" w:eastAsia="zh-CN"/>
        </w:rPr>
        <w:t>先后形成了《深圳市人民政府关于完善街道综合行政执法体制机制的决定（送审稿）》《深圳市人民政府关于街道综合行政执法的公告（送审稿）》等相关文件。</w:t>
      </w:r>
    </w:p>
    <w:p>
      <w:pPr>
        <w:pStyle w:val="5"/>
        <w:bidi w:val="0"/>
        <w:ind w:left="0" w:leftChars="0" w:firstLine="640" w:firstLineChars="200"/>
        <w:rPr>
          <w:rFonts w:hint="eastAsia"/>
          <w:lang w:val="en-US" w:eastAsia="zh-CN"/>
        </w:rPr>
      </w:pPr>
      <w:r>
        <w:rPr>
          <w:rFonts w:hint="eastAsia"/>
          <w:lang w:val="en-US" w:eastAsia="zh-CN"/>
        </w:rPr>
        <w:t>我局提议将物业管理执法权移交街道综合执法</w:t>
      </w:r>
    </w:p>
    <w:p>
      <w:pPr>
        <w:pStyle w:val="6"/>
        <w:bidi w:val="0"/>
        <w:rPr>
          <w:rFonts w:hint="eastAsia"/>
          <w:lang w:val="en-US" w:eastAsia="zh-CN"/>
        </w:rPr>
      </w:pPr>
      <w:r>
        <w:rPr>
          <w:rStyle w:val="13"/>
          <w:rFonts w:hint="eastAsia"/>
          <w:lang w:val="en-US" w:eastAsia="zh-CN"/>
        </w:rPr>
        <w:t>我局借此机会提议，将物业管理执法权移交街道综合执法。物业小区的矛盾不但是行业管理问题，而且是社区基层治理问题。为了加强规范物业管理活动，有必要进一步落实基层执法，强化物业管理“最后一公里”。</w:t>
      </w:r>
      <w:r>
        <w:rPr>
          <w:rStyle w:val="13"/>
          <w:rFonts w:hint="default"/>
          <w:b w:val="0"/>
          <w:bCs w:val="0"/>
          <w:lang w:val="en-US" w:eastAsia="zh-CN"/>
        </w:rPr>
        <w:t>建议</w:t>
      </w:r>
      <w:r>
        <w:rPr>
          <w:rStyle w:val="13"/>
          <w:rFonts w:hint="default"/>
          <w:lang w:val="en-US" w:eastAsia="zh-CN"/>
        </w:rPr>
        <w:t>结合市司法局牵头开展的街道综合执法体制机制改革事宜，在全市范围内将物业管理行政执法权下放至街道办事处，属地管理更有抓手，并采取</w:t>
      </w:r>
      <w:r>
        <w:rPr>
          <w:rStyle w:val="13"/>
          <w:rFonts w:hint="eastAsia"/>
          <w:lang w:val="en-US" w:eastAsia="zh-CN"/>
        </w:rPr>
        <w:t>相关</w:t>
      </w:r>
      <w:r>
        <w:rPr>
          <w:rStyle w:val="13"/>
          <w:rFonts w:hint="default"/>
          <w:lang w:val="en-US" w:eastAsia="zh-CN"/>
        </w:rPr>
        <w:t>措施确保街道办事处“接得住、接的稳”</w:t>
      </w:r>
    </w:p>
    <w:p>
      <w:pPr>
        <w:pStyle w:val="5"/>
        <w:bidi w:val="0"/>
        <w:rPr>
          <w:rFonts w:hint="eastAsia"/>
          <w:lang w:val="en-US" w:eastAsia="zh-CN"/>
        </w:rPr>
      </w:pPr>
      <w:r>
        <w:rPr>
          <w:rFonts w:hint="eastAsia"/>
          <w:lang w:val="en-US" w:eastAsia="zh-CN"/>
        </w:rPr>
        <w:t>物业管理执法事项未能成功下放街道办</w:t>
      </w:r>
    </w:p>
    <w:p>
      <w:pPr>
        <w:pStyle w:val="6"/>
        <w:bidi w:val="0"/>
        <w:rPr>
          <w:rFonts w:hint="eastAsia"/>
          <w:lang w:val="en-US" w:eastAsia="zh-CN"/>
        </w:rPr>
      </w:pPr>
      <w:r>
        <w:rPr>
          <w:rFonts w:hint="eastAsia"/>
          <w:lang w:val="en-US" w:eastAsia="zh-CN"/>
        </w:rPr>
        <w:t>《深圳市人民政府关于完善街道综合行政执法体制机制的决定》（深府函〔2021〕18号）明确除当前街道已承担的城管综合执法事项、规划土地监察执法事项以外，新增“互联网上网服务营业场所、房屋租赁、水务、建筑废弃物”等领域4类执法事项，纳入街道综合行政执法范围。按照“全市一盘棋”原则，各区政府不得擅自增减纳入街道综合行政执法范围的事项。新增执法事项不包括物业管理执法事项。</w:t>
      </w:r>
    </w:p>
    <w:p>
      <w:pPr>
        <w:pStyle w:val="3"/>
        <w:bidi w:val="0"/>
        <w:ind w:firstLine="640" w:firstLineChars="200"/>
        <w:jc w:val="both"/>
        <w:rPr>
          <w:rFonts w:hint="eastAsia"/>
          <w:lang w:val="en-US" w:eastAsia="zh-CN"/>
        </w:rPr>
      </w:pPr>
      <w:r>
        <w:rPr>
          <w:rFonts w:hint="eastAsia" w:ascii="黑体" w:hAnsi="黑体" w:eastAsia="黑体" w:cs="黑体"/>
          <w:sz w:val="32"/>
          <w:szCs w:val="32"/>
          <w:lang w:val="en-US" w:eastAsia="zh-CN"/>
        </w:rPr>
        <w:t>二、关于“采取各项具体措施保障街道办事处明晰工作任务，指导社区物业指导委员会开展工作，为其提供政策、业务、资源支持，协助相关部门开展小区业主大会会议工作，并提供相关法律、法规咨询和培训，指导物业管理区域内物业纠纷的调解等”的建议</w:t>
      </w:r>
    </w:p>
    <w:p>
      <w:pPr>
        <w:adjustRightInd w:val="0"/>
        <w:snapToGrid w:val="0"/>
        <w:spacing w:line="580" w:lineRule="exact"/>
        <w:ind w:left="0" w:leftChars="0" w:firstLine="640" w:firstLineChars="200"/>
        <w:jc w:val="both"/>
        <w:textAlignment w:val="auto"/>
        <w:rPr>
          <w:rFonts w:hint="default" w:ascii="仿宋_GB2312" w:hAnsi="宋体" w:eastAsia="仿宋_GB2312" w:cs="仿宋_GB2312"/>
          <w:kern w:val="2"/>
          <w:sz w:val="32"/>
          <w:szCs w:val="32"/>
          <w:lang w:val="en-US" w:eastAsia="zh-CN"/>
        </w:rPr>
      </w:pPr>
      <w:r>
        <w:rPr>
          <w:rStyle w:val="13"/>
          <w:rFonts w:hint="eastAsia"/>
          <w:lang w:val="en-US" w:eastAsia="zh-CN"/>
        </w:rPr>
        <w:t>我局在提议将物业管理执法权移交街道综合执法时，同时提出，</w:t>
      </w:r>
      <w:r>
        <w:rPr>
          <w:rStyle w:val="13"/>
          <w:rFonts w:hint="default"/>
          <w:lang w:val="en-US" w:eastAsia="zh-CN"/>
        </w:rPr>
        <w:t>采取以下措施确保街道办事处“接得住、接的稳”：</w:t>
      </w:r>
      <w:r>
        <w:rPr>
          <w:rStyle w:val="13"/>
          <w:rFonts w:hint="default"/>
          <w:b/>
          <w:bCs/>
          <w:lang w:val="en-US" w:eastAsia="zh-CN"/>
        </w:rPr>
        <w:t>一是</w:t>
      </w:r>
      <w:r>
        <w:rPr>
          <w:rStyle w:val="13"/>
          <w:rFonts w:hint="default"/>
          <w:lang w:val="en-US" w:eastAsia="zh-CN"/>
        </w:rPr>
        <w:t>由市住建部门建立统一的市物业管理信息平台，建立物业服务企业及其从业人员信用档案，便于各区、街道办查阅数据，公开并共享执法信息；</w:t>
      </w:r>
      <w:r>
        <w:rPr>
          <w:rStyle w:val="13"/>
          <w:rFonts w:hint="default"/>
          <w:b/>
          <w:bCs/>
          <w:lang w:val="en-US" w:eastAsia="zh-CN"/>
        </w:rPr>
        <w:t>二是</w:t>
      </w:r>
      <w:r>
        <w:rPr>
          <w:rStyle w:val="13"/>
          <w:rFonts w:hint="default"/>
          <w:lang w:val="en-US" w:eastAsia="zh-CN"/>
        </w:rPr>
        <w:t>由市住建部门制定全市物业管理违法违规行为行政执法指引，便于各区、街道办事处参照实施；</w:t>
      </w:r>
      <w:r>
        <w:rPr>
          <w:rStyle w:val="13"/>
          <w:rFonts w:hint="default"/>
          <w:b/>
          <w:bCs/>
          <w:lang w:val="en-US" w:eastAsia="zh-CN"/>
        </w:rPr>
        <w:t>三是</w:t>
      </w:r>
      <w:r>
        <w:rPr>
          <w:rStyle w:val="13"/>
          <w:rFonts w:hint="default"/>
          <w:lang w:val="en-US" w:eastAsia="zh-CN"/>
        </w:rPr>
        <w:t>区住建部门加强对街道办及其工作人员的业务指导和监督，跟进下放事项的实施情况；</w:t>
      </w:r>
      <w:r>
        <w:rPr>
          <w:rStyle w:val="13"/>
          <w:rFonts w:hint="default"/>
          <w:b/>
          <w:bCs/>
          <w:lang w:val="en-US" w:eastAsia="zh-CN"/>
        </w:rPr>
        <w:t>四是</w:t>
      </w:r>
      <w:r>
        <w:rPr>
          <w:rStyle w:val="13"/>
          <w:rFonts w:hint="default"/>
          <w:lang w:val="en-US" w:eastAsia="zh-CN"/>
        </w:rPr>
        <w:t>街道办事处应配备执法人员，并定期组织参加市区相关</w:t>
      </w:r>
      <w:r>
        <w:rPr>
          <w:rFonts w:hint="default" w:ascii="仿宋_GB2312" w:hAnsi="宋体" w:eastAsia="仿宋_GB2312" w:cs="仿宋_GB2312"/>
          <w:kern w:val="2"/>
          <w:sz w:val="32"/>
          <w:szCs w:val="32"/>
          <w:lang w:val="en-US" w:eastAsia="zh-CN"/>
        </w:rPr>
        <w:t>培训，提升执法人员专业水平和管理技巧。</w:t>
      </w:r>
    </w:p>
    <w:p>
      <w:pPr>
        <w:pStyle w:val="6"/>
        <w:bidi w:val="0"/>
        <w:rPr>
          <w:rFonts w:hint="eastAsia"/>
          <w:lang w:val="en-US" w:eastAsia="zh-CN"/>
        </w:rPr>
      </w:pPr>
      <w:r>
        <w:rPr>
          <w:rFonts w:hint="eastAsia"/>
          <w:lang w:val="en-US" w:eastAsia="zh-CN"/>
        </w:rPr>
        <w:t>再次感谢您对我们工作的关心和支持。</w:t>
      </w:r>
    </w:p>
    <w:p>
      <w:pPr>
        <w:pStyle w:val="6"/>
        <w:bidi w:val="0"/>
        <w:rPr>
          <w:rFonts w:hint="eastAsia"/>
          <w:lang w:val="en-US" w:eastAsia="zh-CN"/>
        </w:rPr>
      </w:pPr>
    </w:p>
    <w:p>
      <w:pPr>
        <w:pStyle w:val="6"/>
        <w:bidi w:val="0"/>
        <w:rPr>
          <w:rFonts w:hint="eastAsia"/>
          <w:lang w:val="en-US" w:eastAsia="zh-CN"/>
        </w:rPr>
      </w:pPr>
    </w:p>
    <w:p>
      <w:pPr>
        <w:pStyle w:val="6"/>
        <w:bidi w:val="0"/>
        <w:ind w:firstLine="5257" w:firstLineChars="1643"/>
        <w:rPr>
          <w:rFonts w:hint="eastAsia"/>
          <w:lang w:val="en-US" w:eastAsia="zh-CN"/>
        </w:rPr>
      </w:pPr>
      <w:r>
        <w:rPr>
          <w:rFonts w:hint="eastAsia"/>
          <w:lang w:val="en-US" w:eastAsia="zh-CN"/>
        </w:rPr>
        <w:t>深圳市住房和建设局</w:t>
      </w:r>
    </w:p>
    <w:p>
      <w:pPr>
        <w:pStyle w:val="6"/>
        <w:bidi w:val="0"/>
        <w:ind w:firstLine="5577" w:firstLineChars="1743"/>
        <w:rPr>
          <w:rFonts w:hint="eastAsia"/>
          <w:lang w:val="en-US" w:eastAsia="zh-CN"/>
        </w:rPr>
      </w:pPr>
      <w:r>
        <w:rPr>
          <w:rFonts w:hint="eastAsia"/>
          <w:lang w:val="en-US" w:eastAsia="zh-CN"/>
        </w:rPr>
        <w:t>2023年</w:t>
      </w:r>
      <w:r>
        <w:rPr>
          <w:rFonts w:hint="default"/>
          <w:lang w:val="en" w:eastAsia="zh-CN"/>
        </w:rPr>
        <w:t>6</w:t>
      </w:r>
      <w:r>
        <w:rPr>
          <w:rFonts w:hint="eastAsia"/>
          <w:lang w:val="en-US" w:eastAsia="zh-CN"/>
        </w:rPr>
        <w:t>月</w:t>
      </w:r>
      <w:r>
        <w:rPr>
          <w:rFonts w:hint="default"/>
          <w:lang w:val="en" w:eastAsia="zh-CN"/>
        </w:rPr>
        <w:t>5</w:t>
      </w:r>
      <w:bookmarkStart w:id="0" w:name="_GoBack"/>
      <w:bookmarkEnd w:id="0"/>
      <w:r>
        <w:rPr>
          <w:rFonts w:hint="eastAsia"/>
          <w:lang w:val="en-US" w:eastAsia="zh-CN"/>
        </w:rPr>
        <w:t>日</w:t>
      </w:r>
    </w:p>
    <w:p>
      <w:pPr>
        <w:pStyle w:val="6"/>
        <w:bidi w:val="0"/>
        <w:ind w:left="0" w:leftChars="0" w:firstLine="0" w:firstLineChars="0"/>
        <w:rPr>
          <w:rFonts w:hint="default"/>
          <w:lang w:val="en-US" w:eastAsia="zh-CN"/>
        </w:rPr>
      </w:pPr>
    </w:p>
    <w:p>
      <w:pPr>
        <w:pStyle w:val="6"/>
        <w:ind w:firstLine="0" w:firstLineChars="0"/>
        <w:jc w:val="center"/>
      </w:pPr>
      <w:r>
        <w:rPr>
          <w:rFonts w:hint="eastAsia"/>
          <w:lang w:val="en-US" w:eastAsia="zh-CN"/>
        </w:rPr>
        <w:t>（联系人及电话</w:t>
      </w:r>
      <w:r>
        <w:rPr>
          <w:rFonts w:hint="eastAsia" w:ascii="仿宋_GB2312" w:eastAsia="仿宋_GB2312"/>
          <w:lang w:val="en-US" w:eastAsia="zh-CN"/>
        </w:rPr>
        <w:t>：</w:t>
      </w:r>
      <w:r>
        <w:rPr>
          <w:rFonts w:hint="eastAsia"/>
          <w:lang w:val="en-US" w:eastAsia="zh-CN"/>
        </w:rPr>
        <w:t>李亚力，18676348188</w:t>
      </w:r>
      <w:r>
        <w:rPr>
          <w:rFonts w:hint="eastAsia" w:ascii="仿宋_GB2312" w:eastAsia="仿宋_GB2312"/>
          <w:lang w:val="en-US" w:eastAsia="zh-CN"/>
        </w:rPr>
        <w:t>）</w:t>
      </w:r>
    </w:p>
    <w:sectPr>
      <w:footerReference r:id="rId3" w:type="default"/>
      <w:pgSz w:w="11906" w:h="16838"/>
      <w:pgMar w:top="2041" w:right="1531"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E1525"/>
    <w:multiLevelType w:val="singleLevel"/>
    <w:tmpl w:val="FCFE1525"/>
    <w:lvl w:ilvl="0" w:tentative="0">
      <w:start w:val="1"/>
      <w:numFmt w:val="chineseCounting"/>
      <w:pStyle w:val="4"/>
      <w:suff w:val="nothing"/>
      <w:lvlText w:val="%1、"/>
      <w:lvlJc w:val="left"/>
      <w:pPr>
        <w:ind w:left="0" w:firstLine="420"/>
      </w:pPr>
      <w:rPr>
        <w:rFonts w:hint="eastAsia"/>
      </w:rPr>
    </w:lvl>
  </w:abstractNum>
  <w:abstractNum w:abstractNumId="1">
    <w:nsid w:val="FF9B4A20"/>
    <w:multiLevelType w:val="singleLevel"/>
    <w:tmpl w:val="FF9B4A20"/>
    <w:lvl w:ilvl="0" w:tentative="0">
      <w:start w:val="1"/>
      <w:numFmt w:val="chineseCounting"/>
      <w:pStyle w:val="5"/>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57E21"/>
    <w:rsid w:val="3FC6886D"/>
    <w:rsid w:val="6DFDD19F"/>
    <w:rsid w:val="77E795FC"/>
    <w:rsid w:val="7EBF3A5F"/>
    <w:rsid w:val="7FD3BFC9"/>
    <w:rsid w:val="A96865C0"/>
    <w:rsid w:val="BF7729D3"/>
    <w:rsid w:val="CDDF4827"/>
    <w:rsid w:val="CEBF15C4"/>
    <w:rsid w:val="E77F2FBF"/>
    <w:rsid w:val="EBF7A329"/>
    <w:rsid w:val="F27F8D80"/>
    <w:rsid w:val="F7CFC2E7"/>
    <w:rsid w:val="F91F5397"/>
    <w:rsid w:val="FDEC7521"/>
    <w:rsid w:val="FDFB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560" w:lineRule="exact"/>
      <w:jc w:val="center"/>
      <w:outlineLvl w:val="0"/>
    </w:pPr>
    <w:rPr>
      <w:rFonts w:ascii="Calibri" w:hAnsi="Calibri" w:eastAsia="方正小标宋简体" w:cs="Times New Roman"/>
      <w:kern w:val="44"/>
      <w:sz w:val="44"/>
    </w:rPr>
  </w:style>
  <w:style w:type="paragraph" w:styleId="4">
    <w:name w:val="heading 2"/>
    <w:basedOn w:val="1"/>
    <w:next w:val="1"/>
    <w:semiHidden/>
    <w:unhideWhenUsed/>
    <w:qFormat/>
    <w:uiPriority w:val="0"/>
    <w:pPr>
      <w:keepNext w:val="0"/>
      <w:keepLines w:val="0"/>
      <w:numPr>
        <w:ilvl w:val="0"/>
        <w:numId w:val="1"/>
      </w:numPr>
      <w:spacing w:beforeLines="0" w:beforeAutospacing="0" w:afterLines="0" w:afterAutospacing="0" w:line="560" w:lineRule="exact"/>
      <w:ind w:firstLine="880" w:firstLineChars="200"/>
      <w:outlineLvl w:val="1"/>
    </w:pPr>
    <w:rPr>
      <w:rFonts w:ascii="Arial" w:hAnsi="Arial" w:eastAsia="黑体" w:cs="Times New Roman"/>
      <w:sz w:val="32"/>
    </w:rPr>
  </w:style>
  <w:style w:type="paragraph" w:styleId="5">
    <w:name w:val="heading 3"/>
    <w:basedOn w:val="1"/>
    <w:next w:val="1"/>
    <w:link w:val="12"/>
    <w:semiHidden/>
    <w:unhideWhenUsed/>
    <w:qFormat/>
    <w:uiPriority w:val="0"/>
    <w:pPr>
      <w:keepNext w:val="0"/>
      <w:keepLines w:val="0"/>
      <w:numPr>
        <w:ilvl w:val="0"/>
        <w:numId w:val="2"/>
      </w:numPr>
      <w:spacing w:beforeLines="0" w:beforeAutospacing="0" w:afterLines="0" w:afterAutospacing="0" w:line="560" w:lineRule="exact"/>
      <w:ind w:firstLine="628" w:firstLineChars="200"/>
      <w:outlineLvl w:val="2"/>
    </w:pPr>
    <w:rPr>
      <w:rFonts w:ascii="Calibri" w:hAnsi="Calibri" w:eastAsia="楷体_GB2312" w:cs="Times New Roman"/>
      <w:sz w:val="32"/>
    </w:rPr>
  </w:style>
  <w:style w:type="paragraph" w:styleId="6">
    <w:name w:val="heading 4"/>
    <w:basedOn w:val="1"/>
    <w:next w:val="1"/>
    <w:link w:val="13"/>
    <w:semiHidden/>
    <w:unhideWhenUsed/>
    <w:qFormat/>
    <w:uiPriority w:val="0"/>
    <w:pPr>
      <w:keepNext w:val="0"/>
      <w:keepLines w:val="0"/>
      <w:spacing w:beforeLines="0" w:beforeAutospacing="0" w:afterLines="0" w:afterAutospacing="0" w:line="560" w:lineRule="exact"/>
      <w:ind w:firstLine="880" w:firstLineChars="200"/>
      <w:outlineLvl w:val="3"/>
    </w:pPr>
    <w:rPr>
      <w:rFonts w:ascii="仿宋_GB2312" w:hAnsi="仿宋_GB2312" w:eastAsia="仿宋_GB2312" w:cs="Times New Roman"/>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character" w:customStyle="1" w:styleId="11">
    <w:name w:val="标题 4 Char"/>
    <w:link w:val="6"/>
    <w:qFormat/>
    <w:uiPriority w:val="0"/>
    <w:rPr>
      <w:rFonts w:ascii="仿宋_GB2312" w:hAnsi="仿宋_GB2312" w:eastAsia="仿宋_GB2312" w:cs="Times New Roman"/>
      <w:sz w:val="32"/>
    </w:rPr>
  </w:style>
  <w:style w:type="character" w:customStyle="1" w:styleId="12">
    <w:name w:val="标题 3 Char"/>
    <w:link w:val="5"/>
    <w:qFormat/>
    <w:uiPriority w:val="0"/>
    <w:rPr>
      <w:rFonts w:ascii="Calibri" w:hAnsi="Calibri" w:eastAsia="楷体_GB2312" w:cs="Times New Roman"/>
      <w:sz w:val="32"/>
    </w:rPr>
  </w:style>
  <w:style w:type="character" w:customStyle="1" w:styleId="13">
    <w:name w:val="标题 4 Char1"/>
    <w:link w:val="6"/>
    <w:qFormat/>
    <w:uiPriority w:val="0"/>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2022-07-22T14:56:00Z</dcterms:created>
  <dc:creator>chenxin</dc:creator>
  <cp:lastModifiedBy>chenxin</cp:lastModifiedBy>
  <dcterms:modified xsi:type="dcterms:W3CDTF">2023-06-06T09:45:26Z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