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宋体"/>
          <w:b/>
          <w:color w:val="000000"/>
          <w:sz w:val="56"/>
          <w:szCs w:val="56"/>
        </w:rPr>
      </w:pPr>
      <w:bookmarkStart w:id="0" w:name="_Toc24668511"/>
    </w:p>
    <w:p>
      <w:pPr>
        <w:spacing w:line="360" w:lineRule="auto"/>
        <w:jc w:val="center"/>
        <w:rPr>
          <w:rFonts w:hint="eastAsia" w:ascii="仿宋" w:hAnsi="仿宋" w:eastAsia="仿宋" w:cs="宋体"/>
          <w:b/>
          <w:color w:val="000000"/>
          <w:sz w:val="56"/>
          <w:szCs w:val="56"/>
        </w:rPr>
      </w:pPr>
    </w:p>
    <w:p>
      <w:pPr>
        <w:spacing w:line="360" w:lineRule="auto"/>
        <w:jc w:val="center"/>
        <w:rPr>
          <w:rFonts w:hint="eastAsia" w:ascii="仿宋" w:hAnsi="仿宋" w:eastAsia="仿宋" w:cs="宋体"/>
          <w:b/>
          <w:color w:val="000000"/>
          <w:sz w:val="56"/>
          <w:szCs w:val="56"/>
        </w:rPr>
      </w:pPr>
    </w:p>
    <w:p>
      <w:pPr>
        <w:spacing w:line="360" w:lineRule="auto"/>
        <w:jc w:val="center"/>
        <w:rPr>
          <w:rFonts w:hint="eastAsia" w:ascii="仿宋" w:hAnsi="仿宋" w:eastAsia="仿宋" w:cs="宋体"/>
          <w:b/>
          <w:color w:val="000000"/>
          <w:sz w:val="56"/>
          <w:szCs w:val="56"/>
        </w:rPr>
      </w:pPr>
    </w:p>
    <w:p>
      <w:pPr>
        <w:spacing w:line="360" w:lineRule="auto"/>
        <w:ind w:left="0" w:leftChars="0" w:firstLine="0" w:firstLineChars="0"/>
        <w:jc w:val="center"/>
        <w:rPr>
          <w:rFonts w:ascii="仿宋" w:hAnsi="仿宋" w:eastAsia="仿宋" w:cs="宋体"/>
          <w:b/>
          <w:color w:val="000000"/>
          <w:sz w:val="56"/>
          <w:szCs w:val="56"/>
        </w:rPr>
      </w:pPr>
      <w:r>
        <w:rPr>
          <w:rFonts w:hint="eastAsia" w:ascii="仿宋" w:hAnsi="仿宋" w:eastAsia="仿宋" w:cs="宋体"/>
          <w:b/>
          <w:color w:val="000000"/>
          <w:sz w:val="56"/>
          <w:szCs w:val="56"/>
        </w:rPr>
        <w:t>深圳市宜居城市市民满意度</w:t>
      </w:r>
      <w:r>
        <w:rPr>
          <w:rFonts w:hint="eastAsia" w:ascii="仿宋" w:hAnsi="仿宋" w:eastAsia="仿宋" w:cs="宋体"/>
          <w:b/>
          <w:color w:val="000000"/>
          <w:sz w:val="56"/>
          <w:szCs w:val="56"/>
          <w:lang w:eastAsia="zh-CN"/>
        </w:rPr>
        <w:t>调查结果初步分析</w:t>
      </w:r>
    </w:p>
    <w:p>
      <w:pPr>
        <w:spacing w:line="360" w:lineRule="auto"/>
        <w:ind w:left="0" w:leftChars="0" w:firstLine="0" w:firstLineChars="0"/>
        <w:jc w:val="center"/>
        <w:rPr>
          <w:rFonts w:ascii="仿宋" w:hAnsi="仿宋" w:eastAsia="仿宋" w:cs="Times New Roman"/>
          <w:b/>
          <w:color w:val="000000"/>
          <w:sz w:val="56"/>
          <w:szCs w:val="56"/>
        </w:rPr>
      </w:pPr>
      <w:r>
        <w:rPr>
          <w:rFonts w:hint="eastAsia" w:ascii="仿宋" w:hAnsi="仿宋" w:eastAsia="仿宋" w:cs="宋体"/>
          <w:b/>
          <w:color w:val="000000"/>
          <w:sz w:val="56"/>
          <w:szCs w:val="56"/>
        </w:rPr>
        <w:t>（2020年）</w:t>
      </w:r>
    </w:p>
    <w:p>
      <w:pPr>
        <w:rPr>
          <w:rFonts w:hint="eastAsia" w:ascii="仿宋" w:hAnsi="仿宋" w:eastAsia="仿宋" w:cs="Times New Roman"/>
          <w:b/>
          <w:bCs/>
          <w:kern w:val="44"/>
          <w:sz w:val="28"/>
          <w:szCs w:val="44"/>
          <w:lang w:val="en-US" w:eastAsia="zh-CN" w:bidi="ar-SA"/>
        </w:rPr>
      </w:pPr>
    </w:p>
    <w:p>
      <w:pPr>
        <w:rPr>
          <w:rFonts w:hint="eastAsia" w:ascii="仿宋" w:hAnsi="仿宋" w:eastAsia="仿宋" w:cs="Times New Roman"/>
          <w:b/>
          <w:bCs/>
          <w:kern w:val="44"/>
          <w:sz w:val="28"/>
          <w:szCs w:val="44"/>
          <w:lang w:val="en-US" w:eastAsia="zh-CN" w:bidi="ar-SA"/>
        </w:rPr>
      </w:pPr>
    </w:p>
    <w:p>
      <w:pPr>
        <w:rPr>
          <w:rFonts w:hint="eastAsia" w:ascii="仿宋" w:hAnsi="仿宋" w:eastAsia="仿宋" w:cs="Times New Roman"/>
          <w:b/>
          <w:bCs/>
          <w:kern w:val="44"/>
          <w:sz w:val="28"/>
          <w:szCs w:val="44"/>
          <w:lang w:val="en-US" w:eastAsia="zh-CN" w:bidi="ar-SA"/>
        </w:rPr>
      </w:pPr>
    </w:p>
    <w:p>
      <w:pPr>
        <w:rPr>
          <w:rFonts w:hint="eastAsia" w:ascii="仿宋" w:hAnsi="仿宋" w:eastAsia="仿宋" w:cs="Times New Roman"/>
          <w:b/>
          <w:bCs/>
          <w:kern w:val="44"/>
          <w:sz w:val="28"/>
          <w:szCs w:val="44"/>
          <w:lang w:val="en-US" w:eastAsia="zh-CN" w:bidi="ar-SA"/>
        </w:rPr>
      </w:pPr>
    </w:p>
    <w:p>
      <w:pPr>
        <w:rPr>
          <w:rFonts w:hint="eastAsia" w:ascii="仿宋" w:hAnsi="仿宋" w:eastAsia="仿宋" w:cs="Times New Roman"/>
          <w:b/>
          <w:bCs/>
          <w:kern w:val="44"/>
          <w:sz w:val="28"/>
          <w:szCs w:val="44"/>
          <w:lang w:val="en-US" w:eastAsia="zh-CN" w:bidi="ar-SA"/>
        </w:rPr>
      </w:pPr>
    </w:p>
    <w:p>
      <w:pPr>
        <w:rPr>
          <w:rFonts w:hint="eastAsia" w:ascii="仿宋" w:hAnsi="仿宋" w:eastAsia="仿宋" w:cs="Times New Roman"/>
          <w:b/>
          <w:bCs/>
          <w:kern w:val="44"/>
          <w:sz w:val="28"/>
          <w:szCs w:val="44"/>
          <w:lang w:val="en-US" w:eastAsia="zh-CN" w:bidi="ar-SA"/>
        </w:rPr>
      </w:pPr>
    </w:p>
    <w:p>
      <w:pPr>
        <w:rPr>
          <w:rFonts w:hint="eastAsia" w:ascii="仿宋" w:hAnsi="仿宋" w:eastAsia="仿宋" w:cs="Times New Roman"/>
          <w:b/>
          <w:bCs/>
          <w:kern w:val="44"/>
          <w:sz w:val="28"/>
          <w:szCs w:val="44"/>
          <w:lang w:val="en-US" w:eastAsia="zh-CN" w:bidi="ar-SA"/>
        </w:rPr>
      </w:pPr>
    </w:p>
    <w:p>
      <w:pPr>
        <w:rPr>
          <w:rFonts w:hint="eastAsia" w:ascii="仿宋" w:hAnsi="仿宋" w:eastAsia="仿宋" w:cs="Times New Roman"/>
          <w:b/>
          <w:bCs/>
          <w:kern w:val="44"/>
          <w:sz w:val="28"/>
          <w:szCs w:val="44"/>
          <w:lang w:val="en-US" w:eastAsia="zh-CN" w:bidi="ar-SA"/>
        </w:rPr>
      </w:pPr>
    </w:p>
    <w:p>
      <w:pPr>
        <w:rPr>
          <w:rFonts w:hint="eastAsia" w:ascii="仿宋" w:hAnsi="仿宋" w:eastAsia="仿宋" w:cs="Times New Roman"/>
          <w:b/>
          <w:bCs/>
          <w:kern w:val="44"/>
          <w:sz w:val="28"/>
          <w:szCs w:val="44"/>
          <w:lang w:val="en-US" w:eastAsia="zh-CN" w:bidi="ar-SA"/>
        </w:rPr>
      </w:pPr>
    </w:p>
    <w:p>
      <w:pPr>
        <w:rPr>
          <w:rFonts w:hint="eastAsia" w:ascii="仿宋" w:hAnsi="仿宋" w:eastAsia="仿宋" w:cs="Times New Roman"/>
          <w:b/>
          <w:bCs/>
          <w:kern w:val="44"/>
          <w:sz w:val="28"/>
          <w:szCs w:val="44"/>
          <w:lang w:val="en-US" w:eastAsia="zh-CN" w:bidi="ar-SA"/>
        </w:rPr>
      </w:pPr>
    </w:p>
    <w:p>
      <w:pPr>
        <w:jc w:val="center"/>
        <w:rPr>
          <w:rFonts w:hint="default" w:ascii="Times New Roman" w:hAnsi="Times New Roman" w:eastAsia="仿宋" w:cs="Times New Roman"/>
          <w:b/>
          <w:bCs/>
          <w:kern w:val="44"/>
          <w:sz w:val="28"/>
          <w:szCs w:val="44"/>
          <w:lang w:val="en-US" w:eastAsia="zh-CN" w:bidi="ar-SA"/>
        </w:rPr>
      </w:pPr>
      <w:r>
        <w:rPr>
          <w:rFonts w:hint="default" w:ascii="Times New Roman" w:hAnsi="Times New Roman" w:eastAsia="仿宋" w:cs="Times New Roman"/>
          <w:b/>
          <w:bCs/>
          <w:kern w:val="44"/>
          <w:sz w:val="28"/>
          <w:szCs w:val="44"/>
          <w:lang w:val="en-US" w:eastAsia="zh-CN" w:bidi="ar-SA"/>
        </w:rPr>
        <w:t>2020年10月19日</w:t>
      </w:r>
    </w:p>
    <w:p>
      <w:pPr>
        <w:rPr>
          <w:rFonts w:hint="eastAsia" w:ascii="仿宋" w:hAnsi="仿宋" w:eastAsia="仿宋" w:cs="Times New Roman"/>
          <w:b/>
          <w:bCs/>
          <w:kern w:val="44"/>
          <w:sz w:val="28"/>
          <w:szCs w:val="44"/>
          <w:lang w:val="en-US" w:eastAsia="zh-CN" w:bidi="ar-SA"/>
        </w:rPr>
      </w:pPr>
      <w:r>
        <w:rPr>
          <w:rFonts w:hint="eastAsia" w:ascii="仿宋" w:hAnsi="仿宋" w:eastAsia="仿宋" w:cs="Times New Roman"/>
          <w:b/>
          <w:bCs/>
          <w:kern w:val="44"/>
          <w:sz w:val="28"/>
          <w:szCs w:val="44"/>
          <w:lang w:val="en-US" w:eastAsia="zh-CN" w:bidi="ar-SA"/>
        </w:rPr>
        <w:br w:type="page"/>
      </w: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0"/>
        <w:rPr>
          <w:rFonts w:hint="eastAsia" w:ascii="仿宋" w:hAnsi="仿宋" w:eastAsia="仿宋" w:cs="Times New Roman"/>
          <w:b/>
          <w:bCs/>
          <w:kern w:val="44"/>
          <w:sz w:val="28"/>
          <w:szCs w:val="44"/>
          <w:lang w:val="en-US" w:eastAsia="zh-CN" w:bidi="ar-SA"/>
        </w:rPr>
      </w:pPr>
      <w:r>
        <w:rPr>
          <w:rFonts w:hint="eastAsia" w:ascii="仿宋" w:hAnsi="仿宋" w:eastAsia="仿宋" w:cs="Times New Roman"/>
          <w:b/>
          <w:bCs/>
          <w:kern w:val="44"/>
          <w:sz w:val="28"/>
          <w:szCs w:val="44"/>
          <w:lang w:val="en-US" w:eastAsia="zh-CN" w:bidi="ar-SA"/>
        </w:rPr>
        <w:t>一、项目概况</w:t>
      </w:r>
      <w:bookmarkEnd w:id="0"/>
    </w:p>
    <w:p>
      <w:pPr>
        <w:keepNext/>
        <w:keepLines/>
        <w:pageBreakBefore w:val="0"/>
        <w:widowControl w:val="0"/>
        <w:kinsoku/>
        <w:wordWrap/>
        <w:overflowPunct/>
        <w:topLinePunct w:val="0"/>
        <w:autoSpaceDE/>
        <w:autoSpaceDN/>
        <w:bidi w:val="0"/>
        <w:adjustRightInd/>
        <w:snapToGrid/>
        <w:spacing w:before="0" w:after="0" w:line="360" w:lineRule="auto"/>
        <w:ind w:firstLine="1124"/>
        <w:jc w:val="both"/>
        <w:textAlignment w:val="auto"/>
        <w:outlineLvl w:val="1"/>
        <w:rPr>
          <w:rFonts w:hint="eastAsia" w:ascii="仿宋" w:hAnsi="仿宋" w:eastAsia="仿宋" w:cs="Times New Roman"/>
          <w:b/>
          <w:bCs/>
          <w:kern w:val="2"/>
          <w:sz w:val="28"/>
          <w:szCs w:val="32"/>
          <w:lang w:val="en-US" w:eastAsia="zh-CN" w:bidi="ar-SA"/>
        </w:rPr>
      </w:pPr>
      <w:bookmarkStart w:id="1" w:name="_Toc24668512"/>
      <w:r>
        <w:rPr>
          <w:rFonts w:hint="eastAsia" w:ascii="仿宋" w:hAnsi="仿宋" w:eastAsia="仿宋" w:cs="Times New Roman"/>
          <w:b/>
          <w:bCs/>
          <w:kern w:val="2"/>
          <w:sz w:val="28"/>
          <w:szCs w:val="32"/>
          <w:lang w:val="en-US" w:eastAsia="zh-CN" w:bidi="ar-SA"/>
        </w:rPr>
        <w:t>（一）项目背景</w:t>
      </w:r>
      <w:bookmarkEnd w:id="1"/>
    </w:p>
    <w:p>
      <w:pPr>
        <w:bidi w:val="0"/>
      </w:pPr>
      <w:r>
        <w:rPr>
          <w:rFonts w:hint="eastAsia"/>
        </w:rPr>
        <w:t>2</w:t>
      </w:r>
      <w:r>
        <w:t>019</w:t>
      </w:r>
      <w:r>
        <w:rPr>
          <w:rFonts w:hint="eastAsia"/>
        </w:rPr>
        <w:t>年2月1</w:t>
      </w:r>
      <w:r>
        <w:t>8</w:t>
      </w:r>
      <w:r>
        <w:rPr>
          <w:rFonts w:hint="eastAsia"/>
        </w:rPr>
        <w:t>日，</w:t>
      </w:r>
      <w:r>
        <w:t>中共中央、国务院印发《</w:t>
      </w:r>
      <w:r>
        <w:rPr>
          <w:rFonts w:hint="eastAsia"/>
        </w:rPr>
        <w:t>粤港澳</w:t>
      </w:r>
      <w:r>
        <w:t>大湾区发晨规</w:t>
      </w:r>
      <w:r>
        <w:rPr>
          <w:rFonts w:hint="eastAsia"/>
        </w:rPr>
        <w:t>划纲要》</w:t>
      </w:r>
      <w:r>
        <w:t>(下文</w:t>
      </w:r>
      <w:r>
        <w:rPr>
          <w:rFonts w:hint="eastAsia"/>
        </w:rPr>
        <w:t>简称纲</w:t>
      </w:r>
      <w:r>
        <w:t>要)。</w:t>
      </w:r>
      <w:r>
        <w:rPr>
          <w:rFonts w:hint="eastAsia"/>
        </w:rPr>
        <w:t>纲要</w:t>
      </w:r>
      <w:r>
        <w:t>指出,要坚持以人民为中心的</w:t>
      </w:r>
      <w:r>
        <w:rPr>
          <w:rFonts w:hint="eastAsia"/>
        </w:rPr>
        <w:t>发展</w:t>
      </w:r>
      <w:r>
        <w:t>思想,</w:t>
      </w:r>
      <w:r>
        <w:rPr>
          <w:rFonts w:hint="eastAsia"/>
        </w:rPr>
        <w:t>积极拓展粤港澳大湾区在教育、文化、旅游、社会保障等领域的合作</w:t>
      </w:r>
      <w:r>
        <w:t>,</w:t>
      </w:r>
      <w:r>
        <w:rPr>
          <w:rFonts w:hint="eastAsia"/>
        </w:rPr>
        <w:t>共同打造公共服务优质、宜居宣业宜游的优质生活圈。到</w:t>
      </w:r>
      <w:r>
        <w:t>2035年,</w:t>
      </w:r>
      <w:r>
        <w:rPr>
          <w:rFonts w:hint="eastAsia"/>
        </w:rPr>
        <w:t>宜居宜业宜游的国际一流湾区将全面建成。纲要再次强调了宜居城市建设的重要性。</w:t>
      </w:r>
    </w:p>
    <w:p>
      <w:pPr>
        <w:bidi w:val="0"/>
      </w:pPr>
      <w:r>
        <w:rPr>
          <w:rFonts w:hint="eastAsia"/>
        </w:rPr>
        <w:t>深圳作为湾区中心城市</w:t>
      </w:r>
      <w:r>
        <w:t>,在2010年市政府就出台了《深圳市创建宜</w:t>
      </w:r>
      <w:r>
        <w:rPr>
          <w:rFonts w:hint="eastAsia"/>
        </w:rPr>
        <w:t>居城市工作方案》</w:t>
      </w:r>
      <w:r>
        <w:t>,将宜居城市建设列为市重要工作之一。近几年,制定</w:t>
      </w:r>
      <w:r>
        <w:rPr>
          <w:rFonts w:hint="eastAsia"/>
        </w:rPr>
        <w:t>了《深圳市创建宜居城市行动计划》、《深圳市宜居社区建设工作方案》、《深圳市人居环境保护与建设“十三五”规划》等，深圳宜居城市建设颇有成效，</w:t>
      </w:r>
      <w:r>
        <w:t>实现了有质量的稳定增长和可持续的全面发展,城市功能和生态环境实现双优化。</w:t>
      </w:r>
      <w:r>
        <w:rPr>
          <w:rFonts w:hint="eastAsia"/>
        </w:rPr>
        <w:t>为了更好了解市民对于宜居城市的建设真实感受，自</w:t>
      </w:r>
      <w:r>
        <w:t>2011年</w:t>
      </w:r>
      <w:r>
        <w:rPr>
          <w:rFonts w:hint="eastAsia"/>
        </w:rPr>
        <w:t>起</w:t>
      </w:r>
      <w:r>
        <w:t>，每年开展</w:t>
      </w:r>
      <w:r>
        <w:rPr>
          <w:rFonts w:hint="eastAsia"/>
        </w:rPr>
        <w:t>深圳市市民满意度调查工作</w:t>
      </w:r>
      <w:r>
        <w:t>,从经济、环境、交通、安全、服务等多方面</w:t>
      </w:r>
      <w:r>
        <w:rPr>
          <w:rFonts w:hint="eastAsia"/>
        </w:rPr>
        <w:t>了解市民对</w:t>
      </w:r>
      <w:r>
        <w:t>深圳宜居建设情况</w:t>
      </w:r>
      <w:r>
        <w:rPr>
          <w:rFonts w:hint="eastAsia"/>
        </w:rPr>
        <w:t>满意度。总体来看，</w:t>
      </w:r>
      <w:r>
        <w:t>城市市民</w:t>
      </w:r>
      <w:r>
        <w:rPr>
          <w:rFonts w:hint="eastAsia"/>
        </w:rPr>
        <w:t>对于宜居城市建设</w:t>
      </w:r>
      <w:r>
        <w:t>满意度不断提升,</w:t>
      </w:r>
      <w:r>
        <w:rPr>
          <w:rFonts w:hint="eastAsia"/>
        </w:rPr>
        <w:t>总体满意度由2</w:t>
      </w:r>
      <w:r>
        <w:t>011</w:t>
      </w:r>
      <w:r>
        <w:rPr>
          <w:rFonts w:hint="eastAsia"/>
        </w:rPr>
        <w:t>年的6</w:t>
      </w:r>
      <w:r>
        <w:t>9.00</w:t>
      </w:r>
      <w:r>
        <w:rPr>
          <w:rFonts w:hint="eastAsia"/>
        </w:rPr>
        <w:t>%，上升至2</w:t>
      </w:r>
      <w:r>
        <w:t>019</w:t>
      </w:r>
      <w:r>
        <w:rPr>
          <w:rFonts w:hint="eastAsia"/>
        </w:rPr>
        <w:t>年的7</w:t>
      </w:r>
      <w:r>
        <w:t>9.51</w:t>
      </w:r>
      <w:r>
        <w:rPr>
          <w:rFonts w:hint="eastAsia"/>
        </w:rPr>
        <w:t>%。</w:t>
      </w:r>
    </w:p>
    <w:p>
      <w:pPr>
        <w:bidi w:val="0"/>
      </w:pPr>
      <w:r>
        <w:rPr>
          <w:rFonts w:hint="eastAsia"/>
        </w:rPr>
        <w:t>在深圳全面开启“先行示范区”建设进程中，通过满意度调查问卷方式，深入了解市民对深圳宜居城市建设的满意程度，广泛听取市民意见，动态掌握宜居城市建设成效，从而更好的打造安全高效的生产空间、舒适宜居的生活空间、碧水蓝天的生态空间。</w:t>
      </w: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ascii="仿宋" w:hAnsi="仿宋" w:eastAsia="仿宋" w:cs="Times New Roman"/>
          <w:b/>
          <w:bCs/>
          <w:kern w:val="2"/>
          <w:sz w:val="28"/>
          <w:szCs w:val="32"/>
          <w:lang w:val="en-US" w:eastAsia="zh-CN" w:bidi="ar-SA"/>
        </w:rPr>
      </w:pPr>
      <w:bookmarkStart w:id="2" w:name="_Toc24668513"/>
      <w:r>
        <w:rPr>
          <w:rFonts w:hint="eastAsia" w:ascii="仿宋" w:hAnsi="仿宋" w:eastAsia="仿宋" w:cs="Times New Roman"/>
          <w:b/>
          <w:bCs/>
          <w:kern w:val="2"/>
          <w:sz w:val="28"/>
          <w:szCs w:val="32"/>
          <w:lang w:val="en-US" w:eastAsia="zh-CN" w:bidi="ar-SA"/>
        </w:rPr>
        <w:t>（二）工作内容</w:t>
      </w:r>
      <w:bookmarkEnd w:id="2"/>
    </w:p>
    <w:p>
      <w:pPr>
        <w:widowControl w:val="0"/>
        <w:tabs>
          <w:tab w:val="left" w:pos="0"/>
        </w:tabs>
        <w:adjustRightInd w:val="0"/>
        <w:snapToGrid w:val="0"/>
        <w:spacing w:line="360" w:lineRule="auto"/>
        <w:ind w:firstLine="560" w:firstLineChars="200"/>
        <w:jc w:val="both"/>
        <w:rPr>
          <w:rFonts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1、宜居城市市民满意度调查问卷设计</w:t>
      </w:r>
    </w:p>
    <w:p>
      <w:pPr>
        <w:bidi w:val="0"/>
        <w:rPr>
          <w:lang w:val="en-US" w:eastAsia="zh-CN"/>
        </w:rPr>
      </w:pPr>
      <w:r>
        <w:rPr>
          <w:rFonts w:hint="eastAsia"/>
          <w:lang w:val="en-US" w:eastAsia="zh-CN"/>
        </w:rPr>
        <w:t>市民满意度问卷设计围绕深圳市宜居建设实际情况展开，为了真实反映市民对深圳宜居建设的建议，问题设计采取封闭式问题和开放式问题结合的方式。调查问卷分为三部分，第一部分为问卷说明，说明本问卷调查的目的；第二部分为正式的调查问题，共71个问题，问题主要围绕15项宜居因素展开；第三部分为受访者个人信息，具体包括性别、年龄、学历、收入、居住地等。</w:t>
      </w:r>
    </w:p>
    <w:p>
      <w:pPr>
        <w:tabs>
          <w:tab w:val="left" w:pos="0"/>
        </w:tabs>
        <w:adjustRightInd w:val="0"/>
        <w:snapToGrid w:val="0"/>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2、开展市民满意度调查</w:t>
      </w:r>
    </w:p>
    <w:p>
      <w:pPr>
        <w:bidi w:val="0"/>
      </w:pPr>
      <w:r>
        <w:rPr>
          <w:rFonts w:hint="eastAsia"/>
        </w:rPr>
        <w:t>本次调查以面向深圳全市，调查对象为深圳市民，采用面访方式为主，以配额抽样与随机抽样相结合；</w:t>
      </w:r>
      <w:r>
        <w:t>每个区调查对象不少于400名，总样本量不低于5000份。</w:t>
      </w:r>
      <w:r>
        <w:rPr>
          <w:rFonts w:hint="eastAsia"/>
        </w:rPr>
        <w:t>实际发出问卷数</w:t>
      </w:r>
      <w:r>
        <w:t>5</w:t>
      </w:r>
      <w:r>
        <w:rPr>
          <w:rFonts w:hint="eastAsia"/>
        </w:rPr>
        <w:t>6</w:t>
      </w:r>
      <w:r>
        <w:t>08份；收回问卷数</w:t>
      </w:r>
      <w:r>
        <w:rPr>
          <w:rFonts w:hint="eastAsia"/>
        </w:rPr>
        <w:t>5585</w:t>
      </w:r>
      <w:r>
        <w:t>份；合格问卷数53</w:t>
      </w:r>
      <w:r>
        <w:rPr>
          <w:rFonts w:hint="eastAsia"/>
        </w:rPr>
        <w:t>06</w:t>
      </w:r>
      <w:r>
        <w:t>份</w:t>
      </w:r>
      <w:r>
        <w:rPr>
          <w:rFonts w:hint="eastAsia"/>
        </w:rPr>
        <w:t>，有效问卷率达95%，各区样本数量及样本配额情况见表1-</w:t>
      </w:r>
      <w:r>
        <w:t>1</w:t>
      </w:r>
      <w:r>
        <w:rPr>
          <w:rFonts w:hint="eastAsia"/>
        </w:rPr>
        <w:t>、表1-</w:t>
      </w:r>
      <w:r>
        <w:t>2</w:t>
      </w:r>
      <w:r>
        <w:rPr>
          <w:rFonts w:hint="eastAsia"/>
        </w:rPr>
        <w:t>。</w:t>
      </w:r>
    </w:p>
    <w:p>
      <w:pPr>
        <w:tabs>
          <w:tab w:val="left" w:pos="0"/>
        </w:tabs>
        <w:adjustRightInd w:val="0"/>
        <w:snapToGrid w:val="0"/>
        <w:spacing w:line="360" w:lineRule="auto"/>
        <w:jc w:val="center"/>
        <w:rPr>
          <w:rFonts w:ascii="仿宋" w:hAnsi="等线" w:eastAsia="仿宋" w:cs="Times New Roman"/>
          <w:b/>
          <w:sz w:val="24"/>
          <w:szCs w:val="28"/>
        </w:rPr>
      </w:pPr>
      <w:r>
        <w:rPr>
          <w:rFonts w:hint="eastAsia" w:ascii="仿宋" w:hAnsi="等线" w:eastAsia="仿宋" w:cs="Times New Roman"/>
          <w:b/>
          <w:sz w:val="24"/>
          <w:szCs w:val="28"/>
        </w:rPr>
        <w:t>表</w:t>
      </w:r>
      <w:r>
        <w:rPr>
          <w:rFonts w:ascii="仿宋" w:hAnsi="等线" w:eastAsia="仿宋" w:cs="Times New Roman"/>
          <w:b/>
          <w:sz w:val="24"/>
          <w:szCs w:val="28"/>
        </w:rPr>
        <w:t>1-1</w:t>
      </w:r>
      <w:r>
        <w:rPr>
          <w:rFonts w:hint="eastAsia" w:ascii="仿宋" w:hAnsi="等线" w:eastAsia="仿宋" w:cs="Times New Roman"/>
          <w:b/>
          <w:sz w:val="24"/>
          <w:szCs w:val="28"/>
        </w:rPr>
        <w:t xml:space="preserve"> 各区样本量</w:t>
      </w:r>
    </w:p>
    <w:tbl>
      <w:tblPr>
        <w:tblStyle w:val="2"/>
        <w:tblW w:w="8504" w:type="dxa"/>
        <w:jc w:val="center"/>
        <w:tblBorders>
          <w:top w:val="single" w:color="auto" w:sz="12"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285"/>
        <w:gridCol w:w="2095"/>
        <w:gridCol w:w="2598"/>
      </w:tblGrid>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526" w:type="dxa"/>
            <w:tcBorders>
              <w:top w:val="single" w:color="auto" w:sz="12" w:space="0"/>
              <w:bottom w:val="single" w:color="auto" w:sz="8" w:space="0"/>
            </w:tcBorders>
            <w:shd w:val="clear" w:color="auto" w:fill="auto"/>
            <w:vAlign w:val="center"/>
          </w:tcPr>
          <w:p>
            <w:pPr>
              <w:spacing w:line="360" w:lineRule="auto"/>
              <w:jc w:val="center"/>
              <w:rPr>
                <w:rFonts w:ascii="仿宋" w:hAnsi="仿宋" w:eastAsia="仿宋" w:cs="Times New Roman"/>
                <w:b/>
                <w:bCs/>
                <w:sz w:val="21"/>
                <w:szCs w:val="21"/>
              </w:rPr>
            </w:pPr>
            <w:r>
              <w:rPr>
                <w:rFonts w:hint="eastAsia" w:ascii="仿宋" w:hAnsi="仿宋" w:eastAsia="仿宋" w:cs="Times New Roman"/>
                <w:b/>
                <w:bCs/>
                <w:sz w:val="21"/>
                <w:szCs w:val="21"/>
              </w:rPr>
              <w:t>调查方式</w:t>
            </w:r>
          </w:p>
        </w:tc>
        <w:tc>
          <w:tcPr>
            <w:tcW w:w="2285" w:type="dxa"/>
            <w:tcBorders>
              <w:top w:val="single" w:color="auto" w:sz="12" w:space="0"/>
              <w:bottom w:val="single" w:color="auto" w:sz="8" w:space="0"/>
            </w:tcBorders>
            <w:shd w:val="clear" w:color="auto" w:fill="auto"/>
            <w:vAlign w:val="center"/>
          </w:tcPr>
          <w:p>
            <w:pPr>
              <w:spacing w:line="360" w:lineRule="auto"/>
              <w:jc w:val="center"/>
              <w:rPr>
                <w:rFonts w:ascii="仿宋" w:hAnsi="仿宋" w:eastAsia="仿宋" w:cs="Times New Roman"/>
                <w:b/>
                <w:bCs/>
                <w:sz w:val="21"/>
                <w:szCs w:val="21"/>
              </w:rPr>
            </w:pPr>
            <w:r>
              <w:rPr>
                <w:rFonts w:hint="eastAsia" w:ascii="仿宋" w:hAnsi="仿宋" w:eastAsia="仿宋" w:cs="Times New Roman"/>
                <w:b/>
                <w:bCs/>
                <w:sz w:val="21"/>
                <w:szCs w:val="21"/>
              </w:rPr>
              <w:t>区域</w:t>
            </w:r>
          </w:p>
        </w:tc>
        <w:tc>
          <w:tcPr>
            <w:tcW w:w="2095" w:type="dxa"/>
            <w:tcBorders>
              <w:top w:val="single" w:color="auto" w:sz="12" w:space="0"/>
              <w:bottom w:val="single" w:color="auto" w:sz="8" w:space="0"/>
            </w:tcBorders>
            <w:shd w:val="clear" w:color="auto" w:fill="auto"/>
            <w:vAlign w:val="center"/>
          </w:tcPr>
          <w:p>
            <w:pPr>
              <w:spacing w:line="360" w:lineRule="auto"/>
              <w:jc w:val="center"/>
              <w:rPr>
                <w:rFonts w:ascii="仿宋" w:hAnsi="仿宋" w:eastAsia="仿宋" w:cs="Times New Roman"/>
                <w:b/>
                <w:bCs/>
                <w:sz w:val="21"/>
                <w:szCs w:val="21"/>
              </w:rPr>
            </w:pPr>
            <w:r>
              <w:rPr>
                <w:rFonts w:hint="eastAsia" w:ascii="仿宋" w:hAnsi="仿宋" w:eastAsia="仿宋" w:cs="Times New Roman"/>
                <w:b/>
                <w:bCs/>
                <w:sz w:val="21"/>
                <w:szCs w:val="21"/>
              </w:rPr>
              <w:t>预计样本数</w:t>
            </w:r>
          </w:p>
        </w:tc>
        <w:tc>
          <w:tcPr>
            <w:tcW w:w="2598" w:type="dxa"/>
            <w:tcBorders>
              <w:top w:val="single" w:color="auto" w:sz="12" w:space="0"/>
              <w:bottom w:val="single" w:color="auto" w:sz="8" w:space="0"/>
            </w:tcBorders>
            <w:shd w:val="clear" w:color="auto" w:fill="auto"/>
            <w:vAlign w:val="center"/>
          </w:tcPr>
          <w:p>
            <w:pPr>
              <w:spacing w:line="360" w:lineRule="auto"/>
              <w:jc w:val="center"/>
              <w:rPr>
                <w:rFonts w:ascii="仿宋" w:hAnsi="仿宋" w:eastAsia="仿宋" w:cs="Times New Roman"/>
                <w:b/>
                <w:bCs/>
                <w:sz w:val="21"/>
                <w:szCs w:val="21"/>
              </w:rPr>
            </w:pPr>
            <w:r>
              <w:rPr>
                <w:rFonts w:hint="eastAsia" w:ascii="仿宋" w:hAnsi="仿宋" w:eastAsia="仿宋" w:cs="Times New Roman"/>
                <w:b/>
                <w:bCs/>
                <w:sz w:val="21"/>
                <w:szCs w:val="21"/>
              </w:rPr>
              <w:t>实际完成样本数本量</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1526" w:type="dxa"/>
            <w:vMerge w:val="restart"/>
            <w:tcBorders>
              <w:top w:val="single" w:color="auto" w:sz="8" w:space="0"/>
            </w:tcBorders>
            <w:shd w:val="clear" w:color="auto" w:fill="auto"/>
            <w:vAlign w:val="center"/>
          </w:tcPr>
          <w:p>
            <w:pPr>
              <w:spacing w:line="360" w:lineRule="auto"/>
              <w:jc w:val="both"/>
              <w:rPr>
                <w:rFonts w:ascii="仿宋" w:hAnsi="仿宋" w:eastAsia="仿宋" w:cs="Times New Roman"/>
                <w:sz w:val="21"/>
                <w:szCs w:val="21"/>
              </w:rPr>
            </w:pPr>
            <w:r>
              <w:rPr>
                <w:rFonts w:hint="eastAsia" w:ascii="仿宋" w:hAnsi="仿宋" w:eastAsia="仿宋" w:cs="Times New Roman"/>
                <w:sz w:val="21"/>
                <w:szCs w:val="21"/>
              </w:rPr>
              <w:t>面访</w:t>
            </w:r>
          </w:p>
        </w:tc>
        <w:tc>
          <w:tcPr>
            <w:tcW w:w="2285" w:type="dxa"/>
            <w:tcBorders>
              <w:top w:val="single" w:color="auto" w:sz="8" w:space="0"/>
            </w:tcBorders>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福田区</w:t>
            </w:r>
          </w:p>
        </w:tc>
        <w:tc>
          <w:tcPr>
            <w:tcW w:w="2095" w:type="dxa"/>
            <w:tcBorders>
              <w:top w:val="single" w:color="auto" w:sz="8" w:space="0"/>
            </w:tcBorders>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600</w:t>
            </w:r>
          </w:p>
        </w:tc>
        <w:tc>
          <w:tcPr>
            <w:tcW w:w="2598" w:type="dxa"/>
            <w:tcBorders>
              <w:top w:val="single" w:color="auto" w:sz="8" w:space="0"/>
            </w:tcBorders>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6</w:t>
            </w:r>
            <w:r>
              <w:rPr>
                <w:rFonts w:ascii="仿宋" w:hAnsi="仿宋" w:eastAsia="仿宋" w:cs="Times New Roman"/>
                <w:sz w:val="21"/>
                <w:szCs w:val="21"/>
              </w:rPr>
              <w:t>1</w:t>
            </w:r>
            <w:r>
              <w:rPr>
                <w:rFonts w:hint="eastAsia" w:ascii="仿宋" w:hAnsi="仿宋" w:eastAsia="仿宋" w:cs="Times New Roman"/>
                <w:sz w:val="21"/>
                <w:szCs w:val="21"/>
              </w:rPr>
              <w:t>6</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26" w:type="dxa"/>
            <w:vMerge w:val="continue"/>
            <w:shd w:val="clear" w:color="auto" w:fill="auto"/>
            <w:vAlign w:val="center"/>
          </w:tcPr>
          <w:p>
            <w:pPr>
              <w:spacing w:line="360" w:lineRule="auto"/>
              <w:jc w:val="center"/>
              <w:rPr>
                <w:rFonts w:ascii="仿宋" w:hAnsi="仿宋" w:eastAsia="仿宋" w:cs="Times New Roman"/>
                <w:sz w:val="21"/>
                <w:szCs w:val="21"/>
              </w:rPr>
            </w:pPr>
          </w:p>
        </w:tc>
        <w:tc>
          <w:tcPr>
            <w:tcW w:w="228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罗湖区</w:t>
            </w:r>
          </w:p>
        </w:tc>
        <w:tc>
          <w:tcPr>
            <w:tcW w:w="209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600</w:t>
            </w:r>
          </w:p>
        </w:tc>
        <w:tc>
          <w:tcPr>
            <w:tcW w:w="2598"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683</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1526" w:type="dxa"/>
            <w:vMerge w:val="continue"/>
            <w:shd w:val="clear" w:color="auto" w:fill="auto"/>
            <w:vAlign w:val="center"/>
          </w:tcPr>
          <w:p>
            <w:pPr>
              <w:spacing w:line="360" w:lineRule="auto"/>
              <w:jc w:val="center"/>
              <w:rPr>
                <w:rFonts w:ascii="仿宋" w:hAnsi="仿宋" w:eastAsia="仿宋" w:cs="Times New Roman"/>
                <w:sz w:val="21"/>
                <w:szCs w:val="21"/>
              </w:rPr>
            </w:pPr>
          </w:p>
        </w:tc>
        <w:tc>
          <w:tcPr>
            <w:tcW w:w="228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南山区</w:t>
            </w:r>
          </w:p>
        </w:tc>
        <w:tc>
          <w:tcPr>
            <w:tcW w:w="209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600</w:t>
            </w:r>
          </w:p>
        </w:tc>
        <w:tc>
          <w:tcPr>
            <w:tcW w:w="2598"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614</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1526" w:type="dxa"/>
            <w:vMerge w:val="continue"/>
            <w:shd w:val="clear" w:color="auto" w:fill="auto"/>
            <w:vAlign w:val="center"/>
          </w:tcPr>
          <w:p>
            <w:pPr>
              <w:spacing w:line="360" w:lineRule="auto"/>
              <w:jc w:val="center"/>
              <w:rPr>
                <w:rFonts w:ascii="仿宋" w:hAnsi="仿宋" w:eastAsia="仿宋" w:cs="Times New Roman"/>
                <w:sz w:val="21"/>
                <w:szCs w:val="21"/>
              </w:rPr>
            </w:pPr>
          </w:p>
        </w:tc>
        <w:tc>
          <w:tcPr>
            <w:tcW w:w="228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盐田区</w:t>
            </w:r>
          </w:p>
        </w:tc>
        <w:tc>
          <w:tcPr>
            <w:tcW w:w="209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200</w:t>
            </w:r>
          </w:p>
        </w:tc>
        <w:tc>
          <w:tcPr>
            <w:tcW w:w="2598"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219</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1526" w:type="dxa"/>
            <w:vMerge w:val="continue"/>
            <w:shd w:val="clear" w:color="auto" w:fill="auto"/>
            <w:vAlign w:val="center"/>
          </w:tcPr>
          <w:p>
            <w:pPr>
              <w:spacing w:line="360" w:lineRule="auto"/>
              <w:jc w:val="center"/>
              <w:rPr>
                <w:rFonts w:ascii="仿宋" w:hAnsi="仿宋" w:eastAsia="仿宋" w:cs="Times New Roman"/>
                <w:sz w:val="21"/>
                <w:szCs w:val="21"/>
              </w:rPr>
            </w:pPr>
          </w:p>
        </w:tc>
        <w:tc>
          <w:tcPr>
            <w:tcW w:w="228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宝安区</w:t>
            </w:r>
          </w:p>
        </w:tc>
        <w:tc>
          <w:tcPr>
            <w:tcW w:w="209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800</w:t>
            </w:r>
          </w:p>
        </w:tc>
        <w:tc>
          <w:tcPr>
            <w:tcW w:w="2598"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8</w:t>
            </w:r>
            <w:r>
              <w:rPr>
                <w:rFonts w:ascii="仿宋" w:hAnsi="仿宋" w:eastAsia="仿宋" w:cs="Times New Roman"/>
                <w:sz w:val="21"/>
                <w:szCs w:val="21"/>
              </w:rPr>
              <w:t>2</w:t>
            </w:r>
            <w:r>
              <w:rPr>
                <w:rFonts w:hint="eastAsia" w:ascii="仿宋" w:hAnsi="仿宋" w:eastAsia="仿宋" w:cs="Times New Roman"/>
                <w:sz w:val="21"/>
                <w:szCs w:val="21"/>
              </w:rPr>
              <w:t>3</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526" w:type="dxa"/>
            <w:vMerge w:val="continue"/>
            <w:shd w:val="clear" w:color="auto" w:fill="auto"/>
            <w:vAlign w:val="center"/>
          </w:tcPr>
          <w:p>
            <w:pPr>
              <w:spacing w:line="360" w:lineRule="auto"/>
              <w:jc w:val="center"/>
              <w:rPr>
                <w:rFonts w:ascii="仿宋" w:hAnsi="仿宋" w:eastAsia="仿宋" w:cs="Times New Roman"/>
                <w:sz w:val="21"/>
                <w:szCs w:val="21"/>
              </w:rPr>
            </w:pPr>
          </w:p>
        </w:tc>
        <w:tc>
          <w:tcPr>
            <w:tcW w:w="228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龙岗区</w:t>
            </w:r>
          </w:p>
        </w:tc>
        <w:tc>
          <w:tcPr>
            <w:tcW w:w="209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800</w:t>
            </w:r>
          </w:p>
        </w:tc>
        <w:tc>
          <w:tcPr>
            <w:tcW w:w="2598"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8</w:t>
            </w:r>
            <w:r>
              <w:rPr>
                <w:rFonts w:ascii="仿宋" w:hAnsi="仿宋" w:eastAsia="仿宋" w:cs="Times New Roman"/>
                <w:sz w:val="21"/>
                <w:szCs w:val="21"/>
              </w:rPr>
              <w:t>3</w:t>
            </w:r>
            <w:r>
              <w:rPr>
                <w:rFonts w:hint="eastAsia" w:ascii="仿宋" w:hAnsi="仿宋" w:eastAsia="仿宋" w:cs="Times New Roman"/>
                <w:sz w:val="21"/>
                <w:szCs w:val="21"/>
              </w:rPr>
              <w:t>9</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526" w:type="dxa"/>
            <w:vMerge w:val="continue"/>
            <w:shd w:val="clear" w:color="auto" w:fill="auto"/>
            <w:vAlign w:val="center"/>
          </w:tcPr>
          <w:p>
            <w:pPr>
              <w:spacing w:line="360" w:lineRule="auto"/>
              <w:jc w:val="center"/>
              <w:rPr>
                <w:rFonts w:ascii="仿宋" w:hAnsi="仿宋" w:eastAsia="仿宋" w:cs="Times New Roman"/>
                <w:sz w:val="21"/>
                <w:szCs w:val="21"/>
              </w:rPr>
            </w:pPr>
          </w:p>
        </w:tc>
        <w:tc>
          <w:tcPr>
            <w:tcW w:w="228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光明区</w:t>
            </w:r>
          </w:p>
        </w:tc>
        <w:tc>
          <w:tcPr>
            <w:tcW w:w="209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300</w:t>
            </w:r>
          </w:p>
        </w:tc>
        <w:tc>
          <w:tcPr>
            <w:tcW w:w="2598"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308</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jc w:val="center"/>
        </w:trPr>
        <w:tc>
          <w:tcPr>
            <w:tcW w:w="1526" w:type="dxa"/>
            <w:vMerge w:val="continue"/>
            <w:shd w:val="clear" w:color="auto" w:fill="auto"/>
            <w:vAlign w:val="center"/>
          </w:tcPr>
          <w:p>
            <w:pPr>
              <w:spacing w:line="360" w:lineRule="auto"/>
              <w:jc w:val="center"/>
              <w:rPr>
                <w:rFonts w:ascii="仿宋" w:hAnsi="仿宋" w:eastAsia="仿宋" w:cs="Times New Roman"/>
                <w:sz w:val="21"/>
                <w:szCs w:val="21"/>
              </w:rPr>
            </w:pPr>
          </w:p>
        </w:tc>
        <w:tc>
          <w:tcPr>
            <w:tcW w:w="228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坪山区</w:t>
            </w:r>
          </w:p>
        </w:tc>
        <w:tc>
          <w:tcPr>
            <w:tcW w:w="209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300</w:t>
            </w:r>
          </w:p>
        </w:tc>
        <w:tc>
          <w:tcPr>
            <w:tcW w:w="2598" w:type="dxa"/>
            <w:shd w:val="clear" w:color="auto" w:fill="auto"/>
            <w:vAlign w:val="center"/>
          </w:tcPr>
          <w:p>
            <w:pPr>
              <w:spacing w:line="360" w:lineRule="auto"/>
              <w:jc w:val="center"/>
              <w:rPr>
                <w:rFonts w:ascii="仿宋" w:hAnsi="仿宋" w:eastAsia="仿宋" w:cs="Times New Roman"/>
                <w:sz w:val="21"/>
                <w:szCs w:val="21"/>
              </w:rPr>
            </w:pPr>
            <w:r>
              <w:rPr>
                <w:rFonts w:ascii="仿宋" w:hAnsi="仿宋" w:eastAsia="仿宋" w:cs="Times New Roman"/>
                <w:sz w:val="21"/>
                <w:szCs w:val="21"/>
              </w:rPr>
              <w:t>308</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jc w:val="center"/>
        </w:trPr>
        <w:tc>
          <w:tcPr>
            <w:tcW w:w="1526" w:type="dxa"/>
            <w:vMerge w:val="continue"/>
            <w:shd w:val="clear" w:color="auto" w:fill="auto"/>
            <w:vAlign w:val="center"/>
          </w:tcPr>
          <w:p>
            <w:pPr>
              <w:spacing w:line="360" w:lineRule="auto"/>
              <w:jc w:val="center"/>
              <w:rPr>
                <w:rFonts w:ascii="仿宋" w:hAnsi="仿宋" w:eastAsia="仿宋" w:cs="Times New Roman"/>
                <w:sz w:val="21"/>
                <w:szCs w:val="21"/>
              </w:rPr>
            </w:pPr>
          </w:p>
        </w:tc>
        <w:tc>
          <w:tcPr>
            <w:tcW w:w="228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龙华区</w:t>
            </w:r>
          </w:p>
        </w:tc>
        <w:tc>
          <w:tcPr>
            <w:tcW w:w="209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600</w:t>
            </w:r>
          </w:p>
        </w:tc>
        <w:tc>
          <w:tcPr>
            <w:tcW w:w="2598"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6</w:t>
            </w:r>
            <w:r>
              <w:rPr>
                <w:rFonts w:ascii="仿宋" w:hAnsi="仿宋" w:eastAsia="仿宋" w:cs="Times New Roman"/>
                <w:sz w:val="21"/>
                <w:szCs w:val="21"/>
              </w:rPr>
              <w:t>2</w:t>
            </w:r>
            <w:r>
              <w:rPr>
                <w:rFonts w:hint="eastAsia" w:ascii="仿宋" w:hAnsi="仿宋" w:eastAsia="仿宋" w:cs="Times New Roman"/>
                <w:sz w:val="21"/>
                <w:szCs w:val="21"/>
              </w:rPr>
              <w:t>3</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526" w:type="dxa"/>
            <w:vMerge w:val="continue"/>
            <w:shd w:val="clear" w:color="auto" w:fill="auto"/>
            <w:vAlign w:val="center"/>
          </w:tcPr>
          <w:p>
            <w:pPr>
              <w:spacing w:line="360" w:lineRule="auto"/>
              <w:jc w:val="center"/>
              <w:rPr>
                <w:rFonts w:ascii="仿宋" w:hAnsi="仿宋" w:eastAsia="仿宋" w:cs="Times New Roman"/>
                <w:sz w:val="21"/>
                <w:szCs w:val="21"/>
              </w:rPr>
            </w:pPr>
          </w:p>
        </w:tc>
        <w:tc>
          <w:tcPr>
            <w:tcW w:w="228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大鹏新区</w:t>
            </w:r>
          </w:p>
        </w:tc>
        <w:tc>
          <w:tcPr>
            <w:tcW w:w="209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200</w:t>
            </w:r>
          </w:p>
        </w:tc>
        <w:tc>
          <w:tcPr>
            <w:tcW w:w="2598"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213</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526" w:type="dxa"/>
            <w:vMerge w:val="continue"/>
            <w:shd w:val="clear" w:color="auto" w:fill="auto"/>
            <w:vAlign w:val="center"/>
          </w:tcPr>
          <w:p>
            <w:pPr>
              <w:spacing w:line="360" w:lineRule="auto"/>
              <w:jc w:val="center"/>
              <w:rPr>
                <w:rFonts w:ascii="仿宋" w:hAnsi="仿宋" w:eastAsia="仿宋" w:cs="Times New Roman"/>
                <w:sz w:val="21"/>
                <w:szCs w:val="21"/>
              </w:rPr>
            </w:pPr>
          </w:p>
        </w:tc>
        <w:tc>
          <w:tcPr>
            <w:tcW w:w="228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线上问卷</w:t>
            </w:r>
          </w:p>
        </w:tc>
        <w:tc>
          <w:tcPr>
            <w:tcW w:w="2095"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100</w:t>
            </w:r>
          </w:p>
        </w:tc>
        <w:tc>
          <w:tcPr>
            <w:tcW w:w="2598" w:type="dxa"/>
            <w:shd w:val="clear" w:color="auto" w:fill="auto"/>
            <w:vAlign w:val="center"/>
          </w:tcPr>
          <w:p>
            <w:pPr>
              <w:spacing w:line="360" w:lineRule="auto"/>
              <w:jc w:val="center"/>
              <w:rPr>
                <w:rFonts w:ascii="仿宋" w:hAnsi="仿宋" w:eastAsia="仿宋" w:cs="Times New Roman"/>
                <w:sz w:val="21"/>
                <w:szCs w:val="21"/>
              </w:rPr>
            </w:pPr>
            <w:r>
              <w:rPr>
                <w:rFonts w:hint="eastAsia" w:ascii="仿宋" w:hAnsi="仿宋" w:eastAsia="仿宋" w:cs="Times New Roman"/>
                <w:sz w:val="21"/>
                <w:szCs w:val="21"/>
              </w:rPr>
              <w:t>60</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26" w:type="dxa"/>
            <w:vMerge w:val="continue"/>
            <w:shd w:val="clear" w:color="auto" w:fill="auto"/>
            <w:vAlign w:val="center"/>
          </w:tcPr>
          <w:p>
            <w:pPr>
              <w:spacing w:line="360" w:lineRule="auto"/>
              <w:jc w:val="center"/>
              <w:rPr>
                <w:rFonts w:ascii="仿宋" w:hAnsi="仿宋" w:eastAsia="仿宋" w:cs="Times New Roman"/>
                <w:sz w:val="21"/>
                <w:szCs w:val="21"/>
              </w:rPr>
            </w:pPr>
          </w:p>
        </w:tc>
        <w:tc>
          <w:tcPr>
            <w:tcW w:w="2285" w:type="dxa"/>
            <w:shd w:val="clear" w:color="auto" w:fill="auto"/>
            <w:vAlign w:val="center"/>
          </w:tcPr>
          <w:p>
            <w:pPr>
              <w:spacing w:line="360" w:lineRule="auto"/>
              <w:jc w:val="center"/>
              <w:rPr>
                <w:rFonts w:ascii="仿宋" w:hAnsi="仿宋" w:eastAsia="仿宋" w:cs="Times New Roman"/>
                <w:b/>
                <w:bCs/>
                <w:sz w:val="21"/>
                <w:szCs w:val="21"/>
              </w:rPr>
            </w:pPr>
            <w:r>
              <w:rPr>
                <w:rFonts w:hint="eastAsia" w:ascii="仿宋" w:hAnsi="仿宋" w:eastAsia="仿宋" w:cs="Times New Roman"/>
                <w:b/>
                <w:bCs/>
                <w:sz w:val="21"/>
                <w:szCs w:val="21"/>
              </w:rPr>
              <w:t>合计</w:t>
            </w:r>
          </w:p>
        </w:tc>
        <w:tc>
          <w:tcPr>
            <w:tcW w:w="2095" w:type="dxa"/>
            <w:shd w:val="clear" w:color="auto" w:fill="auto"/>
            <w:vAlign w:val="center"/>
          </w:tcPr>
          <w:p>
            <w:pPr>
              <w:spacing w:line="360" w:lineRule="auto"/>
              <w:jc w:val="center"/>
              <w:rPr>
                <w:rFonts w:ascii="仿宋" w:hAnsi="仿宋" w:eastAsia="仿宋" w:cs="Times New Roman"/>
                <w:b/>
                <w:bCs/>
                <w:sz w:val="21"/>
                <w:szCs w:val="21"/>
              </w:rPr>
            </w:pPr>
            <w:r>
              <w:rPr>
                <w:rFonts w:hint="eastAsia" w:ascii="仿宋" w:hAnsi="仿宋" w:eastAsia="仿宋" w:cs="Times New Roman"/>
                <w:b/>
                <w:bCs/>
                <w:sz w:val="21"/>
                <w:szCs w:val="21"/>
              </w:rPr>
              <w:t>5100</w:t>
            </w:r>
          </w:p>
        </w:tc>
        <w:tc>
          <w:tcPr>
            <w:tcW w:w="2598" w:type="dxa"/>
            <w:shd w:val="clear" w:color="auto" w:fill="auto"/>
            <w:vAlign w:val="center"/>
          </w:tcPr>
          <w:p>
            <w:pPr>
              <w:spacing w:line="360" w:lineRule="auto"/>
              <w:jc w:val="center"/>
              <w:rPr>
                <w:rFonts w:ascii="仿宋" w:hAnsi="仿宋" w:eastAsia="仿宋" w:cs="Times New Roman"/>
                <w:b/>
                <w:bCs/>
                <w:sz w:val="21"/>
                <w:szCs w:val="21"/>
              </w:rPr>
            </w:pPr>
            <w:r>
              <w:rPr>
                <w:rFonts w:hint="eastAsia" w:ascii="仿宋" w:hAnsi="仿宋" w:eastAsia="仿宋" w:cs="Times New Roman"/>
                <w:b/>
                <w:bCs/>
                <w:sz w:val="21"/>
                <w:szCs w:val="21"/>
              </w:rPr>
              <w:t>5306</w:t>
            </w:r>
          </w:p>
        </w:tc>
      </w:tr>
    </w:tbl>
    <w:p>
      <w:pPr>
        <w:tabs>
          <w:tab w:val="left" w:pos="0"/>
        </w:tabs>
        <w:adjustRightInd w:val="0"/>
        <w:snapToGrid w:val="0"/>
        <w:spacing w:before="156" w:beforeLines="50" w:line="360" w:lineRule="auto"/>
        <w:jc w:val="center"/>
        <w:rPr>
          <w:rFonts w:ascii="仿宋" w:hAnsi="等线" w:eastAsia="仿宋" w:cs="Times New Roman"/>
          <w:b/>
          <w:sz w:val="24"/>
          <w:szCs w:val="28"/>
        </w:rPr>
      </w:pPr>
      <w:r>
        <w:rPr>
          <w:rFonts w:hint="eastAsia" w:ascii="仿宋" w:hAnsi="等线" w:eastAsia="仿宋" w:cs="Times New Roman"/>
          <w:b/>
          <w:sz w:val="24"/>
          <w:szCs w:val="28"/>
        </w:rPr>
        <w:t>表</w:t>
      </w:r>
      <w:r>
        <w:rPr>
          <w:rFonts w:ascii="仿宋" w:hAnsi="等线" w:eastAsia="仿宋" w:cs="Times New Roman"/>
          <w:b/>
          <w:sz w:val="24"/>
          <w:szCs w:val="28"/>
        </w:rPr>
        <w:t>1-</w:t>
      </w:r>
      <w:r>
        <w:rPr>
          <w:rFonts w:hint="eastAsia" w:ascii="仿宋" w:hAnsi="等线" w:eastAsia="仿宋" w:cs="Times New Roman"/>
          <w:b/>
          <w:sz w:val="24"/>
          <w:szCs w:val="28"/>
        </w:rPr>
        <w:t>2 样本配额</w:t>
      </w:r>
      <w:r>
        <w:rPr>
          <w:rFonts w:ascii="仿宋" w:hAnsi="等线" w:eastAsia="仿宋" w:cs="Times New Roman"/>
          <w:b/>
          <w:sz w:val="24"/>
          <w:szCs w:val="28"/>
        </w:rPr>
        <w:t>完成情况</w:t>
      </w:r>
    </w:p>
    <w:tbl>
      <w:tblPr>
        <w:tblStyle w:val="2"/>
        <w:tblW w:w="9600" w:type="dxa"/>
        <w:jc w:val="center"/>
        <w:tblBorders>
          <w:top w:val="single" w:color="auto" w:sz="12"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2"/>
        <w:gridCol w:w="1306"/>
        <w:gridCol w:w="3452"/>
        <w:gridCol w:w="2072"/>
        <w:gridCol w:w="2108"/>
      </w:tblGrid>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662" w:type="dxa"/>
            <w:tcBorders>
              <w:top w:val="single" w:color="auto" w:sz="12" w:space="0"/>
              <w:bottom w:val="single" w:color="auto" w:sz="8" w:space="0"/>
            </w:tcBorders>
            <w:shd w:val="clear" w:color="auto" w:fill="auto"/>
            <w:vAlign w:val="center"/>
          </w:tcPr>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0" w:firstLineChars="0"/>
              <w:jc w:val="center"/>
              <w:textAlignment w:val="auto"/>
              <w:rPr>
                <w:rFonts w:ascii="仿宋" w:hAnsi="仿宋" w:eastAsia="仿宋" w:cs="宋体"/>
                <w:b/>
                <w:sz w:val="21"/>
                <w:szCs w:val="21"/>
              </w:rPr>
            </w:pPr>
            <w:r>
              <w:rPr>
                <w:rFonts w:hint="eastAsia" w:ascii="仿宋" w:hAnsi="仿宋" w:eastAsia="仿宋" w:cs="宋体"/>
                <w:b/>
                <w:sz w:val="21"/>
                <w:szCs w:val="21"/>
              </w:rPr>
              <w:t>序号</w:t>
            </w:r>
          </w:p>
        </w:tc>
        <w:tc>
          <w:tcPr>
            <w:tcW w:w="1306" w:type="dxa"/>
            <w:tcBorders>
              <w:top w:val="single" w:color="auto" w:sz="12" w:space="0"/>
              <w:bottom w:val="single" w:color="auto" w:sz="8" w:space="0"/>
            </w:tcBorders>
            <w:shd w:val="clear" w:color="auto" w:fill="auto"/>
            <w:vAlign w:val="center"/>
          </w:tcPr>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0" w:firstLineChars="0"/>
              <w:jc w:val="center"/>
              <w:textAlignment w:val="auto"/>
              <w:rPr>
                <w:rFonts w:ascii="仿宋" w:hAnsi="仿宋" w:eastAsia="仿宋" w:cs="宋体"/>
                <w:b/>
                <w:sz w:val="21"/>
                <w:szCs w:val="21"/>
              </w:rPr>
            </w:pPr>
            <w:r>
              <w:rPr>
                <w:rFonts w:hint="eastAsia" w:ascii="仿宋" w:hAnsi="仿宋" w:eastAsia="仿宋" w:cs="宋体"/>
                <w:b/>
                <w:sz w:val="21"/>
                <w:szCs w:val="21"/>
              </w:rPr>
              <w:t>类别</w:t>
            </w:r>
          </w:p>
        </w:tc>
        <w:tc>
          <w:tcPr>
            <w:tcW w:w="3452" w:type="dxa"/>
            <w:tcBorders>
              <w:top w:val="single" w:color="auto" w:sz="12" w:space="0"/>
              <w:bottom w:val="single" w:color="auto" w:sz="8" w:space="0"/>
            </w:tcBorders>
            <w:shd w:val="clear" w:color="auto" w:fill="auto"/>
            <w:vAlign w:val="center"/>
          </w:tcPr>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0" w:firstLineChars="0"/>
              <w:jc w:val="center"/>
              <w:textAlignment w:val="auto"/>
              <w:rPr>
                <w:rFonts w:ascii="仿宋" w:hAnsi="仿宋" w:eastAsia="仿宋" w:cs="宋体"/>
                <w:b/>
                <w:sz w:val="21"/>
                <w:szCs w:val="21"/>
              </w:rPr>
            </w:pPr>
            <w:r>
              <w:rPr>
                <w:rFonts w:hint="eastAsia" w:ascii="仿宋" w:hAnsi="仿宋" w:eastAsia="仿宋" w:cs="宋体"/>
                <w:b/>
                <w:sz w:val="21"/>
                <w:szCs w:val="21"/>
              </w:rPr>
              <w:t>分配权重</w:t>
            </w:r>
          </w:p>
        </w:tc>
        <w:tc>
          <w:tcPr>
            <w:tcW w:w="4180" w:type="dxa"/>
            <w:gridSpan w:val="2"/>
            <w:tcBorders>
              <w:top w:val="single" w:color="auto" w:sz="12" w:space="0"/>
              <w:bottom w:val="single" w:color="auto" w:sz="8" w:space="0"/>
            </w:tcBorders>
            <w:shd w:val="clear" w:color="auto" w:fill="auto"/>
            <w:vAlign w:val="center"/>
          </w:tcPr>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0" w:firstLineChars="0"/>
              <w:jc w:val="center"/>
              <w:textAlignment w:val="auto"/>
              <w:rPr>
                <w:rFonts w:ascii="仿宋" w:hAnsi="仿宋" w:eastAsia="仿宋" w:cs="宋体"/>
                <w:b/>
                <w:sz w:val="21"/>
                <w:szCs w:val="21"/>
              </w:rPr>
            </w:pPr>
            <w:r>
              <w:rPr>
                <w:rFonts w:hint="eastAsia" w:ascii="仿宋" w:hAnsi="仿宋" w:eastAsia="仿宋" w:cs="宋体"/>
                <w:b/>
                <w:sz w:val="21"/>
                <w:szCs w:val="21"/>
              </w:rPr>
              <w:t>完成情况</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62" w:type="dxa"/>
            <w:tcBorders>
              <w:top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1</w:t>
            </w:r>
          </w:p>
        </w:tc>
        <w:tc>
          <w:tcPr>
            <w:tcW w:w="1306" w:type="dxa"/>
            <w:tcBorders>
              <w:top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性别</w:t>
            </w:r>
          </w:p>
        </w:tc>
        <w:tc>
          <w:tcPr>
            <w:tcW w:w="3452" w:type="dxa"/>
            <w:tcBorders>
              <w:top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男女比例约1：1</w:t>
            </w:r>
          </w:p>
        </w:tc>
        <w:tc>
          <w:tcPr>
            <w:tcW w:w="2072" w:type="dxa"/>
            <w:tcBorders>
              <w:top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男：</w:t>
            </w:r>
            <w:r>
              <w:rPr>
                <w:rFonts w:hint="eastAsia" w:ascii="仿宋" w:hAnsi="仿宋" w:eastAsia="仿宋" w:cs="Times New Roman"/>
                <w:sz w:val="21"/>
                <w:szCs w:val="21"/>
              </w:rPr>
              <w:t>2516</w:t>
            </w:r>
          </w:p>
        </w:tc>
        <w:tc>
          <w:tcPr>
            <w:tcW w:w="2108" w:type="dxa"/>
            <w:tcBorders>
              <w:top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女：27</w:t>
            </w:r>
            <w:r>
              <w:rPr>
                <w:rFonts w:hint="eastAsia" w:ascii="仿宋" w:hAnsi="仿宋" w:eastAsia="仿宋" w:cs="Times New Roman"/>
                <w:sz w:val="21"/>
                <w:szCs w:val="21"/>
              </w:rPr>
              <w:t>90</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2</w:t>
            </w:r>
          </w:p>
        </w:tc>
        <w:tc>
          <w:tcPr>
            <w:tcW w:w="13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年龄</w:t>
            </w:r>
          </w:p>
        </w:tc>
        <w:tc>
          <w:tcPr>
            <w:tcW w:w="34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老年人比例约</w:t>
            </w:r>
            <w:r>
              <w:rPr>
                <w:rFonts w:hint="eastAsia" w:ascii="仿宋" w:hAnsi="仿宋" w:eastAsia="仿宋" w:cs="Times New Roman"/>
                <w:sz w:val="21"/>
                <w:szCs w:val="21"/>
              </w:rPr>
              <w:t>3</w:t>
            </w:r>
            <w:r>
              <w:rPr>
                <w:rFonts w:ascii="仿宋" w:hAnsi="仿宋" w:eastAsia="仿宋" w:cs="Times New Roman"/>
                <w:sz w:val="21"/>
                <w:szCs w:val="21"/>
              </w:rPr>
              <w:t>%，青壮年约</w:t>
            </w:r>
            <w:r>
              <w:rPr>
                <w:rFonts w:hint="eastAsia" w:ascii="仿宋" w:hAnsi="仿宋" w:eastAsia="仿宋" w:cs="Times New Roman"/>
                <w:sz w:val="21"/>
                <w:szCs w:val="21"/>
              </w:rPr>
              <w:t>87</w:t>
            </w:r>
            <w:r>
              <w:rPr>
                <w:rFonts w:ascii="仿宋" w:hAnsi="仿宋" w:eastAsia="仿宋" w:cs="Times New Roman"/>
                <w:sz w:val="21"/>
                <w:szCs w:val="21"/>
              </w:rPr>
              <w:t>%</w:t>
            </w:r>
          </w:p>
        </w:tc>
        <w:tc>
          <w:tcPr>
            <w:tcW w:w="20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老年人：</w:t>
            </w:r>
            <w:r>
              <w:rPr>
                <w:rFonts w:hint="eastAsia" w:ascii="仿宋" w:hAnsi="仿宋" w:eastAsia="仿宋" w:cs="Times New Roman"/>
                <w:sz w:val="21"/>
                <w:szCs w:val="21"/>
              </w:rPr>
              <w:t>139</w:t>
            </w:r>
          </w:p>
        </w:tc>
        <w:tc>
          <w:tcPr>
            <w:tcW w:w="21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青壮年：</w:t>
            </w:r>
            <w:r>
              <w:rPr>
                <w:rFonts w:hint="eastAsia" w:ascii="仿宋" w:hAnsi="仿宋" w:eastAsia="仿宋" w:cs="Times New Roman"/>
                <w:sz w:val="21"/>
                <w:szCs w:val="21"/>
              </w:rPr>
              <w:t>4632</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6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3</w:t>
            </w:r>
          </w:p>
        </w:tc>
        <w:tc>
          <w:tcPr>
            <w:tcW w:w="13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户籍</w:t>
            </w:r>
          </w:p>
        </w:tc>
        <w:tc>
          <w:tcPr>
            <w:tcW w:w="34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非</w:t>
            </w:r>
            <w:r>
              <w:rPr>
                <w:rFonts w:hint="eastAsia" w:ascii="仿宋" w:hAnsi="仿宋" w:eastAsia="仿宋" w:cs="Times New Roman"/>
                <w:sz w:val="21"/>
                <w:szCs w:val="21"/>
                <w:lang w:val="en-US" w:eastAsia="zh-CN"/>
              </w:rPr>
              <w:t>深</w:t>
            </w:r>
            <w:r>
              <w:rPr>
                <w:rFonts w:ascii="仿宋" w:hAnsi="仿宋" w:eastAsia="仿宋" w:cs="Times New Roman"/>
                <w:sz w:val="21"/>
                <w:szCs w:val="21"/>
              </w:rPr>
              <w:t>户暂住人口</w:t>
            </w:r>
            <w:r>
              <w:rPr>
                <w:rFonts w:hint="eastAsia" w:ascii="仿宋" w:hAnsi="仿宋" w:eastAsia="仿宋" w:cs="Times New Roman"/>
                <w:sz w:val="21"/>
                <w:szCs w:val="21"/>
              </w:rPr>
              <w:t>74</w:t>
            </w:r>
            <w:r>
              <w:rPr>
                <w:rFonts w:ascii="仿宋" w:hAnsi="仿宋" w:eastAsia="仿宋" w:cs="Times New Roman"/>
                <w:sz w:val="21"/>
                <w:szCs w:val="21"/>
              </w:rPr>
              <w:t>%，深户不低于</w:t>
            </w:r>
            <w:r>
              <w:rPr>
                <w:rFonts w:hint="eastAsia" w:ascii="仿宋" w:hAnsi="仿宋" w:eastAsia="仿宋" w:cs="Times New Roman"/>
                <w:sz w:val="21"/>
                <w:szCs w:val="21"/>
              </w:rPr>
              <w:t>36</w:t>
            </w:r>
            <w:r>
              <w:rPr>
                <w:rFonts w:ascii="仿宋" w:hAnsi="仿宋" w:eastAsia="仿宋" w:cs="Times New Roman"/>
                <w:sz w:val="21"/>
                <w:szCs w:val="21"/>
              </w:rPr>
              <w:t>%</w:t>
            </w:r>
          </w:p>
        </w:tc>
        <w:tc>
          <w:tcPr>
            <w:tcW w:w="20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深户：</w:t>
            </w:r>
            <w:r>
              <w:rPr>
                <w:rFonts w:hint="eastAsia" w:ascii="仿宋" w:hAnsi="仿宋" w:eastAsia="仿宋" w:cs="Times New Roman"/>
                <w:sz w:val="21"/>
                <w:szCs w:val="21"/>
              </w:rPr>
              <w:t>1911</w:t>
            </w:r>
          </w:p>
        </w:tc>
        <w:tc>
          <w:tcPr>
            <w:tcW w:w="21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非深户：3</w:t>
            </w:r>
            <w:r>
              <w:rPr>
                <w:rFonts w:hint="eastAsia" w:ascii="仿宋" w:hAnsi="仿宋" w:eastAsia="仿宋" w:cs="Times New Roman"/>
                <w:sz w:val="21"/>
                <w:szCs w:val="21"/>
              </w:rPr>
              <w:t>395</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仿宋" w:hAnsi="仿宋" w:eastAsia="仿宋" w:cs="Times New Roman"/>
                <w:sz w:val="21"/>
                <w:szCs w:val="21"/>
              </w:rPr>
            </w:pPr>
            <w:r>
              <w:rPr>
                <w:rFonts w:hint="eastAsia" w:ascii="仿宋" w:hAnsi="仿宋" w:eastAsia="仿宋" w:cs="Times New Roman"/>
                <w:sz w:val="21"/>
                <w:szCs w:val="21"/>
              </w:rPr>
              <w:t>4</w:t>
            </w:r>
          </w:p>
        </w:tc>
        <w:tc>
          <w:tcPr>
            <w:tcW w:w="13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hint="eastAsia" w:ascii="仿宋" w:hAnsi="仿宋" w:eastAsia="仿宋" w:cs="Times New Roman"/>
                <w:sz w:val="21"/>
                <w:szCs w:val="21"/>
              </w:rPr>
              <w:t>是否城中村</w:t>
            </w:r>
          </w:p>
        </w:tc>
        <w:tc>
          <w:tcPr>
            <w:tcW w:w="34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hint="eastAsia" w:ascii="仿宋" w:hAnsi="仿宋" w:eastAsia="仿宋" w:cs="Times New Roman"/>
                <w:sz w:val="21"/>
                <w:szCs w:val="21"/>
              </w:rPr>
              <w:t>城中村人口46%，非城中村人口54%</w:t>
            </w:r>
          </w:p>
        </w:tc>
        <w:tc>
          <w:tcPr>
            <w:tcW w:w="20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hint="eastAsia" w:ascii="仿宋" w:hAnsi="仿宋" w:eastAsia="仿宋" w:cs="Times New Roman"/>
                <w:sz w:val="21"/>
                <w:szCs w:val="21"/>
              </w:rPr>
              <w:t>城中村人口：2460</w:t>
            </w:r>
          </w:p>
        </w:tc>
        <w:tc>
          <w:tcPr>
            <w:tcW w:w="21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hint="eastAsia" w:ascii="仿宋" w:hAnsi="仿宋" w:eastAsia="仿宋" w:cs="Times New Roman"/>
                <w:sz w:val="21"/>
                <w:szCs w:val="21"/>
              </w:rPr>
              <w:t>非城中村人口：2846</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6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仿宋" w:hAnsi="仿宋" w:eastAsia="仿宋" w:cs="Times New Roman"/>
                <w:sz w:val="21"/>
                <w:szCs w:val="21"/>
              </w:rPr>
            </w:pPr>
            <w:r>
              <w:rPr>
                <w:rFonts w:hint="eastAsia" w:ascii="仿宋" w:hAnsi="仿宋" w:eastAsia="仿宋" w:cs="Times New Roman"/>
                <w:sz w:val="21"/>
                <w:szCs w:val="21"/>
              </w:rPr>
              <w:t>5</w:t>
            </w:r>
          </w:p>
        </w:tc>
        <w:tc>
          <w:tcPr>
            <w:tcW w:w="13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hint="eastAsia" w:ascii="仿宋" w:hAnsi="仿宋" w:eastAsia="仿宋" w:cs="Times New Roman"/>
                <w:sz w:val="21"/>
                <w:szCs w:val="21"/>
              </w:rPr>
              <w:t>居住年限</w:t>
            </w:r>
          </w:p>
        </w:tc>
        <w:tc>
          <w:tcPr>
            <w:tcW w:w="34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hint="eastAsia" w:ascii="仿宋" w:hAnsi="仿宋" w:eastAsia="仿宋" w:cs="Times New Roman"/>
                <w:sz w:val="21"/>
                <w:szCs w:val="21"/>
              </w:rPr>
              <w:t>3年以上人口75%，3年及3年以下人口25%</w:t>
            </w:r>
          </w:p>
        </w:tc>
        <w:tc>
          <w:tcPr>
            <w:tcW w:w="20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hint="eastAsia" w:ascii="仿宋" w:hAnsi="仿宋" w:eastAsia="仿宋" w:cs="Times New Roman"/>
                <w:sz w:val="21"/>
                <w:szCs w:val="21"/>
              </w:rPr>
              <w:t>3年以上人口：3984</w:t>
            </w:r>
          </w:p>
        </w:tc>
        <w:tc>
          <w:tcPr>
            <w:tcW w:w="21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hint="eastAsia" w:ascii="仿宋" w:hAnsi="仿宋" w:eastAsia="仿宋" w:cs="Times New Roman"/>
                <w:sz w:val="21"/>
                <w:szCs w:val="21"/>
              </w:rPr>
              <w:t>3年及3年以下人口：1322</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6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仿宋" w:hAnsi="仿宋" w:eastAsia="仿宋" w:cs="Times New Roman"/>
                <w:sz w:val="21"/>
                <w:szCs w:val="21"/>
              </w:rPr>
            </w:pPr>
            <w:r>
              <w:rPr>
                <w:rFonts w:hint="eastAsia" w:ascii="仿宋" w:hAnsi="仿宋" w:eastAsia="仿宋" w:cs="Times New Roman"/>
                <w:sz w:val="21"/>
                <w:szCs w:val="21"/>
              </w:rPr>
              <w:t>6</w:t>
            </w:r>
          </w:p>
        </w:tc>
        <w:tc>
          <w:tcPr>
            <w:tcW w:w="13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职业</w:t>
            </w:r>
          </w:p>
        </w:tc>
        <w:tc>
          <w:tcPr>
            <w:tcW w:w="34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机关事业单位人员不低于1</w:t>
            </w:r>
            <w:r>
              <w:rPr>
                <w:rFonts w:hint="eastAsia" w:ascii="仿宋" w:hAnsi="仿宋" w:eastAsia="仿宋" w:cs="Times New Roman"/>
                <w:sz w:val="21"/>
                <w:szCs w:val="21"/>
                <w:lang w:val="en-US" w:eastAsia="zh-CN"/>
              </w:rPr>
              <w:t>0</w:t>
            </w:r>
            <w:r>
              <w:rPr>
                <w:rFonts w:ascii="仿宋" w:hAnsi="仿宋" w:eastAsia="仿宋" w:cs="Times New Roman"/>
                <w:sz w:val="21"/>
                <w:szCs w:val="21"/>
              </w:rPr>
              <w:t>%，企业不低于</w:t>
            </w:r>
            <w:r>
              <w:rPr>
                <w:rFonts w:hint="eastAsia" w:ascii="仿宋" w:hAnsi="仿宋" w:eastAsia="仿宋" w:cs="Times New Roman"/>
                <w:sz w:val="21"/>
                <w:szCs w:val="21"/>
              </w:rPr>
              <w:t>5</w:t>
            </w:r>
            <w:r>
              <w:rPr>
                <w:rFonts w:hint="eastAsia" w:ascii="仿宋" w:hAnsi="仿宋" w:eastAsia="仿宋" w:cs="Times New Roman"/>
                <w:sz w:val="21"/>
                <w:szCs w:val="21"/>
                <w:lang w:val="en-US" w:eastAsia="zh-CN"/>
              </w:rPr>
              <w:t>0</w:t>
            </w:r>
            <w:r>
              <w:rPr>
                <w:rFonts w:ascii="仿宋" w:hAnsi="仿宋" w:eastAsia="仿宋" w:cs="Times New Roman"/>
                <w:sz w:val="21"/>
                <w:szCs w:val="21"/>
              </w:rPr>
              <w:t>%</w:t>
            </w:r>
          </w:p>
        </w:tc>
        <w:tc>
          <w:tcPr>
            <w:tcW w:w="20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事业单位：6</w:t>
            </w:r>
            <w:r>
              <w:rPr>
                <w:rFonts w:hint="eastAsia" w:ascii="仿宋" w:hAnsi="仿宋" w:eastAsia="仿宋" w:cs="Times New Roman"/>
                <w:sz w:val="21"/>
                <w:szCs w:val="21"/>
              </w:rPr>
              <w:t>88</w:t>
            </w:r>
          </w:p>
        </w:tc>
        <w:tc>
          <w:tcPr>
            <w:tcW w:w="21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企业：</w:t>
            </w:r>
            <w:r>
              <w:rPr>
                <w:rFonts w:hint="eastAsia" w:ascii="仿宋" w:hAnsi="仿宋" w:eastAsia="仿宋" w:cs="Times New Roman"/>
                <w:sz w:val="21"/>
                <w:szCs w:val="21"/>
              </w:rPr>
              <w:t>3033</w:t>
            </w:r>
          </w:p>
        </w:tc>
      </w:tr>
      <w:tr>
        <w:tblPrEx>
          <w:tblBorders>
            <w:top w:val="single" w:color="auto" w:sz="12"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6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仿宋" w:hAnsi="仿宋" w:eastAsia="仿宋" w:cs="Times New Roman"/>
                <w:sz w:val="21"/>
                <w:szCs w:val="21"/>
              </w:rPr>
            </w:pPr>
            <w:r>
              <w:rPr>
                <w:rFonts w:hint="eastAsia" w:ascii="仿宋" w:hAnsi="仿宋" w:eastAsia="仿宋" w:cs="Times New Roman"/>
                <w:sz w:val="21"/>
                <w:szCs w:val="21"/>
              </w:rPr>
              <w:t>7</w:t>
            </w:r>
          </w:p>
        </w:tc>
        <w:tc>
          <w:tcPr>
            <w:tcW w:w="13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ascii="仿宋" w:hAnsi="仿宋" w:eastAsia="仿宋" w:cs="Times New Roman"/>
                <w:sz w:val="21"/>
                <w:szCs w:val="21"/>
              </w:rPr>
              <w:t>外国人</w:t>
            </w:r>
          </w:p>
        </w:tc>
        <w:tc>
          <w:tcPr>
            <w:tcW w:w="34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hint="eastAsia" w:ascii="仿宋" w:hAnsi="仿宋" w:eastAsia="仿宋" w:cs="Times New Roman"/>
                <w:sz w:val="21"/>
                <w:szCs w:val="21"/>
                <w:lang w:val="en-US" w:eastAsia="zh-CN"/>
              </w:rPr>
              <w:t>外国人1.3%</w:t>
            </w:r>
          </w:p>
        </w:tc>
        <w:tc>
          <w:tcPr>
            <w:tcW w:w="20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hint="eastAsia" w:ascii="仿宋" w:hAnsi="仿宋" w:eastAsia="仿宋" w:cs="Times New Roman"/>
                <w:sz w:val="21"/>
                <w:szCs w:val="21"/>
                <w:lang w:val="en-US" w:eastAsia="zh-CN"/>
              </w:rPr>
              <w:t>深大留学生：43</w:t>
            </w:r>
          </w:p>
        </w:tc>
        <w:tc>
          <w:tcPr>
            <w:tcW w:w="21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s="Times New Roman"/>
                <w:sz w:val="21"/>
                <w:szCs w:val="21"/>
              </w:rPr>
            </w:pPr>
            <w:r>
              <w:rPr>
                <w:rFonts w:hint="eastAsia" w:ascii="仿宋" w:hAnsi="仿宋" w:eastAsia="仿宋" w:cs="Times New Roman"/>
                <w:sz w:val="21"/>
                <w:szCs w:val="21"/>
                <w:lang w:val="en-US" w:eastAsia="zh-CN"/>
              </w:rPr>
              <w:t>外国人：70</w:t>
            </w:r>
          </w:p>
        </w:tc>
      </w:tr>
    </w:tbl>
    <w:p>
      <w:pPr>
        <w:tabs>
          <w:tab w:val="left" w:pos="0"/>
        </w:tabs>
        <w:adjustRightInd w:val="0"/>
        <w:snapToGrid w:val="0"/>
        <w:spacing w:before="156" w:beforeLines="50"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3、问卷处理，统计分析</w:t>
      </w:r>
    </w:p>
    <w:p>
      <w:pPr>
        <w:bidi w:val="0"/>
      </w:pPr>
      <w:r>
        <w:rPr>
          <w:rFonts w:hint="eastAsia"/>
        </w:rPr>
        <w:t>运用</w:t>
      </w:r>
      <w:r>
        <w:t>SPSS（Statistical Product and Service Solutions）软件对</w:t>
      </w:r>
      <w:r>
        <w:rPr>
          <w:rFonts w:hint="eastAsia"/>
        </w:rPr>
        <w:t>调查问卷</w:t>
      </w:r>
      <w:r>
        <w:t>进行统计分析</w:t>
      </w:r>
      <w:r>
        <w:rPr>
          <w:rFonts w:hint="eastAsia"/>
        </w:rPr>
        <w:t>，得到全市宜居总体满意度、各宜居分项满意度及各区满意度情况。采用定量和定性结合方式分析全市满意度变动趋势，各宜居分项满意度差异性及变动情况，从而反应深圳市宜居城市建设情况</w:t>
      </w:r>
      <w:r>
        <w:t>。</w:t>
      </w:r>
    </w:p>
    <w:p>
      <w:pPr>
        <w:tabs>
          <w:tab w:val="left" w:pos="0"/>
        </w:tabs>
        <w:adjustRightInd w:val="0"/>
        <w:snapToGrid w:val="0"/>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4、提出改进建议</w:t>
      </w:r>
    </w:p>
    <w:p>
      <w:pPr>
        <w:bidi w:val="0"/>
      </w:pPr>
      <w:r>
        <w:rPr>
          <w:rFonts w:hint="eastAsia"/>
        </w:rPr>
        <w:t>根据统计分析结果，结合问卷中开放性意见，立足深圳现实，提出具有合理性、针对性和可行性的建议，以便深圳早日实现建设国际化先进城市、宜居城市的目标。</w:t>
      </w: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ascii="仿宋" w:hAnsi="仿宋" w:eastAsia="仿宋" w:cs="Times New Roman"/>
          <w:b/>
          <w:bCs/>
          <w:kern w:val="2"/>
          <w:sz w:val="28"/>
          <w:szCs w:val="32"/>
          <w:lang w:val="en-US" w:eastAsia="zh-CN" w:bidi="ar-SA"/>
        </w:rPr>
      </w:pPr>
      <w:bookmarkStart w:id="3" w:name="_Toc24668514"/>
      <w:r>
        <w:rPr>
          <w:rFonts w:hint="eastAsia" w:ascii="仿宋" w:hAnsi="仿宋" w:eastAsia="仿宋" w:cs="Times New Roman"/>
          <w:b/>
          <w:bCs/>
          <w:kern w:val="2"/>
          <w:sz w:val="28"/>
          <w:szCs w:val="32"/>
          <w:lang w:val="en-US" w:eastAsia="zh-CN" w:bidi="ar-SA"/>
        </w:rPr>
        <w:t>（三）技术路线</w:t>
      </w:r>
    </w:p>
    <w:p>
      <w:pPr>
        <w:bidi w:val="0"/>
      </w:pPr>
      <w:r>
        <w:rPr>
          <w:rFonts w:hint="eastAsia"/>
        </w:rPr>
        <w:t>针对深圳宜居城市市民满意度，本调查报告，采用问卷调查方式，全面了解市民对深圳宜居建设的真实感受。首先，在以往调查问卷基础上，完善调查问卷；然后，采用SPSS统计分析，全市、各宜居分项以及各区的满意度情况；最后，根据分析结果，为深圳宜居建设提出合理、有针对性的建议。</w:t>
      </w:r>
    </w:p>
    <w:p>
      <w:pPr>
        <w:rPr>
          <w:rFonts w:ascii="等线" w:hAnsi="等线" w:eastAsia="等线" w:cs="Times New Roman"/>
          <w:szCs w:val="22"/>
        </w:rPr>
      </w:pPr>
      <w:r>
        <w:rPr>
          <w:rFonts w:ascii="等线" w:hAnsi="等线" w:eastAsia="等线" w:cs="Times New Roman"/>
          <w:szCs w:val="22"/>
        </w:rPr>
        <w:object>
          <v:shape id="_x0000_i1025" o:spt="75" type="#_x0000_t75" style="height:300.1pt;width:415.1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o:LockedField>false</o:LockedField>
          </o:OLEObject>
        </w:object>
      </w:r>
    </w:p>
    <w:p>
      <w:pPr>
        <w:jc w:val="center"/>
        <w:rPr>
          <w:rFonts w:ascii="仿宋" w:hAnsi="仿宋" w:eastAsia="仿宋" w:cs="Times New Roman"/>
          <w:b/>
          <w:sz w:val="36"/>
          <w:szCs w:val="32"/>
        </w:rPr>
      </w:pPr>
      <w:r>
        <w:rPr>
          <w:rFonts w:hint="eastAsia" w:ascii="仿宋" w:hAnsi="仿宋" w:eastAsia="仿宋" w:cs="Times New Roman"/>
          <w:b/>
          <w:sz w:val="24"/>
          <w:szCs w:val="22"/>
        </w:rPr>
        <w:t>图1-</w:t>
      </w:r>
      <w:r>
        <w:rPr>
          <w:rFonts w:ascii="仿宋" w:hAnsi="仿宋" w:eastAsia="仿宋" w:cs="Times New Roman"/>
          <w:b/>
          <w:sz w:val="24"/>
          <w:szCs w:val="22"/>
        </w:rPr>
        <w:t>1</w:t>
      </w:r>
      <w:r>
        <w:rPr>
          <w:rFonts w:hint="eastAsia" w:ascii="仿宋" w:hAnsi="仿宋" w:eastAsia="仿宋" w:cs="Times New Roman"/>
          <w:b/>
          <w:sz w:val="24"/>
          <w:szCs w:val="22"/>
        </w:rPr>
        <w:t>技术路线</w:t>
      </w: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ascii="仿宋" w:hAnsi="仿宋" w:eastAsia="仿宋" w:cs="Times New Roman"/>
          <w:b/>
          <w:bCs/>
          <w:kern w:val="2"/>
          <w:sz w:val="28"/>
          <w:szCs w:val="32"/>
          <w:lang w:val="en-US" w:eastAsia="zh-CN" w:bidi="ar-SA"/>
        </w:rPr>
      </w:pPr>
      <w:r>
        <w:rPr>
          <w:rFonts w:hint="eastAsia" w:ascii="仿宋" w:hAnsi="仿宋" w:eastAsia="仿宋" w:cs="Times New Roman"/>
          <w:b/>
          <w:bCs/>
          <w:kern w:val="2"/>
          <w:sz w:val="28"/>
          <w:szCs w:val="32"/>
          <w:lang w:val="en-US" w:eastAsia="zh-CN" w:bidi="ar-SA"/>
        </w:rPr>
        <w:t>（四）</w:t>
      </w:r>
      <w:bookmarkEnd w:id="3"/>
      <w:r>
        <w:rPr>
          <w:rFonts w:hint="eastAsia" w:ascii="仿宋" w:hAnsi="仿宋" w:eastAsia="仿宋" w:cs="Times New Roman"/>
          <w:b/>
          <w:bCs/>
          <w:kern w:val="2"/>
          <w:sz w:val="28"/>
          <w:szCs w:val="32"/>
          <w:lang w:val="en-US" w:eastAsia="zh-CN" w:bidi="ar-SA"/>
        </w:rPr>
        <w:t>总体样本描述</w:t>
      </w:r>
    </w:p>
    <w:p>
      <w:pPr>
        <w:tabs>
          <w:tab w:val="left" w:pos="1080"/>
        </w:tabs>
        <w:adjustRightInd w:val="0"/>
        <w:snapToGrid w:val="0"/>
        <w:spacing w:before="156" w:beforeLines="50" w:line="360" w:lineRule="auto"/>
        <w:jc w:val="left"/>
        <w:rPr>
          <w:rFonts w:ascii="仿宋" w:hAnsi="仿宋" w:eastAsia="仿宋" w:cs="Times New Roman"/>
          <w:b/>
          <w:sz w:val="28"/>
          <w:szCs w:val="28"/>
        </w:rPr>
      </w:pPr>
      <w:r>
        <w:rPr>
          <w:rFonts w:hint="eastAsia" w:ascii="仿宋" w:hAnsi="仿宋" w:eastAsia="仿宋" w:cs="Times New Roman"/>
          <w:b/>
          <w:sz w:val="28"/>
          <w:szCs w:val="28"/>
        </w:rPr>
        <w:t>1、性别</w:t>
      </w:r>
    </w:p>
    <w:p>
      <w:pPr>
        <w:bidi w:val="0"/>
      </w:pPr>
      <w:r>
        <w:rPr>
          <w:rFonts w:hint="eastAsia"/>
        </w:rPr>
        <w:t>本次调查的5</w:t>
      </w:r>
      <w:r>
        <w:t>3</w:t>
      </w:r>
      <w:r>
        <w:rPr>
          <w:rFonts w:hint="eastAsia"/>
        </w:rPr>
        <w:t>06位市民中，男性为2516名，占比47.42%；女性为</w:t>
      </w:r>
      <w:r>
        <w:t>27</w:t>
      </w:r>
      <w:r>
        <w:rPr>
          <w:rFonts w:hint="eastAsia"/>
        </w:rPr>
        <w:t>90，占比52.58%，具体如图5-</w:t>
      </w:r>
      <w:r>
        <w:t>1</w:t>
      </w:r>
      <w:r>
        <w:rPr>
          <w:rFonts w:hint="eastAsia"/>
        </w:rPr>
        <w:t>所示，男女性别比例接近1:1，性别比例均衡。</w:t>
      </w:r>
    </w:p>
    <w:p>
      <w:pPr>
        <w:tabs>
          <w:tab w:val="left" w:pos="1080"/>
        </w:tabs>
        <w:spacing w:line="360" w:lineRule="auto"/>
        <w:jc w:val="center"/>
        <w:rPr>
          <w:rFonts w:ascii="仿宋" w:hAnsi="仿宋" w:eastAsia="仿宋" w:cs="Times New Roman"/>
          <w:sz w:val="28"/>
          <w:szCs w:val="28"/>
        </w:rPr>
      </w:pPr>
      <w:r>
        <w:rPr>
          <w:rFonts w:ascii="等线" w:hAnsi="等线" w:eastAsia="等线" w:cs="Times New Roman"/>
          <w:szCs w:val="22"/>
        </w:rPr>
        <w:drawing>
          <wp:inline distT="0" distB="0" distL="114300" distR="114300">
            <wp:extent cx="4572000" cy="2743200"/>
            <wp:effectExtent l="4445" t="4445" r="14605" b="14605"/>
            <wp:docPr id="1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tabs>
          <w:tab w:val="left" w:pos="1080"/>
        </w:tabs>
        <w:spacing w:line="360" w:lineRule="auto"/>
        <w:jc w:val="center"/>
        <w:rPr>
          <w:rFonts w:ascii="仿宋" w:hAnsi="仿宋" w:eastAsia="仿宋" w:cs="Times New Roman"/>
          <w:b/>
          <w:sz w:val="24"/>
          <w:szCs w:val="28"/>
        </w:rPr>
      </w:pPr>
      <w:r>
        <w:rPr>
          <w:rFonts w:hint="eastAsia" w:ascii="仿宋" w:hAnsi="仿宋" w:eastAsia="仿宋" w:cs="Times New Roman"/>
          <w:b/>
          <w:sz w:val="24"/>
          <w:szCs w:val="28"/>
        </w:rPr>
        <w:t>图5-</w:t>
      </w:r>
      <w:r>
        <w:rPr>
          <w:rFonts w:ascii="仿宋" w:hAnsi="仿宋" w:eastAsia="仿宋" w:cs="Times New Roman"/>
          <w:b/>
          <w:sz w:val="24"/>
          <w:szCs w:val="28"/>
        </w:rPr>
        <w:t>1</w:t>
      </w:r>
      <w:r>
        <w:rPr>
          <w:rFonts w:hint="eastAsia" w:ascii="仿宋" w:hAnsi="仿宋" w:eastAsia="仿宋" w:cs="Times New Roman"/>
          <w:b/>
          <w:sz w:val="24"/>
          <w:szCs w:val="28"/>
        </w:rPr>
        <w:t>不同性别样本占比</w:t>
      </w:r>
    </w:p>
    <w:p>
      <w:pPr>
        <w:tabs>
          <w:tab w:val="left" w:pos="1080"/>
        </w:tabs>
        <w:adjustRightInd w:val="0"/>
        <w:snapToGrid w:val="0"/>
        <w:spacing w:before="156" w:beforeLines="50" w:line="360" w:lineRule="auto"/>
        <w:jc w:val="left"/>
        <w:rPr>
          <w:rFonts w:ascii="仿宋" w:hAnsi="仿宋" w:eastAsia="仿宋" w:cs="Times New Roman"/>
          <w:b/>
          <w:sz w:val="28"/>
          <w:szCs w:val="28"/>
        </w:rPr>
      </w:pPr>
      <w:r>
        <w:rPr>
          <w:rFonts w:ascii="仿宋" w:hAnsi="仿宋" w:eastAsia="仿宋" w:cs="Times New Roman"/>
          <w:b/>
          <w:sz w:val="28"/>
          <w:szCs w:val="28"/>
        </w:rPr>
        <w:t>2</w:t>
      </w:r>
      <w:r>
        <w:rPr>
          <w:rFonts w:hint="eastAsia" w:ascii="仿宋" w:hAnsi="仿宋" w:eastAsia="仿宋" w:cs="Times New Roman"/>
          <w:b/>
          <w:sz w:val="28"/>
          <w:szCs w:val="28"/>
        </w:rPr>
        <w:t>、年龄</w:t>
      </w:r>
    </w:p>
    <w:p>
      <w:pPr>
        <w:bidi w:val="0"/>
      </w:pPr>
      <w:r>
        <w:rPr>
          <w:rFonts w:hint="eastAsia"/>
        </w:rPr>
        <w:t>本次调查的市民中，26-45岁的青壮年所占比例最高，达到</w:t>
      </w:r>
      <w:r>
        <w:t>6</w:t>
      </w:r>
      <w:r>
        <w:rPr>
          <w:rFonts w:hint="eastAsia"/>
        </w:rPr>
        <w:t>5.3%，46-64岁的中老年占9.9%，老年（65岁及以上）约占</w:t>
      </w:r>
      <w:r>
        <w:t>2.</w:t>
      </w:r>
      <w:r>
        <w:rPr>
          <w:rFonts w:hint="eastAsia"/>
        </w:rPr>
        <w:t>6%，基本符合调查预期。</w:t>
      </w:r>
    </w:p>
    <w:p>
      <w:pPr>
        <w:tabs>
          <w:tab w:val="left" w:pos="1080"/>
        </w:tabs>
        <w:spacing w:line="360" w:lineRule="auto"/>
        <w:jc w:val="center"/>
        <w:rPr>
          <w:rFonts w:ascii="仿宋" w:hAnsi="仿宋" w:eastAsia="仿宋" w:cs="Times New Roman"/>
          <w:sz w:val="28"/>
          <w:szCs w:val="28"/>
        </w:rPr>
      </w:pPr>
      <w:r>
        <w:rPr>
          <w:rFonts w:ascii="等线" w:hAnsi="等线" w:eastAsia="等线" w:cs="Times New Roman"/>
          <w:szCs w:val="22"/>
        </w:rPr>
        <w:drawing>
          <wp:inline distT="0" distB="0" distL="114300" distR="114300">
            <wp:extent cx="4572000" cy="2743200"/>
            <wp:effectExtent l="4445" t="4445" r="14605" b="14605"/>
            <wp:docPr id="2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tabs>
          <w:tab w:val="left" w:pos="1080"/>
        </w:tabs>
        <w:spacing w:line="360" w:lineRule="auto"/>
        <w:jc w:val="center"/>
        <w:rPr>
          <w:rFonts w:ascii="仿宋" w:hAnsi="仿宋" w:eastAsia="仿宋" w:cs="Times New Roman"/>
          <w:sz w:val="28"/>
          <w:szCs w:val="28"/>
        </w:rPr>
      </w:pPr>
      <w:r>
        <w:rPr>
          <w:rFonts w:hint="eastAsia" w:ascii="仿宋" w:hAnsi="仿宋" w:eastAsia="仿宋" w:cs="Times New Roman"/>
          <w:b/>
          <w:sz w:val="24"/>
          <w:szCs w:val="28"/>
        </w:rPr>
        <w:t>图5-2不同年龄段样本占比</w:t>
      </w:r>
    </w:p>
    <w:p>
      <w:pPr>
        <w:tabs>
          <w:tab w:val="left" w:pos="1080"/>
        </w:tabs>
        <w:adjustRightInd w:val="0"/>
        <w:snapToGrid w:val="0"/>
        <w:spacing w:before="156" w:beforeLines="50" w:line="360" w:lineRule="auto"/>
        <w:ind w:firstLine="562" w:firstLineChars="200"/>
        <w:jc w:val="left"/>
        <w:rPr>
          <w:rFonts w:ascii="仿宋" w:hAnsi="仿宋" w:eastAsia="仿宋" w:cs="Times New Roman"/>
          <w:b/>
          <w:sz w:val="28"/>
          <w:szCs w:val="28"/>
        </w:rPr>
      </w:pPr>
      <w:r>
        <w:rPr>
          <w:rFonts w:ascii="仿宋" w:hAnsi="仿宋" w:eastAsia="仿宋" w:cs="Times New Roman"/>
          <w:b/>
          <w:sz w:val="28"/>
          <w:szCs w:val="28"/>
        </w:rPr>
        <w:t>3</w:t>
      </w:r>
      <w:r>
        <w:rPr>
          <w:rFonts w:hint="eastAsia" w:ascii="仿宋" w:hAnsi="仿宋" w:eastAsia="仿宋" w:cs="Times New Roman"/>
          <w:b/>
          <w:sz w:val="28"/>
          <w:szCs w:val="28"/>
        </w:rPr>
        <w:t>、学历</w:t>
      </w:r>
    </w:p>
    <w:p>
      <w:pPr>
        <w:bidi w:val="0"/>
      </w:pPr>
      <w:r>
        <w:rPr>
          <w:rFonts w:hint="eastAsia"/>
        </w:rPr>
        <w:t>受访市民学历结构中，高中同等学</w:t>
      </w:r>
      <w:r>
        <w:rPr>
          <w:rFonts w:hint="eastAsia"/>
          <w:lang w:eastAsia="zh-CN"/>
        </w:rPr>
        <w:t>力</w:t>
      </w:r>
      <w:bookmarkStart w:id="6" w:name="_GoBack"/>
      <w:bookmarkEnd w:id="6"/>
      <w:r>
        <w:rPr>
          <w:rFonts w:hint="eastAsia"/>
        </w:rPr>
        <w:t>及以下的市民占45.1%，大学专、本科学历占51.3%，硕士及以上占3.5%。</w:t>
      </w:r>
    </w:p>
    <w:p>
      <w:pPr>
        <w:tabs>
          <w:tab w:val="left" w:pos="1080"/>
        </w:tabs>
        <w:spacing w:line="360" w:lineRule="auto"/>
        <w:jc w:val="center"/>
        <w:rPr>
          <w:rFonts w:ascii="等线" w:hAnsi="等线" w:eastAsia="等线" w:cs="Times New Roman"/>
          <w:szCs w:val="22"/>
        </w:rPr>
      </w:pPr>
      <w:r>
        <w:rPr>
          <w:rFonts w:ascii="等线" w:hAnsi="等线" w:eastAsia="等线" w:cs="Times New Roman"/>
          <w:szCs w:val="22"/>
        </w:rPr>
        <w:drawing>
          <wp:inline distT="0" distB="0" distL="114300" distR="114300">
            <wp:extent cx="4572000" cy="2743200"/>
            <wp:effectExtent l="4445" t="4445" r="14605" b="14605"/>
            <wp:docPr id="3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tabs>
          <w:tab w:val="left" w:pos="1080"/>
        </w:tabs>
        <w:spacing w:line="360" w:lineRule="auto"/>
        <w:jc w:val="center"/>
        <w:rPr>
          <w:rFonts w:ascii="仿宋" w:hAnsi="仿宋" w:eastAsia="仿宋" w:cs="Times New Roman"/>
          <w:b/>
          <w:sz w:val="24"/>
          <w:szCs w:val="28"/>
        </w:rPr>
      </w:pPr>
      <w:r>
        <w:rPr>
          <w:rFonts w:hint="eastAsia" w:ascii="仿宋" w:hAnsi="仿宋" w:eastAsia="仿宋" w:cs="Times New Roman"/>
          <w:b/>
          <w:sz w:val="24"/>
          <w:szCs w:val="28"/>
        </w:rPr>
        <w:t>图5-3  不同学历占比</w:t>
      </w:r>
    </w:p>
    <w:p>
      <w:pPr>
        <w:tabs>
          <w:tab w:val="left" w:pos="1080"/>
        </w:tabs>
        <w:adjustRightInd w:val="0"/>
        <w:snapToGrid w:val="0"/>
        <w:spacing w:before="156" w:beforeLines="50" w:line="360" w:lineRule="auto"/>
        <w:ind w:firstLine="562" w:firstLineChars="200"/>
        <w:jc w:val="left"/>
        <w:rPr>
          <w:rFonts w:ascii="仿宋" w:hAnsi="仿宋" w:eastAsia="仿宋" w:cs="Times New Roman"/>
          <w:b/>
          <w:sz w:val="28"/>
          <w:szCs w:val="28"/>
        </w:rPr>
      </w:pPr>
      <w:r>
        <w:rPr>
          <w:rFonts w:hint="eastAsia" w:ascii="仿宋" w:hAnsi="仿宋" w:eastAsia="仿宋" w:cs="Times New Roman"/>
          <w:b/>
          <w:sz w:val="28"/>
          <w:szCs w:val="28"/>
          <w:lang w:val="en-US" w:eastAsia="zh-CN"/>
        </w:rPr>
        <w:t>4</w:t>
      </w:r>
      <w:r>
        <w:rPr>
          <w:rFonts w:hint="eastAsia" w:ascii="仿宋" w:hAnsi="仿宋" w:eastAsia="仿宋" w:cs="Times New Roman"/>
          <w:b/>
          <w:sz w:val="28"/>
          <w:szCs w:val="28"/>
        </w:rPr>
        <w:t>、户籍</w:t>
      </w:r>
    </w:p>
    <w:p>
      <w:pPr>
        <w:bidi w:val="0"/>
      </w:pPr>
      <w:r>
        <w:rPr>
          <w:rFonts w:hint="eastAsia"/>
        </w:rPr>
        <w:t>统计数据显示，市民中深户市民占36.</w:t>
      </w:r>
      <w:r>
        <w:rPr>
          <w:rFonts w:hint="eastAsia"/>
          <w:lang w:val="en-US" w:eastAsia="zh-CN"/>
        </w:rPr>
        <w:t>2</w:t>
      </w:r>
      <w:r>
        <w:rPr>
          <w:rFonts w:hint="eastAsia"/>
        </w:rPr>
        <w:t>%，非深户常住市民占</w:t>
      </w:r>
      <w:r>
        <w:t>6</w:t>
      </w:r>
      <w:r>
        <w:rPr>
          <w:rFonts w:hint="eastAsia"/>
        </w:rPr>
        <w:t>2.5%，基本符合深圳市人口特征，外国人</w:t>
      </w:r>
      <w:r>
        <w:t>1.</w:t>
      </w:r>
      <w:r>
        <w:rPr>
          <w:rFonts w:hint="eastAsia"/>
        </w:rPr>
        <w:t>3%符合调查预期。</w:t>
      </w:r>
    </w:p>
    <w:p>
      <w:pPr>
        <w:tabs>
          <w:tab w:val="left" w:pos="1080"/>
        </w:tabs>
        <w:spacing w:line="360" w:lineRule="auto"/>
        <w:jc w:val="center"/>
        <w:rPr>
          <w:rFonts w:ascii="等线" w:hAnsi="等线" w:eastAsia="等线" w:cs="Times New Roman"/>
          <w:szCs w:val="22"/>
        </w:rPr>
      </w:pPr>
      <w:r>
        <w:rPr>
          <w:rFonts w:ascii="等线" w:hAnsi="等线" w:eastAsia="等线" w:cs="Times New Roman"/>
          <w:szCs w:val="22"/>
        </w:rPr>
        <w:drawing>
          <wp:inline distT="0" distB="0" distL="114300" distR="114300">
            <wp:extent cx="4899025" cy="2558415"/>
            <wp:effectExtent l="4445" t="4445" r="11430" b="889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tabs>
          <w:tab w:val="left" w:pos="1080"/>
        </w:tabs>
        <w:spacing w:line="360" w:lineRule="auto"/>
        <w:jc w:val="center"/>
        <w:rPr>
          <w:rFonts w:ascii="仿宋" w:hAnsi="仿宋" w:eastAsia="仿宋" w:cs="Times New Roman"/>
          <w:b/>
          <w:sz w:val="24"/>
          <w:szCs w:val="28"/>
        </w:rPr>
      </w:pPr>
      <w:r>
        <w:rPr>
          <w:rFonts w:hint="eastAsia" w:ascii="仿宋" w:hAnsi="仿宋" w:eastAsia="仿宋" w:cs="Times New Roman"/>
          <w:b/>
          <w:sz w:val="24"/>
          <w:szCs w:val="28"/>
        </w:rPr>
        <w:t>图5-4 深户、非深户占比</w:t>
      </w:r>
    </w:p>
    <w:p>
      <w:pPr>
        <w:tabs>
          <w:tab w:val="left" w:pos="1080"/>
        </w:tabs>
        <w:adjustRightInd w:val="0"/>
        <w:snapToGrid w:val="0"/>
        <w:spacing w:before="156" w:beforeLines="50" w:line="360" w:lineRule="auto"/>
        <w:ind w:left="562"/>
        <w:jc w:val="left"/>
        <w:rPr>
          <w:rFonts w:ascii="仿宋" w:hAnsi="仿宋" w:eastAsia="仿宋" w:cs="Times New Roman"/>
          <w:b/>
          <w:sz w:val="28"/>
          <w:szCs w:val="28"/>
        </w:rPr>
      </w:pPr>
      <w:r>
        <w:rPr>
          <w:rFonts w:hint="eastAsia" w:ascii="仿宋" w:hAnsi="仿宋" w:eastAsia="仿宋" w:cs="Times New Roman"/>
          <w:b/>
          <w:sz w:val="28"/>
          <w:szCs w:val="28"/>
          <w:lang w:val="en-US" w:eastAsia="zh-CN"/>
        </w:rPr>
        <w:t>5</w:t>
      </w:r>
      <w:r>
        <w:rPr>
          <w:rFonts w:hint="eastAsia" w:ascii="仿宋" w:hAnsi="仿宋" w:eastAsia="仿宋" w:cs="Times New Roman"/>
          <w:b/>
          <w:sz w:val="28"/>
          <w:szCs w:val="28"/>
        </w:rPr>
        <w:t>、收入</w:t>
      </w:r>
    </w:p>
    <w:p>
      <w:pPr>
        <w:bidi w:val="0"/>
      </w:pPr>
      <w:r>
        <w:rPr>
          <w:rFonts w:hint="eastAsia"/>
        </w:rPr>
        <w:t>本次调查的市民中，3001-6000元所占比例最高，达到</w:t>
      </w:r>
      <w:r>
        <w:t>4</w:t>
      </w:r>
      <w:r>
        <w:rPr>
          <w:rFonts w:hint="eastAsia"/>
        </w:rPr>
        <w:t>3.4%，6000-10000占25.1%，10000-15000约占9.7%，15000以上的占比9.3%，基本符合调查预期。</w:t>
      </w:r>
    </w:p>
    <w:p>
      <w:pPr>
        <w:tabs>
          <w:tab w:val="left" w:pos="1080"/>
        </w:tabs>
        <w:spacing w:line="360" w:lineRule="auto"/>
        <w:jc w:val="center"/>
        <w:rPr>
          <w:rFonts w:ascii="仿宋" w:hAnsi="仿宋" w:eastAsia="仿宋" w:cs="Times New Roman"/>
          <w:b/>
          <w:sz w:val="24"/>
          <w:szCs w:val="28"/>
        </w:rPr>
      </w:pPr>
      <w:r>
        <w:rPr>
          <w:rFonts w:hint="eastAsia" w:ascii="仿宋" w:hAnsi="仿宋" w:eastAsia="仿宋" w:cs="Times New Roman"/>
          <w:b/>
          <w:sz w:val="24"/>
          <w:szCs w:val="28"/>
        </w:rPr>
        <w:drawing>
          <wp:inline distT="0" distB="0" distL="114300" distR="114300">
            <wp:extent cx="4572000" cy="2743200"/>
            <wp:effectExtent l="4445" t="4445" r="14605" b="14605"/>
            <wp:docPr id="4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tabs>
          <w:tab w:val="left" w:pos="1080"/>
        </w:tabs>
        <w:spacing w:line="360" w:lineRule="auto"/>
        <w:jc w:val="center"/>
        <w:rPr>
          <w:rFonts w:ascii="仿宋" w:hAnsi="仿宋" w:eastAsia="仿宋" w:cs="Times New Roman"/>
          <w:b/>
          <w:sz w:val="24"/>
          <w:szCs w:val="28"/>
        </w:rPr>
      </w:pPr>
      <w:r>
        <w:rPr>
          <w:rFonts w:hint="eastAsia" w:ascii="仿宋" w:hAnsi="仿宋" w:eastAsia="仿宋" w:cs="Times New Roman"/>
          <w:b/>
          <w:sz w:val="24"/>
          <w:szCs w:val="28"/>
        </w:rPr>
        <w:t>图5-5 各阶段收入占比</w:t>
      </w:r>
    </w:p>
    <w:p>
      <w:pPr>
        <w:tabs>
          <w:tab w:val="left" w:pos="1080"/>
        </w:tabs>
        <w:adjustRightInd w:val="0"/>
        <w:snapToGrid w:val="0"/>
        <w:spacing w:before="156" w:beforeLines="50" w:line="360" w:lineRule="auto"/>
        <w:ind w:left="562"/>
        <w:jc w:val="left"/>
        <w:rPr>
          <w:rFonts w:ascii="仿宋" w:hAnsi="仿宋" w:eastAsia="仿宋" w:cs="Times New Roman"/>
          <w:b/>
          <w:sz w:val="28"/>
          <w:szCs w:val="28"/>
        </w:rPr>
      </w:pPr>
      <w:r>
        <w:rPr>
          <w:rFonts w:hint="eastAsia" w:ascii="仿宋" w:hAnsi="仿宋" w:eastAsia="仿宋" w:cs="Times New Roman"/>
          <w:b/>
          <w:sz w:val="28"/>
          <w:szCs w:val="28"/>
          <w:lang w:val="en-US" w:eastAsia="zh-CN"/>
        </w:rPr>
        <w:t>6</w:t>
      </w:r>
      <w:r>
        <w:rPr>
          <w:rFonts w:hint="eastAsia" w:ascii="仿宋" w:hAnsi="仿宋" w:eastAsia="仿宋" w:cs="Times New Roman"/>
          <w:b/>
          <w:sz w:val="28"/>
          <w:szCs w:val="28"/>
        </w:rPr>
        <w:t>、样本代表性</w:t>
      </w:r>
    </w:p>
    <w:p>
      <w:pPr>
        <w:bidi w:val="0"/>
      </w:pPr>
      <w:r>
        <w:rPr>
          <w:rFonts w:hint="eastAsia"/>
        </w:rPr>
        <w:t>市民的人口特征及分布应该与真实人口数据基本相近，才能保证调查样本的代表性。将本次调查的人口特征分布状况与深圳市2010年第六次全国人口普查主要数据进行对比：</w:t>
      </w:r>
    </w:p>
    <w:tbl>
      <w:tblPr>
        <w:tblStyle w:val="2"/>
        <w:tblW w:w="874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2913"/>
        <w:gridCol w:w="29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13" w:type="dxa"/>
            <w:tcBorders>
              <w:tl2br w:val="nil"/>
              <w:tr2bl w:val="nil"/>
            </w:tcBorders>
            <w:shd w:val="clear" w:color="auto" w:fill="BFBFBF"/>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auto"/>
              <w:jc w:val="center"/>
              <w:textAlignment w:val="auto"/>
              <w:rPr>
                <w:rFonts w:ascii="仿宋" w:hAnsi="仿宋" w:eastAsia="仿宋" w:cs="Times New Roman"/>
                <w:b/>
                <w:bCs/>
                <w:sz w:val="21"/>
                <w:szCs w:val="21"/>
              </w:rPr>
            </w:pPr>
            <w:r>
              <w:rPr>
                <w:rFonts w:hint="eastAsia" w:ascii="仿宋" w:hAnsi="仿宋" w:eastAsia="仿宋" w:cs="Times New Roman"/>
                <w:b/>
                <w:bCs/>
                <w:sz w:val="21"/>
                <w:szCs w:val="21"/>
              </w:rPr>
              <w:t>人口特征</w:t>
            </w:r>
          </w:p>
        </w:tc>
        <w:tc>
          <w:tcPr>
            <w:tcW w:w="2913" w:type="dxa"/>
            <w:tcBorders>
              <w:tl2br w:val="nil"/>
              <w:tr2bl w:val="nil"/>
            </w:tcBorders>
            <w:shd w:val="clear" w:color="auto" w:fill="BFBFBF"/>
            <w:vAlign w:val="center"/>
          </w:tcPr>
          <w:p>
            <w:pPr>
              <w:keepNext w:val="0"/>
              <w:keepLines w:val="0"/>
              <w:pageBreakBefore w:val="0"/>
              <w:widowControl w:val="0"/>
              <w:tabs>
                <w:tab w:val="left" w:pos="1080"/>
              </w:tabs>
              <w:kinsoku/>
              <w:wordWrap/>
              <w:overflowPunct/>
              <w:topLinePunct w:val="0"/>
              <w:autoSpaceDE/>
              <w:autoSpaceDN/>
              <w:bidi w:val="0"/>
              <w:adjustRightInd/>
              <w:snapToGrid/>
              <w:spacing w:line="240" w:lineRule="auto"/>
              <w:jc w:val="center"/>
              <w:textAlignment w:val="auto"/>
              <w:rPr>
                <w:rFonts w:ascii="仿宋" w:hAnsi="仿宋" w:eastAsia="仿宋" w:cs="Times New Roman"/>
                <w:b/>
                <w:bCs/>
                <w:sz w:val="21"/>
                <w:szCs w:val="21"/>
              </w:rPr>
            </w:pPr>
            <w:r>
              <w:rPr>
                <w:rFonts w:hint="eastAsia" w:ascii="仿宋" w:hAnsi="仿宋" w:eastAsia="仿宋" w:cs="Times New Roman"/>
                <w:b/>
                <w:bCs/>
                <w:sz w:val="21"/>
                <w:szCs w:val="21"/>
              </w:rPr>
              <w:t>调查分布</w:t>
            </w:r>
          </w:p>
        </w:tc>
        <w:tc>
          <w:tcPr>
            <w:tcW w:w="2914" w:type="dxa"/>
            <w:tcBorders>
              <w:tl2br w:val="nil"/>
              <w:tr2bl w:val="nil"/>
            </w:tcBorders>
            <w:shd w:val="clear" w:color="auto" w:fill="BFBFBF"/>
            <w:vAlign w:val="center"/>
          </w:tcPr>
          <w:p>
            <w:pPr>
              <w:keepNext w:val="0"/>
              <w:keepLines w:val="0"/>
              <w:pageBreakBefore w:val="0"/>
              <w:widowControl w:val="0"/>
              <w:tabs>
                <w:tab w:val="left" w:pos="1080"/>
              </w:tabs>
              <w:kinsoku/>
              <w:wordWrap/>
              <w:overflowPunct/>
              <w:topLinePunct w:val="0"/>
              <w:autoSpaceDE/>
              <w:autoSpaceDN/>
              <w:bidi w:val="0"/>
              <w:adjustRightInd/>
              <w:snapToGrid/>
              <w:spacing w:line="240" w:lineRule="auto"/>
              <w:jc w:val="center"/>
              <w:textAlignment w:val="auto"/>
              <w:rPr>
                <w:rFonts w:ascii="仿宋" w:hAnsi="仿宋" w:eastAsia="仿宋" w:cs="Times New Roman"/>
                <w:b/>
                <w:bCs/>
                <w:sz w:val="21"/>
                <w:szCs w:val="21"/>
              </w:rPr>
            </w:pPr>
            <w:r>
              <w:rPr>
                <w:rFonts w:hint="eastAsia" w:ascii="仿宋" w:hAnsi="仿宋" w:eastAsia="仿宋" w:cs="Times New Roman"/>
                <w:b/>
                <w:bCs/>
                <w:sz w:val="21"/>
                <w:szCs w:val="21"/>
              </w:rPr>
              <w:t>人口普查分布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913" w:type="dxa"/>
            <w:tcBorders>
              <w:tl2br w:val="nil"/>
              <w:tr2bl w:val="nil"/>
            </w:tcBorders>
            <w:shd w:val="clear" w:color="auto" w:fill="FFFFFF"/>
            <w:vAlign w:val="center"/>
          </w:tcPr>
          <w:p>
            <w:pPr>
              <w:keepNext w:val="0"/>
              <w:keepLines w:val="0"/>
              <w:pageBreakBefore w:val="0"/>
              <w:widowControl w:val="0"/>
              <w:tabs>
                <w:tab w:val="left" w:pos="1080"/>
              </w:tabs>
              <w:kinsoku/>
              <w:wordWrap/>
              <w:overflowPunct/>
              <w:topLinePunct w:val="0"/>
              <w:autoSpaceDE/>
              <w:autoSpaceDN/>
              <w:bidi w:val="0"/>
              <w:adjustRightInd/>
              <w:snapToGrid/>
              <w:spacing w:line="240" w:lineRule="auto"/>
              <w:jc w:val="center"/>
              <w:textAlignment w:val="auto"/>
              <w:rPr>
                <w:rFonts w:ascii="仿宋" w:hAnsi="仿宋" w:eastAsia="仿宋" w:cs="Times New Roman"/>
                <w:b/>
                <w:bCs/>
                <w:sz w:val="21"/>
                <w:szCs w:val="21"/>
              </w:rPr>
            </w:pPr>
            <w:r>
              <w:rPr>
                <w:rFonts w:hint="eastAsia" w:ascii="仿宋" w:hAnsi="仿宋" w:eastAsia="仿宋" w:cs="Times New Roman"/>
                <w:b/>
                <w:bCs/>
                <w:sz w:val="21"/>
                <w:szCs w:val="21"/>
              </w:rPr>
              <w:t>男女性别比例</w:t>
            </w:r>
          </w:p>
        </w:tc>
        <w:tc>
          <w:tcPr>
            <w:tcW w:w="2913" w:type="dxa"/>
            <w:tcBorders>
              <w:tl2br w:val="nil"/>
              <w:tr2bl w:val="nil"/>
            </w:tcBorders>
            <w:shd w:val="clear" w:color="auto" w:fill="FFFFFF"/>
            <w:vAlign w:val="center"/>
          </w:tcPr>
          <w:p>
            <w:pPr>
              <w:keepNext w:val="0"/>
              <w:keepLines w:val="0"/>
              <w:pageBreakBefore w:val="0"/>
              <w:widowControl w:val="0"/>
              <w:tabs>
                <w:tab w:val="left" w:pos="1080"/>
              </w:tabs>
              <w:kinsoku/>
              <w:wordWrap/>
              <w:overflowPunct/>
              <w:topLinePunct w:val="0"/>
              <w:autoSpaceDE/>
              <w:autoSpaceDN/>
              <w:bidi w:val="0"/>
              <w:adjustRightInd/>
              <w:snapToGrid/>
              <w:spacing w:line="240" w:lineRule="auto"/>
              <w:jc w:val="center"/>
              <w:textAlignment w:val="auto"/>
              <w:rPr>
                <w:rFonts w:ascii="仿宋" w:hAnsi="仿宋" w:eastAsia="仿宋" w:cs="Times New Roman"/>
                <w:sz w:val="21"/>
                <w:szCs w:val="21"/>
              </w:rPr>
            </w:pPr>
            <w:r>
              <w:rPr>
                <w:rFonts w:hint="eastAsia" w:ascii="仿宋" w:hAnsi="仿宋" w:eastAsia="仿宋" w:cs="Times New Roman"/>
                <w:sz w:val="21"/>
                <w:szCs w:val="21"/>
              </w:rPr>
              <w:t>47.42%：52.58%</w:t>
            </w:r>
          </w:p>
        </w:tc>
        <w:tc>
          <w:tcPr>
            <w:tcW w:w="2914" w:type="dxa"/>
            <w:tcBorders>
              <w:tl2br w:val="nil"/>
              <w:tr2bl w:val="nil"/>
            </w:tcBorders>
            <w:shd w:val="clear" w:color="auto" w:fill="FFFFFF"/>
            <w:vAlign w:val="center"/>
          </w:tcPr>
          <w:p>
            <w:pPr>
              <w:keepNext w:val="0"/>
              <w:keepLines w:val="0"/>
              <w:pageBreakBefore w:val="0"/>
              <w:widowControl w:val="0"/>
              <w:tabs>
                <w:tab w:val="left" w:pos="1080"/>
              </w:tabs>
              <w:kinsoku/>
              <w:wordWrap/>
              <w:overflowPunct/>
              <w:topLinePunct w:val="0"/>
              <w:autoSpaceDE/>
              <w:autoSpaceDN/>
              <w:bidi w:val="0"/>
              <w:adjustRightInd/>
              <w:snapToGrid/>
              <w:spacing w:line="240" w:lineRule="auto"/>
              <w:jc w:val="center"/>
              <w:textAlignment w:val="auto"/>
              <w:rPr>
                <w:rFonts w:ascii="仿宋" w:hAnsi="仿宋" w:eastAsia="仿宋" w:cs="Times New Roman"/>
                <w:sz w:val="21"/>
                <w:szCs w:val="21"/>
              </w:rPr>
            </w:pPr>
            <w:r>
              <w:rPr>
                <w:rFonts w:hint="eastAsia" w:ascii="仿宋" w:hAnsi="仿宋" w:eastAsia="仿宋" w:cs="Times New Roman"/>
                <w:sz w:val="21"/>
                <w:szCs w:val="21"/>
              </w:rPr>
              <w:t>54.2%：45.8%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913" w:type="dxa"/>
            <w:tcBorders>
              <w:tl2br w:val="nil"/>
              <w:tr2bl w:val="nil"/>
            </w:tcBorders>
            <w:shd w:val="clear" w:color="auto" w:fill="FFFFFF"/>
            <w:vAlign w:val="center"/>
          </w:tcPr>
          <w:p>
            <w:pPr>
              <w:keepNext w:val="0"/>
              <w:keepLines w:val="0"/>
              <w:pageBreakBefore w:val="0"/>
              <w:widowControl w:val="0"/>
              <w:tabs>
                <w:tab w:val="left" w:pos="1080"/>
              </w:tabs>
              <w:kinsoku/>
              <w:wordWrap/>
              <w:overflowPunct/>
              <w:topLinePunct w:val="0"/>
              <w:autoSpaceDE/>
              <w:autoSpaceDN/>
              <w:bidi w:val="0"/>
              <w:adjustRightInd/>
              <w:snapToGrid/>
              <w:spacing w:line="240" w:lineRule="auto"/>
              <w:jc w:val="center"/>
              <w:textAlignment w:val="auto"/>
              <w:rPr>
                <w:rFonts w:ascii="仿宋" w:hAnsi="仿宋" w:eastAsia="仿宋" w:cs="Times New Roman"/>
                <w:b/>
                <w:bCs/>
                <w:sz w:val="21"/>
                <w:szCs w:val="21"/>
              </w:rPr>
            </w:pPr>
            <w:r>
              <w:rPr>
                <w:rFonts w:hint="eastAsia" w:ascii="仿宋" w:hAnsi="仿宋" w:eastAsia="仿宋" w:cs="Times New Roman"/>
                <w:b/>
                <w:bCs/>
                <w:sz w:val="21"/>
                <w:szCs w:val="21"/>
              </w:rPr>
              <w:t>年龄构成</w:t>
            </w:r>
          </w:p>
        </w:tc>
        <w:tc>
          <w:tcPr>
            <w:tcW w:w="2913" w:type="dxa"/>
            <w:tcBorders>
              <w:tl2br w:val="nil"/>
              <w:tr2bl w:val="nil"/>
            </w:tcBorders>
            <w:shd w:val="clear" w:color="auto" w:fill="FFFFFF"/>
            <w:vAlign w:val="center"/>
          </w:tcPr>
          <w:p>
            <w:pPr>
              <w:keepNext w:val="0"/>
              <w:keepLines w:val="0"/>
              <w:pageBreakBefore w:val="0"/>
              <w:widowControl w:val="0"/>
              <w:tabs>
                <w:tab w:val="left" w:pos="1080"/>
              </w:tabs>
              <w:kinsoku/>
              <w:wordWrap/>
              <w:overflowPunct/>
              <w:topLinePunct w:val="0"/>
              <w:autoSpaceDE/>
              <w:autoSpaceDN/>
              <w:bidi w:val="0"/>
              <w:adjustRightInd/>
              <w:snapToGrid/>
              <w:spacing w:line="240" w:lineRule="auto"/>
              <w:jc w:val="center"/>
              <w:textAlignment w:val="auto"/>
              <w:rPr>
                <w:rFonts w:ascii="仿宋" w:hAnsi="仿宋" w:eastAsia="仿宋" w:cs="Times New Roman"/>
                <w:sz w:val="21"/>
                <w:szCs w:val="21"/>
              </w:rPr>
            </w:pPr>
            <w:r>
              <w:rPr>
                <w:rFonts w:hint="eastAsia" w:ascii="仿宋" w:hAnsi="仿宋" w:eastAsia="仿宋" w:cs="Times New Roman"/>
                <w:sz w:val="21"/>
                <w:szCs w:val="21"/>
              </w:rPr>
              <w:t>26-64岁87</w:t>
            </w:r>
            <w:r>
              <w:rPr>
                <w:rFonts w:ascii="仿宋" w:hAnsi="仿宋" w:eastAsia="仿宋" w:cs="Times New Roman"/>
                <w:sz w:val="21"/>
                <w:szCs w:val="21"/>
              </w:rPr>
              <w:t>%</w:t>
            </w:r>
          </w:p>
        </w:tc>
        <w:tc>
          <w:tcPr>
            <w:tcW w:w="2914" w:type="dxa"/>
            <w:tcBorders>
              <w:tl2br w:val="nil"/>
              <w:tr2bl w:val="nil"/>
            </w:tcBorders>
            <w:shd w:val="clear" w:color="auto" w:fill="FFFFFF"/>
            <w:vAlign w:val="center"/>
          </w:tcPr>
          <w:p>
            <w:pPr>
              <w:keepNext w:val="0"/>
              <w:keepLines w:val="0"/>
              <w:pageBreakBefore w:val="0"/>
              <w:widowControl w:val="0"/>
              <w:tabs>
                <w:tab w:val="left" w:pos="1080"/>
              </w:tabs>
              <w:kinsoku/>
              <w:wordWrap/>
              <w:overflowPunct/>
              <w:topLinePunct w:val="0"/>
              <w:autoSpaceDE/>
              <w:autoSpaceDN/>
              <w:bidi w:val="0"/>
              <w:adjustRightInd/>
              <w:snapToGrid/>
              <w:spacing w:line="240" w:lineRule="auto"/>
              <w:jc w:val="center"/>
              <w:textAlignment w:val="auto"/>
              <w:rPr>
                <w:rFonts w:ascii="仿宋" w:hAnsi="仿宋" w:eastAsia="仿宋" w:cs="Times New Roman"/>
                <w:sz w:val="21"/>
                <w:szCs w:val="21"/>
              </w:rPr>
            </w:pPr>
            <w:r>
              <w:rPr>
                <w:rFonts w:hint="eastAsia" w:ascii="仿宋" w:hAnsi="仿宋" w:eastAsia="仿宋" w:cs="Times New Roman"/>
                <w:sz w:val="21"/>
                <w:szCs w:val="21"/>
              </w:rPr>
              <w:t>15-64岁占88.4%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913" w:type="dxa"/>
            <w:tcBorders>
              <w:tl2br w:val="nil"/>
              <w:tr2bl w:val="nil"/>
            </w:tcBorders>
            <w:shd w:val="clear" w:color="auto" w:fill="FFFFFF"/>
            <w:vAlign w:val="center"/>
          </w:tcPr>
          <w:p>
            <w:pPr>
              <w:keepNext w:val="0"/>
              <w:keepLines w:val="0"/>
              <w:pageBreakBefore w:val="0"/>
              <w:widowControl w:val="0"/>
              <w:tabs>
                <w:tab w:val="left" w:pos="1080"/>
              </w:tabs>
              <w:kinsoku/>
              <w:wordWrap/>
              <w:overflowPunct/>
              <w:topLinePunct w:val="0"/>
              <w:autoSpaceDE/>
              <w:autoSpaceDN/>
              <w:bidi w:val="0"/>
              <w:adjustRightInd/>
              <w:snapToGrid/>
              <w:spacing w:line="240" w:lineRule="auto"/>
              <w:jc w:val="center"/>
              <w:textAlignment w:val="auto"/>
              <w:rPr>
                <w:rFonts w:ascii="仿宋" w:hAnsi="仿宋" w:eastAsia="仿宋" w:cs="Times New Roman"/>
                <w:b/>
                <w:bCs/>
                <w:sz w:val="21"/>
                <w:szCs w:val="21"/>
              </w:rPr>
            </w:pPr>
            <w:r>
              <w:rPr>
                <w:rFonts w:hint="eastAsia" w:ascii="仿宋" w:hAnsi="仿宋" w:eastAsia="仿宋" w:cs="Times New Roman"/>
                <w:b/>
                <w:bCs/>
                <w:sz w:val="21"/>
                <w:szCs w:val="21"/>
              </w:rPr>
              <w:t>学历</w:t>
            </w:r>
          </w:p>
        </w:tc>
        <w:tc>
          <w:tcPr>
            <w:tcW w:w="2913" w:type="dxa"/>
            <w:tcBorders>
              <w:tl2br w:val="nil"/>
              <w:tr2bl w:val="nil"/>
            </w:tcBorders>
            <w:shd w:val="clear" w:color="auto" w:fill="FFFFFF"/>
            <w:vAlign w:val="center"/>
          </w:tcPr>
          <w:p>
            <w:pPr>
              <w:keepNext w:val="0"/>
              <w:keepLines w:val="0"/>
              <w:pageBreakBefore w:val="0"/>
              <w:widowControl w:val="0"/>
              <w:tabs>
                <w:tab w:val="left" w:pos="1080"/>
              </w:tabs>
              <w:kinsoku/>
              <w:wordWrap/>
              <w:overflowPunct/>
              <w:topLinePunct w:val="0"/>
              <w:autoSpaceDE/>
              <w:autoSpaceDN/>
              <w:bidi w:val="0"/>
              <w:adjustRightInd/>
              <w:snapToGrid/>
              <w:spacing w:line="240" w:lineRule="auto"/>
              <w:jc w:val="center"/>
              <w:textAlignment w:val="auto"/>
              <w:rPr>
                <w:rFonts w:ascii="仿宋" w:hAnsi="仿宋" w:eastAsia="仿宋" w:cs="Times New Roman"/>
                <w:sz w:val="21"/>
                <w:szCs w:val="21"/>
              </w:rPr>
            </w:pPr>
            <w:r>
              <w:rPr>
                <w:rFonts w:hint="eastAsia" w:ascii="仿宋" w:hAnsi="仿宋" w:eastAsia="仿宋" w:cs="Times New Roman"/>
                <w:sz w:val="21"/>
                <w:szCs w:val="21"/>
              </w:rPr>
              <w:t>大学学历以上54.8%</w:t>
            </w:r>
          </w:p>
        </w:tc>
        <w:tc>
          <w:tcPr>
            <w:tcW w:w="2914" w:type="dxa"/>
            <w:tcBorders>
              <w:tl2br w:val="nil"/>
              <w:tr2bl w:val="nil"/>
            </w:tcBorders>
            <w:shd w:val="clear" w:color="auto" w:fill="FFFFFF"/>
            <w:vAlign w:val="center"/>
          </w:tcPr>
          <w:p>
            <w:pPr>
              <w:keepNext w:val="0"/>
              <w:keepLines w:val="0"/>
              <w:pageBreakBefore w:val="0"/>
              <w:widowControl w:val="0"/>
              <w:tabs>
                <w:tab w:val="left" w:pos="1080"/>
              </w:tabs>
              <w:kinsoku/>
              <w:wordWrap/>
              <w:overflowPunct/>
              <w:topLinePunct w:val="0"/>
              <w:autoSpaceDE/>
              <w:autoSpaceDN/>
              <w:bidi w:val="0"/>
              <w:adjustRightInd/>
              <w:snapToGrid/>
              <w:spacing w:line="240" w:lineRule="auto"/>
              <w:jc w:val="center"/>
              <w:textAlignment w:val="auto"/>
              <w:rPr>
                <w:rFonts w:ascii="仿宋" w:hAnsi="仿宋" w:eastAsia="仿宋" w:cs="Times New Roman"/>
                <w:sz w:val="21"/>
                <w:szCs w:val="21"/>
              </w:rPr>
            </w:pPr>
            <w:r>
              <w:rPr>
                <w:rFonts w:hint="eastAsia" w:ascii="仿宋" w:hAnsi="仿宋" w:eastAsia="仿宋" w:cs="Times New Roman"/>
                <w:sz w:val="21"/>
                <w:szCs w:val="21"/>
              </w:rPr>
              <w:t>大学学历以上17%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913" w:type="dxa"/>
            <w:tcBorders>
              <w:tl2br w:val="nil"/>
              <w:tr2bl w:val="nil"/>
            </w:tcBorders>
            <w:shd w:val="clear" w:color="auto" w:fill="FFFFFF"/>
            <w:vAlign w:val="center"/>
          </w:tcPr>
          <w:p>
            <w:pPr>
              <w:keepNext w:val="0"/>
              <w:keepLines w:val="0"/>
              <w:pageBreakBefore w:val="0"/>
              <w:widowControl w:val="0"/>
              <w:tabs>
                <w:tab w:val="left" w:pos="1080"/>
              </w:tabs>
              <w:kinsoku/>
              <w:wordWrap/>
              <w:overflowPunct/>
              <w:topLinePunct w:val="0"/>
              <w:autoSpaceDE/>
              <w:autoSpaceDN/>
              <w:bidi w:val="0"/>
              <w:adjustRightInd/>
              <w:snapToGrid/>
              <w:spacing w:line="240" w:lineRule="auto"/>
              <w:jc w:val="center"/>
              <w:textAlignment w:val="auto"/>
              <w:rPr>
                <w:rFonts w:ascii="仿宋" w:hAnsi="仿宋" w:eastAsia="仿宋" w:cs="Times New Roman"/>
                <w:b/>
                <w:bCs/>
                <w:sz w:val="21"/>
                <w:szCs w:val="21"/>
              </w:rPr>
            </w:pPr>
            <w:r>
              <w:rPr>
                <w:rFonts w:hint="eastAsia" w:ascii="仿宋" w:hAnsi="仿宋" w:eastAsia="仿宋" w:cs="Times New Roman"/>
                <w:b/>
                <w:bCs/>
                <w:sz w:val="21"/>
                <w:szCs w:val="21"/>
              </w:rPr>
              <w:t>户籍</w:t>
            </w:r>
          </w:p>
        </w:tc>
        <w:tc>
          <w:tcPr>
            <w:tcW w:w="2913" w:type="dxa"/>
            <w:tcBorders>
              <w:tl2br w:val="nil"/>
              <w:tr2bl w:val="nil"/>
            </w:tcBorders>
            <w:shd w:val="clear" w:color="auto" w:fill="FFFFFF"/>
            <w:vAlign w:val="center"/>
          </w:tcPr>
          <w:p>
            <w:pPr>
              <w:keepNext w:val="0"/>
              <w:keepLines w:val="0"/>
              <w:pageBreakBefore w:val="0"/>
              <w:widowControl w:val="0"/>
              <w:tabs>
                <w:tab w:val="left" w:pos="1080"/>
              </w:tabs>
              <w:kinsoku/>
              <w:wordWrap/>
              <w:overflowPunct/>
              <w:topLinePunct w:val="0"/>
              <w:autoSpaceDE/>
              <w:autoSpaceDN/>
              <w:bidi w:val="0"/>
              <w:adjustRightInd/>
              <w:snapToGrid/>
              <w:spacing w:line="240" w:lineRule="auto"/>
              <w:jc w:val="center"/>
              <w:textAlignment w:val="auto"/>
              <w:rPr>
                <w:rFonts w:ascii="仿宋" w:hAnsi="仿宋" w:eastAsia="仿宋" w:cs="Times New Roman"/>
                <w:sz w:val="21"/>
                <w:szCs w:val="21"/>
              </w:rPr>
            </w:pPr>
            <w:r>
              <w:rPr>
                <w:rFonts w:hint="eastAsia" w:ascii="仿宋" w:hAnsi="仿宋" w:eastAsia="仿宋" w:cs="Times New Roman"/>
                <w:sz w:val="21"/>
                <w:szCs w:val="21"/>
              </w:rPr>
              <w:t>深户</w:t>
            </w:r>
            <w:r>
              <w:rPr>
                <w:rFonts w:ascii="仿宋" w:hAnsi="仿宋" w:eastAsia="仿宋" w:cs="Times New Roman"/>
                <w:sz w:val="21"/>
                <w:szCs w:val="21"/>
              </w:rPr>
              <w:t>3</w:t>
            </w:r>
            <w:r>
              <w:rPr>
                <w:rFonts w:hint="eastAsia" w:ascii="仿宋" w:hAnsi="仿宋" w:eastAsia="仿宋" w:cs="Times New Roman"/>
                <w:sz w:val="21"/>
                <w:szCs w:val="21"/>
              </w:rPr>
              <w:t>6.1%，非深户63.9%</w:t>
            </w:r>
          </w:p>
        </w:tc>
        <w:tc>
          <w:tcPr>
            <w:tcW w:w="2914" w:type="dxa"/>
            <w:tcBorders>
              <w:tl2br w:val="nil"/>
              <w:tr2bl w:val="nil"/>
            </w:tcBorders>
            <w:shd w:val="clear" w:color="auto" w:fill="FFFFFF"/>
            <w:vAlign w:val="center"/>
          </w:tcPr>
          <w:p>
            <w:pPr>
              <w:keepNext w:val="0"/>
              <w:keepLines w:val="0"/>
              <w:pageBreakBefore w:val="0"/>
              <w:widowControl w:val="0"/>
              <w:tabs>
                <w:tab w:val="left" w:pos="1080"/>
              </w:tabs>
              <w:kinsoku/>
              <w:wordWrap/>
              <w:overflowPunct/>
              <w:topLinePunct w:val="0"/>
              <w:autoSpaceDE/>
              <w:autoSpaceDN/>
              <w:bidi w:val="0"/>
              <w:adjustRightInd/>
              <w:snapToGrid/>
              <w:spacing w:line="240" w:lineRule="auto"/>
              <w:jc w:val="center"/>
              <w:textAlignment w:val="auto"/>
              <w:rPr>
                <w:rFonts w:ascii="仿宋" w:hAnsi="仿宋" w:eastAsia="仿宋" w:cs="Times New Roman"/>
                <w:sz w:val="21"/>
                <w:szCs w:val="21"/>
              </w:rPr>
            </w:pPr>
            <w:r>
              <w:rPr>
                <w:rFonts w:hint="eastAsia" w:ascii="仿宋" w:hAnsi="仿宋" w:eastAsia="仿宋" w:cs="Times New Roman"/>
                <w:sz w:val="21"/>
                <w:szCs w:val="21"/>
              </w:rPr>
              <w:t>深户23%，非深户77%</w:t>
            </w:r>
          </w:p>
        </w:tc>
      </w:tr>
    </w:tbl>
    <w:p>
      <w:pPr>
        <w:bidi w:val="0"/>
      </w:pPr>
      <w:r>
        <w:rPr>
          <w:rFonts w:hint="eastAsia"/>
        </w:rPr>
        <w:t>数据对比发现，本次调查的人口分布在性别比例、年龄构成、户籍等方面与2010年人口普查数据的误差均在可以接受的范围，学历分布存在一定的偏差，主要原因在于本次调查的内容较为专业，需要一定的认知能力，所以在受访对象方面进行一定程度的调整。</w:t>
      </w:r>
    </w:p>
    <w:p>
      <w:pPr>
        <w:bidi w:val="0"/>
        <w:rPr>
          <w:rFonts w:hint="eastAsia"/>
        </w:rPr>
      </w:pPr>
      <w:r>
        <w:rPr>
          <w:rFonts w:hint="eastAsia"/>
        </w:rPr>
        <w:t>总体而言，本次调查对象的人口特征分布符合深圳市真实的人口特征状态，本次调查的样本具有足够的代表性。</w:t>
      </w: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0"/>
        <w:rPr>
          <w:rFonts w:hint="eastAsia" w:ascii="仿宋" w:hAnsi="仿宋" w:eastAsia="仿宋" w:cs="Times New Roman"/>
          <w:b/>
          <w:bCs/>
          <w:kern w:val="44"/>
          <w:sz w:val="28"/>
          <w:szCs w:val="44"/>
          <w:lang w:val="en-US" w:eastAsia="zh-CN" w:bidi="ar-SA"/>
        </w:rPr>
      </w:pPr>
      <w:bookmarkStart w:id="4" w:name="_Toc24668519"/>
      <w:r>
        <w:rPr>
          <w:rFonts w:hint="eastAsia" w:ascii="仿宋" w:hAnsi="仿宋" w:eastAsia="仿宋" w:cs="Times New Roman"/>
          <w:b/>
          <w:bCs/>
          <w:kern w:val="44"/>
          <w:sz w:val="28"/>
          <w:szCs w:val="44"/>
          <w:lang w:val="en-US" w:eastAsia="zh-CN" w:bidi="ar-SA"/>
        </w:rPr>
        <w:t>二、</w:t>
      </w:r>
      <w:bookmarkEnd w:id="4"/>
      <w:r>
        <w:rPr>
          <w:rFonts w:hint="eastAsia" w:ascii="仿宋" w:hAnsi="仿宋" w:eastAsia="仿宋" w:cs="Times New Roman"/>
          <w:b/>
          <w:bCs/>
          <w:kern w:val="44"/>
          <w:sz w:val="28"/>
          <w:szCs w:val="44"/>
          <w:lang w:val="en-US" w:eastAsia="zh-CN" w:bidi="ar-SA"/>
        </w:rPr>
        <w:t>深圳宜居总体满意度</w:t>
      </w: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ascii="仿宋" w:hAnsi="仿宋" w:eastAsia="仿宋" w:cs="Times New Roman"/>
          <w:b/>
          <w:bCs/>
          <w:kern w:val="2"/>
          <w:sz w:val="28"/>
          <w:szCs w:val="32"/>
          <w:lang w:val="en-US" w:eastAsia="zh-CN" w:bidi="ar-SA"/>
        </w:rPr>
      </w:pPr>
      <w:bookmarkStart w:id="5" w:name="_Toc24668520"/>
      <w:r>
        <w:rPr>
          <w:rFonts w:hint="eastAsia" w:ascii="仿宋" w:hAnsi="仿宋" w:eastAsia="仿宋" w:cs="Times New Roman"/>
          <w:b/>
          <w:bCs/>
          <w:kern w:val="2"/>
          <w:sz w:val="28"/>
          <w:szCs w:val="32"/>
          <w:lang w:val="en-US" w:eastAsia="zh-CN" w:bidi="ar-SA"/>
        </w:rPr>
        <w:t>（一）宜居城市总体满意度</w:t>
      </w:r>
      <w:bookmarkEnd w:id="5"/>
    </w:p>
    <w:p>
      <w:pPr>
        <w:bidi w:val="0"/>
      </w:pPr>
      <w:r>
        <w:rPr>
          <w:rFonts w:hint="eastAsia"/>
        </w:rPr>
        <w:t>通过对调查问卷中“您认为宜居城市最重要的因素有哪些？”这一问题的统计，得到市民对</w:t>
      </w:r>
      <w:r>
        <w:rPr>
          <w:rFonts w:hint="eastAsia"/>
          <w:lang w:val="en-US" w:eastAsia="zh-CN"/>
        </w:rPr>
        <w:t>9大项、</w:t>
      </w:r>
      <w:r>
        <w:rPr>
          <w:rFonts w:hint="eastAsia"/>
        </w:rPr>
        <w:t>14</w:t>
      </w:r>
      <w:r>
        <w:rPr>
          <w:rFonts w:hint="eastAsia"/>
          <w:lang w:val="en-US" w:eastAsia="zh-CN"/>
        </w:rPr>
        <w:t>类细分</w:t>
      </w:r>
      <w:r>
        <w:t>项</w:t>
      </w:r>
      <w:r>
        <w:rPr>
          <w:rFonts w:hint="eastAsia"/>
        </w:rPr>
        <w:t>宜居</w:t>
      </w:r>
      <w:r>
        <w:t>因素的</w:t>
      </w:r>
      <w:r>
        <w:rPr>
          <w:rFonts w:hint="eastAsia"/>
        </w:rPr>
        <w:t>关注度</w:t>
      </w:r>
      <w:r>
        <w:t>，</w:t>
      </w:r>
      <w:r>
        <w:rPr>
          <w:rFonts w:hint="eastAsia"/>
        </w:rPr>
        <w:t>并</w:t>
      </w:r>
      <w:r>
        <w:t>以此作为权重；各宜居</w:t>
      </w:r>
      <w:r>
        <w:rPr>
          <w:rFonts w:hint="eastAsia"/>
        </w:rPr>
        <w:t>指标</w:t>
      </w:r>
      <w:r>
        <w:t>的满意度则由调研问卷中的“</w:t>
      </w:r>
      <w:r>
        <w:rPr>
          <w:rFonts w:hint="eastAsia"/>
          <w:lang w:val="en-US" w:eastAsia="zh-CN"/>
        </w:rPr>
        <w:t>非常同意</w:t>
      </w:r>
      <w:r>
        <w:t>”</w:t>
      </w:r>
      <w:r>
        <w:rPr>
          <w:rFonts w:hint="eastAsia"/>
        </w:rPr>
        <w:t>、“</w:t>
      </w:r>
      <w:r>
        <w:rPr>
          <w:rFonts w:hint="eastAsia"/>
          <w:lang w:val="en-US" w:eastAsia="zh-CN"/>
        </w:rPr>
        <w:t>比较同意</w:t>
      </w:r>
      <w:r>
        <w:rPr>
          <w:rFonts w:hint="eastAsia"/>
        </w:rPr>
        <w:t>”</w:t>
      </w:r>
      <w:r>
        <w:rPr>
          <w:rFonts w:hint="eastAsia"/>
          <w:lang w:val="en-US" w:eastAsia="zh-CN"/>
        </w:rPr>
        <w:t>和“一般”三</w:t>
      </w:r>
      <w:r>
        <w:t>项指标占调研总数的比重获得；</w:t>
      </w:r>
      <w:r>
        <w:rPr>
          <w:rFonts w:hint="eastAsia"/>
          <w:lang w:val="en-US" w:eastAsia="zh-CN"/>
        </w:rPr>
        <w:t>将“非常同意”作为“满意”，“比较同意”和“一般”作为“基本满意”进行满意度的运算。</w:t>
      </w:r>
      <w:r>
        <w:t>深圳市宜居城市总体满意度由各分项权重与各分项满意度进行综合运算后得出，结果如表2-1所示。20</w:t>
      </w:r>
      <w:r>
        <w:rPr>
          <w:rFonts w:hint="eastAsia"/>
        </w:rPr>
        <w:t>20</w:t>
      </w:r>
      <w:r>
        <w:t>年深圳市宜居城市总体满意度为</w:t>
      </w:r>
      <w:r>
        <w:rPr>
          <w:rFonts w:hint="eastAsia"/>
        </w:rPr>
        <w:t>87.95%</w:t>
      </w:r>
      <w:r>
        <w:t>，较201</w:t>
      </w:r>
      <w:r>
        <w:rPr>
          <w:rFonts w:hint="eastAsia"/>
        </w:rPr>
        <w:t>9</w:t>
      </w:r>
      <w:r>
        <w:t>年</w:t>
      </w:r>
      <w:r>
        <w:rPr>
          <w:rFonts w:hint="eastAsia"/>
          <w:lang w:val="en-US" w:eastAsia="zh-CN"/>
        </w:rPr>
        <w:t>上涨8.44</w:t>
      </w:r>
      <w:r>
        <w:t>个百分点。</w:t>
      </w:r>
    </w:p>
    <w:tbl>
      <w:tblPr>
        <w:tblStyle w:val="2"/>
        <w:tblW w:w="8343" w:type="dxa"/>
        <w:tblInd w:w="0" w:type="dxa"/>
        <w:shd w:val="clear" w:color="auto" w:fill="auto"/>
        <w:tblLayout w:type="fixed"/>
        <w:tblCellMar>
          <w:top w:w="0" w:type="dxa"/>
          <w:left w:w="0" w:type="dxa"/>
          <w:bottom w:w="0" w:type="dxa"/>
          <w:right w:w="0" w:type="dxa"/>
        </w:tblCellMar>
      </w:tblPr>
      <w:tblGrid>
        <w:gridCol w:w="2084"/>
        <w:gridCol w:w="4125"/>
        <w:gridCol w:w="1063"/>
        <w:gridCol w:w="1071"/>
      </w:tblGrid>
      <w:tr>
        <w:tblPrEx>
          <w:tblCellMar>
            <w:top w:w="0" w:type="dxa"/>
            <w:left w:w="0" w:type="dxa"/>
            <w:bottom w:w="0" w:type="dxa"/>
            <w:right w:w="0" w:type="dxa"/>
          </w:tblCellMar>
        </w:tblPrEx>
        <w:trPr>
          <w:trHeight w:val="300" w:hRule="atLeast"/>
        </w:trPr>
        <w:tc>
          <w:tcPr>
            <w:tcW w:w="8343"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表2-1  2020年14项宜居指标对应的权重及满意度</w:t>
            </w:r>
          </w:p>
        </w:tc>
      </w:tr>
      <w:tr>
        <w:tblPrEx>
          <w:shd w:val="clear" w:color="auto" w:fill="auto"/>
          <w:tblCellMar>
            <w:top w:w="0" w:type="dxa"/>
            <w:left w:w="0" w:type="dxa"/>
            <w:bottom w:w="0" w:type="dxa"/>
            <w:right w:w="0" w:type="dxa"/>
          </w:tblCellMar>
        </w:tblPrEx>
        <w:trPr>
          <w:trHeight w:val="315" w:hRule="atLeast"/>
        </w:trPr>
        <w:tc>
          <w:tcPr>
            <w:tcW w:w="6209" w:type="dxa"/>
            <w:gridSpan w:val="2"/>
            <w:tcBorders>
              <w:top w:val="single" w:color="000000" w:sz="8"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因素</w:t>
            </w:r>
          </w:p>
        </w:tc>
        <w:tc>
          <w:tcPr>
            <w:tcW w:w="1063"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权重</w:t>
            </w:r>
          </w:p>
        </w:tc>
        <w:tc>
          <w:tcPr>
            <w:tcW w:w="1071" w:type="dxa"/>
            <w:tcBorders>
              <w:top w:val="single" w:color="000000" w:sz="8"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满意度</w:t>
            </w:r>
          </w:p>
        </w:tc>
      </w:tr>
      <w:tr>
        <w:tblPrEx>
          <w:shd w:val="clear" w:color="auto" w:fill="auto"/>
          <w:tblCellMar>
            <w:top w:w="0" w:type="dxa"/>
            <w:left w:w="0" w:type="dxa"/>
            <w:bottom w:w="0" w:type="dxa"/>
            <w:right w:w="0" w:type="dxa"/>
          </w:tblCellMar>
        </w:tblPrEx>
        <w:trPr>
          <w:trHeight w:val="315" w:hRule="atLeast"/>
        </w:trPr>
        <w:tc>
          <w:tcPr>
            <w:tcW w:w="2084"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城市环境</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水环境质量</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21.38%</w:t>
            </w:r>
          </w:p>
        </w:tc>
        <w:tc>
          <w:tcPr>
            <w:tcW w:w="10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94.77%</w:t>
            </w:r>
          </w:p>
        </w:tc>
      </w:tr>
      <w:tr>
        <w:tblPrEx>
          <w:shd w:val="clear" w:color="auto" w:fill="auto"/>
          <w:tblCellMar>
            <w:top w:w="0" w:type="dxa"/>
            <w:left w:w="0" w:type="dxa"/>
            <w:bottom w:w="0" w:type="dxa"/>
            <w:right w:w="0" w:type="dxa"/>
          </w:tblCellMar>
        </w:tblPrEx>
        <w:trPr>
          <w:trHeight w:val="315" w:hRule="atLeast"/>
        </w:trPr>
        <w:tc>
          <w:tcPr>
            <w:tcW w:w="208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1"/>
                <w:szCs w:val="21"/>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空气质量</w:t>
            </w: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1"/>
                <w:szCs w:val="21"/>
                <w:u w:val="none"/>
              </w:rPr>
            </w:pPr>
          </w:p>
        </w:tc>
        <w:tc>
          <w:tcPr>
            <w:tcW w:w="10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94.12%</w:t>
            </w:r>
          </w:p>
        </w:tc>
      </w:tr>
      <w:tr>
        <w:tblPrEx>
          <w:shd w:val="clear" w:color="auto" w:fill="auto"/>
          <w:tblCellMar>
            <w:top w:w="0" w:type="dxa"/>
            <w:left w:w="0" w:type="dxa"/>
            <w:bottom w:w="0" w:type="dxa"/>
            <w:right w:w="0" w:type="dxa"/>
          </w:tblCellMar>
        </w:tblPrEx>
        <w:trPr>
          <w:trHeight w:val="315" w:hRule="atLeast"/>
        </w:trPr>
        <w:tc>
          <w:tcPr>
            <w:tcW w:w="208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1"/>
                <w:szCs w:val="21"/>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绿化建设</w:t>
            </w: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1"/>
                <w:szCs w:val="21"/>
                <w:u w:val="none"/>
              </w:rPr>
            </w:pPr>
          </w:p>
        </w:tc>
        <w:tc>
          <w:tcPr>
            <w:tcW w:w="10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94.85%</w:t>
            </w:r>
          </w:p>
        </w:tc>
      </w:tr>
      <w:tr>
        <w:tblPrEx>
          <w:shd w:val="clear" w:color="auto" w:fill="auto"/>
          <w:tblCellMar>
            <w:top w:w="0" w:type="dxa"/>
            <w:left w:w="0" w:type="dxa"/>
            <w:bottom w:w="0" w:type="dxa"/>
            <w:right w:w="0" w:type="dxa"/>
          </w:tblCellMar>
        </w:tblPrEx>
        <w:trPr>
          <w:trHeight w:val="315" w:hRule="atLeast"/>
        </w:trPr>
        <w:tc>
          <w:tcPr>
            <w:tcW w:w="208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1"/>
                <w:szCs w:val="21"/>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社区环境</w:t>
            </w: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1"/>
                <w:szCs w:val="21"/>
                <w:u w:val="none"/>
              </w:rPr>
            </w:pPr>
          </w:p>
        </w:tc>
        <w:tc>
          <w:tcPr>
            <w:tcW w:w="10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93.83%</w:t>
            </w:r>
          </w:p>
        </w:tc>
      </w:tr>
      <w:tr>
        <w:tblPrEx>
          <w:shd w:val="clear" w:color="auto" w:fill="auto"/>
          <w:tblCellMar>
            <w:top w:w="0" w:type="dxa"/>
            <w:left w:w="0" w:type="dxa"/>
            <w:bottom w:w="0" w:type="dxa"/>
            <w:right w:w="0" w:type="dxa"/>
          </w:tblCellMar>
        </w:tblPrEx>
        <w:trPr>
          <w:trHeight w:val="285" w:hRule="atLeast"/>
        </w:trPr>
        <w:tc>
          <w:tcPr>
            <w:tcW w:w="6209"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经济发展</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10.24%</w:t>
            </w:r>
          </w:p>
        </w:tc>
        <w:tc>
          <w:tcPr>
            <w:tcW w:w="10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92.63%</w:t>
            </w:r>
          </w:p>
        </w:tc>
      </w:tr>
      <w:tr>
        <w:tblPrEx>
          <w:shd w:val="clear" w:color="auto" w:fill="auto"/>
          <w:tblCellMar>
            <w:top w:w="0" w:type="dxa"/>
            <w:left w:w="0" w:type="dxa"/>
            <w:bottom w:w="0" w:type="dxa"/>
            <w:right w:w="0" w:type="dxa"/>
          </w:tblCellMar>
        </w:tblPrEx>
        <w:trPr>
          <w:trHeight w:val="285" w:hRule="atLeast"/>
        </w:trPr>
        <w:tc>
          <w:tcPr>
            <w:tcW w:w="6209"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住房条件</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12.60%</w:t>
            </w:r>
          </w:p>
        </w:tc>
        <w:tc>
          <w:tcPr>
            <w:tcW w:w="10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75.55%</w:t>
            </w:r>
          </w:p>
        </w:tc>
      </w:tr>
      <w:tr>
        <w:tblPrEx>
          <w:shd w:val="clear" w:color="auto" w:fill="auto"/>
          <w:tblCellMar>
            <w:top w:w="0" w:type="dxa"/>
            <w:left w:w="0" w:type="dxa"/>
            <w:bottom w:w="0" w:type="dxa"/>
            <w:right w:w="0" w:type="dxa"/>
          </w:tblCellMar>
        </w:tblPrEx>
        <w:trPr>
          <w:trHeight w:val="285" w:hRule="atLeast"/>
        </w:trPr>
        <w:tc>
          <w:tcPr>
            <w:tcW w:w="6209"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城市交通</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12.91%</w:t>
            </w:r>
          </w:p>
        </w:tc>
        <w:tc>
          <w:tcPr>
            <w:tcW w:w="10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82.22%</w:t>
            </w:r>
          </w:p>
        </w:tc>
      </w:tr>
      <w:tr>
        <w:tblPrEx>
          <w:shd w:val="clear" w:color="auto" w:fill="auto"/>
          <w:tblCellMar>
            <w:top w:w="0" w:type="dxa"/>
            <w:left w:w="0" w:type="dxa"/>
            <w:bottom w:w="0" w:type="dxa"/>
            <w:right w:w="0" w:type="dxa"/>
          </w:tblCellMar>
        </w:tblPrEx>
        <w:trPr>
          <w:trHeight w:val="285" w:hRule="atLeast"/>
        </w:trPr>
        <w:tc>
          <w:tcPr>
            <w:tcW w:w="6209"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文化服务</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2.99%</w:t>
            </w:r>
          </w:p>
        </w:tc>
        <w:tc>
          <w:tcPr>
            <w:tcW w:w="10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91.47%</w:t>
            </w:r>
          </w:p>
        </w:tc>
      </w:tr>
      <w:tr>
        <w:tblPrEx>
          <w:shd w:val="clear" w:color="auto" w:fill="auto"/>
          <w:tblCellMar>
            <w:top w:w="0" w:type="dxa"/>
            <w:left w:w="0" w:type="dxa"/>
            <w:bottom w:w="0" w:type="dxa"/>
            <w:right w:w="0" w:type="dxa"/>
          </w:tblCellMar>
        </w:tblPrEx>
        <w:trPr>
          <w:trHeight w:val="315" w:hRule="atLeast"/>
        </w:trPr>
        <w:tc>
          <w:tcPr>
            <w:tcW w:w="2084"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教育医疗服务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教育服务</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16.11%</w:t>
            </w:r>
          </w:p>
        </w:tc>
        <w:tc>
          <w:tcPr>
            <w:tcW w:w="10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79.50%</w:t>
            </w:r>
          </w:p>
        </w:tc>
      </w:tr>
      <w:tr>
        <w:tblPrEx>
          <w:shd w:val="clear" w:color="auto" w:fill="auto"/>
          <w:tblCellMar>
            <w:top w:w="0" w:type="dxa"/>
            <w:left w:w="0" w:type="dxa"/>
            <w:bottom w:w="0" w:type="dxa"/>
            <w:right w:w="0" w:type="dxa"/>
          </w:tblCellMar>
        </w:tblPrEx>
        <w:trPr>
          <w:trHeight w:val="315" w:hRule="atLeast"/>
        </w:trPr>
        <w:tc>
          <w:tcPr>
            <w:tcW w:w="208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1"/>
                <w:szCs w:val="21"/>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医疗卫生服务</w:t>
            </w: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1"/>
                <w:szCs w:val="21"/>
                <w:u w:val="none"/>
              </w:rPr>
            </w:pPr>
          </w:p>
        </w:tc>
        <w:tc>
          <w:tcPr>
            <w:tcW w:w="10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78.82%</w:t>
            </w:r>
          </w:p>
        </w:tc>
      </w:tr>
      <w:tr>
        <w:tblPrEx>
          <w:shd w:val="clear" w:color="auto" w:fill="auto"/>
          <w:tblCellMar>
            <w:top w:w="0" w:type="dxa"/>
            <w:left w:w="0" w:type="dxa"/>
            <w:bottom w:w="0" w:type="dxa"/>
            <w:right w:w="0" w:type="dxa"/>
          </w:tblCellMar>
        </w:tblPrEx>
        <w:trPr>
          <w:trHeight w:val="315" w:hRule="atLeast"/>
        </w:trPr>
        <w:tc>
          <w:tcPr>
            <w:tcW w:w="2084"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公共安全</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食品/药品安全</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10.16%</w:t>
            </w:r>
          </w:p>
        </w:tc>
        <w:tc>
          <w:tcPr>
            <w:tcW w:w="10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91.75%</w:t>
            </w:r>
          </w:p>
        </w:tc>
      </w:tr>
      <w:tr>
        <w:tblPrEx>
          <w:shd w:val="clear" w:color="auto" w:fill="auto"/>
          <w:tblCellMar>
            <w:top w:w="0" w:type="dxa"/>
            <w:left w:w="0" w:type="dxa"/>
            <w:bottom w:w="0" w:type="dxa"/>
            <w:right w:w="0" w:type="dxa"/>
          </w:tblCellMar>
        </w:tblPrEx>
        <w:trPr>
          <w:trHeight w:val="315" w:hRule="atLeast"/>
        </w:trPr>
        <w:tc>
          <w:tcPr>
            <w:tcW w:w="208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1"/>
                <w:szCs w:val="21"/>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应对突发公共安全事件能力</w:t>
            </w: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sz w:val="21"/>
                <w:szCs w:val="21"/>
                <w:u w:val="none"/>
              </w:rPr>
            </w:pPr>
          </w:p>
        </w:tc>
        <w:tc>
          <w:tcPr>
            <w:tcW w:w="10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96.32%</w:t>
            </w:r>
          </w:p>
        </w:tc>
      </w:tr>
      <w:tr>
        <w:tblPrEx>
          <w:shd w:val="clear" w:color="auto" w:fill="auto"/>
          <w:tblCellMar>
            <w:top w:w="0" w:type="dxa"/>
            <w:left w:w="0" w:type="dxa"/>
            <w:bottom w:w="0" w:type="dxa"/>
            <w:right w:w="0" w:type="dxa"/>
          </w:tblCellMar>
        </w:tblPrEx>
        <w:trPr>
          <w:trHeight w:val="315" w:hRule="atLeast"/>
        </w:trPr>
        <w:tc>
          <w:tcPr>
            <w:tcW w:w="208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社会保障</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对特殊群体关爱</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9.37%</w:t>
            </w:r>
          </w:p>
        </w:tc>
        <w:tc>
          <w:tcPr>
            <w:tcW w:w="10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87.66%</w:t>
            </w:r>
          </w:p>
        </w:tc>
      </w:tr>
      <w:tr>
        <w:tblPrEx>
          <w:shd w:val="clear" w:color="auto" w:fill="auto"/>
          <w:tblCellMar>
            <w:top w:w="0" w:type="dxa"/>
            <w:left w:w="0" w:type="dxa"/>
            <w:bottom w:w="0" w:type="dxa"/>
            <w:right w:w="0" w:type="dxa"/>
          </w:tblCellMar>
        </w:tblPrEx>
        <w:trPr>
          <w:trHeight w:val="315" w:hRule="atLeast"/>
        </w:trPr>
        <w:tc>
          <w:tcPr>
            <w:tcW w:w="6209"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社区管理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4.23%</w:t>
            </w:r>
          </w:p>
        </w:tc>
        <w:tc>
          <w:tcPr>
            <w:tcW w:w="10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91.64%</w:t>
            </w:r>
          </w:p>
        </w:tc>
      </w:tr>
      <w:tr>
        <w:tblPrEx>
          <w:shd w:val="clear" w:color="auto" w:fill="auto"/>
          <w:tblCellMar>
            <w:top w:w="0" w:type="dxa"/>
            <w:left w:w="0" w:type="dxa"/>
            <w:bottom w:w="0" w:type="dxa"/>
            <w:right w:w="0" w:type="dxa"/>
          </w:tblCellMar>
        </w:tblPrEx>
        <w:trPr>
          <w:trHeight w:val="315" w:hRule="atLeast"/>
        </w:trPr>
        <w:tc>
          <w:tcPr>
            <w:tcW w:w="7272" w:type="dxa"/>
            <w:gridSpan w:val="3"/>
            <w:tcBorders>
              <w:top w:val="single" w:color="000000" w:sz="4" w:space="0"/>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深圳市宜居城市总体满意度</w:t>
            </w:r>
          </w:p>
        </w:tc>
        <w:tc>
          <w:tcPr>
            <w:tcW w:w="1071" w:type="dxa"/>
            <w:tcBorders>
              <w:top w:val="single" w:color="000000" w:sz="4" w:space="0"/>
              <w:left w:val="single" w:color="000000" w:sz="4" w:space="0"/>
              <w:bottom w:val="single" w:color="000000" w:sz="8"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87.95%</w:t>
            </w:r>
          </w:p>
        </w:tc>
      </w:tr>
    </w:tbl>
    <w:p>
      <w:pPr>
        <w:bidi w:val="0"/>
        <w:rPr>
          <w:rFonts w:ascii="仿宋" w:hAnsi="仿宋" w:eastAsia="仿宋" w:cs="Times New Roman"/>
          <w:sz w:val="28"/>
          <w:szCs w:val="28"/>
        </w:rPr>
      </w:pPr>
    </w:p>
    <w:p>
      <w:pPr>
        <w:bidi w:val="0"/>
        <w:jc w:val="left"/>
        <w:rPr>
          <w:rFonts w:ascii="仿宋" w:hAnsi="仿宋" w:eastAsia="仿宋" w:cs="Times New Roman"/>
          <w:sz w:val="28"/>
          <w:szCs w:val="28"/>
        </w:rPr>
      </w:pPr>
      <w:r>
        <w:rPr>
          <w:rFonts w:hint="eastAsia"/>
        </w:rPr>
        <w:t>在此基础上，为形象展示深圳市历年满意度的变化情况，将2011-2020年深圳市宜居满意度的相关数据在图2-1中进行展示，发现深圳市宜居城市总体满意度呈逐步上升的趋势。</w:t>
      </w:r>
      <w:r>
        <w:rPr>
          <w:rFonts w:ascii="等线" w:hAnsi="等线" w:eastAsia="等线" w:cs="Times New Roman"/>
          <w:szCs w:val="22"/>
        </w:rPr>
        <w:drawing>
          <wp:inline distT="0" distB="0" distL="114300" distR="114300">
            <wp:extent cx="5204460" cy="1877695"/>
            <wp:effectExtent l="4445" t="4445" r="10795" b="22860"/>
            <wp:docPr id="9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tabs>
          <w:tab w:val="left" w:pos="1080"/>
        </w:tabs>
        <w:spacing w:line="360" w:lineRule="auto"/>
        <w:jc w:val="center"/>
        <w:rPr>
          <w:rFonts w:ascii="仿宋" w:hAnsi="仿宋" w:eastAsia="仿宋" w:cs="Times New Roman"/>
          <w:b/>
          <w:sz w:val="24"/>
          <w:szCs w:val="28"/>
        </w:rPr>
      </w:pPr>
      <w:r>
        <w:rPr>
          <w:rFonts w:hint="eastAsia" w:ascii="仿宋" w:hAnsi="仿宋" w:eastAsia="仿宋" w:cs="Times New Roman"/>
          <w:b/>
          <w:sz w:val="24"/>
          <w:szCs w:val="28"/>
        </w:rPr>
        <w:t>图2</w:t>
      </w:r>
      <w:r>
        <w:rPr>
          <w:rFonts w:ascii="仿宋" w:hAnsi="仿宋" w:eastAsia="仿宋" w:cs="Times New Roman"/>
          <w:b/>
          <w:sz w:val="24"/>
          <w:szCs w:val="28"/>
        </w:rPr>
        <w:t>-</w:t>
      </w:r>
      <w:r>
        <w:rPr>
          <w:rFonts w:hint="eastAsia" w:ascii="仿宋" w:hAnsi="仿宋" w:eastAsia="仿宋" w:cs="Times New Roman"/>
          <w:b/>
          <w:sz w:val="24"/>
          <w:szCs w:val="28"/>
        </w:rPr>
        <w:t>1  2011年-2020年深圳宜居总体满意度</w:t>
      </w: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ascii="仿宋" w:hAnsi="仿宋" w:eastAsia="仿宋" w:cs="Times New Roman"/>
          <w:b/>
          <w:bCs/>
          <w:kern w:val="2"/>
          <w:sz w:val="28"/>
          <w:szCs w:val="32"/>
          <w:lang w:val="en-US" w:eastAsia="zh-CN" w:bidi="ar-SA"/>
        </w:rPr>
      </w:pPr>
      <w:r>
        <w:rPr>
          <w:rFonts w:hint="eastAsia" w:ascii="仿宋" w:hAnsi="仿宋" w:eastAsia="仿宋" w:cs="Times New Roman"/>
          <w:b/>
          <w:bCs/>
          <w:kern w:val="2"/>
          <w:sz w:val="28"/>
          <w:szCs w:val="32"/>
          <w:lang w:val="en-US" w:eastAsia="zh-CN" w:bidi="ar-SA"/>
        </w:rPr>
        <w:t>（二）宜居因素关注度</w:t>
      </w:r>
    </w:p>
    <w:p>
      <w:pPr>
        <w:bidi w:val="0"/>
        <w:rPr>
          <w:rFonts w:hint="eastAsia"/>
        </w:rPr>
      </w:pPr>
      <w:r>
        <w:rPr>
          <w:rFonts w:hint="eastAsia"/>
        </w:rPr>
        <w:t>统计分析，得到市民对各类宜居因素的关注度排名，具体如图2-</w:t>
      </w:r>
      <w:r>
        <w:t>2</w:t>
      </w:r>
      <w:r>
        <w:rPr>
          <w:rFonts w:hint="eastAsia"/>
        </w:rPr>
        <w:t>所示。2020年市民关注度较高的</w:t>
      </w:r>
      <w:r>
        <w:rPr>
          <w:rFonts w:hint="eastAsia"/>
          <w:lang w:val="en-US" w:eastAsia="zh-CN"/>
        </w:rPr>
        <w:t>四</w:t>
      </w:r>
      <w:r>
        <w:rPr>
          <w:rFonts w:hint="eastAsia"/>
        </w:rPr>
        <w:t>项宜居因素依次为</w:t>
      </w:r>
      <w:r>
        <w:rPr>
          <w:rFonts w:hint="eastAsia"/>
          <w:lang w:val="en-US" w:eastAsia="zh-CN"/>
        </w:rPr>
        <w:t>城市环境</w:t>
      </w:r>
      <w:r>
        <w:rPr>
          <w:rFonts w:hint="eastAsia"/>
        </w:rPr>
        <w:t>、</w:t>
      </w:r>
      <w:r>
        <w:rPr>
          <w:rFonts w:hint="eastAsia"/>
          <w:lang w:val="en-US" w:eastAsia="zh-CN"/>
        </w:rPr>
        <w:t>教育医疗服务</w:t>
      </w:r>
      <w:r>
        <w:rPr>
          <w:rFonts w:hint="eastAsia"/>
        </w:rPr>
        <w:t>、</w:t>
      </w:r>
      <w:r>
        <w:rPr>
          <w:rFonts w:hint="eastAsia"/>
          <w:lang w:val="en-US" w:eastAsia="zh-CN"/>
        </w:rPr>
        <w:t>城市交通</w:t>
      </w:r>
      <w:r>
        <w:rPr>
          <w:rFonts w:hint="eastAsia"/>
        </w:rPr>
        <w:t>和</w:t>
      </w:r>
      <w:r>
        <w:rPr>
          <w:rFonts w:hint="eastAsia"/>
          <w:lang w:val="en-US" w:eastAsia="zh-CN"/>
        </w:rPr>
        <w:t>住房条件，</w:t>
      </w:r>
      <w:r>
        <w:rPr>
          <w:rFonts w:hint="eastAsia"/>
        </w:rPr>
        <w:t>关注度分别为</w:t>
      </w:r>
      <w:r>
        <w:rPr>
          <w:rFonts w:hint="eastAsia"/>
          <w:lang w:val="en-US" w:eastAsia="zh-CN"/>
        </w:rPr>
        <w:t>21.38</w:t>
      </w:r>
      <w:r>
        <w:t>%、</w:t>
      </w:r>
      <w:r>
        <w:rPr>
          <w:rFonts w:hint="eastAsia"/>
          <w:lang w:val="en-US" w:eastAsia="zh-CN"/>
        </w:rPr>
        <w:t>16.11</w:t>
      </w:r>
      <w:r>
        <w:t>%</w:t>
      </w:r>
      <w:r>
        <w:rPr>
          <w:rFonts w:hint="eastAsia"/>
        </w:rPr>
        <w:t>、</w:t>
      </w:r>
      <w:r>
        <w:rPr>
          <w:rFonts w:hint="eastAsia"/>
          <w:lang w:val="en-US" w:eastAsia="zh-CN"/>
        </w:rPr>
        <w:t>12.91</w:t>
      </w:r>
      <w:r>
        <w:t>%</w:t>
      </w:r>
      <w:r>
        <w:rPr>
          <w:rFonts w:hint="eastAsia"/>
        </w:rPr>
        <w:t>和1</w:t>
      </w:r>
      <w:r>
        <w:rPr>
          <w:rFonts w:hint="eastAsia"/>
          <w:lang w:val="en-US" w:eastAsia="zh-CN"/>
        </w:rPr>
        <w:t>2.60</w:t>
      </w:r>
      <w:r>
        <w:t>%</w:t>
      </w:r>
      <w:r>
        <w:rPr>
          <w:rFonts w:hint="eastAsia"/>
        </w:rPr>
        <w:t>，市民对该</w:t>
      </w:r>
      <w:r>
        <w:rPr>
          <w:rFonts w:hint="eastAsia"/>
          <w:lang w:val="en-US" w:eastAsia="zh-CN"/>
        </w:rPr>
        <w:t>四</w:t>
      </w:r>
      <w:r>
        <w:rPr>
          <w:rFonts w:hint="eastAsia"/>
        </w:rPr>
        <w:t>项宜居因素总体关注度高达</w:t>
      </w:r>
      <w:r>
        <w:rPr>
          <w:rFonts w:hint="eastAsia"/>
          <w:lang w:val="en-US" w:eastAsia="zh-CN"/>
        </w:rPr>
        <w:t>63</w:t>
      </w:r>
      <w:r>
        <w:rPr>
          <w:rFonts w:hint="eastAsia"/>
        </w:rPr>
        <w:t>%。市民对</w:t>
      </w:r>
      <w:r>
        <w:rPr>
          <w:rFonts w:hint="eastAsia"/>
          <w:lang w:val="en-US" w:eastAsia="zh-CN"/>
        </w:rPr>
        <w:t>社区管理和文化服务</w:t>
      </w:r>
      <w:r>
        <w:rPr>
          <w:rFonts w:hint="eastAsia"/>
        </w:rPr>
        <w:t>的关注度较低。</w:t>
      </w:r>
    </w:p>
    <w:p>
      <w:pPr>
        <w:bidi w:val="0"/>
        <w:rPr>
          <w:rFonts w:ascii="仿宋" w:hAnsi="仿宋" w:eastAsia="仿宋" w:cs="Times New Roman"/>
          <w:sz w:val="28"/>
          <w:szCs w:val="28"/>
        </w:rPr>
      </w:pPr>
      <w:r>
        <w:rPr>
          <w:rFonts w:ascii="等线" w:hAnsi="等线" w:eastAsia="等线" w:cs="Times New Roman"/>
          <w:szCs w:val="22"/>
        </w:rPr>
        <w:drawing>
          <wp:inline distT="0" distB="0" distL="114300" distR="114300">
            <wp:extent cx="4572000" cy="2743200"/>
            <wp:effectExtent l="4445" t="4445" r="14605" b="14605"/>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tabs>
          <w:tab w:val="left" w:pos="1080"/>
        </w:tabs>
        <w:spacing w:before="156" w:beforeLines="50" w:after="156" w:afterLines="50" w:line="360" w:lineRule="auto"/>
        <w:jc w:val="center"/>
        <w:rPr>
          <w:rFonts w:ascii="仿宋" w:hAnsi="仿宋" w:eastAsia="仿宋" w:cs="Times New Roman"/>
          <w:b/>
          <w:sz w:val="24"/>
          <w:szCs w:val="28"/>
        </w:rPr>
      </w:pPr>
      <w:r>
        <w:rPr>
          <w:rFonts w:hint="eastAsia" w:ascii="仿宋" w:hAnsi="仿宋" w:eastAsia="仿宋" w:cs="Times New Roman"/>
          <w:b/>
          <w:sz w:val="24"/>
          <w:szCs w:val="28"/>
        </w:rPr>
        <w:t>图2</w:t>
      </w:r>
      <w:r>
        <w:rPr>
          <w:rFonts w:ascii="仿宋" w:hAnsi="仿宋" w:eastAsia="仿宋" w:cs="Times New Roman"/>
          <w:b/>
          <w:sz w:val="24"/>
          <w:szCs w:val="28"/>
        </w:rPr>
        <w:t>-</w:t>
      </w:r>
      <w:r>
        <w:rPr>
          <w:rFonts w:hint="eastAsia" w:ascii="仿宋" w:hAnsi="仿宋" w:eastAsia="仿宋" w:cs="Times New Roman"/>
          <w:b/>
          <w:sz w:val="24"/>
          <w:szCs w:val="28"/>
        </w:rPr>
        <w:t>2  2020年各类宜居因素关注度排序</w:t>
      </w:r>
    </w:p>
    <w:p>
      <w:pPr>
        <w:bidi w:val="0"/>
      </w:pPr>
      <w:r>
        <w:rPr>
          <w:rFonts w:hint="eastAsia"/>
        </w:rPr>
        <w:t>对比分析近5年宜居因素关注度排名情况，发现</w:t>
      </w:r>
      <w:r>
        <w:rPr>
          <w:rFonts w:hint="eastAsia"/>
          <w:lang w:val="en-US" w:eastAsia="zh-CN"/>
        </w:rPr>
        <w:t>城市环境</w:t>
      </w:r>
      <w:r>
        <w:rPr>
          <w:rFonts w:hint="eastAsia"/>
        </w:rPr>
        <w:t>、</w:t>
      </w:r>
      <w:r>
        <w:rPr>
          <w:rFonts w:hint="eastAsia"/>
          <w:lang w:val="en-US" w:eastAsia="zh-CN"/>
        </w:rPr>
        <w:t>教育医疗服务、经济发展和住房条件</w:t>
      </w:r>
      <w:r>
        <w:rPr>
          <w:rFonts w:hint="eastAsia"/>
        </w:rPr>
        <w:t>一直是市民最为关注的</w:t>
      </w:r>
      <w:r>
        <w:rPr>
          <w:rFonts w:hint="eastAsia"/>
          <w:lang w:val="en-US" w:eastAsia="zh-CN"/>
        </w:rPr>
        <w:t>四</w:t>
      </w:r>
      <w:r>
        <w:rPr>
          <w:rFonts w:hint="eastAsia"/>
        </w:rPr>
        <w:t>类宜居因素，历年来均排前</w:t>
      </w:r>
      <w:r>
        <w:rPr>
          <w:rFonts w:hint="eastAsia"/>
          <w:lang w:val="en-US" w:eastAsia="zh-CN"/>
        </w:rPr>
        <w:t>四</w:t>
      </w:r>
      <w:r>
        <w:rPr>
          <w:rFonts w:hint="eastAsia"/>
        </w:rPr>
        <w:t>。近年来，市民对于</w:t>
      </w:r>
      <w:r>
        <w:rPr>
          <w:rFonts w:hint="eastAsia"/>
          <w:lang w:val="en-US" w:eastAsia="zh-CN"/>
        </w:rPr>
        <w:t>城市交通</w:t>
      </w:r>
      <w:r>
        <w:rPr>
          <w:rFonts w:hint="eastAsia"/>
        </w:rPr>
        <w:t>、</w:t>
      </w:r>
      <w:r>
        <w:rPr>
          <w:rFonts w:hint="eastAsia"/>
          <w:lang w:val="en-US" w:eastAsia="zh-CN"/>
        </w:rPr>
        <w:t>公共安全</w:t>
      </w:r>
      <w:r>
        <w:rPr>
          <w:rFonts w:hint="eastAsia"/>
        </w:rPr>
        <w:t>和</w:t>
      </w:r>
      <w:r>
        <w:rPr>
          <w:rFonts w:hint="eastAsia"/>
          <w:lang w:val="en-US" w:eastAsia="zh-CN"/>
        </w:rPr>
        <w:t>对特殊群体的关爱</w:t>
      </w:r>
      <w:r>
        <w:rPr>
          <w:rFonts w:hint="eastAsia"/>
        </w:rPr>
        <w:t>的关注度基本保持稳定状态，而对于</w:t>
      </w:r>
      <w:r>
        <w:rPr>
          <w:rFonts w:hint="eastAsia"/>
          <w:lang w:val="en-US" w:eastAsia="zh-CN"/>
        </w:rPr>
        <w:t>社区管理</w:t>
      </w:r>
      <w:r>
        <w:rPr>
          <w:rFonts w:hint="eastAsia"/>
        </w:rPr>
        <w:t>和</w:t>
      </w:r>
      <w:r>
        <w:rPr>
          <w:rFonts w:hint="eastAsia"/>
          <w:lang w:val="en-US" w:eastAsia="zh-CN"/>
        </w:rPr>
        <w:t>文化服务</w:t>
      </w:r>
      <w:r>
        <w:rPr>
          <w:rFonts w:hint="eastAsia"/>
        </w:rPr>
        <w:t>的关注度</w:t>
      </w:r>
      <w:r>
        <w:rPr>
          <w:rFonts w:hint="eastAsia"/>
          <w:lang w:val="en-US" w:eastAsia="zh-CN"/>
        </w:rPr>
        <w:t>较低。</w:t>
      </w:r>
      <w:r>
        <w:rPr>
          <w:rFonts w:hint="eastAsia"/>
        </w:rPr>
        <w:t>随着深圳各类公共设施的不断完善，社会治安水平、社会福利的不断提高，2</w:t>
      </w:r>
      <w:r>
        <w:t>0</w:t>
      </w:r>
      <w:r>
        <w:rPr>
          <w:rFonts w:hint="eastAsia"/>
        </w:rPr>
        <w:t>20年市民对这些宜居因素的关注度小幅下降。</w:t>
      </w:r>
    </w:p>
    <w:p>
      <w:pPr>
        <w:bidi w:val="0"/>
      </w:pPr>
      <w:r>
        <w:rPr>
          <w:rFonts w:hint="eastAsia"/>
        </w:rPr>
        <w:t>与</w:t>
      </w:r>
      <w:r>
        <w:t>201</w:t>
      </w:r>
      <w:r>
        <w:rPr>
          <w:rFonts w:hint="eastAsia"/>
        </w:rPr>
        <w:t>9</w:t>
      </w:r>
      <w:r>
        <w:t>年相比，20</w:t>
      </w:r>
      <w:r>
        <w:rPr>
          <w:rFonts w:hint="eastAsia"/>
        </w:rPr>
        <w:t>20</w:t>
      </w:r>
      <w:r>
        <w:t>市民对</w:t>
      </w:r>
      <w:r>
        <w:rPr>
          <w:rFonts w:hint="eastAsia"/>
          <w:lang w:val="en-US" w:eastAsia="zh-CN"/>
        </w:rPr>
        <w:t>城市环境</w:t>
      </w:r>
      <w:r>
        <w:t>的关注度为</w:t>
      </w:r>
      <w:r>
        <w:rPr>
          <w:rFonts w:hint="eastAsia"/>
          <w:lang w:val="en-US" w:eastAsia="zh-CN"/>
        </w:rPr>
        <w:t>21.38</w:t>
      </w:r>
      <w:r>
        <w:t>%，较201</w:t>
      </w:r>
      <w:r>
        <w:rPr>
          <w:rFonts w:hint="eastAsia"/>
        </w:rPr>
        <w:t>9</w:t>
      </w:r>
      <w:r>
        <w:t>年</w:t>
      </w:r>
      <w:r>
        <w:rPr>
          <w:rFonts w:hint="eastAsia"/>
          <w:lang w:val="en-US" w:eastAsia="zh-CN"/>
        </w:rPr>
        <w:t>上涨了1.36</w:t>
      </w:r>
      <w:r>
        <w:t>%，跃居第一；对于</w:t>
      </w:r>
      <w:r>
        <w:rPr>
          <w:rFonts w:hint="eastAsia"/>
          <w:lang w:val="en-US" w:eastAsia="zh-CN"/>
        </w:rPr>
        <w:t>教育医疗服务</w:t>
      </w:r>
      <w:r>
        <w:t>的关注度为</w:t>
      </w:r>
      <w:r>
        <w:rPr>
          <w:rFonts w:hint="eastAsia"/>
        </w:rPr>
        <w:t>1</w:t>
      </w:r>
      <w:r>
        <w:rPr>
          <w:rFonts w:hint="eastAsia"/>
          <w:lang w:val="en-US" w:eastAsia="zh-CN"/>
        </w:rPr>
        <w:t>6.11</w:t>
      </w:r>
      <w:r>
        <w:t>%，较201</w:t>
      </w:r>
      <w:r>
        <w:rPr>
          <w:rFonts w:hint="eastAsia"/>
        </w:rPr>
        <w:t>9</w:t>
      </w:r>
      <w:r>
        <w:t>年</w:t>
      </w:r>
      <w:r>
        <w:rPr>
          <w:rFonts w:hint="eastAsia"/>
        </w:rPr>
        <w:t>下降</w:t>
      </w:r>
      <w:r>
        <w:t>了</w:t>
      </w:r>
      <w:r>
        <w:rPr>
          <w:rFonts w:hint="eastAsia"/>
        </w:rPr>
        <w:t>2.</w:t>
      </w:r>
      <w:r>
        <w:rPr>
          <w:rFonts w:hint="eastAsia"/>
          <w:lang w:val="en-US" w:eastAsia="zh-CN"/>
        </w:rPr>
        <w:t>12</w:t>
      </w:r>
      <w:r>
        <w:t>%，排第二；对</w:t>
      </w:r>
      <w:r>
        <w:rPr>
          <w:rFonts w:hint="eastAsia"/>
          <w:lang w:val="en-US" w:eastAsia="zh-CN"/>
        </w:rPr>
        <w:t>城市交通</w:t>
      </w:r>
      <w:r>
        <w:t>的关注度为1</w:t>
      </w:r>
      <w:r>
        <w:rPr>
          <w:rFonts w:hint="eastAsia"/>
          <w:lang w:val="en-US" w:eastAsia="zh-CN"/>
        </w:rPr>
        <w:t>2.91</w:t>
      </w:r>
      <w:r>
        <w:t>%，较201</w:t>
      </w:r>
      <w:r>
        <w:rPr>
          <w:rFonts w:hint="eastAsia"/>
        </w:rPr>
        <w:t>9</w:t>
      </w:r>
      <w:r>
        <w:t>年</w:t>
      </w:r>
      <w:r>
        <w:rPr>
          <w:rFonts w:hint="eastAsia"/>
        </w:rPr>
        <w:t>上涨</w:t>
      </w:r>
      <w:r>
        <w:t>了</w:t>
      </w:r>
      <w:r>
        <w:rPr>
          <w:rFonts w:hint="eastAsia"/>
          <w:lang w:val="en-US" w:eastAsia="zh-CN"/>
        </w:rPr>
        <w:t>3.67</w:t>
      </w:r>
      <w:r>
        <w:t>%。</w:t>
      </w:r>
      <w:r>
        <w:rPr>
          <w:rFonts w:hint="eastAsia"/>
        </w:rPr>
        <w:t>除此之外，对</w:t>
      </w:r>
      <w:r>
        <w:rPr>
          <w:rFonts w:hint="eastAsia"/>
          <w:lang w:val="en-US" w:eastAsia="zh-CN"/>
        </w:rPr>
        <w:t>特殊群体关爱</w:t>
      </w:r>
      <w:r>
        <w:rPr>
          <w:rFonts w:hint="eastAsia"/>
        </w:rPr>
        <w:t>、</w:t>
      </w:r>
      <w:r>
        <w:rPr>
          <w:rFonts w:hint="eastAsia"/>
          <w:lang w:val="en-US" w:eastAsia="zh-CN"/>
        </w:rPr>
        <w:t>社区管理</w:t>
      </w:r>
      <w:r>
        <w:t>的关注度提高，</w:t>
      </w:r>
      <w:r>
        <w:rPr>
          <w:rFonts w:hint="eastAsia"/>
        </w:rPr>
        <w:t>而</w:t>
      </w:r>
      <w:r>
        <w:t>对于其他宜居因素的关注度都存在不同程度的下降。这也表明由于城市经济增速放缓，物价水平提高，人们更关注基本生活需求。</w:t>
      </w:r>
    </w:p>
    <w:p>
      <w:pPr>
        <w:tabs>
          <w:tab w:val="left" w:pos="1080"/>
        </w:tabs>
        <w:spacing w:line="360" w:lineRule="auto"/>
        <w:ind w:firstLine="480" w:firstLineChars="200"/>
        <w:jc w:val="both"/>
        <w:rPr>
          <w:rFonts w:ascii="仿宋" w:hAnsi="仿宋" w:eastAsia="仿宋" w:cs="Times New Roman"/>
          <w:b/>
          <w:sz w:val="24"/>
          <w:szCs w:val="28"/>
        </w:rPr>
      </w:pPr>
      <w:r>
        <w:rPr>
          <w:rFonts w:ascii="等线" w:hAnsi="等线" w:eastAsia="等线" w:cs="Times New Roman"/>
          <w:szCs w:val="22"/>
        </w:rPr>
        <w:drawing>
          <wp:inline distT="0" distB="0" distL="114300" distR="114300">
            <wp:extent cx="4848225" cy="2743200"/>
            <wp:effectExtent l="4445" t="4445" r="5080" b="14605"/>
            <wp:docPr id="3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tabs>
          <w:tab w:val="left" w:pos="1080"/>
        </w:tabs>
        <w:spacing w:before="156" w:beforeLines="50" w:after="156" w:afterLines="50" w:line="360" w:lineRule="auto"/>
        <w:jc w:val="center"/>
        <w:rPr>
          <w:rFonts w:ascii="仿宋" w:hAnsi="仿宋" w:eastAsia="仿宋" w:cs="Times New Roman"/>
          <w:b/>
          <w:sz w:val="24"/>
          <w:szCs w:val="28"/>
        </w:rPr>
      </w:pPr>
      <w:r>
        <w:rPr>
          <w:rFonts w:hint="eastAsia" w:ascii="仿宋" w:hAnsi="仿宋" w:eastAsia="仿宋" w:cs="Times New Roman"/>
          <w:b/>
          <w:sz w:val="24"/>
          <w:szCs w:val="28"/>
        </w:rPr>
        <mc:AlternateContent>
          <mc:Choice Requires="wps">
            <w:drawing>
              <wp:anchor distT="0" distB="0" distL="114300" distR="114300" simplePos="0" relativeHeight="251675648" behindDoc="0" locked="0" layoutInCell="1" allowOverlap="1">
                <wp:simplePos x="0" y="0"/>
                <wp:positionH relativeFrom="column">
                  <wp:posOffset>7795895</wp:posOffset>
                </wp:positionH>
                <wp:positionV relativeFrom="paragraph">
                  <wp:posOffset>1765935</wp:posOffset>
                </wp:positionV>
                <wp:extent cx="1398905" cy="539750"/>
                <wp:effectExtent l="235585" t="351790" r="22860" b="22860"/>
                <wp:wrapNone/>
                <wp:docPr id="36" name="圆角矩形标注 10"/>
                <wp:cNvGraphicFramePr/>
                <a:graphic xmlns:a="http://schemas.openxmlformats.org/drawingml/2006/main">
                  <a:graphicData uri="http://schemas.microsoft.com/office/word/2010/wordprocessingShape">
                    <wps:wsp>
                      <wps:cNvSpPr>
                        <a:spLocks noChangeArrowheads="true"/>
                      </wps:cNvSpPr>
                      <wps:spPr bwMode="auto">
                        <a:xfrm>
                          <a:off x="0" y="0"/>
                          <a:ext cx="1398905" cy="539750"/>
                        </a:xfrm>
                        <a:prstGeom prst="wedgeRoundRectCallout">
                          <a:avLst>
                            <a:gd name="adj1" fmla="val -64481"/>
                            <a:gd name="adj2" fmla="val -111648"/>
                            <a:gd name="adj3" fmla="val 16667"/>
                          </a:avLst>
                        </a:prstGeom>
                        <a:solidFill>
                          <a:srgbClr val="4F81BD"/>
                        </a:solidFill>
                        <a:ln w="9525">
                          <a:solidFill>
                            <a:srgbClr val="000000"/>
                          </a:solidFill>
                          <a:miter lim="800000"/>
                        </a:ln>
                      </wps:spPr>
                      <wps:txbx>
                        <w:txbxContent>
                          <w:p>
                            <w:pPr>
                              <w:widowControl w:val="0"/>
                              <w:ind w:firstLine="440"/>
                              <w:jc w:val="center"/>
                              <w:textAlignment w:val="baseline"/>
                              <w:rPr>
                                <w:rFonts w:ascii="Times New Roman" w:hAnsi="Times New Roman" w:eastAsia="等线" w:cs="Times New Roman"/>
                                <w:kern w:val="2"/>
                                <w:sz w:val="24"/>
                                <w:szCs w:val="24"/>
                                <w:lang w:val="en-US" w:eastAsia="zh-CN" w:bidi="ar-SA"/>
                              </w:rPr>
                            </w:pPr>
                            <w:r>
                              <w:rPr>
                                <w:rFonts w:hint="eastAsia" w:ascii="微软雅黑" w:hAnsi="微软雅黑" w:eastAsia="微软雅黑" w:cs="Times New Roman"/>
                                <w:b/>
                                <w:bCs/>
                                <w:color w:val="000000"/>
                                <w:kern w:val="24"/>
                                <w:sz w:val="22"/>
                                <w:szCs w:val="22"/>
                                <w:lang w:val="en-US" w:eastAsia="zh-CN" w:bidi="ar-SA"/>
                              </w:rPr>
                              <w:t>2011年宜居</w:t>
                            </w:r>
                          </w:p>
                          <w:p>
                            <w:pPr>
                              <w:widowControl w:val="0"/>
                              <w:ind w:firstLine="440"/>
                              <w:jc w:val="center"/>
                              <w:textAlignment w:val="baseline"/>
                              <w:rPr>
                                <w:rFonts w:ascii="Times New Roman" w:hAnsi="Times New Roman" w:eastAsia="等线" w:cs="Times New Roman"/>
                                <w:kern w:val="2"/>
                                <w:sz w:val="24"/>
                                <w:szCs w:val="24"/>
                                <w:lang w:val="en-US" w:eastAsia="zh-CN" w:bidi="ar-SA"/>
                              </w:rPr>
                            </w:pPr>
                            <w:r>
                              <w:rPr>
                                <w:rFonts w:hint="eastAsia" w:ascii="微软雅黑" w:hAnsi="微软雅黑" w:eastAsia="微软雅黑" w:cs="Times New Roman"/>
                                <w:b/>
                                <w:bCs/>
                                <w:color w:val="000000"/>
                                <w:kern w:val="24"/>
                                <w:sz w:val="22"/>
                                <w:szCs w:val="22"/>
                                <w:lang w:val="en-US" w:eastAsia="zh-CN" w:bidi="ar-SA"/>
                              </w:rPr>
                              <w:t>城市主要因素</w:t>
                            </w:r>
                          </w:p>
                        </w:txbxContent>
                      </wps:txbx>
                      <wps:bodyPr rot="0" vert="horz" wrap="none" lIns="91440" tIns="45720" rIns="91440" bIns="45720" anchor="ctr" anchorCtr="false" upright="true">
                        <a:noAutofit/>
                      </wps:bodyPr>
                    </wps:wsp>
                  </a:graphicData>
                </a:graphic>
              </wp:anchor>
            </w:drawing>
          </mc:Choice>
          <mc:Fallback>
            <w:pict>
              <v:shape id="圆角矩形标注 10" o:spid="_x0000_s1026" o:spt="62" type="#_x0000_t62" style="position:absolute;left:0pt;margin-left:613.85pt;margin-top:139.05pt;height:42.5pt;width:110.15pt;mso-wrap-style:none;z-index:251675648;v-text-anchor:middle;mso-width-relative:page;mso-height-relative:page;" fillcolor="#4F81BD" filled="t" stroked="t" coordsize="21600,21600" o:gfxdata="UEsFBgAAAAAAAAAAAAAAAAAAAAAAAFBLAwQKAAAAAACHTuJAAAAAAAAAAAAAAAAABAAAAGRycy9Q&#10;SwMEFAAAAAgAh07iQGYcIGvbAAAADQEAAA8AAABkcnMvZG93bnJldi54bWxNj8tOwzAQRfdI/IM1&#10;SOyoE6dqojRORUGskFApsHfjyUON7Sh2mtKvZ7qiy6s5unNusTmbnp1w9J2zEuJFBAxt5XRnGwnf&#10;X29PGTAflNWqdxYl/KKHTXl/V6hcu9l+4mkfGkYl1udKQhvCkHPuqxaN8gs3oKVb7UajAsWx4XpU&#10;M5WbnosoWnGjOksfWjXgS4vVcT8ZCdW7uAzPl3mqP/A1qXc/20bttlI+PsTRGljAc/iH4apP6lCS&#10;08FNVnvWUxYiTYmVINIsBnZFlsuM9h0kJKskBl4W/HZF+QdQSwMEFAAAAAgAh07iQKEaQ9l4AgAA&#10;zQQAAA4AAABkcnMvZTJvRG9jLnhtbK1UzW7UMBC+I/EOlu9tNrvZdDfabFW2KkIqULXwAF7bSQyO&#10;bdnezZYHKHfOSCAuwJkzj9PCYzDxpiVLOSFysDyemW+++cvscFNLtObWCa1yHO8PMOKKaiZUmeOX&#10;L072Jhg5TxQjUiue40vu8OH84YNZYzI+1JWWjFsEIMpljclx5b3JosjRitfE7WvDFSgLbWviQbRl&#10;xCxpAL2W0XAwSKNGW2asptw5eD3eKvE84BcFp/55UTjukcwxcPPhtOFctmc0n5GstMRUgnY0yD+w&#10;qIlQEPQO6ph4glZW3IOqBbXa6cLvU11HuigE5SEHyCYe/JHNRUUMD7lAcZy5K5P7f7D02frMIsFy&#10;PEoxUqSGHl2/v/r5+d2PD1+vv3+6+fj25tsXFIdKNcZl4HBhzmybqzOnmr52SOlFRVTJj6zVTcUJ&#10;A37ernhb3GjHpxUceKNl81QzCEVWXoe6bQpbt5hQEbQJ7bm8aw/feEThMR5NJ9PBGCMKuvFoejAO&#10;rCKS3Xob6/xjrmvUXnLccFbyc71S7BwGYUGk1CsfwpH1qfOhX6xLmrBXMUZFLaH9ayLRXpokk7ib&#10;j57RcMcojuM0mdy3GvWt4jRND0IxSNYFBs63XEMltRTsREgZBFsuF9IiYJHj5GQSPzrunF3fTCrU&#10;5Hg6Ho5DRjs614cYhO9vELXwsHxS1Dme9I2k6hrX9qpdJZf5zXID7WyvS80uoYVWb5cJlh8ulbZv&#10;MGpgkXKsYNMxkk8UzME0TpJ274KQjA+GINi+ZtnXEEUBKMfUW4y2wsKDXBDpAHJlrCgriBamq62V&#10;0kcwQYXwt6O2JdfRh52B285S9uVg9fsvNP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Zhwga9sA&#10;AAANAQAADwAAAAAAAAABACAAAAA4AAAAZHJzL2Rvd25yZXYueG1sUEsBAhQAFAAAAAgAh07iQKEa&#10;Q9l4AgAAzQQAAA4AAAAAAAAAAQAgAAAAQAEAAGRycy9lMm9Eb2MueG1sUEsFBgAAAAAGAAYAWQEA&#10;ACoGAAAAAA==&#10;" adj="0,0,14400">
                <v:fill on="t" focussize="0,0"/>
                <v:stroke color="#000000" miterlimit="8" joinstyle="miter"/>
                <v:imagedata o:title=""/>
                <o:lock v:ext="edit" aspectratio="f"/>
                <v:textbox>
                  <w:txbxContent>
                    <w:p>
                      <w:pPr>
                        <w:widowControl w:val="0"/>
                        <w:ind w:firstLine="440"/>
                        <w:jc w:val="center"/>
                        <w:textAlignment w:val="baseline"/>
                        <w:rPr>
                          <w:rFonts w:ascii="Times New Roman" w:hAnsi="Times New Roman" w:eastAsia="等线" w:cs="Times New Roman"/>
                          <w:kern w:val="2"/>
                          <w:sz w:val="24"/>
                          <w:szCs w:val="24"/>
                          <w:lang w:val="en-US" w:eastAsia="zh-CN" w:bidi="ar-SA"/>
                        </w:rPr>
                      </w:pPr>
                      <w:r>
                        <w:rPr>
                          <w:rFonts w:hint="eastAsia" w:ascii="微软雅黑" w:hAnsi="微软雅黑" w:eastAsia="微软雅黑" w:cs="Times New Roman"/>
                          <w:b/>
                          <w:bCs/>
                          <w:color w:val="000000"/>
                          <w:kern w:val="24"/>
                          <w:sz w:val="22"/>
                          <w:szCs w:val="22"/>
                          <w:lang w:val="en-US" w:eastAsia="zh-CN" w:bidi="ar-SA"/>
                        </w:rPr>
                        <w:t>2011年宜居</w:t>
                      </w:r>
                    </w:p>
                    <w:p>
                      <w:pPr>
                        <w:widowControl w:val="0"/>
                        <w:ind w:firstLine="440"/>
                        <w:jc w:val="center"/>
                        <w:textAlignment w:val="baseline"/>
                        <w:rPr>
                          <w:rFonts w:ascii="Times New Roman" w:hAnsi="Times New Roman" w:eastAsia="等线" w:cs="Times New Roman"/>
                          <w:kern w:val="2"/>
                          <w:sz w:val="24"/>
                          <w:szCs w:val="24"/>
                          <w:lang w:val="en-US" w:eastAsia="zh-CN" w:bidi="ar-SA"/>
                        </w:rPr>
                      </w:pPr>
                      <w:r>
                        <w:rPr>
                          <w:rFonts w:hint="eastAsia" w:ascii="微软雅黑" w:hAnsi="微软雅黑" w:eastAsia="微软雅黑" w:cs="Times New Roman"/>
                          <w:b/>
                          <w:bCs/>
                          <w:color w:val="000000"/>
                          <w:kern w:val="24"/>
                          <w:sz w:val="22"/>
                          <w:szCs w:val="22"/>
                          <w:lang w:val="en-US" w:eastAsia="zh-CN" w:bidi="ar-SA"/>
                        </w:rPr>
                        <w:t>城市主要因素</w:t>
                      </w:r>
                    </w:p>
                  </w:txbxContent>
                </v:textbox>
              </v:shape>
            </w:pict>
          </mc:Fallback>
        </mc:AlternateContent>
      </w:r>
      <w:r>
        <w:rPr>
          <w:rFonts w:hint="eastAsia" w:ascii="仿宋" w:hAnsi="仿宋" w:eastAsia="仿宋" w:cs="Times New Roman"/>
          <w:b/>
          <w:sz w:val="24"/>
          <w:szCs w:val="28"/>
        </w:rPr>
        <w:t>图2</w:t>
      </w:r>
      <w:r>
        <w:rPr>
          <w:rFonts w:ascii="仿宋" w:hAnsi="仿宋" w:eastAsia="仿宋" w:cs="Times New Roman"/>
          <w:b/>
          <w:sz w:val="24"/>
          <w:szCs w:val="28"/>
        </w:rPr>
        <w:t>-</w:t>
      </w:r>
      <w:r>
        <w:rPr>
          <w:rFonts w:hint="eastAsia" w:ascii="仿宋" w:hAnsi="仿宋" w:eastAsia="仿宋" w:cs="Times New Roman"/>
          <w:b/>
          <w:sz w:val="24"/>
          <w:szCs w:val="28"/>
        </w:rPr>
        <w:t xml:space="preserve">3 </w:t>
      </w:r>
      <w:r>
        <w:rPr>
          <w:rFonts w:ascii="仿宋" w:hAnsi="仿宋" w:eastAsia="仿宋" w:cs="Times New Roman"/>
          <w:b/>
          <w:sz w:val="24"/>
          <w:szCs w:val="28"/>
        </w:rPr>
        <w:t xml:space="preserve"> </w:t>
      </w:r>
      <w:r>
        <w:rPr>
          <w:rFonts w:hint="eastAsia" w:ascii="仿宋" w:hAnsi="仿宋" w:eastAsia="仿宋" w:cs="Times New Roman"/>
          <w:b/>
          <w:sz w:val="24"/>
          <w:szCs w:val="28"/>
        </w:rPr>
        <w:t>201</w:t>
      </w:r>
      <w:r>
        <w:rPr>
          <w:rFonts w:ascii="仿宋" w:hAnsi="仿宋" w:eastAsia="仿宋" w:cs="Times New Roman"/>
          <w:b/>
          <w:sz w:val="24"/>
          <w:szCs w:val="28"/>
        </w:rPr>
        <w:t>5</w:t>
      </w:r>
      <w:r>
        <w:rPr>
          <w:rFonts w:hint="eastAsia" w:ascii="仿宋" w:hAnsi="仿宋" w:eastAsia="仿宋" w:cs="Times New Roman"/>
          <w:b/>
          <w:sz w:val="24"/>
          <w:szCs w:val="28"/>
        </w:rPr>
        <w:t>年-2020年各类宜居因素关注度对比</w:t>
      </w:r>
    </w:p>
    <w:p>
      <w:pPr>
        <w:tabs>
          <w:tab w:val="left" w:pos="0"/>
          <w:tab w:val="left" w:pos="1080"/>
        </w:tabs>
        <w:spacing w:line="360" w:lineRule="auto"/>
        <w:ind w:firstLine="560" w:firstLineChars="200"/>
        <w:rPr>
          <w:rFonts w:hint="eastAsia" w:ascii="仿宋" w:hAnsi="仿宋" w:eastAsia="仿宋" w:cs="Times New Roman"/>
          <w:sz w:val="28"/>
          <w:szCs w:val="28"/>
        </w:rPr>
      </w:pPr>
    </w:p>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left" w:pos="1080"/>
        <w:tab w:val="center" w:pos="4153"/>
        <w:tab w:val="right" w:pos="8306"/>
      </w:tabs>
      <w:snapToGrid w:val="0"/>
      <w:ind w:firstLine="360"/>
      <w:jc w:val="left"/>
      <w:rPr>
        <w:rFonts w:ascii="等线" w:hAnsi="等线" w:eastAsia="等线" w:cs="Times New Roman"/>
        <w:kern w:val="2"/>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left" w:pos="1080"/>
        <w:tab w:val="center" w:pos="4153"/>
        <w:tab w:val="right" w:pos="8306"/>
      </w:tabs>
      <w:snapToGrid w:val="0"/>
      <w:ind w:firstLine="360"/>
      <w:jc w:val="center"/>
      <w:rPr>
        <w:rFonts w:ascii="等线" w:hAnsi="宋体" w:eastAsia="等线" w:cs="Times New Roman"/>
        <w:kern w:val="2"/>
        <w:sz w:val="18"/>
        <w:szCs w:val="18"/>
        <w:lang w:val="en-US" w:eastAsia="zh-CN" w:bidi="ar-SA"/>
      </w:rPr>
    </w:pPr>
    <w:r>
      <w:rPr>
        <w:rFonts w:hint="eastAsia" w:ascii="等线" w:hAnsi="宋体" w:eastAsia="等线" w:cs="Times New Roman"/>
        <w:kern w:val="2"/>
        <w:sz w:val="18"/>
        <w:szCs w:val="18"/>
        <w:lang w:val="en-US" w:eastAsia="zh-CN" w:bidi="ar-SA"/>
      </w:rPr>
      <w:t>深圳市宜居城市市民满意度调查研究报告（2020年）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41971"/>
    <w:rsid w:val="11CF3BA0"/>
    <w:rsid w:val="1A2434B7"/>
    <w:rsid w:val="35F95279"/>
    <w:rsid w:val="39B862FB"/>
    <w:rsid w:val="3D447CB7"/>
    <w:rsid w:val="4BF41500"/>
    <w:rsid w:val="55572330"/>
    <w:rsid w:val="57541971"/>
    <w:rsid w:val="5C91560B"/>
    <w:rsid w:val="70DA4782"/>
    <w:rsid w:val="73513A64"/>
    <w:rsid w:val="F7EF7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124" w:firstLineChars="200"/>
      <w:jc w:val="both"/>
    </w:pPr>
    <w:rPr>
      <w:rFonts w:ascii="Times New Roman" w:hAnsi="Times New Roman" w:eastAsia="宋体" w:cstheme="minorBidi"/>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chart" Target="charts/chart8.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8.xml"/><Relationship Id="rId1" Type="http://schemas.openxmlformats.org/officeDocument/2006/relationships/oleObject" Target="file:///C:\Users\gf\Desktop\&#28385;&#24847;&#24230;&#25968;&#25454;&#20998;&#26512;.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5.xml"/><Relationship Id="rId1" Type="http://schemas.openxmlformats.org/officeDocument/2006/relationships/oleObject" Target="file:///C:\Users\gf\Desktop\&#28385;&#24847;&#24230;&#25968;&#25454;&#20998;&#26512;.xlsx"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oleObject" Target="file:///C:\Users\gf\Desktop\&#28385;&#24847;&#24230;&#25968;&#25454;&#20998;&#26512;.xlsx"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C:\Users\gf\Desktop\&#28385;&#24847;&#24230;&#35843;&#26597;\&#28385;&#24847;&#24230;&#25968;&#25454;&#20998;&#26512;%20(&#33258;&#21160;&#20445;&#23384;&#30340;).xlsx"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3.xml"/><Relationship Id="rId1" Type="http://schemas.openxmlformats.org/officeDocument/2006/relationships/oleObject" Target="file:///C:\Users\gf\Desktop\&#28385;&#24847;&#24230;&#25968;&#25454;&#20998;&#26512;.xlsx" TargetMode="External"/></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6.xml"/><Relationship Id="rId1" Type="http://schemas.openxmlformats.org/officeDocument/2006/relationships/oleObject" Target="file:///C:\Users\gf\Desktop\&#28385;&#24847;&#24230;&#35843;&#26597;\&#28385;&#24847;&#24230;&#25968;&#25454;&#20998;&#26512;%20(&#33258;&#21160;&#20445;&#23384;&#30340;)2.xlsx" TargetMode="External"/></Relationships>
</file>

<file path=word/charts/_rels/chart7.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4.xml"/><Relationship Id="rId1" Type="http://schemas.openxmlformats.org/officeDocument/2006/relationships/oleObject" Target="file:///D:\&#28385;&#24847;&#24230;&#35843;&#26597;\&#28385;&#24847;&#24230;&#25968;&#25454;&#20998;&#26512;%20(&#33258;&#21160;&#20445;&#23384;&#30340;).xlsx" TargetMode="External"/></Relationships>
</file>

<file path=word/charts/_rels/chart8.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7.xml"/><Relationship Id="rId1" Type="http://schemas.openxmlformats.org/officeDocument/2006/relationships/oleObject" Target="file:///C:\Users\gf\Desktop\&#28385;&#24847;&#24230;&#35843;&#26597;\&#28385;&#24847;&#24230;&#25968;&#25454;&#20998;&#26512;%20(&#33258;&#21160;&#20445;&#23384;&#3034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pieChart>
        <c:varyColors val="true"/>
        <c:ser>
          <c:idx val="0"/>
          <c:order val="0"/>
          <c:spPr/>
          <c:explosion val="0"/>
          <c:dPt>
            <c:idx val="0"/>
            <c:bubble3D val="false"/>
            <c:spPr>
              <a:solidFill>
                <a:srgbClr val="5B9BD5"/>
              </a:solidFill>
              <a:ln w="19050">
                <a:solidFill>
                  <a:sysClr val="window" lastClr="FFFFFF"/>
                </a:solidFill>
              </a:ln>
              <a:effectLst/>
            </c:spPr>
          </c:dPt>
          <c:dPt>
            <c:idx val="1"/>
            <c:bubble3D val="false"/>
            <c:spPr>
              <a:solidFill>
                <a:srgbClr val="ED7D31"/>
              </a:solidFill>
              <a:ln w="19050">
                <a:solidFill>
                  <a:sysClr val="window" lastClr="FFFFFF"/>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ysClr val="windowText" lastClr="000000">
                        <a:lumMod val="75000"/>
                        <a:lumOff val="25000"/>
                      </a:sys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ysClr val="windowText" lastClr="000000">
                          <a:lumMod val="35000"/>
                          <a:lumOff val="65000"/>
                        </a:sysClr>
                      </a:solidFill>
                      <a:round/>
                    </a:ln>
                    <a:effectLst/>
                  </c:spPr>
                </c15:leaderLines>
              </c:ext>
            </c:extLst>
          </c:dLbls>
          <c:cat>
            <c:strRef>
              <c:f>[满意度数据分析.xlsx]Sheet2!$A$1:$B$1</c:f>
              <c:strCache>
                <c:ptCount val="2"/>
                <c:pt idx="0">
                  <c:v>男性</c:v>
                </c:pt>
                <c:pt idx="1">
                  <c:v>女性</c:v>
                </c:pt>
              </c:strCache>
            </c:strRef>
          </c:cat>
          <c:val>
            <c:numRef>
              <c:f>[满意度数据分析.xlsx]Sheet2!$A$2:$B$2</c:f>
              <c:numCache>
                <c:formatCode>0.00%</c:formatCode>
                <c:ptCount val="2"/>
                <c:pt idx="0">
                  <c:v>0.4742</c:v>
                </c:pt>
                <c:pt idx="1">
                  <c:v>0.5258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true"/>
    <c:dispBlanksAs val="gap"/>
    <c:showDLblsOverMax val="false"/>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pieChart>
        <c:varyColors val="true"/>
        <c:ser>
          <c:idx val="0"/>
          <c:order val="0"/>
          <c:spPr/>
          <c:explosion val="0"/>
          <c:dPt>
            <c:idx val="0"/>
            <c:bubble3D val="false"/>
            <c:spPr>
              <a:solidFill>
                <a:srgbClr val="5B9BD5"/>
              </a:solidFill>
              <a:ln w="19050">
                <a:solidFill>
                  <a:sysClr val="window" lastClr="FFFFFF"/>
                </a:solidFill>
              </a:ln>
              <a:effectLst/>
            </c:spPr>
          </c:dPt>
          <c:dPt>
            <c:idx val="1"/>
            <c:bubble3D val="false"/>
            <c:spPr>
              <a:solidFill>
                <a:srgbClr val="ED7D31"/>
              </a:solidFill>
              <a:ln w="19050">
                <a:solidFill>
                  <a:sysClr val="window" lastClr="FFFFFF"/>
                </a:solidFill>
              </a:ln>
              <a:effectLst/>
            </c:spPr>
          </c:dPt>
          <c:dPt>
            <c:idx val="2"/>
            <c:bubble3D val="false"/>
            <c:spPr>
              <a:solidFill>
                <a:srgbClr val="A5A5A5"/>
              </a:solidFill>
              <a:ln w="19050">
                <a:solidFill>
                  <a:sysClr val="window" lastClr="FFFFFF"/>
                </a:solidFill>
              </a:ln>
              <a:effectLst/>
            </c:spPr>
          </c:dPt>
          <c:dPt>
            <c:idx val="3"/>
            <c:bubble3D val="false"/>
            <c:spPr>
              <a:solidFill>
                <a:srgbClr val="FFC000"/>
              </a:solidFill>
              <a:ln w="19050">
                <a:solidFill>
                  <a:sysClr val="window" lastClr="FFFFFF"/>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ysClr val="windowText" lastClr="000000">
                        <a:lumMod val="75000"/>
                        <a:lumOff val="25000"/>
                      </a:sys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ysClr val="windowText" lastClr="000000">
                          <a:lumMod val="35000"/>
                          <a:lumOff val="65000"/>
                        </a:sysClr>
                      </a:solidFill>
                      <a:round/>
                    </a:ln>
                    <a:effectLst/>
                  </c:spPr>
                </c15:leaderLines>
              </c:ext>
            </c:extLst>
          </c:dLbls>
          <c:cat>
            <c:strRef>
              <c:f>[满意度数据分析.xlsx]Sheet2!$A$23:$A$26</c:f>
              <c:strCache>
                <c:ptCount val="4"/>
                <c:pt idx="0">
                  <c:v>25岁以下</c:v>
                </c:pt>
                <c:pt idx="1">
                  <c:v>26-45岁</c:v>
                </c:pt>
                <c:pt idx="2">
                  <c:v>46-64岁</c:v>
                </c:pt>
                <c:pt idx="3">
                  <c:v>65岁及以上</c:v>
                </c:pt>
              </c:strCache>
            </c:strRef>
          </c:cat>
          <c:val>
            <c:numRef>
              <c:f>[满意度数据分析.xlsx]Sheet2!$B$23:$B$26</c:f>
              <c:numCache>
                <c:formatCode>0%</c:formatCode>
                <c:ptCount val="4"/>
                <c:pt idx="0">
                  <c:v>0.22</c:v>
                </c:pt>
                <c:pt idx="1">
                  <c:v>0.653</c:v>
                </c:pt>
                <c:pt idx="2" c:formatCode="0.00%">
                  <c:v>0.099</c:v>
                </c:pt>
                <c:pt idx="3" c:formatCode="0.00%">
                  <c:v>0.026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true"/>
    <c:dispBlanksAs val="gap"/>
    <c:showDLblsOverMax val="false"/>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pieChart>
        <c:varyColors val="true"/>
        <c:ser>
          <c:idx val="0"/>
          <c:order val="0"/>
          <c:spPr/>
          <c:explosion val="0"/>
          <c:dPt>
            <c:idx val="0"/>
            <c:bubble3D val="false"/>
            <c:spPr>
              <a:solidFill>
                <a:srgbClr val="5B9BD5"/>
              </a:solidFill>
              <a:ln w="19050">
                <a:solidFill>
                  <a:sysClr val="window" lastClr="FFFFFF"/>
                </a:solidFill>
              </a:ln>
              <a:effectLst/>
            </c:spPr>
          </c:dPt>
          <c:dPt>
            <c:idx val="1"/>
            <c:bubble3D val="false"/>
            <c:spPr>
              <a:solidFill>
                <a:srgbClr val="ED7D31"/>
              </a:solidFill>
              <a:ln w="19050">
                <a:solidFill>
                  <a:sysClr val="window" lastClr="FFFFFF"/>
                </a:solidFill>
              </a:ln>
              <a:effectLst/>
            </c:spPr>
          </c:dPt>
          <c:dPt>
            <c:idx val="2"/>
            <c:bubble3D val="false"/>
            <c:spPr>
              <a:solidFill>
                <a:srgbClr val="A5A5A5"/>
              </a:solidFill>
              <a:ln w="19050">
                <a:solidFill>
                  <a:sysClr val="window" lastClr="FFFFFF"/>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ysClr val="windowText" lastClr="000000">
                        <a:lumMod val="75000"/>
                        <a:lumOff val="25000"/>
                      </a:sys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ysClr val="windowText" lastClr="000000">
                          <a:lumMod val="35000"/>
                          <a:lumOff val="65000"/>
                        </a:sysClr>
                      </a:solidFill>
                      <a:round/>
                    </a:ln>
                    <a:effectLst/>
                  </c:spPr>
                </c15:leaderLines>
              </c:ext>
            </c:extLst>
          </c:dLbls>
          <c:cat>
            <c:strRef>
              <c:f>[满意度数据分析.xlsx]Sheet2!$A$41:$A$43</c:f>
              <c:strCache>
                <c:ptCount val="3"/>
                <c:pt idx="0">
                  <c:v>高中/中专/技校及以下</c:v>
                </c:pt>
                <c:pt idx="1">
                  <c:v>大学专科、本科</c:v>
                </c:pt>
                <c:pt idx="2">
                  <c:v>硕士及以上</c:v>
                </c:pt>
              </c:strCache>
            </c:strRef>
          </c:cat>
          <c:val>
            <c:numRef>
              <c:f>[满意度数据分析.xlsx]Sheet2!$B$41:$B$43</c:f>
              <c:numCache>
                <c:formatCode>0.00%</c:formatCode>
                <c:ptCount val="3"/>
                <c:pt idx="0">
                  <c:v>0.451</c:v>
                </c:pt>
                <c:pt idx="1">
                  <c:v>0.513</c:v>
                </c:pt>
                <c:pt idx="2">
                  <c:v>0.035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true"/>
    <c:dispBlanksAs val="gap"/>
    <c:showDLblsOverMax val="false"/>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pieChart>
        <c:varyColors val="true"/>
        <c:ser>
          <c:idx val="0"/>
          <c:order val="0"/>
          <c:spPr/>
          <c:explosion val="0"/>
          <c:dPt>
            <c:idx val="0"/>
            <c:bubble3D val="false"/>
            <c:spPr>
              <a:solidFill>
                <a:srgbClr val="5B9BD5"/>
              </a:solidFill>
              <a:ln w="19050">
                <a:solidFill>
                  <a:sysClr val="window" lastClr="FFFFFF"/>
                </a:solidFill>
              </a:ln>
              <a:effectLst/>
            </c:spPr>
          </c:dPt>
          <c:dPt>
            <c:idx val="1"/>
            <c:bubble3D val="false"/>
            <c:spPr>
              <a:solidFill>
                <a:srgbClr val="ED7D31"/>
              </a:solidFill>
              <a:ln w="19050">
                <a:solidFill>
                  <a:sysClr val="window" lastClr="FFFFFF"/>
                </a:solidFill>
              </a:ln>
              <a:effectLst/>
            </c:spPr>
          </c:dPt>
          <c:dPt>
            <c:idx val="2"/>
            <c:bubble3D val="false"/>
            <c:spPr>
              <a:solidFill>
                <a:srgbClr val="A5A5A5"/>
              </a:solidFill>
              <a:ln w="19050">
                <a:solidFill>
                  <a:sysClr val="window" lastClr="FFFFFF"/>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ysClr val="windowText" lastClr="000000">
                        <a:lumMod val="75000"/>
                        <a:lumOff val="25000"/>
                      </a:sys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ysClr val="windowText" lastClr="000000">
                          <a:lumMod val="35000"/>
                          <a:lumOff val="65000"/>
                        </a:sysClr>
                      </a:solidFill>
                      <a:round/>
                    </a:ln>
                    <a:effectLst/>
                  </c:spPr>
                </c15:leaderLines>
              </c:ext>
            </c:extLst>
          </c:dLbls>
          <c:cat>
            <c:strRef>
              <c:f>'[满意度数据分析 (自动保存的).xlsx]固定群体宜居满意度'!$A$61:$A$63</c:f>
              <c:strCache>
                <c:ptCount val="3"/>
                <c:pt idx="0">
                  <c:v>深户</c:v>
                </c:pt>
                <c:pt idx="1">
                  <c:v>非深户</c:v>
                </c:pt>
                <c:pt idx="2">
                  <c:v>外国人</c:v>
                </c:pt>
              </c:strCache>
            </c:strRef>
          </c:cat>
          <c:val>
            <c:numRef>
              <c:f>'[满意度数据分析 (自动保存的).xlsx]固定群体宜居满意度'!$C$61:$C$63</c:f>
              <c:numCache>
                <c:formatCode>0.00%</c:formatCode>
                <c:ptCount val="3"/>
                <c:pt idx="0">
                  <c:v>0.362</c:v>
                </c:pt>
                <c:pt idx="1">
                  <c:v>0.625</c:v>
                </c:pt>
                <c:pt idx="2">
                  <c:v>0.013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true"/>
    <c:dispBlanksAs val="gap"/>
    <c:showDLblsOverMax val="false"/>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pieChart>
        <c:varyColors val="true"/>
        <c:ser>
          <c:idx val="0"/>
          <c:order val="0"/>
          <c:spPr/>
          <c:explosion val="0"/>
          <c:dPt>
            <c:idx val="0"/>
            <c:bubble3D val="false"/>
            <c:spPr>
              <a:solidFill>
                <a:srgbClr val="5B9BD5"/>
              </a:solidFill>
              <a:ln w="19050">
                <a:solidFill>
                  <a:sysClr val="window" lastClr="FFFFFF"/>
                </a:solidFill>
              </a:ln>
              <a:effectLst/>
            </c:spPr>
          </c:dPt>
          <c:dPt>
            <c:idx val="1"/>
            <c:bubble3D val="false"/>
            <c:spPr>
              <a:solidFill>
                <a:srgbClr val="ED7D31"/>
              </a:solidFill>
              <a:ln w="19050">
                <a:solidFill>
                  <a:sysClr val="window" lastClr="FFFFFF"/>
                </a:solidFill>
              </a:ln>
              <a:effectLst/>
            </c:spPr>
          </c:dPt>
          <c:dPt>
            <c:idx val="2"/>
            <c:bubble3D val="false"/>
            <c:spPr>
              <a:solidFill>
                <a:srgbClr val="A5A5A5"/>
              </a:solidFill>
              <a:ln w="19050">
                <a:solidFill>
                  <a:sysClr val="window" lastClr="FFFFFF"/>
                </a:solidFill>
              </a:ln>
              <a:effectLst/>
            </c:spPr>
          </c:dPt>
          <c:dPt>
            <c:idx val="3"/>
            <c:bubble3D val="false"/>
            <c:spPr>
              <a:solidFill>
                <a:srgbClr val="FFC000"/>
              </a:solidFill>
              <a:ln w="19050">
                <a:solidFill>
                  <a:sysClr val="window" lastClr="FFFFFF"/>
                </a:solidFill>
              </a:ln>
              <a:effectLst/>
            </c:spPr>
          </c:dPt>
          <c:dPt>
            <c:idx val="4"/>
            <c:bubble3D val="false"/>
            <c:spPr>
              <a:solidFill>
                <a:srgbClr val="4472C4"/>
              </a:solidFill>
              <a:ln w="19050">
                <a:solidFill>
                  <a:sysClr val="window" lastClr="FFFFFF"/>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ysClr val="windowText" lastClr="000000">
                        <a:lumMod val="75000"/>
                        <a:lumOff val="25000"/>
                      </a:sys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ysClr val="windowText" lastClr="000000">
                          <a:lumMod val="35000"/>
                          <a:lumOff val="65000"/>
                        </a:sysClr>
                      </a:solidFill>
                      <a:round/>
                    </a:ln>
                    <a:effectLst/>
                  </c:spPr>
                </c15:leaderLines>
              </c:ext>
            </c:extLst>
          </c:dLbls>
          <c:cat>
            <c:strRef>
              <c:f>[满意度数据分析.xlsx]Sheet2!$A$79:$A$83</c:f>
              <c:strCache>
                <c:ptCount val="5"/>
                <c:pt idx="0">
                  <c:v>3000元以下</c:v>
                </c:pt>
                <c:pt idx="1">
                  <c:v>3001-6000元</c:v>
                </c:pt>
                <c:pt idx="2">
                  <c:v>6001-10000元</c:v>
                </c:pt>
                <c:pt idx="3">
                  <c:v>10001-15000元</c:v>
                </c:pt>
                <c:pt idx="4">
                  <c:v>15000以上</c:v>
                </c:pt>
              </c:strCache>
            </c:strRef>
          </c:cat>
          <c:val>
            <c:numRef>
              <c:f>[满意度数据分析.xlsx]Sheet2!$B$79:$B$83</c:f>
              <c:numCache>
                <c:formatCode>0.00%</c:formatCode>
                <c:ptCount val="5"/>
                <c:pt idx="0">
                  <c:v>0.122</c:v>
                </c:pt>
                <c:pt idx="1">
                  <c:v>0.434</c:v>
                </c:pt>
                <c:pt idx="2">
                  <c:v>0.251</c:v>
                </c:pt>
                <c:pt idx="3">
                  <c:v>0.097</c:v>
                </c:pt>
                <c:pt idx="4">
                  <c:v>0.093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true"/>
    <c:dispBlanksAs val="gap"/>
    <c:showDLblsOverMax val="false"/>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manualLayout>
          <c:layoutTarget val="inner"/>
          <c:xMode val="edge"/>
          <c:yMode val="edge"/>
          <c:x val="0.123596876525134"/>
          <c:y val="0.0524179912073047"/>
          <c:w val="0.845900439238653"/>
          <c:h val="0.757186337504227"/>
        </c:manualLayout>
      </c:layout>
      <c:lineChart>
        <c:grouping val="standard"/>
        <c:varyColors val="false"/>
        <c:ser>
          <c:idx val="0"/>
          <c:order val="0"/>
          <c:tx>
            <c:strRef>
              <c:f>'[满意度数据分析 (自动保存的)2.xlsx]宜居城市各因素满意度'!$B$93</c:f>
              <c:strCache>
                <c:ptCount val="1"/>
                <c:pt idx="0">
                  <c:v>满意度</c:v>
                </c:pt>
              </c:strCache>
            </c:strRef>
          </c:tx>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ysClr val="windowText" lastClr="000000"/>
                    </a:solidFill>
                    <a:latin typeface="+mn-lt"/>
                    <a:ea typeface="+mn-ea"/>
                    <a:cs typeface="+mn-cs"/>
                  </a:defRPr>
                </a:pPr>
              </a:p>
            </c:txPr>
            <c:dLblPos val="t"/>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'[满意度数据分析 (自动保存的)2.xlsx]宜居城市各因素满意度'!$A$94:$A$103</c:f>
              <c:strCache>
                <c:ptCount val="10"/>
                <c:pt idx="0">
                  <c:v>2011年</c:v>
                </c:pt>
                <c:pt idx="1">
                  <c:v>2012年</c:v>
                </c:pt>
                <c:pt idx="2">
                  <c:v>2013年</c:v>
                </c:pt>
                <c:pt idx="3">
                  <c:v>2014年</c:v>
                </c:pt>
                <c:pt idx="4">
                  <c:v>2015年</c:v>
                </c:pt>
                <c:pt idx="5">
                  <c:v>2016年</c:v>
                </c:pt>
                <c:pt idx="6">
                  <c:v>2017年</c:v>
                </c:pt>
                <c:pt idx="7">
                  <c:v>2018年</c:v>
                </c:pt>
                <c:pt idx="8">
                  <c:v>2019年</c:v>
                </c:pt>
                <c:pt idx="9">
                  <c:v>2020年</c:v>
                </c:pt>
              </c:strCache>
            </c:strRef>
          </c:cat>
          <c:val>
            <c:numRef>
              <c:f>'[满意度数据分析 (自动保存的)2.xlsx]宜居城市各因素满意度'!$B$94:$B$103</c:f>
              <c:numCache>
                <c:formatCode>0.00%</c:formatCode>
                <c:ptCount val="10"/>
                <c:pt idx="0">
                  <c:v>0.69</c:v>
                </c:pt>
                <c:pt idx="1">
                  <c:v>0.725</c:v>
                </c:pt>
                <c:pt idx="2">
                  <c:v>0.7067</c:v>
                </c:pt>
                <c:pt idx="3">
                  <c:v>0.6841</c:v>
                </c:pt>
                <c:pt idx="4">
                  <c:v>0.7224</c:v>
                </c:pt>
                <c:pt idx="5">
                  <c:v>0.6945</c:v>
                </c:pt>
                <c:pt idx="6">
                  <c:v>0.7366</c:v>
                </c:pt>
                <c:pt idx="7">
                  <c:v>0.7718</c:v>
                </c:pt>
                <c:pt idx="8">
                  <c:v>0.7951</c:v>
                </c:pt>
                <c:pt idx="9">
                  <c:v>0.87953665314738</c:v>
                </c:pt>
              </c:numCache>
            </c:numRef>
          </c:val>
          <c:smooth val="false"/>
        </c:ser>
        <c:dLbls>
          <c:showLegendKey val="false"/>
          <c:showVal val="true"/>
          <c:showCatName val="false"/>
          <c:showSerName val="false"/>
          <c:showPercent val="false"/>
          <c:showBubbleSize val="false"/>
        </c:dLbls>
        <c:marker val="true"/>
        <c:smooth val="false"/>
        <c:axId val="159897600"/>
        <c:axId val="9163264"/>
      </c:lineChart>
      <c:catAx>
        <c:axId val="159897600"/>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ysClr val="windowText" lastClr="000000"/>
                </a:solidFill>
                <a:latin typeface="+mn-lt"/>
                <a:ea typeface="+mn-ea"/>
                <a:cs typeface="+mn-cs"/>
              </a:defRPr>
            </a:pPr>
          </a:p>
        </c:txPr>
        <c:crossAx val="9163264"/>
        <c:crosses val="autoZero"/>
        <c:auto val="true"/>
        <c:lblAlgn val="ctr"/>
        <c:lblOffset val="100"/>
        <c:noMultiLvlLbl val="false"/>
      </c:catAx>
      <c:valAx>
        <c:axId val="9163264"/>
        <c:scaling>
          <c:orientation val="minMax"/>
        </c:scaling>
        <c:delete val="false"/>
        <c:axPos val="l"/>
        <c:majorGridlines/>
        <c:numFmt formatCode="0.00%"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ysClr val="windowText" lastClr="000000"/>
                </a:solidFill>
                <a:latin typeface="+mn-lt"/>
                <a:ea typeface="+mn-ea"/>
                <a:cs typeface="+mn-cs"/>
              </a:defRPr>
            </a:pPr>
          </a:p>
        </c:txPr>
        <c:crossAx val="159897600"/>
        <c:crosses val="autoZero"/>
        <c:crossBetween val="between"/>
      </c:valAx>
      <c:spPr>
        <a:solidFill>
          <a:srgbClr val="5B9BD5">
            <a:lumMod val="40000"/>
            <a:lumOff val="60000"/>
          </a:srgbClr>
        </a:solidFill>
      </c:spPr>
    </c:plotArea>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barChart>
        <c:barDir val="bar"/>
        <c:grouping val="stacked"/>
        <c:varyColors val="false"/>
        <c:ser>
          <c:idx val="0"/>
          <c:order val="0"/>
          <c:tx>
            <c:strRef>
              <c:f>Sheet1!$B$64</c:f>
              <c:strCache>
                <c:ptCount val="1"/>
                <c:pt idx="0">
                  <c:v>权重</c:v>
                </c:pt>
              </c:strCache>
            </c:strRef>
          </c:tx>
          <c:spPr>
            <a:solidFill>
              <a:srgbClr val="5B9BD5"/>
            </a:solidFill>
            <a:ln>
              <a:noFill/>
            </a:ln>
            <a:effectLst/>
          </c:spPr>
          <c:invertIfNegative val="false"/>
          <c:dLbls>
            <c:dLbl>
              <c:idx val="0"/>
              <c:layout>
                <c:manualLayout>
                  <c:x val="0.09375"/>
                  <c:y val="-0.00347222222222222"/>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9375"/>
                  <c:y val="0.00347222222222222"/>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9375"/>
                  <c:y val="0.00347222222222222"/>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104166666666667"/>
                  <c:y val="0"/>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10625"/>
                  <c:y val="0.00347222222222222"/>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5"/>
              <c:layout>
                <c:manualLayout>
                  <c:x val="0.108333333333333"/>
                  <c:y val="0"/>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6"/>
              <c:layout>
                <c:manualLayout>
                  <c:x val="0.108333333333333"/>
                  <c:y val="-0.00347222222222222"/>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7"/>
              <c:layout>
                <c:manualLayout>
                  <c:x val="0.110416666666667"/>
                  <c:y val="0"/>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8"/>
              <c:layout>
                <c:manualLayout>
                  <c:x val="0.108333333333333"/>
                  <c:y val="-0.00694444444444444"/>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ysClr val="windowText" lastClr="000000">
                        <a:lumMod val="75000"/>
                        <a:lumOff val="25000"/>
                      </a:sysClr>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ysClr val="windowText" lastClr="000000">
                          <a:lumMod val="35000"/>
                          <a:lumOff val="65000"/>
                        </a:sysClr>
                      </a:solidFill>
                      <a:round/>
                    </a:ln>
                    <a:effectLst/>
                  </c:spPr>
                </c15:leaderLines>
              </c:ext>
            </c:extLst>
          </c:dLbls>
          <c:cat>
            <c:strRef>
              <c:f>Sheet1!$A$65:$A$73</c:f>
              <c:strCache>
                <c:ptCount val="9"/>
                <c:pt idx="0">
                  <c:v>文化服务</c:v>
                </c:pt>
                <c:pt idx="1">
                  <c:v>社区管理</c:v>
                </c:pt>
                <c:pt idx="2">
                  <c:v>特殊群体关爱</c:v>
                </c:pt>
                <c:pt idx="3">
                  <c:v>公共安全</c:v>
                </c:pt>
                <c:pt idx="4">
                  <c:v>经济发展</c:v>
                </c:pt>
                <c:pt idx="5">
                  <c:v>住房条件</c:v>
                </c:pt>
                <c:pt idx="6">
                  <c:v>城市交通</c:v>
                </c:pt>
                <c:pt idx="7">
                  <c:v>教育医疗服务</c:v>
                </c:pt>
                <c:pt idx="8">
                  <c:v>城市环境</c:v>
                </c:pt>
              </c:strCache>
            </c:strRef>
          </c:cat>
          <c:val>
            <c:numRef>
              <c:f>Sheet1!$B$65:$B$73</c:f>
              <c:numCache>
                <c:formatCode>0.00%</c:formatCode>
                <c:ptCount val="9"/>
                <c:pt idx="0">
                  <c:v>0.0299032541776605</c:v>
                </c:pt>
                <c:pt idx="1">
                  <c:v>0.0422791808016082</c:v>
                </c:pt>
                <c:pt idx="2">
                  <c:v>0.0937303681367006</c:v>
                </c:pt>
                <c:pt idx="3">
                  <c:v>0.101645935419022</c:v>
                </c:pt>
                <c:pt idx="4">
                  <c:v>0.10239979896972</c:v>
                </c:pt>
                <c:pt idx="5">
                  <c:v>0.126020856891569</c:v>
                </c:pt>
                <c:pt idx="6">
                  <c:v>0.129099133056917</c:v>
                </c:pt>
                <c:pt idx="7">
                  <c:v>0.161138333961553</c:v>
                </c:pt>
                <c:pt idx="8">
                  <c:v>0.213783138585249</c:v>
                </c:pt>
              </c:numCache>
            </c:numRef>
          </c:val>
        </c:ser>
        <c:dLbls>
          <c:showLegendKey val="false"/>
          <c:showVal val="true"/>
          <c:showCatName val="false"/>
          <c:showSerName val="false"/>
          <c:showPercent val="false"/>
          <c:showBubbleSize val="false"/>
        </c:dLbls>
        <c:gapWidth val="55"/>
        <c:overlap val="100"/>
        <c:axId val="204019124"/>
        <c:axId val="109966102"/>
      </c:barChart>
      <c:catAx>
        <c:axId val="204019124"/>
        <c:scaling>
          <c:orientation val="minMax"/>
        </c:scaling>
        <c:delete val="false"/>
        <c:axPos val="l"/>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0" vertOverflow="ellipsis" vert="horz" wrap="square" anchor="ctr" anchorCtr="true"/>
          <a:lstStyle/>
          <a:p>
            <a:pPr>
              <a:defRPr lang="zh-CN" sz="900" b="0" i="0" u="none" strike="noStrike" kern="1200" baseline="0">
                <a:solidFill>
                  <a:sysClr val="windowText" lastClr="000000">
                    <a:lumMod val="65000"/>
                    <a:lumOff val="35000"/>
                  </a:sysClr>
                </a:solidFill>
                <a:latin typeface="+mn-lt"/>
                <a:ea typeface="+mn-ea"/>
                <a:cs typeface="+mn-cs"/>
              </a:defRPr>
            </a:pPr>
          </a:p>
        </c:txPr>
        <c:crossAx val="109966102"/>
        <c:crosses val="autoZero"/>
        <c:auto val="true"/>
        <c:lblAlgn val="ctr"/>
        <c:lblOffset val="100"/>
        <c:noMultiLvlLbl val="false"/>
      </c:catAx>
      <c:valAx>
        <c:axId val="109966102"/>
        <c:scaling>
          <c:orientation val="minMax"/>
        </c:scaling>
        <c:delete val="false"/>
        <c:axPos val="b"/>
        <c:majorGridlines>
          <c:spPr>
            <a:ln w="9525" cap="flat" cmpd="sng" algn="ctr">
              <a:solidFill>
                <a:sysClr val="windowText" lastClr="000000">
                  <a:lumMod val="15000"/>
                  <a:lumOff val="85000"/>
                </a:sysClr>
              </a:solidFill>
              <a:round/>
            </a:ln>
            <a:effectLst/>
          </c:spPr>
        </c:majorGridlines>
        <c:numFmt formatCode="0.00%"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ysClr val="windowText" lastClr="000000">
                    <a:lumMod val="65000"/>
                    <a:lumOff val="35000"/>
                  </a:sysClr>
                </a:solidFill>
                <a:latin typeface="+mn-lt"/>
                <a:ea typeface="+mn-ea"/>
                <a:cs typeface="+mn-cs"/>
              </a:defRPr>
            </a:pPr>
          </a:p>
        </c:txPr>
        <c:crossAx val="204019124"/>
        <c:crosses val="autoZero"/>
        <c:crossBetween val="between"/>
      </c:valAx>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true"/>
    <c:dispBlanksAs val="gap"/>
    <c:showDLblsOverMax val="false"/>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false"/>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barChart>
        <c:barDir val="col"/>
        <c:grouping val="clustered"/>
        <c:varyColors val="false"/>
        <c:ser>
          <c:idx val="0"/>
          <c:order val="0"/>
          <c:tx>
            <c:strRef>
              <c:f>Sheet1!$A$594</c:f>
              <c:strCache>
                <c:ptCount val="1"/>
                <c:pt idx="0">
                  <c:v>2015年</c:v>
                </c:pt>
              </c:strCache>
            </c:strRef>
          </c:tx>
          <c:spPr>
            <a:solidFill>
              <a:srgbClr val="5B9BD5"/>
            </a:solidFill>
            <a:ln>
              <a:noFill/>
            </a:ln>
            <a:effectLst/>
          </c:spPr>
          <c:invertIfNegative val="false"/>
          <c:dLbls>
            <c:delete val="true"/>
          </c:dLbls>
          <c:cat>
            <c:strRef>
              <c:f>Sheet1!$B$593:$J$593</c:f>
              <c:strCache>
                <c:ptCount val="9"/>
                <c:pt idx="0">
                  <c:v>社区管理</c:v>
                </c:pt>
                <c:pt idx="1">
                  <c:v>文化服务</c:v>
                </c:pt>
                <c:pt idx="2">
                  <c:v>城市交通</c:v>
                </c:pt>
                <c:pt idx="3" c:formatCode="0.00%">
                  <c:v>公共安全</c:v>
                </c:pt>
                <c:pt idx="4" c:formatCode="0.00%">
                  <c:v>对特殊群体关爱</c:v>
                </c:pt>
                <c:pt idx="5" c:formatCode="0.00%">
                  <c:v>教育医疗服务</c:v>
                </c:pt>
                <c:pt idx="6">
                  <c:v>城市环境</c:v>
                </c:pt>
                <c:pt idx="7">
                  <c:v>住房条件</c:v>
                </c:pt>
                <c:pt idx="8">
                  <c:v>经济发展</c:v>
                </c:pt>
              </c:strCache>
            </c:strRef>
          </c:cat>
          <c:val>
            <c:numRef>
              <c:f>Sheet1!$B$594:$J$594</c:f>
              <c:numCache>
                <c:formatCode>0.00%</c:formatCode>
                <c:ptCount val="9"/>
                <c:pt idx="0">
                  <c:v>0.0208</c:v>
                </c:pt>
                <c:pt idx="1">
                  <c:v>0.069</c:v>
                </c:pt>
                <c:pt idx="2">
                  <c:v>0.1068</c:v>
                </c:pt>
                <c:pt idx="3">
                  <c:v>0.123</c:v>
                </c:pt>
                <c:pt idx="4">
                  <c:v>0.087</c:v>
                </c:pt>
                <c:pt idx="5">
                  <c:v>0.136</c:v>
                </c:pt>
                <c:pt idx="6">
                  <c:v>0.2074</c:v>
                </c:pt>
                <c:pt idx="7">
                  <c:v>0.118</c:v>
                </c:pt>
                <c:pt idx="8">
                  <c:v>0.132</c:v>
                </c:pt>
              </c:numCache>
            </c:numRef>
          </c:val>
        </c:ser>
        <c:ser>
          <c:idx val="1"/>
          <c:order val="1"/>
          <c:tx>
            <c:strRef>
              <c:f>Sheet1!$A$595</c:f>
              <c:strCache>
                <c:ptCount val="1"/>
                <c:pt idx="0">
                  <c:v>2016年</c:v>
                </c:pt>
              </c:strCache>
            </c:strRef>
          </c:tx>
          <c:spPr>
            <a:solidFill>
              <a:srgbClr val="ED7D31"/>
            </a:solidFill>
            <a:ln>
              <a:noFill/>
            </a:ln>
            <a:effectLst/>
          </c:spPr>
          <c:invertIfNegative val="false"/>
          <c:dLbls>
            <c:delete val="true"/>
          </c:dLbls>
          <c:cat>
            <c:strRef>
              <c:f>Sheet1!$B$593:$J$593</c:f>
              <c:strCache>
                <c:ptCount val="9"/>
                <c:pt idx="0">
                  <c:v>社区管理</c:v>
                </c:pt>
                <c:pt idx="1">
                  <c:v>文化服务</c:v>
                </c:pt>
                <c:pt idx="2">
                  <c:v>城市交通</c:v>
                </c:pt>
                <c:pt idx="3" c:formatCode="0.00%">
                  <c:v>公共安全</c:v>
                </c:pt>
                <c:pt idx="4" c:formatCode="0.00%">
                  <c:v>对特殊群体关爱</c:v>
                </c:pt>
                <c:pt idx="5" c:formatCode="0.00%">
                  <c:v>教育医疗服务</c:v>
                </c:pt>
                <c:pt idx="6">
                  <c:v>城市环境</c:v>
                </c:pt>
                <c:pt idx="7">
                  <c:v>住房条件</c:v>
                </c:pt>
                <c:pt idx="8">
                  <c:v>经济发展</c:v>
                </c:pt>
              </c:strCache>
            </c:strRef>
          </c:cat>
          <c:val>
            <c:numRef>
              <c:f>Sheet1!$B$595:$J$595</c:f>
              <c:numCache>
                <c:formatCode>0.00%</c:formatCode>
                <c:ptCount val="9"/>
                <c:pt idx="0">
                  <c:v>0.0251</c:v>
                </c:pt>
                <c:pt idx="1">
                  <c:v>0.051</c:v>
                </c:pt>
                <c:pt idx="2">
                  <c:v>0.1021</c:v>
                </c:pt>
                <c:pt idx="3">
                  <c:v>0.128</c:v>
                </c:pt>
                <c:pt idx="4">
                  <c:v>0.095</c:v>
                </c:pt>
                <c:pt idx="5">
                  <c:v>0.172</c:v>
                </c:pt>
                <c:pt idx="6">
                  <c:v>0.1938</c:v>
                </c:pt>
                <c:pt idx="7">
                  <c:v>0.113</c:v>
                </c:pt>
                <c:pt idx="8">
                  <c:v>0.12</c:v>
                </c:pt>
              </c:numCache>
            </c:numRef>
          </c:val>
        </c:ser>
        <c:ser>
          <c:idx val="2"/>
          <c:order val="2"/>
          <c:tx>
            <c:strRef>
              <c:f>Sheet1!$A$596</c:f>
              <c:strCache>
                <c:ptCount val="1"/>
                <c:pt idx="0">
                  <c:v>2017年</c:v>
                </c:pt>
              </c:strCache>
            </c:strRef>
          </c:tx>
          <c:spPr>
            <a:solidFill>
              <a:srgbClr val="A5A5A5"/>
            </a:solidFill>
            <a:ln>
              <a:noFill/>
            </a:ln>
            <a:effectLst/>
          </c:spPr>
          <c:invertIfNegative val="false"/>
          <c:dLbls>
            <c:delete val="true"/>
          </c:dLbls>
          <c:cat>
            <c:strRef>
              <c:f>Sheet1!$B$593:$J$593</c:f>
              <c:strCache>
                <c:ptCount val="9"/>
                <c:pt idx="0">
                  <c:v>社区管理</c:v>
                </c:pt>
                <c:pt idx="1">
                  <c:v>文化服务</c:v>
                </c:pt>
                <c:pt idx="2">
                  <c:v>城市交通</c:v>
                </c:pt>
                <c:pt idx="3" c:formatCode="0.00%">
                  <c:v>公共安全</c:v>
                </c:pt>
                <c:pt idx="4" c:formatCode="0.00%">
                  <c:v>对特殊群体关爱</c:v>
                </c:pt>
                <c:pt idx="5" c:formatCode="0.00%">
                  <c:v>教育医疗服务</c:v>
                </c:pt>
                <c:pt idx="6">
                  <c:v>城市环境</c:v>
                </c:pt>
                <c:pt idx="7">
                  <c:v>住房条件</c:v>
                </c:pt>
                <c:pt idx="8">
                  <c:v>经济发展</c:v>
                </c:pt>
              </c:strCache>
            </c:strRef>
          </c:cat>
          <c:val>
            <c:numRef>
              <c:f>Sheet1!$B$596:$J$596</c:f>
              <c:numCache>
                <c:formatCode>0.00%</c:formatCode>
                <c:ptCount val="9"/>
                <c:pt idx="0">
                  <c:v>0.0286</c:v>
                </c:pt>
                <c:pt idx="1">
                  <c:v>0.0573</c:v>
                </c:pt>
                <c:pt idx="2">
                  <c:v>0.1056</c:v>
                </c:pt>
                <c:pt idx="3">
                  <c:v>0.119</c:v>
                </c:pt>
                <c:pt idx="4">
                  <c:v>0.0794</c:v>
                </c:pt>
                <c:pt idx="5">
                  <c:v>0.1665</c:v>
                </c:pt>
                <c:pt idx="6">
                  <c:v>0.2171</c:v>
                </c:pt>
                <c:pt idx="7">
                  <c:v>0.1198</c:v>
                </c:pt>
                <c:pt idx="8">
                  <c:v>0.1067</c:v>
                </c:pt>
              </c:numCache>
            </c:numRef>
          </c:val>
        </c:ser>
        <c:ser>
          <c:idx val="3"/>
          <c:order val="3"/>
          <c:tx>
            <c:strRef>
              <c:f>Sheet1!$A$597</c:f>
              <c:strCache>
                <c:ptCount val="1"/>
                <c:pt idx="0">
                  <c:v>2018年</c:v>
                </c:pt>
              </c:strCache>
            </c:strRef>
          </c:tx>
          <c:spPr>
            <a:solidFill>
              <a:srgbClr val="FFC000"/>
            </a:solidFill>
            <a:ln>
              <a:noFill/>
            </a:ln>
            <a:effectLst/>
          </c:spPr>
          <c:invertIfNegative val="false"/>
          <c:dLbls>
            <c:delete val="true"/>
          </c:dLbls>
          <c:cat>
            <c:strRef>
              <c:f>Sheet1!$B$593:$J$593</c:f>
              <c:strCache>
                <c:ptCount val="9"/>
                <c:pt idx="0">
                  <c:v>社区管理</c:v>
                </c:pt>
                <c:pt idx="1">
                  <c:v>文化服务</c:v>
                </c:pt>
                <c:pt idx="2">
                  <c:v>城市交通</c:v>
                </c:pt>
                <c:pt idx="3" c:formatCode="0.00%">
                  <c:v>公共安全</c:v>
                </c:pt>
                <c:pt idx="4" c:formatCode="0.00%">
                  <c:v>对特殊群体关爱</c:v>
                </c:pt>
                <c:pt idx="5" c:formatCode="0.00%">
                  <c:v>教育医疗服务</c:v>
                </c:pt>
                <c:pt idx="6">
                  <c:v>城市环境</c:v>
                </c:pt>
                <c:pt idx="7">
                  <c:v>住房条件</c:v>
                </c:pt>
                <c:pt idx="8">
                  <c:v>经济发展</c:v>
                </c:pt>
              </c:strCache>
            </c:strRef>
          </c:cat>
          <c:val>
            <c:numRef>
              <c:f>Sheet1!$B$597:$J$597</c:f>
              <c:numCache>
                <c:formatCode>0.00%</c:formatCode>
                <c:ptCount val="9"/>
                <c:pt idx="0">
                  <c:v>0.0311</c:v>
                </c:pt>
                <c:pt idx="1">
                  <c:v>0.056</c:v>
                </c:pt>
                <c:pt idx="2">
                  <c:v>0.106</c:v>
                </c:pt>
                <c:pt idx="3">
                  <c:v>0.1178</c:v>
                </c:pt>
                <c:pt idx="4">
                  <c:v>0.0807</c:v>
                </c:pt>
                <c:pt idx="5">
                  <c:v>0.1728</c:v>
                </c:pt>
                <c:pt idx="6">
                  <c:v>0.1896</c:v>
                </c:pt>
                <c:pt idx="7">
                  <c:v>0.125</c:v>
                </c:pt>
                <c:pt idx="8">
                  <c:v>0.121</c:v>
                </c:pt>
              </c:numCache>
            </c:numRef>
          </c:val>
        </c:ser>
        <c:ser>
          <c:idx val="4"/>
          <c:order val="4"/>
          <c:tx>
            <c:strRef>
              <c:f>Sheet1!$A$598</c:f>
              <c:strCache>
                <c:ptCount val="1"/>
                <c:pt idx="0">
                  <c:v>2019年</c:v>
                </c:pt>
              </c:strCache>
            </c:strRef>
          </c:tx>
          <c:spPr>
            <a:solidFill>
              <a:srgbClr val="4472C4"/>
            </a:solidFill>
            <a:ln>
              <a:noFill/>
            </a:ln>
            <a:effectLst/>
          </c:spPr>
          <c:invertIfNegative val="false"/>
          <c:dLbls>
            <c:delete val="true"/>
          </c:dLbls>
          <c:cat>
            <c:strRef>
              <c:f>Sheet1!$B$593:$J$593</c:f>
              <c:strCache>
                <c:ptCount val="9"/>
                <c:pt idx="0">
                  <c:v>社区管理</c:v>
                </c:pt>
                <c:pt idx="1">
                  <c:v>文化服务</c:v>
                </c:pt>
                <c:pt idx="2">
                  <c:v>城市交通</c:v>
                </c:pt>
                <c:pt idx="3" c:formatCode="0.00%">
                  <c:v>公共安全</c:v>
                </c:pt>
                <c:pt idx="4" c:formatCode="0.00%">
                  <c:v>对特殊群体关爱</c:v>
                </c:pt>
                <c:pt idx="5" c:formatCode="0.00%">
                  <c:v>教育医疗服务</c:v>
                </c:pt>
                <c:pt idx="6">
                  <c:v>城市环境</c:v>
                </c:pt>
                <c:pt idx="7">
                  <c:v>住房条件</c:v>
                </c:pt>
                <c:pt idx="8">
                  <c:v>经济发展</c:v>
                </c:pt>
              </c:strCache>
            </c:strRef>
          </c:cat>
          <c:val>
            <c:numRef>
              <c:f>Sheet1!$B$598:$J$598</c:f>
              <c:numCache>
                <c:formatCode>0.00%</c:formatCode>
                <c:ptCount val="9"/>
                <c:pt idx="0">
                  <c:v>0.0202</c:v>
                </c:pt>
                <c:pt idx="1">
                  <c:v>0.0445</c:v>
                </c:pt>
                <c:pt idx="2">
                  <c:v>0.0924</c:v>
                </c:pt>
                <c:pt idx="3">
                  <c:v>0.1042</c:v>
                </c:pt>
                <c:pt idx="4">
                  <c:v>0.0762</c:v>
                </c:pt>
                <c:pt idx="5">
                  <c:v>0.1823</c:v>
                </c:pt>
                <c:pt idx="6">
                  <c:v>0.1987</c:v>
                </c:pt>
                <c:pt idx="7">
                  <c:v>0.1402</c:v>
                </c:pt>
                <c:pt idx="8">
                  <c:v>0.1413</c:v>
                </c:pt>
              </c:numCache>
            </c:numRef>
          </c:val>
        </c:ser>
        <c:ser>
          <c:idx val="5"/>
          <c:order val="5"/>
          <c:tx>
            <c:strRef>
              <c:f>Sheet1!$A$599</c:f>
              <c:strCache>
                <c:ptCount val="1"/>
                <c:pt idx="0">
                  <c:v>2020年</c:v>
                </c:pt>
              </c:strCache>
            </c:strRef>
          </c:tx>
          <c:spPr>
            <a:solidFill>
              <a:srgbClr val="70AD47"/>
            </a:solidFill>
            <a:ln>
              <a:noFill/>
            </a:ln>
            <a:effectLst/>
          </c:spPr>
          <c:invertIfNegative val="false"/>
          <c:dLbls>
            <c:delete val="true"/>
          </c:dLbls>
          <c:cat>
            <c:strRef>
              <c:f>Sheet1!$B$593:$J$593</c:f>
              <c:strCache>
                <c:ptCount val="9"/>
                <c:pt idx="0">
                  <c:v>社区管理</c:v>
                </c:pt>
                <c:pt idx="1">
                  <c:v>文化服务</c:v>
                </c:pt>
                <c:pt idx="2">
                  <c:v>城市交通</c:v>
                </c:pt>
                <c:pt idx="3" c:formatCode="0.00%">
                  <c:v>公共安全</c:v>
                </c:pt>
                <c:pt idx="4" c:formatCode="0.00%">
                  <c:v>对特殊群体关爱</c:v>
                </c:pt>
                <c:pt idx="5" c:formatCode="0.00%">
                  <c:v>教育医疗服务</c:v>
                </c:pt>
                <c:pt idx="6">
                  <c:v>城市环境</c:v>
                </c:pt>
                <c:pt idx="7">
                  <c:v>住房条件</c:v>
                </c:pt>
                <c:pt idx="8">
                  <c:v>经济发展</c:v>
                </c:pt>
              </c:strCache>
            </c:strRef>
          </c:cat>
          <c:val>
            <c:numRef>
              <c:f>Sheet1!$B$599:$J$599</c:f>
              <c:numCache>
                <c:formatCode>0.00%</c:formatCode>
                <c:ptCount val="9"/>
                <c:pt idx="0">
                  <c:v>0.0422791808016082</c:v>
                </c:pt>
                <c:pt idx="1">
                  <c:v>0.0299032541776605</c:v>
                </c:pt>
                <c:pt idx="2">
                  <c:v>0.129099133056917</c:v>
                </c:pt>
                <c:pt idx="3">
                  <c:v>0.101645935419022</c:v>
                </c:pt>
                <c:pt idx="4">
                  <c:v>0.0937303681367006</c:v>
                </c:pt>
                <c:pt idx="5">
                  <c:v>0.161138333961553</c:v>
                </c:pt>
                <c:pt idx="6">
                  <c:v>0.213783138585249</c:v>
                </c:pt>
                <c:pt idx="7">
                  <c:v>0.126020856891569</c:v>
                </c:pt>
                <c:pt idx="8">
                  <c:v>0.10239979896972</c:v>
                </c:pt>
              </c:numCache>
            </c:numRef>
          </c:val>
        </c:ser>
        <c:dLbls>
          <c:showLegendKey val="false"/>
          <c:showVal val="false"/>
          <c:showCatName val="false"/>
          <c:showSerName val="false"/>
          <c:showPercent val="false"/>
          <c:showBubbleSize val="false"/>
        </c:dLbls>
        <c:gapWidth val="219"/>
        <c:overlap val="-27"/>
        <c:axId val="142994625"/>
        <c:axId val="904232596"/>
      </c:barChart>
      <c:catAx>
        <c:axId val="142994625"/>
        <c:scaling>
          <c:orientation val="minMax"/>
        </c:scaling>
        <c:delete val="false"/>
        <c:axPos val="b"/>
        <c:majorTickMark val="none"/>
        <c:minorTickMark val="none"/>
        <c:tickLblPos val="nextTo"/>
        <c:spPr>
          <a:noFill/>
          <a:ln w="9525" cap="flat" cmpd="sng" algn="ctr">
            <a:solidFill>
              <a:sysClr val="windowText" lastClr="000000">
                <a:lumMod val="15000"/>
                <a:lumOff val="85000"/>
              </a:sysClr>
            </a:solidFill>
            <a:round/>
          </a:ln>
          <a:effectLst/>
        </c:spPr>
        <c:txPr>
          <a:bodyPr rot="0" spcFirstLastPara="0" vertOverflow="ellipsis" vert="eaVert" wrap="square" anchor="ctr" anchorCtr="true"/>
          <a:lstStyle/>
          <a:p>
            <a:pPr>
              <a:defRPr lang="zh-CN" sz="900" b="0" i="0" u="none" strike="noStrike" kern="1200" baseline="0">
                <a:solidFill>
                  <a:sysClr val="windowText" lastClr="000000">
                    <a:lumMod val="65000"/>
                    <a:lumOff val="35000"/>
                  </a:sysClr>
                </a:solidFill>
                <a:latin typeface="+mn-lt"/>
                <a:ea typeface="+mn-ea"/>
                <a:cs typeface="+mn-cs"/>
              </a:defRPr>
            </a:pPr>
          </a:p>
        </c:txPr>
        <c:crossAx val="904232596"/>
        <c:crosses val="autoZero"/>
        <c:auto val="true"/>
        <c:lblAlgn val="ctr"/>
        <c:lblOffset val="100"/>
        <c:noMultiLvlLbl val="false"/>
      </c:catAx>
      <c:valAx>
        <c:axId val="904232596"/>
        <c:scaling>
          <c:orientation val="minMax"/>
        </c:scaling>
        <c:delete val="false"/>
        <c:axPos val="l"/>
        <c:majorGridlines>
          <c:spPr>
            <a:ln w="9525" cap="flat" cmpd="sng" algn="ctr">
              <a:solidFill>
                <a:sysClr val="windowText" lastClr="000000">
                  <a:lumMod val="15000"/>
                  <a:lumOff val="85000"/>
                </a:sysClr>
              </a:solidFill>
              <a:round/>
            </a:ln>
            <a:effectLst/>
          </c:spPr>
        </c:majorGridlines>
        <c:numFmt formatCode="0.00%"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ysClr val="windowText" lastClr="000000">
                    <a:lumMod val="65000"/>
                    <a:lumOff val="35000"/>
                  </a:sysClr>
                </a:solidFill>
                <a:latin typeface="+mn-lt"/>
                <a:ea typeface="+mn-ea"/>
                <a:cs typeface="+mn-cs"/>
              </a:defRPr>
            </a:pPr>
          </a:p>
        </c:txPr>
        <c:crossAx val="142994625"/>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true"/>
    <c:dispBlanksAs val="gap"/>
    <c:showDLblsOverMax val="false"/>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2020-10-19T18:06:00Z</dcterms:created>
  <dc:creator>繁星下的马蹄灯</dc:creator>
  <cp:lastModifiedBy>L.Jie</cp:lastModifiedBy>
  <dcterms:modified xsi:type="dcterms:W3CDTF">2023-10-27T17:40:13Z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