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560" w:lineRule="exact"/>
        <w:textAlignment w:val="auto"/>
        <w:rPr>
          <w:rFonts w:hint="eastAsia" w:ascii="黑体" w:hAnsi="黑体" w:eastAsia="黑体" w:cs="黑体"/>
          <w:sz w:val="44"/>
          <w:szCs w:val="44"/>
          <w:shd w:val="clear" w:color="050000" w:fill="auto"/>
        </w:rPr>
      </w:pPr>
      <w:r>
        <w:rPr>
          <w:rFonts w:hint="eastAsia" w:ascii="黑体" w:hAnsi="黑体" w:eastAsia="黑体" w:cs="黑体"/>
          <w:sz w:val="44"/>
          <w:szCs w:val="44"/>
          <w:shd w:val="clear" w:color="050000" w:fill="auto"/>
        </w:rPr>
        <w:t>附件</w:t>
      </w:r>
    </w:p>
    <w:p>
      <w:pPr>
        <w:jc w:val="left"/>
        <w:rPr>
          <w:rFonts w:hint="eastAsia" w:ascii="黑体" w:hAnsi="黑体" w:eastAsia="黑体" w:cs="黑体"/>
          <w:b w:val="0"/>
          <w:bCs w:val="0"/>
          <w:sz w:val="44"/>
          <w:szCs w:val="44"/>
          <w:lang w:val="en-US" w:eastAsia="zh-CN"/>
        </w:rPr>
      </w:pPr>
    </w:p>
    <w:p>
      <w:pPr>
        <w:pStyle w:val=""/>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《高分子益胶泥应用技术规程（征求意见稿）》</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560" w:lineRule="exact"/>
        <w:ind w:left="0" w:right="0" w:firstLine="0"/>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意见及采纳情况汇总表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本次征求意见共收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29</w:t>
      </w:r>
      <w:r>
        <w:rPr>
          <w:rFonts w:hint="eastAsia" w:ascii="仿宋_GB2312" w:hAnsi="仿宋_GB2312" w:eastAsia="仿宋_GB2312" w:cs="仿宋_GB2312"/>
          <w:color w:val="000000" w:themeColor="text1"/>
          <w:sz w:val="32"/>
          <w:szCs w:val="32"/>
          <w:highlight w:val="none"/>
          <w14:textFill>
            <w14:solidFill>
              <w14:schemeClr w14:val="tx1"/>
            </w14:solidFill>
          </w14:textFill>
        </w:rPr>
        <w:t>条有效意见。经认真研究，采纳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highlight w:val="none"/>
          <w14:textFill>
            <w14:solidFill>
              <w14:schemeClr w14:val="tx1"/>
            </w14:solidFill>
          </w14:textFill>
        </w:rPr>
        <w:t>条，部分采纳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不采纳6条，</w:t>
      </w:r>
      <w:r>
        <w:rPr>
          <w:rFonts w:hint="eastAsia" w:ascii="仿宋_GB2312" w:hAnsi="仿宋_GB2312" w:eastAsia="仿宋_GB2312" w:cs="仿宋_GB2312"/>
          <w:color w:val="000000" w:themeColor="text1"/>
          <w:sz w:val="32"/>
          <w:szCs w:val="32"/>
          <w:highlight w:val="none"/>
          <w14:textFill>
            <w14:solidFill>
              <w14:schemeClr w14:val="tx1"/>
            </w14:solidFill>
          </w14:textFill>
        </w:rPr>
        <w:t>解释说明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条。</w:t>
      </w:r>
      <w:bookmarkStart w:id="0" w:name="_GoBack"/>
      <w:bookmarkEnd w:id="0"/>
    </w:p>
    <w:p>
      <w:pPr>
        <w:pStyle w:val="2"/>
        <w:rPr>
          <w:rFonts w:hint="eastAsia"/>
        </w:rPr>
      </w:pPr>
    </w:p>
    <w:tbl>
      <w:tblPr>
        <w:tblStyle w:val="10"/>
        <w:tblW w:w="4920" w:type="pct"/>
        <w:jc w:val="center"/>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fixed"/>
        <w:tblCellMar>
          <w:top w:w="0" w:type="dxa"/>
          <w:left w:w="0" w:type="dxa"/>
          <w:bottom w:w="0" w:type="dxa"/>
          <w:right w:w="0" w:type="dxa"/>
        </w:tblCellMar>
      </w:tblPr>
      <w:tblGrid>
        <w:gridCol w:w="549"/>
        <w:gridCol w:w="1365"/>
        <w:gridCol w:w="3327"/>
        <w:gridCol w:w="4515"/>
        <w:gridCol w:w="1180"/>
        <w:gridCol w:w="3399"/>
        <w:gridCol w:w="7"/>
      </w:tblGrid>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PrEx>
        <w:trPr>
          <w:trHeight w:val="629" w:hRule="atLeast"/>
          <w:tblHeader/>
          <w:jc w:val="center"/>
        </w:trPr>
        <w:tc>
          <w:tcPr>
            <w:tcW w:w="191" w:type="pct"/>
            <w:tcBorders>
              <w:tl2br w:val="nil"/>
              <w:tr2bl w:val="nil"/>
            </w:tcBorders>
            <w:vAlign w:val="center"/>
          </w:tcPr>
          <w:p>
            <w:pPr>
              <w:widowControl/>
              <w:kinsoku w:val="0"/>
              <w:autoSpaceDE w:val="0"/>
              <w:autoSpaceDN w:val="0"/>
              <w:adjustRightInd w:val="0"/>
              <w:snapToGrid w:val="0"/>
              <w:spacing w:before="115" w:line="218" w:lineRule="auto"/>
              <w:ind w:left="52"/>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spacing w:val="7"/>
                <w:kern w:val="0"/>
                <w:sz w:val="24"/>
                <w:szCs w:val="24"/>
              </w:rPr>
              <w:t>序</w:t>
            </w:r>
            <w:r>
              <w:rPr>
                <w:rFonts w:hint="eastAsia" w:ascii="仿宋_GB2312" w:hAnsi="仿宋_GB2312" w:eastAsia="仿宋_GB2312" w:cs="仿宋_GB2312"/>
                <w:b/>
                <w:bCs/>
                <w:color w:val="auto"/>
                <w:spacing w:val="6"/>
                <w:kern w:val="0"/>
                <w:sz w:val="24"/>
                <w:szCs w:val="24"/>
              </w:rPr>
              <w:t>号</w:t>
            </w:r>
          </w:p>
        </w:tc>
        <w:tc>
          <w:tcPr>
            <w:tcW w:w="475" w:type="pct"/>
            <w:tcBorders>
              <w:tl2br w:val="nil"/>
              <w:tr2bl w:val="nil"/>
            </w:tcBorders>
            <w:vAlign w:val="center"/>
          </w:tcPr>
          <w:p>
            <w:pPr>
              <w:widowControl/>
              <w:kinsoku w:val="0"/>
              <w:autoSpaceDE w:val="0"/>
              <w:autoSpaceDN w:val="0"/>
              <w:adjustRightInd w:val="0"/>
              <w:snapToGrid w:val="0"/>
              <w:spacing w:before="51" w:line="258" w:lineRule="auto"/>
              <w:ind w:left="341" w:right="126" w:hanging="212"/>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spacing w:val="7"/>
                <w:kern w:val="0"/>
                <w:sz w:val="24"/>
                <w:szCs w:val="24"/>
              </w:rPr>
              <w:t>所涉章/节</w:t>
            </w:r>
            <w:r>
              <w:rPr>
                <w:rFonts w:hint="eastAsia" w:ascii="仿宋_GB2312" w:hAnsi="仿宋_GB2312" w:eastAsia="仿宋_GB2312" w:cs="仿宋_GB2312"/>
                <w:b/>
                <w:bCs/>
                <w:color w:val="auto"/>
                <w:spacing w:val="6"/>
                <w:kern w:val="0"/>
                <w:sz w:val="24"/>
                <w:szCs w:val="24"/>
              </w:rPr>
              <w:t>/</w:t>
            </w:r>
          </w:p>
          <w:p>
            <w:pPr>
              <w:widowControl/>
              <w:kinsoku w:val="0"/>
              <w:autoSpaceDE w:val="0"/>
              <w:autoSpaceDN w:val="0"/>
              <w:adjustRightInd w:val="0"/>
              <w:snapToGrid w:val="0"/>
              <w:spacing w:before="51" w:line="258" w:lineRule="auto"/>
              <w:ind w:left="341" w:right="126" w:hanging="212"/>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spacing w:val="7"/>
                <w:kern w:val="0"/>
                <w:sz w:val="24"/>
                <w:szCs w:val="24"/>
              </w:rPr>
              <w:t>条</w:t>
            </w:r>
            <w:r>
              <w:rPr>
                <w:rFonts w:hint="eastAsia" w:ascii="仿宋_GB2312" w:hAnsi="仿宋_GB2312" w:eastAsia="仿宋_GB2312" w:cs="仿宋_GB2312"/>
                <w:b/>
                <w:bCs/>
                <w:color w:val="auto"/>
                <w:spacing w:val="6"/>
                <w:kern w:val="0"/>
                <w:sz w:val="24"/>
                <w:szCs w:val="24"/>
              </w:rPr>
              <w:t>文号</w:t>
            </w:r>
          </w:p>
        </w:tc>
        <w:tc>
          <w:tcPr>
            <w:tcW w:w="1159" w:type="pct"/>
            <w:tcBorders>
              <w:tl2br w:val="nil"/>
              <w:tr2bl w:val="nil"/>
            </w:tcBorders>
            <w:vAlign w:val="center"/>
          </w:tcPr>
          <w:p>
            <w:pPr>
              <w:widowControl/>
              <w:kinsoku w:val="0"/>
              <w:autoSpaceDE w:val="0"/>
              <w:autoSpaceDN w:val="0"/>
              <w:adjustRightInd w:val="0"/>
              <w:snapToGrid w:val="0"/>
              <w:spacing w:before="51" w:line="258" w:lineRule="auto"/>
              <w:ind w:left="672" w:right="138" w:hanging="530"/>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原条文内容</w:t>
            </w:r>
          </w:p>
        </w:tc>
        <w:tc>
          <w:tcPr>
            <w:tcW w:w="1574" w:type="pct"/>
            <w:tcBorders>
              <w:tl2br w:val="nil"/>
              <w:tr2bl w:val="nil"/>
            </w:tcBorders>
            <w:vAlign w:val="center"/>
          </w:tcPr>
          <w:p>
            <w:pPr>
              <w:widowControl/>
              <w:kinsoku w:val="0"/>
              <w:autoSpaceDE w:val="0"/>
              <w:autoSpaceDN w:val="0"/>
              <w:adjustRightInd w:val="0"/>
              <w:snapToGrid w:val="0"/>
              <w:spacing w:before="51" w:line="258" w:lineRule="auto"/>
              <w:ind w:left="316" w:right="207" w:hanging="104"/>
              <w:jc w:val="center"/>
              <w:rPr>
                <w:rFonts w:hint="eastAsia" w:ascii="仿宋_GB2312" w:hAnsi="仿宋_GB2312" w:eastAsia="仿宋_GB2312" w:cs="仿宋_GB2312"/>
                <w:b/>
                <w:bCs/>
                <w:color w:val="auto"/>
                <w:spacing w:val="8"/>
                <w:kern w:val="0"/>
                <w:sz w:val="24"/>
                <w:szCs w:val="24"/>
                <w:lang w:val="en-US" w:eastAsia="zh-CN"/>
              </w:rPr>
            </w:pPr>
            <w:r>
              <w:rPr>
                <w:rFonts w:hint="eastAsia" w:ascii="仿宋_GB2312" w:hAnsi="仿宋_GB2312" w:eastAsia="仿宋_GB2312" w:cs="仿宋_GB2312"/>
                <w:b/>
                <w:bCs/>
                <w:color w:val="auto"/>
                <w:spacing w:val="8"/>
                <w:kern w:val="0"/>
                <w:sz w:val="24"/>
                <w:szCs w:val="24"/>
                <w:lang w:val="en-US" w:eastAsia="zh-CN"/>
              </w:rPr>
              <w:t>具体意见</w:t>
            </w:r>
          </w:p>
        </w:tc>
        <w:tc>
          <w:tcPr>
            <w:tcW w:w="411" w:type="pct"/>
            <w:tcBorders>
              <w:tl2br w:val="nil"/>
              <w:tr2bl w:val="nil"/>
            </w:tcBorders>
            <w:vAlign w:val="center"/>
          </w:tcPr>
          <w:p>
            <w:pPr>
              <w:widowControl/>
              <w:kinsoku w:val="0"/>
              <w:autoSpaceDE w:val="0"/>
              <w:autoSpaceDN w:val="0"/>
              <w:adjustRightInd w:val="0"/>
              <w:snapToGrid w:val="0"/>
              <w:spacing w:before="51" w:line="258" w:lineRule="auto"/>
              <w:ind w:left="316" w:right="207" w:hanging="104"/>
              <w:jc w:val="center"/>
              <w:rPr>
                <w:rFonts w:hint="eastAsia" w:ascii="仿宋_GB2312" w:hAnsi="仿宋_GB2312" w:eastAsia="仿宋_GB2312" w:cs="仿宋_GB2312"/>
                <w:b/>
                <w:bCs/>
                <w:color w:val="auto"/>
                <w:spacing w:val="8"/>
                <w:kern w:val="0"/>
                <w:sz w:val="24"/>
                <w:szCs w:val="24"/>
              </w:rPr>
            </w:pPr>
            <w:r>
              <w:rPr>
                <w:rFonts w:hint="eastAsia" w:ascii="仿宋_GB2312" w:hAnsi="仿宋_GB2312" w:eastAsia="仿宋_GB2312" w:cs="仿宋_GB2312"/>
                <w:b/>
                <w:bCs/>
                <w:color w:val="auto"/>
                <w:spacing w:val="8"/>
                <w:kern w:val="0"/>
                <w:sz w:val="24"/>
                <w:szCs w:val="24"/>
              </w:rPr>
              <w:t>采纳情况</w:t>
            </w:r>
          </w:p>
        </w:tc>
        <w:tc>
          <w:tcPr>
            <w:tcW w:w="1187" w:type="pct"/>
            <w:gridSpan w:val="2"/>
            <w:tcBorders>
              <w:tl2br w:val="nil"/>
              <w:tr2bl w:val="nil"/>
            </w:tcBorders>
            <w:vAlign w:val="center"/>
          </w:tcPr>
          <w:p>
            <w:pPr>
              <w:widowControl/>
              <w:kinsoku w:val="0"/>
              <w:autoSpaceDE w:val="0"/>
              <w:autoSpaceDN w:val="0"/>
              <w:adjustRightInd w:val="0"/>
              <w:snapToGrid w:val="0"/>
              <w:spacing w:before="51" w:line="258" w:lineRule="auto"/>
              <w:ind w:left="316" w:right="207" w:hanging="104"/>
              <w:jc w:val="center"/>
              <w:rPr>
                <w:rFonts w:hint="eastAsia" w:ascii="仿宋_GB2312" w:hAnsi="仿宋_GB2312" w:eastAsia="仿宋_GB2312" w:cs="仿宋_GB2312"/>
                <w:b/>
                <w:bCs/>
                <w:color w:val="auto"/>
                <w:kern w:val="0"/>
                <w:sz w:val="24"/>
                <w:szCs w:val="24"/>
                <w:lang w:val="en-US" w:eastAsia="zh-CN"/>
              </w:rPr>
            </w:pPr>
            <w:r>
              <w:rPr>
                <w:rFonts w:hint="eastAsia" w:ascii="仿宋_GB2312" w:hAnsi="仿宋_GB2312" w:eastAsia="仿宋_GB2312" w:cs="仿宋_GB2312"/>
                <w:b/>
                <w:bCs/>
                <w:color w:val="auto"/>
                <w:spacing w:val="8"/>
                <w:kern w:val="0"/>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179" w:hRule="atLeast"/>
          <w:jc w:val="center"/>
        </w:trPr>
        <w:tc>
          <w:tcPr>
            <w:tcW w:w="191"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rPr>
                <w:rFonts w:hint="eastAsia" w:ascii="仿宋_GB2312" w:hAnsi="仿宋_GB2312" w:eastAsia="仿宋_GB2312" w:cs="仿宋_GB2312"/>
                <w:color w:val="auto"/>
                <w:spacing w:val="-8"/>
                <w:kern w:val="0"/>
                <w:sz w:val="24"/>
                <w:szCs w:val="24"/>
                <w:lang w:val="en-US" w:eastAsia="zh-CN"/>
              </w:rPr>
            </w:pPr>
          </w:p>
        </w:tc>
        <w:tc>
          <w:tcPr>
            <w:tcW w:w="475"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4.2.3</w:t>
            </w:r>
          </w:p>
        </w:tc>
        <w:tc>
          <w:tcPr>
            <w:tcW w:w="1159"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4.2.3 抽样比例应符合下列规定：</w:t>
            </w:r>
          </w:p>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  组批：同一类别产品，每80t为一批，不足80t按一批计。</w:t>
            </w:r>
          </w:p>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  抽样： 每批产品或生产线中不应少于6个（组）取样点随机抽取。样品总质量不少于20kg。样品分为两份，一份试验，一份备用。试验前应将所取样品充分混合均匀，先进行外观检验，外观合格后再进行物理力学试验。</w:t>
            </w:r>
          </w:p>
        </w:tc>
        <w:tc>
          <w:tcPr>
            <w:tcW w:w="1574"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《建筑与市政工程施工质量控制通用规范》（ GB 55032）3.2.2规定：“对涉及结构安全、节能、环境保护和主要使用功能的试块、试件及材料，应按规定进行见证检验。见证检验应在建设单位或者监理单位的监督下现场取样、送检，检测试样应具有真实性和代表性”。鉴于高分子益胶泥是具有抗渗性能和粘结饰面块材性能的防水、粘结材料，该材料对于工程防渗功能和外观具有重要作用，因此，建议将《高分子益胶泥应用技术规程》（以下简称《规程》）4.2.3条文中的“抽样”明确为“见证检验”</w:t>
            </w:r>
          </w:p>
        </w:tc>
        <w:tc>
          <w:tcPr>
            <w:tcW w:w="411"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采纳</w:t>
            </w:r>
          </w:p>
        </w:tc>
        <w:tc>
          <w:tcPr>
            <w:tcW w:w="1187" w:type="pct"/>
            <w:gridSpan w:val="2"/>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4.2.3条抽样改为“见证取样”。</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555" w:hRule="atLeast"/>
          <w:jc w:val="center"/>
        </w:trPr>
        <w:tc>
          <w:tcPr>
            <w:tcW w:w="191"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rPr>
                <w:rFonts w:hint="eastAsia" w:ascii="仿宋_GB2312" w:hAnsi="仿宋_GB2312" w:eastAsia="仿宋_GB2312" w:cs="仿宋_GB2312"/>
                <w:color w:val="auto"/>
                <w:spacing w:val="-8"/>
                <w:kern w:val="0"/>
                <w:sz w:val="24"/>
                <w:szCs w:val="24"/>
                <w:lang w:val="en-US" w:eastAsia="zh-CN"/>
              </w:rPr>
            </w:pPr>
          </w:p>
        </w:tc>
        <w:tc>
          <w:tcPr>
            <w:tcW w:w="475"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7.2</w:t>
            </w:r>
          </w:p>
        </w:tc>
        <w:tc>
          <w:tcPr>
            <w:tcW w:w="1159"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7.2  防水层质量验收</w:t>
            </w:r>
          </w:p>
        </w:tc>
        <w:tc>
          <w:tcPr>
            <w:tcW w:w="1574"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《建筑与市政工程防水通用规范》（GB 55030-2022）6.0.1规定：“防水工程施工完成后应按规定程序和组织方式进行质量验收”。建议在《规程》7.2条文中进一步补充工程验收时应核验的文件和记录。</w:t>
            </w:r>
          </w:p>
        </w:tc>
        <w:tc>
          <w:tcPr>
            <w:tcW w:w="411"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不采纳</w:t>
            </w:r>
          </w:p>
        </w:tc>
        <w:tc>
          <w:tcPr>
            <w:tcW w:w="1187" w:type="pct"/>
            <w:gridSpan w:val="2"/>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对标SJG19第11章节验收；</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91"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rPr>
                <w:rFonts w:hint="eastAsia" w:ascii="仿宋_GB2312" w:hAnsi="仿宋_GB2312" w:eastAsia="仿宋_GB2312" w:cs="仿宋_GB2312"/>
                <w:color w:val="auto"/>
                <w:spacing w:val="-8"/>
                <w:kern w:val="0"/>
                <w:sz w:val="24"/>
                <w:szCs w:val="24"/>
                <w:lang w:val="en-US" w:eastAsia="zh-CN"/>
              </w:rPr>
            </w:pPr>
          </w:p>
        </w:tc>
        <w:tc>
          <w:tcPr>
            <w:tcW w:w="475"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7.2-7.3</w:t>
            </w:r>
          </w:p>
        </w:tc>
        <w:tc>
          <w:tcPr>
            <w:tcW w:w="1159"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w:t>
            </w:r>
          </w:p>
        </w:tc>
        <w:tc>
          <w:tcPr>
            <w:tcW w:w="1574"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《建筑与市政工程施工质量控制通用规范》（GB 55032）4.2.2规定：“检验批质量应按主控项目和一般项目验收，并应符合下列规定：1.主控项目和一般项目...4.应具有完整的施工操作依据和质量验收记录”。因此，建议进一步明确防水层质量验收和饰面砖防水粘贴检验批质量验收时的主控项目和一般项目。</w:t>
            </w:r>
          </w:p>
        </w:tc>
        <w:tc>
          <w:tcPr>
            <w:tcW w:w="411"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sz w:val="24"/>
                <w:szCs w:val="24"/>
                <w:lang w:val="en-US" w:eastAsia="zh-CN"/>
              </w:rPr>
              <w:t>解释说明</w:t>
            </w:r>
          </w:p>
        </w:tc>
        <w:tc>
          <w:tcPr>
            <w:tcW w:w="1187" w:type="pct"/>
            <w:gridSpan w:val="2"/>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第</w:t>
            </w:r>
            <w:r>
              <w:rPr>
                <w:rFonts w:hint="eastAsia" w:ascii="仿宋_GB2312" w:hAnsi="仿宋_GB2312" w:eastAsia="仿宋_GB2312" w:cs="仿宋_GB2312"/>
                <w:color w:val="auto"/>
                <w:kern w:val="0"/>
                <w:sz w:val="24"/>
                <w:szCs w:val="24"/>
              </w:rPr>
              <w:t>1.0.3 高分子益胶泥的施工与质量验收除应符合本规程外，还应符合国家现行相关标准的规定以及深圳市地方现行施工及验收规范要求。</w:t>
            </w:r>
          </w:p>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 w:val="0"/>
                <w:bCs w:val="0"/>
                <w:color w:val="auto"/>
                <w:kern w:val="0"/>
                <w:position w:val="6"/>
                <w:sz w:val="24"/>
                <w:szCs w:val="24"/>
                <w:lang w:val="en-US" w:eastAsia="zh-CN" w:bidi="ar-SA"/>
              </w:rPr>
              <w:t>高分子益胶泥防水层质量验收和饰面砖防水粘贴检验批质量验收时的主控项目和一般项目，对标SJG19第11章节和SJG14第11章节验收，不用再重复赘述；</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91"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rPr>
                <w:rFonts w:hint="eastAsia" w:ascii="仿宋_GB2312" w:hAnsi="仿宋_GB2312" w:eastAsia="仿宋_GB2312" w:cs="仿宋_GB2312"/>
                <w:color w:val="auto"/>
                <w:spacing w:val="-8"/>
                <w:kern w:val="0"/>
                <w:sz w:val="24"/>
                <w:szCs w:val="24"/>
                <w:lang w:val="en-US" w:eastAsia="zh-CN"/>
              </w:rPr>
            </w:pPr>
          </w:p>
        </w:tc>
        <w:tc>
          <w:tcPr>
            <w:tcW w:w="475"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5.1</w:t>
            </w:r>
          </w:p>
        </w:tc>
        <w:tc>
          <w:tcPr>
            <w:tcW w:w="1159"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 单道涂层厚度应≧3mm。</w:t>
            </w:r>
          </w:p>
          <w:p>
            <w:pPr>
              <w:widowControl/>
              <w:kinsoku w:val="0"/>
              <w:autoSpaceDE w:val="0"/>
              <w:autoSpaceDN w:val="0"/>
              <w:adjustRightInd w:val="0"/>
              <w:snapToGrid w:val="0"/>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 两道及其以上多道涂层应符合表5.5设防要求。</w:t>
            </w:r>
          </w:p>
          <w:p>
            <w:pPr>
              <w:pStyle w:val="6"/>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 游泳馆、洗浴中心、温泉馆、卫生间、浴室等墙面防水层设防高度应至顶棚底，厨房墙面防水层高度应不低于1200mm。</w:t>
            </w:r>
          </w:p>
          <w:p>
            <w:pPr>
              <w:pStyle w:val="6"/>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 阳台地面防水层应按外墙要求设计；墙面应按外墙面防水层要求进行设计。</w:t>
            </w:r>
          </w:p>
        </w:tc>
        <w:tc>
          <w:tcPr>
            <w:tcW w:w="1574"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第5.1条中第1款、第2款“1 单道涂层厚度应≧3mm。2 两道及其以上多道涂层应符合表 5.5 设防要求。”与表5.5中内容重复，建议精简。</w:t>
            </w:r>
          </w:p>
          <w:p>
            <w:pPr>
              <w:widowControl/>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第4款和第5款内容“4 游泳馆、洗浴中心、温泉馆、卫生间、浴室等墙面防水层设防高度应至顶棚底，厨房墙面防水层高度应不低于 1200mm。5 阳台地面防水层应按外墙要求设计；墙面应按外墙面防水层要求进行设计。”与《建筑与市政工程防水通用规范》（GB55030-2022）中内容重复，建议精简。</w:t>
            </w:r>
          </w:p>
        </w:tc>
        <w:tc>
          <w:tcPr>
            <w:tcW w:w="411"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rPr>
            </w:pPr>
          </w:p>
          <w:p>
            <w:pPr>
              <w:widowControl/>
              <w:kinsoku w:val="0"/>
              <w:autoSpaceDE w:val="0"/>
              <w:autoSpaceDN w:val="0"/>
              <w:adjustRightInd w:val="0"/>
              <w:snapToGrid w:val="0"/>
              <w:spacing w:line="240" w:lineRule="auto"/>
              <w:jc w:val="center"/>
              <w:rPr>
                <w:rFonts w:hint="default" w:ascii="仿宋_GB2312" w:hAnsi="仿宋_GB2312" w:eastAsia="仿宋_GB2312" w:cs="仿宋_GB2312"/>
                <w:color w:val="auto"/>
                <w:kern w:val="0"/>
                <w:sz w:val="24"/>
                <w:szCs w:val="24"/>
                <w:lang w:val="en" w:eastAsia="zh-CN"/>
              </w:rPr>
            </w:pPr>
            <w:r>
              <w:rPr>
                <w:rFonts w:hint="eastAsia" w:ascii="仿宋_GB2312" w:hAnsi="仿宋_GB2312" w:eastAsia="仿宋_GB2312" w:cs="仿宋_GB2312"/>
                <w:color w:val="auto"/>
                <w:kern w:val="0"/>
                <w:sz w:val="24"/>
                <w:szCs w:val="24"/>
                <w:lang w:val="en" w:eastAsia="zh-CN"/>
              </w:rPr>
              <w:t>不采纳</w:t>
            </w:r>
          </w:p>
        </w:tc>
        <w:tc>
          <w:tcPr>
            <w:tcW w:w="1187" w:type="pct"/>
            <w:gridSpan w:val="2"/>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对标SJG19要求，细化菜单式设计做法，供设计师选用。墙面防水层设计高度SJG标准比GB55030要求高，不算重复；</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91"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rPr>
                <w:rFonts w:hint="eastAsia" w:ascii="仿宋_GB2312" w:hAnsi="仿宋_GB2312" w:eastAsia="仿宋_GB2312" w:cs="仿宋_GB2312"/>
                <w:color w:val="auto"/>
                <w:spacing w:val="-8"/>
                <w:kern w:val="0"/>
                <w:sz w:val="24"/>
                <w:szCs w:val="24"/>
                <w:lang w:val="en-US" w:eastAsia="zh-CN"/>
              </w:rPr>
            </w:pPr>
          </w:p>
        </w:tc>
        <w:tc>
          <w:tcPr>
            <w:tcW w:w="475"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表5.5</w:t>
            </w:r>
          </w:p>
        </w:tc>
        <w:tc>
          <w:tcPr>
            <w:tcW w:w="1159"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val="0"/>
                <w:bCs w:val="0"/>
                <w:color w:val="auto"/>
                <w:kern w:val="0"/>
                <w:position w:val="6"/>
                <w:sz w:val="24"/>
                <w:szCs w:val="24"/>
                <w:lang w:val="en-US" w:eastAsia="zh-CN" w:bidi="ar-SA"/>
              </w:rPr>
              <w:t>注：1 高分子益胶泥作为防水层使用时，一次性施工厚度不宜超过 5mm。2 两道高分子益胶泥防水层叠加施工时，需等第一道防水涂层终凝以后施工第二道防水层。</w:t>
            </w:r>
          </w:p>
        </w:tc>
        <w:tc>
          <w:tcPr>
            <w:tcW w:w="1574"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内容属于“第6章高分子益胶泥施工”章节内容，建议整合优化。</w:t>
            </w:r>
          </w:p>
        </w:tc>
        <w:tc>
          <w:tcPr>
            <w:tcW w:w="411"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sz w:val="24"/>
                <w:szCs w:val="24"/>
                <w:lang w:val="en-US" w:eastAsia="zh-CN"/>
              </w:rPr>
              <w:t>解释说明</w:t>
            </w:r>
          </w:p>
        </w:tc>
        <w:tc>
          <w:tcPr>
            <w:tcW w:w="1187" w:type="pct"/>
            <w:gridSpan w:val="2"/>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该备注是针对表5.5设计中3mm+3mm高分子益胶泥防水层以及6mm防水层的补充，建议设计师将备注写进设计图纸；施工章节则是产品工艺要求；</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91"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rPr>
                <w:rFonts w:hint="eastAsia" w:ascii="仿宋_GB2312" w:hAnsi="仿宋_GB2312" w:eastAsia="仿宋_GB2312" w:cs="仿宋_GB2312"/>
                <w:color w:val="auto"/>
                <w:spacing w:val="-8"/>
                <w:kern w:val="0"/>
                <w:sz w:val="24"/>
                <w:szCs w:val="24"/>
                <w:lang w:val="en-US" w:eastAsia="zh-CN"/>
              </w:rPr>
            </w:pPr>
          </w:p>
        </w:tc>
        <w:tc>
          <w:tcPr>
            <w:tcW w:w="475"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6.2.2</w:t>
            </w:r>
          </w:p>
        </w:tc>
        <w:tc>
          <w:tcPr>
            <w:tcW w:w="1159"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 高分子益胶泥防水层一次施工面积不宜过大，应分条或分块错开施工，分层施工时留缝位置应互相错开。</w:t>
            </w:r>
          </w:p>
          <w:p>
            <w:pPr>
              <w:pStyle w:val="6"/>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 高分子益胶泥防水层每道施工厚度不宜大于3mm，超过3mm时应多道施工，相邻两道材料抹压方向应垂直。</w:t>
            </w:r>
          </w:p>
        </w:tc>
        <w:tc>
          <w:tcPr>
            <w:tcW w:w="1574"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“6 高分子益胶泥防水层一次施工面积不宜过大...”建议细化要求的施工面积，方便操作。</w:t>
            </w:r>
          </w:p>
          <w:p>
            <w:pPr>
              <w:widowControl/>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“8 高分子益胶泥防水层每道施工厚度不宜大于 3mm，超过 3mm 时应多道施工，相邻两道材料抹压方向应垂直。”与表5.5注1内容重复，建议优化。</w:t>
            </w:r>
          </w:p>
        </w:tc>
        <w:tc>
          <w:tcPr>
            <w:tcW w:w="411"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不采纳</w:t>
            </w:r>
          </w:p>
        </w:tc>
        <w:tc>
          <w:tcPr>
            <w:tcW w:w="1187" w:type="pct"/>
            <w:gridSpan w:val="2"/>
            <w:tcBorders>
              <w:tl2br w:val="nil"/>
              <w:tr2bl w:val="nil"/>
            </w:tcBorders>
            <w:vAlign w:val="center"/>
          </w:tcPr>
          <w:p>
            <w:pPr>
              <w:widowControl/>
              <w:numPr>
                <w:ilvl w:val="0"/>
                <w:numId w:val="2"/>
              </w:numPr>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sz w:val="24"/>
                <w:szCs w:val="24"/>
              </w:rPr>
              <w:t>第6条</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kern w:val="0"/>
                <w:sz w:val="24"/>
                <w:szCs w:val="24"/>
                <w:lang w:val="en-US" w:eastAsia="zh-CN"/>
              </w:rPr>
              <w:t>厨卫间防水面积较小，针对外墙和地下室地面、楼面施工面积较大，可以分楼层分段施工，楼面可以根据户型分段施工，预留搭接即可；故不采纳建议；</w:t>
            </w:r>
          </w:p>
          <w:p>
            <w:pPr>
              <w:pStyle w:val="6"/>
              <w:numPr>
                <w:ilvl w:val="0"/>
                <w:numId w:val="2"/>
              </w:numPr>
              <w:ind w:left="0" w:leftChars="0" w:firstLine="0" w:firstLine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kern w:val="2"/>
                <w:sz w:val="24"/>
                <w:szCs w:val="24"/>
                <w:lang w:val="en-US" w:eastAsia="zh-CN" w:bidi="ar-SA"/>
              </w:rPr>
              <w:t>第8条，5.5条备注一次性施工厚度不宜超过5mm是针对设计出图要求备注；6.2.2是针对施工工艺提出的施工要求，前者指导施工，后者5.5是设计补充要求，不重复；</w:t>
            </w:r>
            <w:r>
              <w:rPr>
                <w:rFonts w:hint="eastAsia" w:ascii="仿宋_GB2312" w:hAnsi="仿宋_GB2312" w:eastAsia="仿宋_GB2312" w:cs="仿宋_GB2312"/>
                <w:color w:val="auto"/>
                <w:kern w:val="0"/>
                <w:sz w:val="24"/>
                <w:szCs w:val="24"/>
                <w:lang w:val="en-US" w:eastAsia="zh-CN"/>
              </w:rPr>
              <w:t>故不采纳建议；</w:t>
            </w:r>
          </w:p>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PrEx>
        <w:trPr>
          <w:trHeight w:val="680" w:hRule="atLeast"/>
          <w:jc w:val="center"/>
        </w:trPr>
        <w:tc>
          <w:tcPr>
            <w:tcW w:w="191"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rPr>
                <w:rFonts w:hint="eastAsia" w:ascii="仿宋_GB2312" w:hAnsi="仿宋_GB2312" w:eastAsia="仿宋_GB2312" w:cs="仿宋_GB2312"/>
                <w:color w:val="auto"/>
                <w:spacing w:val="-8"/>
                <w:kern w:val="0"/>
                <w:sz w:val="24"/>
                <w:szCs w:val="24"/>
                <w:lang w:val="en-US" w:eastAsia="zh-CN"/>
              </w:rPr>
            </w:pPr>
          </w:p>
        </w:tc>
        <w:tc>
          <w:tcPr>
            <w:tcW w:w="475"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6.2.4</w:t>
            </w:r>
          </w:p>
        </w:tc>
        <w:tc>
          <w:tcPr>
            <w:tcW w:w="1159"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6.2.4 采用单面抹胶法粘贴饰面砖时，应按下列程序进行:</w:t>
            </w:r>
          </w:p>
        </w:tc>
        <w:tc>
          <w:tcPr>
            <w:tcW w:w="1574"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“...应按下列程序进行:”建议改为“...可按下列程序进行:”</w:t>
            </w:r>
          </w:p>
        </w:tc>
        <w:tc>
          <w:tcPr>
            <w:tcW w:w="411"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sz w:val="24"/>
                <w:szCs w:val="24"/>
                <w:lang w:val="en-US" w:eastAsia="zh-CN"/>
              </w:rPr>
              <w:t>解释说明</w:t>
            </w:r>
          </w:p>
        </w:tc>
        <w:tc>
          <w:tcPr>
            <w:tcW w:w="1187" w:type="pct"/>
            <w:gridSpan w:val="2"/>
            <w:tcBorders>
              <w:tl2br w:val="nil"/>
              <w:tr2bl w:val="nil"/>
            </w:tcBorders>
            <w:vAlign w:val="center"/>
          </w:tcPr>
          <w:p>
            <w:pPr>
              <w:pStyle w:val="6"/>
              <w:numPr>
                <w:ilvl w:val="0"/>
                <w:numId w:val="2"/>
              </w:numPr>
              <w:ind w:left="0" w:leftChars="0" w:firstLine="0" w:firstLineChars="0"/>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应”表示严格，在正常情况下，均应这样做；“可”表示有选择，在一定条件下可以这样做；齿形刮板铺贴瓷砖工艺，主要是为了避免高分子益胶泥防水粘接层空鼓，严格要求按工艺操作来保证质量。故不采纳建议；</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PrEx>
        <w:trPr>
          <w:trHeight w:val="680" w:hRule="atLeast"/>
          <w:jc w:val="center"/>
        </w:trPr>
        <w:tc>
          <w:tcPr>
            <w:tcW w:w="191"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rPr>
                <w:rFonts w:hint="eastAsia" w:ascii="仿宋_GB2312" w:hAnsi="仿宋_GB2312" w:eastAsia="仿宋_GB2312" w:cs="仿宋_GB2312"/>
                <w:color w:val="auto"/>
                <w:spacing w:val="-8"/>
                <w:kern w:val="0"/>
                <w:sz w:val="24"/>
                <w:szCs w:val="24"/>
                <w:lang w:val="en-US" w:eastAsia="zh-CN"/>
              </w:rPr>
            </w:pPr>
          </w:p>
        </w:tc>
        <w:tc>
          <w:tcPr>
            <w:tcW w:w="475"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6.2.5</w:t>
            </w:r>
          </w:p>
        </w:tc>
        <w:tc>
          <w:tcPr>
            <w:tcW w:w="1159"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6.2.5 采用双面抹胶法粘贴饰面砖时，应按下列程序进行：</w:t>
            </w:r>
          </w:p>
        </w:tc>
        <w:tc>
          <w:tcPr>
            <w:tcW w:w="1574"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“...应按下列程序进行:”建议改为“...可按下列程序进行:”</w:t>
            </w:r>
          </w:p>
        </w:tc>
        <w:tc>
          <w:tcPr>
            <w:tcW w:w="411"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解释说明</w:t>
            </w:r>
          </w:p>
        </w:tc>
        <w:tc>
          <w:tcPr>
            <w:tcW w:w="1187" w:type="pct"/>
            <w:gridSpan w:val="2"/>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同上</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91"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rPr>
                <w:rFonts w:hint="eastAsia" w:ascii="仿宋_GB2312" w:hAnsi="仿宋_GB2312" w:eastAsia="仿宋_GB2312" w:cs="仿宋_GB2312"/>
                <w:color w:val="auto"/>
                <w:spacing w:val="-8"/>
                <w:kern w:val="0"/>
                <w:sz w:val="24"/>
                <w:szCs w:val="24"/>
                <w:lang w:val="en-US" w:eastAsia="zh-CN"/>
              </w:rPr>
            </w:pPr>
          </w:p>
        </w:tc>
        <w:tc>
          <w:tcPr>
            <w:tcW w:w="475"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8.2.3</w:t>
            </w:r>
          </w:p>
        </w:tc>
        <w:tc>
          <w:tcPr>
            <w:tcW w:w="1159"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8.2.3维修后高分子益胶泥···应满足设计要求。</w:t>
            </w:r>
          </w:p>
        </w:tc>
        <w:tc>
          <w:tcPr>
            <w:tcW w:w="1574"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“...满足设计要求。”建议改为“...满足本规程要求。”</w:t>
            </w:r>
          </w:p>
        </w:tc>
        <w:tc>
          <w:tcPr>
            <w:tcW w:w="411"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采纳</w:t>
            </w:r>
          </w:p>
        </w:tc>
        <w:tc>
          <w:tcPr>
            <w:tcW w:w="1187" w:type="pct"/>
            <w:gridSpan w:val="2"/>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8.2.3“</w:t>
            </w:r>
            <w:r>
              <w:rPr>
                <w:rFonts w:hint="eastAsia" w:ascii="仿宋_GB2312" w:hAnsi="仿宋_GB2312" w:eastAsia="仿宋_GB2312" w:cs="仿宋_GB2312"/>
                <w:b w:val="0"/>
                <w:bCs w:val="0"/>
                <w:color w:val="auto"/>
                <w:kern w:val="0"/>
                <w:position w:val="6"/>
                <w:sz w:val="24"/>
                <w:szCs w:val="24"/>
                <w:lang w:val="en-US" w:eastAsia="zh-CN" w:bidi="ar-SA"/>
              </w:rPr>
              <w:t>.....满足本规程要求。</w:t>
            </w:r>
            <w:r>
              <w:rPr>
                <w:rFonts w:hint="eastAsia" w:ascii="仿宋_GB2312" w:hAnsi="仿宋_GB2312" w:eastAsia="仿宋_GB2312" w:cs="仿宋_GB2312"/>
                <w:color w:val="auto"/>
                <w:kern w:val="0"/>
                <w:sz w:val="24"/>
                <w:szCs w:val="24"/>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91"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rPr>
                <w:rFonts w:hint="eastAsia" w:ascii="仿宋_GB2312" w:hAnsi="仿宋_GB2312" w:eastAsia="仿宋_GB2312" w:cs="仿宋_GB2312"/>
                <w:color w:val="auto"/>
                <w:spacing w:val="-8"/>
                <w:kern w:val="0"/>
                <w:sz w:val="24"/>
                <w:szCs w:val="24"/>
                <w:lang w:val="en-US" w:eastAsia="zh-CN"/>
              </w:rPr>
            </w:pPr>
          </w:p>
        </w:tc>
        <w:tc>
          <w:tcPr>
            <w:tcW w:w="475"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9.5</w:t>
            </w:r>
          </w:p>
        </w:tc>
        <w:tc>
          <w:tcPr>
            <w:tcW w:w="1159"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按9.3配料，按GB/T 1346···进行试验。</w:t>
            </w:r>
          </w:p>
        </w:tc>
        <w:tc>
          <w:tcPr>
            <w:tcW w:w="1574"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建议将“按9.3配料”改为“按9.4配料”，与前文保持一致。其余类似表述一并修改。</w:t>
            </w:r>
          </w:p>
        </w:tc>
        <w:tc>
          <w:tcPr>
            <w:tcW w:w="411"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采纳</w:t>
            </w:r>
          </w:p>
        </w:tc>
        <w:tc>
          <w:tcPr>
            <w:tcW w:w="1187" w:type="pct"/>
            <w:gridSpan w:val="2"/>
            <w:tcBorders>
              <w:tl2br w:val="nil"/>
              <w:tr2bl w:val="nil"/>
            </w:tcBorders>
            <w:vAlign w:val="center"/>
          </w:tcPr>
          <w:p>
            <w:pPr>
              <w:pStyle w:val="6"/>
              <w:ind w:left="0" w:leftChars="0" w:firstLine="0" w:firstLineChars="0"/>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已对应做相应调整。</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PrEx>
        <w:trPr>
          <w:trHeight w:val="680" w:hRule="atLeast"/>
          <w:jc w:val="center"/>
        </w:trPr>
        <w:tc>
          <w:tcPr>
            <w:tcW w:w="191"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rPr>
                <w:rFonts w:hint="eastAsia" w:ascii="仿宋_GB2312" w:hAnsi="仿宋_GB2312" w:eastAsia="仿宋_GB2312" w:cs="仿宋_GB2312"/>
                <w:color w:val="auto"/>
                <w:spacing w:val="-8"/>
                <w:kern w:val="0"/>
                <w:sz w:val="24"/>
                <w:szCs w:val="24"/>
                <w:lang w:val="en-US" w:eastAsia="zh-CN"/>
              </w:rPr>
            </w:pPr>
          </w:p>
        </w:tc>
        <w:tc>
          <w:tcPr>
            <w:tcW w:w="475"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b w:val="0"/>
                <w:bCs w:val="0"/>
                <w:color w:val="auto"/>
                <w:kern w:val="0"/>
                <w:position w:val="6"/>
                <w:sz w:val="24"/>
                <w:szCs w:val="24"/>
                <w:lang w:val="en-US" w:eastAsia="zh-CN" w:bidi="ar-SA"/>
              </w:rPr>
              <w:t>1.0.2</w:t>
            </w:r>
          </w:p>
        </w:tc>
        <w:tc>
          <w:tcPr>
            <w:tcW w:w="1159"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1.0.2 本标准适用于高分子益胶泥应用的设计、施工与质量验收。</w:t>
            </w:r>
          </w:p>
        </w:tc>
        <w:tc>
          <w:tcPr>
            <w:tcW w:w="1574"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……适应于……设计、施工、检验（检测）与……</w:t>
            </w:r>
          </w:p>
        </w:tc>
        <w:tc>
          <w:tcPr>
            <w:tcW w:w="411"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采纳</w:t>
            </w:r>
          </w:p>
        </w:tc>
        <w:tc>
          <w:tcPr>
            <w:tcW w:w="1187" w:type="pct"/>
            <w:gridSpan w:val="2"/>
            <w:tcBorders>
              <w:tl2br w:val="nil"/>
              <w:tr2bl w:val="nil"/>
            </w:tcBorders>
            <w:vAlign w:val="center"/>
          </w:tcPr>
          <w:p>
            <w:pPr>
              <w:pStyle w:val="6"/>
              <w:ind w:left="0" w:leftChars="0" w:firstLine="0" w:firstLineChars="0"/>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已对应做相应调整。</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PrEx>
        <w:trPr>
          <w:gridAfter w:val="1"/>
          <w:wAfter w:w="2" w:type="pct"/>
          <w:trHeight w:val="680" w:hRule="atLeast"/>
          <w:jc w:val="center"/>
        </w:trPr>
        <w:tc>
          <w:tcPr>
            <w:tcW w:w="191"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rPr>
                <w:rFonts w:hint="eastAsia" w:ascii="仿宋_GB2312" w:hAnsi="仿宋_GB2312" w:eastAsia="仿宋_GB2312" w:cs="仿宋_GB2312"/>
                <w:color w:val="auto"/>
                <w:spacing w:val="-8"/>
                <w:kern w:val="0"/>
                <w:sz w:val="24"/>
                <w:szCs w:val="24"/>
                <w:lang w:val="en-US" w:eastAsia="zh-CN"/>
              </w:rPr>
            </w:pPr>
          </w:p>
        </w:tc>
        <w:tc>
          <w:tcPr>
            <w:tcW w:w="475"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b w:val="0"/>
                <w:bCs w:val="0"/>
                <w:color w:val="auto"/>
                <w:kern w:val="0"/>
                <w:position w:val="6"/>
                <w:sz w:val="24"/>
                <w:szCs w:val="24"/>
                <w:lang w:val="en-US" w:eastAsia="zh-CN" w:bidi="ar-SA"/>
              </w:rPr>
              <w:t>3.0.8</w:t>
            </w:r>
          </w:p>
        </w:tc>
        <w:tc>
          <w:tcPr>
            <w:tcW w:w="1159"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3.0.8 施工前施工单位应···进行抽检复验，检验合格后方能施工。</w:t>
            </w:r>
          </w:p>
        </w:tc>
        <w:tc>
          <w:tcPr>
            <w:tcW w:w="1574"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………进行有见证送检……</w:t>
            </w:r>
          </w:p>
        </w:tc>
        <w:tc>
          <w:tcPr>
            <w:tcW w:w="411"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采纳</w:t>
            </w:r>
          </w:p>
        </w:tc>
        <w:tc>
          <w:tcPr>
            <w:tcW w:w="1184" w:type="pct"/>
            <w:tcBorders>
              <w:tl2br w:val="nil"/>
              <w:tr2bl w:val="nil"/>
            </w:tcBorders>
            <w:vAlign w:val="center"/>
          </w:tcPr>
          <w:p>
            <w:pPr>
              <w:pStyle w:val="6"/>
              <w:ind w:left="0" w:leftChars="0" w:firstLine="0" w:firstLineChars="0"/>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已对应做相应调整。</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gridAfter w:val="1"/>
          <w:wAfter w:w="2" w:type="pct"/>
          <w:trHeight w:val="680" w:hRule="atLeast"/>
          <w:jc w:val="center"/>
        </w:trPr>
        <w:tc>
          <w:tcPr>
            <w:tcW w:w="191"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rPr>
                <w:rFonts w:hint="eastAsia" w:ascii="仿宋_GB2312" w:hAnsi="仿宋_GB2312" w:eastAsia="仿宋_GB2312" w:cs="仿宋_GB2312"/>
                <w:color w:val="auto"/>
                <w:spacing w:val="-8"/>
                <w:kern w:val="0"/>
                <w:sz w:val="24"/>
                <w:szCs w:val="24"/>
                <w:lang w:val="en-US" w:eastAsia="zh-CN"/>
              </w:rPr>
            </w:pPr>
          </w:p>
        </w:tc>
        <w:tc>
          <w:tcPr>
            <w:tcW w:w="475"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b w:val="0"/>
                <w:bCs w:val="0"/>
                <w:color w:val="auto"/>
                <w:kern w:val="0"/>
                <w:position w:val="6"/>
                <w:sz w:val="24"/>
                <w:szCs w:val="24"/>
                <w:lang w:val="en-US" w:eastAsia="zh-CN" w:bidi="ar-SA"/>
              </w:rPr>
              <w:t>3.0.9</w:t>
            </w:r>
          </w:p>
        </w:tc>
        <w:tc>
          <w:tcPr>
            <w:tcW w:w="1159"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3.0.9高分子益胶泥···进行粘结强度试验···</w:t>
            </w:r>
          </w:p>
        </w:tc>
        <w:tc>
          <w:tcPr>
            <w:tcW w:w="1574"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……进行淋水、及………</w:t>
            </w:r>
          </w:p>
        </w:tc>
        <w:tc>
          <w:tcPr>
            <w:tcW w:w="411"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采纳</w:t>
            </w:r>
          </w:p>
        </w:tc>
        <w:tc>
          <w:tcPr>
            <w:tcW w:w="1184" w:type="pct"/>
            <w:tcBorders>
              <w:tl2br w:val="nil"/>
              <w:tr2bl w:val="nil"/>
            </w:tcBorders>
            <w:vAlign w:val="center"/>
          </w:tcPr>
          <w:p>
            <w:pPr>
              <w:pStyle w:val="6"/>
              <w:ind w:left="0" w:leftChars="0" w:firstLine="0" w:firstLineChars="0"/>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已对应做相应调整。</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gridAfter w:val="1"/>
          <w:wAfter w:w="2" w:type="pct"/>
          <w:trHeight w:val="680" w:hRule="atLeast"/>
          <w:jc w:val="center"/>
        </w:trPr>
        <w:tc>
          <w:tcPr>
            <w:tcW w:w="191"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rPr>
                <w:rFonts w:hint="eastAsia" w:ascii="仿宋_GB2312" w:hAnsi="仿宋_GB2312" w:eastAsia="仿宋_GB2312" w:cs="仿宋_GB2312"/>
                <w:color w:val="auto"/>
                <w:spacing w:val="-8"/>
                <w:kern w:val="0"/>
                <w:sz w:val="24"/>
                <w:szCs w:val="24"/>
                <w:lang w:val="en-US" w:eastAsia="zh-CN"/>
              </w:rPr>
            </w:pPr>
          </w:p>
        </w:tc>
        <w:tc>
          <w:tcPr>
            <w:tcW w:w="475"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b w:val="0"/>
                <w:bCs w:val="0"/>
                <w:color w:val="auto"/>
                <w:kern w:val="0"/>
                <w:position w:val="6"/>
                <w:sz w:val="24"/>
                <w:szCs w:val="24"/>
                <w:lang w:val="en-US" w:eastAsia="zh-CN" w:bidi="ar-SA"/>
              </w:rPr>
              <w:t>7.1.2</w:t>
            </w:r>
          </w:p>
        </w:tc>
        <w:tc>
          <w:tcPr>
            <w:tcW w:w="1159"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7.1.2 高分子益胶泥···进场的防水材料应抽样复验···</w:t>
            </w:r>
          </w:p>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检验方法：出厂合格证、质量检验报告和抽样复验报告。</w:t>
            </w:r>
          </w:p>
        </w:tc>
        <w:tc>
          <w:tcPr>
            <w:tcW w:w="1574"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…………按规定有见证送检…。     检验方法：………现场材料送检报告</w:t>
            </w:r>
          </w:p>
        </w:tc>
        <w:tc>
          <w:tcPr>
            <w:tcW w:w="411"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采纳</w:t>
            </w:r>
          </w:p>
        </w:tc>
        <w:tc>
          <w:tcPr>
            <w:tcW w:w="1184" w:type="pct"/>
            <w:tcBorders>
              <w:tl2br w:val="nil"/>
              <w:tr2bl w:val="nil"/>
            </w:tcBorders>
            <w:vAlign w:val="center"/>
          </w:tcPr>
          <w:p>
            <w:pPr>
              <w:pStyle w:val="6"/>
              <w:ind w:left="0" w:leftChars="0" w:firstLine="0" w:firstLineChars="0"/>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已对应做相应调整。</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PrEx>
        <w:trPr>
          <w:gridAfter w:val="1"/>
          <w:wAfter w:w="2" w:type="pct"/>
          <w:trHeight w:val="680" w:hRule="atLeast"/>
          <w:jc w:val="center"/>
        </w:trPr>
        <w:tc>
          <w:tcPr>
            <w:tcW w:w="191"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rPr>
                <w:rFonts w:hint="eastAsia" w:ascii="仿宋_GB2312" w:hAnsi="仿宋_GB2312" w:eastAsia="仿宋_GB2312" w:cs="仿宋_GB2312"/>
                <w:color w:val="auto"/>
                <w:spacing w:val="-8"/>
                <w:kern w:val="0"/>
                <w:sz w:val="24"/>
                <w:szCs w:val="24"/>
                <w:lang w:val="en-US" w:eastAsia="zh-CN"/>
              </w:rPr>
            </w:pPr>
          </w:p>
        </w:tc>
        <w:tc>
          <w:tcPr>
            <w:tcW w:w="475"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1.0.1-1.0.2</w:t>
            </w:r>
          </w:p>
        </w:tc>
        <w:tc>
          <w:tcPr>
            <w:tcW w:w="1159"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w:t>
            </w:r>
          </w:p>
        </w:tc>
        <w:tc>
          <w:tcPr>
            <w:tcW w:w="1574"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原条文1.0.1 ……，制定本标准。 1.0.2 本标准……建议：将“本标准”改为“本规程”理由：与该规程的名称保持一致，且与条文说明一致。</w:t>
            </w:r>
          </w:p>
        </w:tc>
        <w:tc>
          <w:tcPr>
            <w:tcW w:w="411"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采纳</w:t>
            </w:r>
          </w:p>
        </w:tc>
        <w:tc>
          <w:tcPr>
            <w:tcW w:w="1184" w:type="pct"/>
            <w:tcBorders>
              <w:tl2br w:val="nil"/>
              <w:tr2bl w:val="nil"/>
            </w:tcBorders>
            <w:vAlign w:val="center"/>
          </w:tcPr>
          <w:p>
            <w:pPr>
              <w:pStyle w:val="6"/>
              <w:ind w:left="0" w:leftChars="0" w:firstLine="0" w:firstLineChars="0"/>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已对应做相应调整。</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PrEx>
        <w:trPr>
          <w:gridAfter w:val="1"/>
          <w:wAfter w:w="2" w:type="pct"/>
          <w:trHeight w:val="680" w:hRule="atLeast"/>
          <w:jc w:val="center"/>
        </w:trPr>
        <w:tc>
          <w:tcPr>
            <w:tcW w:w="191"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rPr>
                <w:rFonts w:hint="eastAsia" w:ascii="仿宋_GB2312" w:hAnsi="仿宋_GB2312" w:eastAsia="仿宋_GB2312" w:cs="仿宋_GB2312"/>
                <w:color w:val="auto"/>
                <w:spacing w:val="-8"/>
                <w:kern w:val="0"/>
                <w:sz w:val="24"/>
                <w:szCs w:val="24"/>
                <w:lang w:val="en-US" w:eastAsia="zh-CN"/>
              </w:rPr>
            </w:pPr>
          </w:p>
        </w:tc>
        <w:tc>
          <w:tcPr>
            <w:tcW w:w="475"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2.0.3-2.0.7</w:t>
            </w:r>
          </w:p>
        </w:tc>
        <w:tc>
          <w:tcPr>
            <w:tcW w:w="1159"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w:t>
            </w:r>
          </w:p>
        </w:tc>
        <w:tc>
          <w:tcPr>
            <w:tcW w:w="1574"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原条文2.0.3……饰面（块材）……。2.0.4……饰面块材……。2.0.6……面砖……。2.0.7……块材饰面层……。建议：统一改为“饰面砖”理由：以上名称均属于2.0.2条中饰面砖的定义。</w:t>
            </w:r>
          </w:p>
        </w:tc>
        <w:tc>
          <w:tcPr>
            <w:tcW w:w="411"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采纳</w:t>
            </w:r>
          </w:p>
        </w:tc>
        <w:tc>
          <w:tcPr>
            <w:tcW w:w="1184" w:type="pct"/>
            <w:tcBorders>
              <w:tl2br w:val="nil"/>
              <w:tr2bl w:val="nil"/>
            </w:tcBorders>
            <w:vAlign w:val="center"/>
          </w:tcPr>
          <w:p>
            <w:pPr>
              <w:pStyle w:val="6"/>
              <w:ind w:left="0" w:leftChars="0" w:firstLine="0" w:firstLineChars="0"/>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已对应做相应调整。</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gridAfter w:val="1"/>
          <w:wAfter w:w="2" w:type="pct"/>
          <w:trHeight w:val="680" w:hRule="atLeast"/>
          <w:jc w:val="center"/>
        </w:trPr>
        <w:tc>
          <w:tcPr>
            <w:tcW w:w="191"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rPr>
                <w:rFonts w:hint="eastAsia" w:ascii="仿宋_GB2312" w:hAnsi="仿宋_GB2312" w:eastAsia="仿宋_GB2312" w:cs="仿宋_GB2312"/>
                <w:color w:val="auto"/>
                <w:spacing w:val="-8"/>
                <w:kern w:val="0"/>
                <w:sz w:val="24"/>
                <w:szCs w:val="24"/>
                <w:lang w:val="en-US" w:eastAsia="zh-CN"/>
              </w:rPr>
            </w:pPr>
          </w:p>
        </w:tc>
        <w:tc>
          <w:tcPr>
            <w:tcW w:w="475"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3.0.2</w:t>
            </w:r>
          </w:p>
        </w:tc>
        <w:tc>
          <w:tcPr>
            <w:tcW w:w="1159"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3.0.2 高分子益胶泥可用于建筑物的内、外墙面、地面、地下室、有水房间的防水。</w:t>
            </w:r>
          </w:p>
        </w:tc>
        <w:tc>
          <w:tcPr>
            <w:tcW w:w="1574"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建议改为：高分子益胶泥可用于建筑物的外墙面、楼地面、内墙面及顶棚的防水、防潮。理由：有防潮要求的楼地面、墙面、顶棚也可采用高分子益胶泥，“地下室”在3.0.3条中已包含。</w:t>
            </w:r>
          </w:p>
        </w:tc>
        <w:tc>
          <w:tcPr>
            <w:tcW w:w="411"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采纳</w:t>
            </w:r>
          </w:p>
        </w:tc>
        <w:tc>
          <w:tcPr>
            <w:tcW w:w="1184" w:type="pct"/>
            <w:tcBorders>
              <w:tl2br w:val="nil"/>
              <w:tr2bl w:val="nil"/>
            </w:tcBorders>
            <w:vAlign w:val="center"/>
          </w:tcPr>
          <w:p>
            <w:pPr>
              <w:pStyle w:val="6"/>
              <w:ind w:left="0" w:leftChars="0" w:firstLine="0" w:firstLineChars="0"/>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已对应做相应调整。</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gridAfter w:val="1"/>
          <w:wAfter w:w="2" w:type="pct"/>
          <w:trHeight w:val="680" w:hRule="atLeast"/>
          <w:jc w:val="center"/>
        </w:trPr>
        <w:tc>
          <w:tcPr>
            <w:tcW w:w="191"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rPr>
                <w:rFonts w:hint="eastAsia" w:ascii="仿宋_GB2312" w:hAnsi="仿宋_GB2312" w:eastAsia="仿宋_GB2312" w:cs="仿宋_GB2312"/>
                <w:color w:val="auto"/>
                <w:spacing w:val="-8"/>
                <w:kern w:val="0"/>
                <w:sz w:val="24"/>
                <w:szCs w:val="24"/>
                <w:lang w:val="en-US" w:eastAsia="zh-CN"/>
              </w:rPr>
            </w:pPr>
          </w:p>
        </w:tc>
        <w:tc>
          <w:tcPr>
            <w:tcW w:w="475"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4.1.1</w:t>
            </w:r>
          </w:p>
        </w:tc>
        <w:tc>
          <w:tcPr>
            <w:tcW w:w="1159"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4.1.1  高分子益胶泥进场时应对资料进行验证：高分子益胶泥进场时，供方应按规定批次向需方提供质量证明文件，质量证明文件应包括产品出厂检验报告及产品合格证。</w:t>
            </w:r>
          </w:p>
        </w:tc>
        <w:tc>
          <w:tcPr>
            <w:tcW w:w="1574"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建议精简为：高分子益胶泥进场资料验证：高分子益胶泥进场时，供方应按规定批次向需方提供质量证明文件，质量证明文件应包括产品出厂检验报告及产品合格证。</w:t>
            </w:r>
          </w:p>
        </w:tc>
        <w:tc>
          <w:tcPr>
            <w:tcW w:w="411"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采纳</w:t>
            </w:r>
          </w:p>
        </w:tc>
        <w:tc>
          <w:tcPr>
            <w:tcW w:w="1184" w:type="pct"/>
            <w:tcBorders>
              <w:tl2br w:val="nil"/>
              <w:tr2bl w:val="nil"/>
            </w:tcBorders>
            <w:vAlign w:val="center"/>
          </w:tcPr>
          <w:p>
            <w:pPr>
              <w:pStyle w:val="6"/>
              <w:ind w:left="0" w:leftChars="0" w:firstLine="0" w:firstLineChars="0"/>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已对应做相应调整。</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PrEx>
        <w:trPr>
          <w:gridAfter w:val="1"/>
          <w:wAfter w:w="2" w:type="pct"/>
          <w:trHeight w:val="680" w:hRule="atLeast"/>
          <w:jc w:val="center"/>
        </w:trPr>
        <w:tc>
          <w:tcPr>
            <w:tcW w:w="191"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rPr>
                <w:rFonts w:hint="eastAsia" w:ascii="仿宋_GB2312" w:hAnsi="仿宋_GB2312" w:eastAsia="仿宋_GB2312" w:cs="仿宋_GB2312"/>
                <w:color w:val="auto"/>
                <w:spacing w:val="-8"/>
                <w:kern w:val="0"/>
                <w:sz w:val="24"/>
                <w:szCs w:val="24"/>
                <w:lang w:val="en-US" w:eastAsia="zh-CN"/>
              </w:rPr>
            </w:pPr>
          </w:p>
        </w:tc>
        <w:tc>
          <w:tcPr>
            <w:tcW w:w="475"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4.2.4</w:t>
            </w:r>
          </w:p>
        </w:tc>
        <w:tc>
          <w:tcPr>
            <w:tcW w:w="1159"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 若有一项以上性能不符合表4.2.1规定，则判该批产品不合格。</w:t>
            </w:r>
          </w:p>
        </w:tc>
        <w:tc>
          <w:tcPr>
            <w:tcW w:w="1574"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建议改为：若有两项及以上性能不符合表4.2.1规定，则判该批产品不合格。</w:t>
            </w:r>
          </w:p>
        </w:tc>
        <w:tc>
          <w:tcPr>
            <w:tcW w:w="411"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不采纳</w:t>
            </w:r>
          </w:p>
        </w:tc>
        <w:tc>
          <w:tcPr>
            <w:tcW w:w="1184" w:type="pct"/>
            <w:tcBorders>
              <w:tl2br w:val="nil"/>
              <w:tr2bl w:val="nil"/>
            </w:tcBorders>
            <w:vAlign w:val="center"/>
          </w:tcPr>
          <w:p>
            <w:pPr>
              <w:pStyle w:val="6"/>
              <w:ind w:left="0" w:leftChars="0" w:firstLine="0" w:firstLineChars="0"/>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根据9.17 判定规则要求；</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PrEx>
        <w:trPr>
          <w:trHeight w:val="680" w:hRule="atLeast"/>
          <w:jc w:val="center"/>
        </w:trPr>
        <w:tc>
          <w:tcPr>
            <w:tcW w:w="191"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rPr>
                <w:rFonts w:hint="eastAsia" w:ascii="仿宋_GB2312" w:hAnsi="仿宋_GB2312" w:eastAsia="仿宋_GB2312" w:cs="仿宋_GB2312"/>
                <w:color w:val="auto"/>
                <w:spacing w:val="-8"/>
                <w:kern w:val="0"/>
                <w:sz w:val="24"/>
                <w:szCs w:val="24"/>
                <w:lang w:val="en-US" w:eastAsia="zh-CN"/>
              </w:rPr>
            </w:pPr>
          </w:p>
        </w:tc>
        <w:tc>
          <w:tcPr>
            <w:tcW w:w="475"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5.1-5.4</w:t>
            </w:r>
          </w:p>
        </w:tc>
        <w:tc>
          <w:tcPr>
            <w:tcW w:w="1159"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w:t>
            </w:r>
          </w:p>
        </w:tc>
        <w:tc>
          <w:tcPr>
            <w:tcW w:w="1574" w:type="pct"/>
            <w:tcBorders>
              <w:tl2br w:val="nil"/>
              <w:tr2bl w:val="nil"/>
            </w:tcBorders>
            <w:vAlign w:val="center"/>
          </w:tcPr>
          <w:p>
            <w:pPr>
              <w:widowControl/>
              <w:numPr>
                <w:ilvl w:val="0"/>
                <w:numId w:val="0"/>
              </w:numPr>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建议将高分子益胶泥应用设计的5.1~5.4条款顺序作如下调整：</w:t>
            </w:r>
          </w:p>
          <w:p>
            <w:pPr>
              <w:widowControl/>
              <w:numPr>
                <w:ilvl w:val="0"/>
                <w:numId w:val="0"/>
              </w:numPr>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5.1 高分子益胶泥应用设计一般规定：</w:t>
            </w:r>
          </w:p>
          <w:p>
            <w:pPr>
              <w:widowControl/>
              <w:numPr>
                <w:ilvl w:val="0"/>
                <w:numId w:val="0"/>
              </w:numPr>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1 高分子益胶泥产品按防水要求和粘贴饰面砖种类不同分为Ⅰ型和Ⅱ型：Ⅰ型适用于工程的外墙面、楼地面、内墙面及顶棚的防水、防潮及饰面砖的粘贴；Ⅱ型适用于地下工程防水及重型饰面砖（瓷砖单体面积＞0.6 ㎡）、饰面石材的粘贴。</w:t>
            </w:r>
          </w:p>
          <w:p>
            <w:pPr>
              <w:widowControl/>
              <w:numPr>
                <w:ilvl w:val="0"/>
                <w:numId w:val="0"/>
              </w:numPr>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2 高分子益胶泥作为防水层、防潮层及粘结层时，施工均应为满浆；</w:t>
            </w:r>
          </w:p>
          <w:p>
            <w:pPr>
              <w:widowControl/>
              <w:numPr>
                <w:ilvl w:val="0"/>
                <w:numId w:val="0"/>
              </w:numPr>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3 游泳馆、洗浴中心、温泉馆、卫生间、浴室等墙面防水层设防高度应至顶棚底，厨房墙面防水层高度应不低于1200mm；</w:t>
            </w:r>
          </w:p>
          <w:p>
            <w:pPr>
              <w:widowControl/>
              <w:numPr>
                <w:ilvl w:val="0"/>
                <w:numId w:val="0"/>
              </w:numPr>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4 阳台楼地面、墙面应按外墙面防水要求进行设计。</w:t>
            </w:r>
          </w:p>
          <w:p>
            <w:pPr>
              <w:widowControl/>
              <w:numPr>
                <w:ilvl w:val="0"/>
                <w:numId w:val="0"/>
              </w:numPr>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5.2 高分子益胶泥做为防水层使用时，设计应符合下列规定：</w:t>
            </w:r>
          </w:p>
          <w:p>
            <w:pPr>
              <w:widowControl/>
              <w:numPr>
                <w:ilvl w:val="0"/>
                <w:numId w:val="0"/>
              </w:numPr>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1 单道涂层厚度应不小于3mm；</w:t>
            </w:r>
          </w:p>
          <w:p>
            <w:pPr>
              <w:widowControl/>
              <w:numPr>
                <w:ilvl w:val="0"/>
                <w:numId w:val="0"/>
              </w:numPr>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2 两道及其以上多道涂层应符合表 5.5 设防要求；      3 高分子益胶泥与其他防水材料复合使用时，高分子益胶泥应直接设置在混凝土结构层、水泥基渗透结晶涂层或砂浆找平层上，作为一道防水层。</w:t>
            </w:r>
          </w:p>
          <w:p>
            <w:pPr>
              <w:widowControl/>
              <w:numPr>
                <w:ilvl w:val="0"/>
                <w:numId w:val="0"/>
              </w:numPr>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5.3 高分子益胶泥做为楼地面、墙面、顶棚的防潮层使用时，设计应符合下列规定：（本条为建议增加的内容，且表5.5中有用于潮湿空间顶棚防潮的内容）     1 涂层厚度应不小于2mm（作为防潮层在表5.5中方案编号5.5-5要求为3mm，是否能采用2mm？）；</w:t>
            </w:r>
          </w:p>
          <w:p>
            <w:pPr>
              <w:widowControl/>
              <w:numPr>
                <w:ilvl w:val="0"/>
                <w:numId w:val="0"/>
              </w:numPr>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2 高分子益胶泥应直接设置在混凝土层或砂浆找平层上。</w:t>
            </w:r>
          </w:p>
          <w:p>
            <w:pPr>
              <w:widowControl/>
              <w:numPr>
                <w:ilvl w:val="0"/>
                <w:numId w:val="0"/>
              </w:numPr>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5.4 高分子益胶泥做为粘结层使用时，设计应符合下列规定：</w:t>
            </w:r>
          </w:p>
          <w:p>
            <w:pPr>
              <w:widowControl/>
              <w:numPr>
                <w:ilvl w:val="0"/>
                <w:numId w:val="0"/>
              </w:numPr>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1 单面抹胶厚度应不小于3mm，双面抹胶的总厚度应不小于5mm；</w:t>
            </w:r>
          </w:p>
          <w:p>
            <w:pPr>
              <w:widowControl/>
              <w:numPr>
                <w:ilvl w:val="0"/>
                <w:numId w:val="0"/>
              </w:numPr>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2 墙面粘贴饰面砖采用双面抹胶施工工法贴砖时，应在基层面和饰面砖粘结面同时抹胶，抹胶、粘贴工艺同时完成。墙面粘贴重型饰面砖（瓷砖单体面积大于0.6㎡）时，必须采用双面抹胶工艺施工，视粘贴部位要求，宜做辅助挂贴措施加强处理。</w:t>
            </w:r>
          </w:p>
          <w:p>
            <w:pPr>
              <w:widowControl/>
              <w:numPr>
                <w:ilvl w:val="0"/>
                <w:numId w:val="0"/>
              </w:numPr>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5.5 高分子益胶泥做为防水层兼粘结层使用时，设计应符合下列规定：</w:t>
            </w:r>
          </w:p>
          <w:p>
            <w:pPr>
              <w:widowControl/>
              <w:numPr>
                <w:ilvl w:val="0"/>
                <w:numId w:val="0"/>
              </w:numPr>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1 抹胶的总厚度应不小于5mm；</w:t>
            </w:r>
          </w:p>
          <w:p>
            <w:pPr>
              <w:widowControl/>
              <w:numPr>
                <w:ilvl w:val="0"/>
                <w:numId w:val="0"/>
              </w:numPr>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2 应采用双面抹胶施工工法。</w:t>
            </w:r>
          </w:p>
        </w:tc>
        <w:tc>
          <w:tcPr>
            <w:tcW w:w="411"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部分采纳</w:t>
            </w:r>
          </w:p>
        </w:tc>
        <w:tc>
          <w:tcPr>
            <w:tcW w:w="1187" w:type="pct"/>
            <w:gridSpan w:val="2"/>
            <w:tcBorders>
              <w:tl2br w:val="nil"/>
              <w:tr2bl w:val="nil"/>
            </w:tcBorders>
            <w:vAlign w:val="center"/>
          </w:tcPr>
          <w:p>
            <w:pPr>
              <w:pStyle w:val="6"/>
              <w:ind w:left="0" w:leftChars="0" w:firstLine="0" w:firstLineChars="0"/>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已对应做相应调整。</w:t>
            </w:r>
          </w:p>
          <w:p>
            <w:pPr>
              <w:jc w:val="center"/>
              <w:rPr>
                <w:rFonts w:hint="eastAsia" w:ascii="仿宋_GB2312" w:hAnsi="仿宋_GB2312" w:eastAsia="仿宋_GB2312" w:cs="仿宋_GB2312"/>
                <w:color w:val="auto"/>
                <w:kern w:val="0"/>
                <w:sz w:val="24"/>
                <w:szCs w:val="24"/>
                <w:lang w:val="en-US" w:eastAsia="zh-CN"/>
              </w:rPr>
            </w:pPr>
          </w:p>
          <w:p>
            <w:pPr>
              <w:widowControl/>
              <w:numPr>
                <w:ilvl w:val="0"/>
                <w:numId w:val="0"/>
              </w:numPr>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5.3 高分子益胶泥做为楼地面、墙面、顶棚的防潮层使用时，设计应符合下列规定：</w:t>
            </w:r>
          </w:p>
          <w:p>
            <w:pPr>
              <w:widowControl/>
              <w:numPr>
                <w:ilvl w:val="0"/>
                <w:numId w:val="0"/>
              </w:numPr>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（本条为建议增加的内容，且表5.5中有用于潮湿空间顶棚防潮的内容）     1 涂层厚度应不小于3mm；</w:t>
            </w:r>
          </w:p>
          <w:p>
            <w:pPr>
              <w:widowControl/>
              <w:numPr>
                <w:ilvl w:val="0"/>
                <w:numId w:val="0"/>
              </w:numPr>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p>
          <w:p>
            <w:pPr>
              <w:jc w:val="center"/>
              <w:rPr>
                <w:rFonts w:hint="eastAsia" w:ascii="仿宋_GB2312" w:hAnsi="仿宋_GB2312" w:eastAsia="仿宋_GB2312" w:cs="仿宋_GB2312"/>
                <w:color w:val="auto"/>
                <w:kern w:val="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gridAfter w:val="1"/>
          <w:wAfter w:w="2" w:type="pct"/>
          <w:trHeight w:val="680" w:hRule="atLeast"/>
          <w:jc w:val="center"/>
        </w:trPr>
        <w:tc>
          <w:tcPr>
            <w:tcW w:w="191"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rPr>
                <w:rFonts w:hint="eastAsia" w:ascii="仿宋_GB2312" w:hAnsi="仿宋_GB2312" w:eastAsia="仿宋_GB2312" w:cs="仿宋_GB2312"/>
                <w:color w:val="auto"/>
                <w:spacing w:val="-8"/>
                <w:kern w:val="0"/>
                <w:sz w:val="24"/>
                <w:szCs w:val="24"/>
                <w:lang w:val="en-US" w:eastAsia="zh-CN"/>
              </w:rPr>
            </w:pPr>
          </w:p>
        </w:tc>
        <w:tc>
          <w:tcPr>
            <w:tcW w:w="475"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表5.5</w:t>
            </w:r>
          </w:p>
        </w:tc>
        <w:tc>
          <w:tcPr>
            <w:tcW w:w="1159"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w:t>
            </w:r>
          </w:p>
        </w:tc>
        <w:tc>
          <w:tcPr>
            <w:tcW w:w="1574"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原表5.5方案编号5.5-4 第一道防水层：3.0mm高分子益胶泥防水层，第二道防水层：——；方案编号5.5-14 第一道防水层：5.0-8.0mm高分子益胶泥（兼粘结层），第二道防水层：——建议将此两个方案的第一道防水层与第二道防水层表格合并，5.5-4改为：3.0mm厚高分子益胶泥防水层（计为一道防水层）；5.5-14改为：5.0-8.0mm厚高分子益胶泥防水层（兼粘结层）（计为一道防水层）。同时在注中加入一条：防水等级为一级的楼地面应至少再设一道防水涂料或防水卷材。</w:t>
            </w:r>
          </w:p>
        </w:tc>
        <w:tc>
          <w:tcPr>
            <w:tcW w:w="411"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采纳</w:t>
            </w:r>
          </w:p>
        </w:tc>
        <w:tc>
          <w:tcPr>
            <w:tcW w:w="1184" w:type="pct"/>
            <w:tcBorders>
              <w:tl2br w:val="nil"/>
              <w:tr2bl w:val="nil"/>
            </w:tcBorders>
            <w:vAlign w:val="center"/>
          </w:tcPr>
          <w:p>
            <w:pPr>
              <w:pStyle w:val="6"/>
              <w:ind w:left="0" w:leftChars="0" w:firstLine="0" w:firstLineChars="0"/>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改“表5.6”</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gridAfter w:val="1"/>
          <w:wAfter w:w="2" w:type="pct"/>
          <w:trHeight w:val="680" w:hRule="atLeast"/>
          <w:jc w:val="center"/>
        </w:trPr>
        <w:tc>
          <w:tcPr>
            <w:tcW w:w="191"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rPr>
                <w:rFonts w:hint="eastAsia" w:ascii="仿宋_GB2312" w:hAnsi="仿宋_GB2312" w:eastAsia="仿宋_GB2312" w:cs="仿宋_GB2312"/>
                <w:color w:val="auto"/>
                <w:spacing w:val="-8"/>
                <w:kern w:val="0"/>
                <w:sz w:val="24"/>
                <w:szCs w:val="24"/>
                <w:lang w:val="en-US" w:eastAsia="zh-CN"/>
              </w:rPr>
            </w:pPr>
          </w:p>
        </w:tc>
        <w:tc>
          <w:tcPr>
            <w:tcW w:w="475"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b w:val="0"/>
                <w:bCs w:val="0"/>
                <w:color w:val="auto"/>
                <w:kern w:val="0"/>
                <w:position w:val="6"/>
                <w:sz w:val="24"/>
                <w:szCs w:val="24"/>
                <w:lang w:val="en-US" w:eastAsia="zh-CN" w:bidi="ar-SA"/>
              </w:rPr>
              <w:t>3.0.2</w:t>
            </w:r>
          </w:p>
        </w:tc>
        <w:tc>
          <w:tcPr>
            <w:tcW w:w="1159"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3.0.2 高分子益胶泥可用于建筑物的内、外墙面、地面、地下室、有水房间的防水。</w:t>
            </w:r>
          </w:p>
        </w:tc>
        <w:tc>
          <w:tcPr>
            <w:tcW w:w="1574"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建议：此条描述修改为“高分子益胶泥可用于建筑物的内、外墙面、楼地面、有水房间的防水。”地下室纳入3.0.3条。</w:t>
            </w:r>
          </w:p>
        </w:tc>
        <w:tc>
          <w:tcPr>
            <w:tcW w:w="411"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采纳</w:t>
            </w:r>
          </w:p>
        </w:tc>
        <w:tc>
          <w:tcPr>
            <w:tcW w:w="1184" w:type="pct"/>
            <w:tcBorders>
              <w:tl2br w:val="nil"/>
              <w:tr2bl w:val="nil"/>
            </w:tcBorders>
            <w:vAlign w:val="center"/>
          </w:tcPr>
          <w:p>
            <w:pPr>
              <w:pStyle w:val="6"/>
              <w:ind w:left="0" w:leftChars="0" w:firstLine="0" w:firstLineChars="0"/>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已修改</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PrEx>
        <w:trPr>
          <w:gridAfter w:val="1"/>
          <w:wAfter w:w="2" w:type="pct"/>
          <w:trHeight w:val="680" w:hRule="atLeast"/>
          <w:jc w:val="center"/>
        </w:trPr>
        <w:tc>
          <w:tcPr>
            <w:tcW w:w="191"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rPr>
                <w:rFonts w:hint="eastAsia" w:ascii="仿宋_GB2312" w:hAnsi="仿宋_GB2312" w:eastAsia="仿宋_GB2312" w:cs="仿宋_GB2312"/>
                <w:color w:val="auto"/>
                <w:spacing w:val="-8"/>
                <w:kern w:val="0"/>
                <w:sz w:val="24"/>
                <w:szCs w:val="24"/>
                <w:lang w:val="en-US" w:eastAsia="zh-CN"/>
              </w:rPr>
            </w:pPr>
          </w:p>
        </w:tc>
        <w:tc>
          <w:tcPr>
            <w:tcW w:w="475"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b w:val="0"/>
                <w:bCs w:val="0"/>
                <w:color w:val="auto"/>
                <w:kern w:val="0"/>
                <w:position w:val="6"/>
                <w:sz w:val="24"/>
                <w:szCs w:val="24"/>
                <w:lang w:val="en-US" w:eastAsia="zh-CN" w:bidi="ar-SA"/>
              </w:rPr>
              <w:t>3.0.3</w:t>
            </w:r>
          </w:p>
        </w:tc>
        <w:tc>
          <w:tcPr>
            <w:tcW w:w="1159"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3.0.3 高分子益胶泥可用于地下工程、水池等构筑物的迎水面和背水面防水。</w:t>
            </w:r>
          </w:p>
        </w:tc>
        <w:tc>
          <w:tcPr>
            <w:tcW w:w="1574"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建议明确不得用于地铁工程等振动地段。</w:t>
            </w:r>
          </w:p>
        </w:tc>
        <w:tc>
          <w:tcPr>
            <w:tcW w:w="411" w:type="pct"/>
            <w:tcBorders>
              <w:tl2br w:val="nil"/>
              <w:tr2bl w:val="nil"/>
            </w:tcBorders>
            <w:vAlign w:val="top"/>
          </w:tcPr>
          <w:p>
            <w:pPr>
              <w:pStyle w:val="11"/>
              <w:spacing w:before="56" w:line="257" w:lineRule="auto"/>
              <w:ind w:left="115" w:leftChars="0" w:right="208" w:rightChars="0" w:firstLine="1" w:firstLineChars="0"/>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spacing w:val="8"/>
                <w:sz w:val="24"/>
                <w:szCs w:val="24"/>
                <w:lang w:val="en-US" w:eastAsia="zh-CN"/>
              </w:rPr>
              <w:t>解释说明</w:t>
            </w:r>
          </w:p>
        </w:tc>
        <w:tc>
          <w:tcPr>
            <w:tcW w:w="1184" w:type="pct"/>
            <w:tcBorders>
              <w:tl2br w:val="nil"/>
              <w:tr2bl w:val="nil"/>
            </w:tcBorders>
            <w:vAlign w:val="top"/>
          </w:tcPr>
          <w:p>
            <w:pPr>
              <w:pStyle w:val="11"/>
              <w:spacing w:before="56" w:line="257" w:lineRule="auto"/>
              <w:ind w:left="115" w:leftChars="0" w:right="208" w:rightChars="0" w:firstLine="1" w:firstLineChars="0"/>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lang w:val="en-US" w:eastAsia="zh-CN"/>
              </w:rPr>
              <w:t>高分子益胶泥可用于地下工程包括地铁工程，</w:t>
            </w:r>
            <w:r>
              <w:rPr>
                <w:rFonts w:hint="eastAsia" w:ascii="仿宋_GB2312" w:hAnsi="仿宋_GB2312" w:eastAsia="仿宋_GB2312" w:cs="仿宋_GB2312"/>
                <w:spacing w:val="8"/>
                <w:sz w:val="24"/>
                <w:szCs w:val="24"/>
                <w:lang w:val="en-US" w:eastAsia="zh-CN"/>
              </w:rPr>
              <w:t>原文用“可”字有选择余地。同时意见里振动地段不够具体、明确。</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PrEx>
        <w:trPr>
          <w:gridAfter w:val="1"/>
          <w:wAfter w:w="2" w:type="pct"/>
          <w:trHeight w:val="680" w:hRule="atLeast"/>
          <w:jc w:val="center"/>
        </w:trPr>
        <w:tc>
          <w:tcPr>
            <w:tcW w:w="191"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rPr>
                <w:rFonts w:hint="eastAsia" w:ascii="仿宋_GB2312" w:hAnsi="仿宋_GB2312" w:eastAsia="仿宋_GB2312" w:cs="仿宋_GB2312"/>
                <w:color w:val="auto"/>
                <w:spacing w:val="-8"/>
                <w:kern w:val="0"/>
                <w:sz w:val="24"/>
                <w:szCs w:val="24"/>
                <w:lang w:val="en-US" w:eastAsia="zh-CN"/>
              </w:rPr>
            </w:pPr>
          </w:p>
        </w:tc>
        <w:tc>
          <w:tcPr>
            <w:tcW w:w="475"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b w:val="0"/>
                <w:bCs w:val="0"/>
                <w:color w:val="auto"/>
                <w:kern w:val="0"/>
                <w:position w:val="6"/>
                <w:sz w:val="24"/>
                <w:szCs w:val="24"/>
                <w:lang w:val="en-US" w:eastAsia="zh-CN" w:bidi="ar-SA"/>
              </w:rPr>
              <w:t>4.1.1</w:t>
            </w:r>
          </w:p>
        </w:tc>
        <w:tc>
          <w:tcPr>
            <w:tcW w:w="1159"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4.1.1  高分子益胶泥进场时应对资料进行验证：高分子益胶泥进场时，供方应按规定批次向需方提供质量证明文件，质量证明文件应包括产品出厂检验报告及产品合格证。</w:t>
            </w:r>
          </w:p>
        </w:tc>
        <w:tc>
          <w:tcPr>
            <w:tcW w:w="1574"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建议：此条描述修改为“高分子益胶泥进场时应对产品资料进行验证：高分子益胶泥进场时，供方应按规定批次向需方提供质量证明文件，质量证明文件应包括产品出厂检验报告及产品合格证。”</w:t>
            </w:r>
          </w:p>
        </w:tc>
        <w:tc>
          <w:tcPr>
            <w:tcW w:w="411" w:type="pct"/>
            <w:tcBorders>
              <w:tl2br w:val="nil"/>
              <w:tr2bl w:val="nil"/>
            </w:tcBorders>
            <w:vAlign w:val="top"/>
          </w:tcPr>
          <w:p>
            <w:pPr>
              <w:pStyle w:val="11"/>
              <w:spacing w:before="56" w:line="257" w:lineRule="auto"/>
              <w:ind w:left="115" w:leftChars="0" w:right="208" w:rightChars="0" w:firstLine="1" w:firstLineChars="0"/>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采纳</w:t>
            </w:r>
          </w:p>
        </w:tc>
        <w:tc>
          <w:tcPr>
            <w:tcW w:w="1184" w:type="pct"/>
            <w:tcBorders>
              <w:tl2br w:val="nil"/>
              <w:tr2bl w:val="nil"/>
            </w:tcBorders>
            <w:vAlign w:val="top"/>
          </w:tcPr>
          <w:p>
            <w:pPr>
              <w:pStyle w:val="11"/>
              <w:spacing w:before="56" w:line="257" w:lineRule="auto"/>
              <w:ind w:left="115" w:leftChars="0" w:right="208" w:rightChars="0" w:firstLine="1" w:firstLineChars="0"/>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spacing w:val="8"/>
                <w:sz w:val="24"/>
                <w:szCs w:val="24"/>
                <w:lang w:val="en-US" w:eastAsia="zh-CN"/>
              </w:rPr>
              <w:t>增加“产品”字样</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gridAfter w:val="1"/>
          <w:wAfter w:w="2" w:type="pct"/>
          <w:trHeight w:val="680" w:hRule="atLeast"/>
          <w:jc w:val="center"/>
        </w:trPr>
        <w:tc>
          <w:tcPr>
            <w:tcW w:w="191"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rPr>
                <w:rFonts w:hint="eastAsia" w:ascii="仿宋_GB2312" w:hAnsi="仿宋_GB2312" w:eastAsia="仿宋_GB2312" w:cs="仿宋_GB2312"/>
                <w:color w:val="auto"/>
                <w:spacing w:val="-8"/>
                <w:kern w:val="0"/>
                <w:sz w:val="24"/>
                <w:szCs w:val="24"/>
                <w:lang w:val="en-US" w:eastAsia="zh-CN"/>
              </w:rPr>
            </w:pPr>
          </w:p>
        </w:tc>
        <w:tc>
          <w:tcPr>
            <w:tcW w:w="475"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b w:val="0"/>
                <w:bCs w:val="0"/>
                <w:color w:val="auto"/>
                <w:kern w:val="0"/>
                <w:position w:val="6"/>
                <w:sz w:val="24"/>
                <w:szCs w:val="24"/>
                <w:lang w:val="en-US" w:eastAsia="zh-CN" w:bidi="ar-SA"/>
              </w:rPr>
              <w:t>4.1.3</w:t>
            </w:r>
          </w:p>
        </w:tc>
        <w:tc>
          <w:tcPr>
            <w:tcW w:w="1159"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 不同型号的高分子益胶泥应分别储存，不得混存混用，并有明确标识。</w:t>
            </w:r>
          </w:p>
        </w:tc>
        <w:tc>
          <w:tcPr>
            <w:tcW w:w="1574"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“不同型号的高分子益胶泥”，建议在前面章节补充分类标准。</w:t>
            </w:r>
          </w:p>
        </w:tc>
        <w:tc>
          <w:tcPr>
            <w:tcW w:w="411"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不采纳</w:t>
            </w:r>
          </w:p>
        </w:tc>
        <w:tc>
          <w:tcPr>
            <w:tcW w:w="1184" w:type="pct"/>
            <w:tcBorders>
              <w:tl2br w:val="nil"/>
              <w:tr2bl w:val="nil"/>
            </w:tcBorders>
            <w:vAlign w:val="center"/>
          </w:tcPr>
          <w:p>
            <w:pPr>
              <w:pStyle w:val="6"/>
              <w:ind w:left="0" w:leftChars="0" w:firstLine="0" w:firstLineChars="0"/>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高分子益胶泥型号分类见第5章节</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gridAfter w:val="1"/>
          <w:wAfter w:w="2" w:type="pct"/>
          <w:trHeight w:val="680" w:hRule="atLeast"/>
          <w:jc w:val="center"/>
        </w:trPr>
        <w:tc>
          <w:tcPr>
            <w:tcW w:w="191"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rPr>
                <w:rFonts w:hint="eastAsia" w:ascii="仿宋_GB2312" w:hAnsi="仿宋_GB2312" w:eastAsia="仿宋_GB2312" w:cs="仿宋_GB2312"/>
                <w:color w:val="auto"/>
                <w:spacing w:val="-8"/>
                <w:kern w:val="0"/>
                <w:sz w:val="24"/>
                <w:szCs w:val="24"/>
                <w:lang w:val="en-US" w:eastAsia="zh-CN"/>
              </w:rPr>
            </w:pPr>
          </w:p>
        </w:tc>
        <w:tc>
          <w:tcPr>
            <w:tcW w:w="475"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b w:val="0"/>
                <w:bCs w:val="0"/>
                <w:color w:val="auto"/>
                <w:kern w:val="0"/>
                <w:position w:val="6"/>
                <w:sz w:val="24"/>
                <w:szCs w:val="24"/>
                <w:lang w:val="en-US" w:eastAsia="zh-CN" w:bidi="ar-SA"/>
              </w:rPr>
              <w:t>6.1.2</w:t>
            </w:r>
          </w:p>
        </w:tc>
        <w:tc>
          <w:tcPr>
            <w:tcW w:w="1159"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6.1.2 高分子益胶泥施工的环境温度宜为（5～35）℃，不宜在大风、雨天环境露天或高温且太阳直射的环境下施工，当施工温度低于5℃时应采取保温措施。</w:t>
            </w:r>
          </w:p>
        </w:tc>
        <w:tc>
          <w:tcPr>
            <w:tcW w:w="1574"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建议:明确环境温度超过 35℃时是否可以施工?</w:t>
            </w:r>
          </w:p>
        </w:tc>
        <w:tc>
          <w:tcPr>
            <w:tcW w:w="411"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sz w:val="24"/>
                <w:szCs w:val="24"/>
                <w:lang w:val="en-US" w:eastAsia="zh-CN"/>
              </w:rPr>
              <w:t>解释说明</w:t>
            </w:r>
          </w:p>
        </w:tc>
        <w:tc>
          <w:tcPr>
            <w:tcW w:w="1184" w:type="pct"/>
            <w:tcBorders>
              <w:tl2br w:val="nil"/>
              <w:tr2bl w:val="nil"/>
            </w:tcBorders>
            <w:vAlign w:val="center"/>
          </w:tcPr>
          <w:p>
            <w:pPr>
              <w:pStyle w:val="6"/>
              <w:ind w:left="0" w:leftChars="0" w:firstLine="0" w:firstLineChars="0"/>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5-35</w:t>
            </w:r>
            <w:r>
              <w:rPr>
                <w:rFonts w:hint="eastAsia" w:ascii="仿宋_GB2312" w:hAnsi="仿宋_GB2312" w:eastAsia="仿宋_GB2312" w:cs="仿宋_GB2312"/>
                <w:color w:val="auto"/>
                <w:sz w:val="24"/>
                <w:szCs w:val="24"/>
                <w:lang w:val="en-US" w:eastAsia="zh-CN"/>
              </w:rPr>
              <w:t>℃是现场施工最佳温度，温度低水易结冰，影响凝结时间和强度，温度太高水份蒸发快，防水层易失水过快导致粉化，影响粘接强度；如果温度太高，可采用基层浇水湿润，防水层施工后及时补水养护来防止裸露的防水层失水过快；</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PrEx>
        <w:trPr>
          <w:gridAfter w:val="1"/>
          <w:wAfter w:w="2" w:type="pct"/>
          <w:trHeight w:val="680" w:hRule="atLeast"/>
          <w:jc w:val="center"/>
        </w:trPr>
        <w:tc>
          <w:tcPr>
            <w:tcW w:w="191"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rPr>
                <w:rFonts w:hint="eastAsia" w:ascii="仿宋_GB2312" w:hAnsi="仿宋_GB2312" w:eastAsia="仿宋_GB2312" w:cs="仿宋_GB2312"/>
                <w:color w:val="auto"/>
                <w:spacing w:val="-8"/>
                <w:kern w:val="0"/>
                <w:sz w:val="24"/>
                <w:szCs w:val="24"/>
                <w:lang w:val="en-US" w:eastAsia="zh-CN"/>
              </w:rPr>
            </w:pPr>
          </w:p>
        </w:tc>
        <w:tc>
          <w:tcPr>
            <w:tcW w:w="475"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其他</w:t>
            </w:r>
          </w:p>
        </w:tc>
        <w:tc>
          <w:tcPr>
            <w:tcW w:w="1159"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w:t>
            </w:r>
          </w:p>
        </w:tc>
        <w:tc>
          <w:tcPr>
            <w:tcW w:w="1574"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建议增加益胶泥在后期需要开孔洞部位的构造做法大样。</w:t>
            </w:r>
          </w:p>
        </w:tc>
        <w:tc>
          <w:tcPr>
            <w:tcW w:w="411" w:type="pct"/>
            <w:tcBorders>
              <w:tl2br w:val="nil"/>
              <w:tr2bl w:val="nil"/>
            </w:tcBorders>
            <w:vAlign w:val="center"/>
          </w:tcPr>
          <w:p>
            <w:pPr>
              <w:widowControl/>
              <w:kinsoku w:val="0"/>
              <w:autoSpaceDE w:val="0"/>
              <w:autoSpaceDN w:val="0"/>
              <w:adjustRightInd w:val="0"/>
              <w:snapToGrid w:val="0"/>
              <w:spacing w:line="240" w:lineRule="auto"/>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不采纳</w:t>
            </w:r>
          </w:p>
        </w:tc>
        <w:tc>
          <w:tcPr>
            <w:tcW w:w="1184" w:type="pct"/>
            <w:tcBorders>
              <w:tl2br w:val="nil"/>
              <w:tr2bl w:val="nil"/>
            </w:tcBorders>
            <w:vAlign w:val="center"/>
          </w:tcPr>
          <w:p>
            <w:pPr>
              <w:pStyle w:val="6"/>
              <w:ind w:left="0" w:leftChars="0" w:firstLine="0" w:firstLineChars="0"/>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对标SJG19，同相关节点做法</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PrEx>
        <w:trPr>
          <w:gridAfter w:val="1"/>
          <w:wAfter w:w="2" w:type="pct"/>
          <w:trHeight w:val="680" w:hRule="atLeast"/>
          <w:jc w:val="center"/>
        </w:trPr>
        <w:tc>
          <w:tcPr>
            <w:tcW w:w="191"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rPr>
                <w:rFonts w:hint="eastAsia" w:ascii="仿宋_GB2312" w:hAnsi="仿宋_GB2312" w:eastAsia="仿宋_GB2312" w:cs="仿宋_GB2312"/>
                <w:color w:val="auto"/>
                <w:spacing w:val="-8"/>
                <w:kern w:val="0"/>
                <w:sz w:val="24"/>
                <w:szCs w:val="24"/>
                <w:lang w:val="en-US" w:eastAsia="zh-CN"/>
              </w:rPr>
            </w:pPr>
          </w:p>
        </w:tc>
        <w:tc>
          <w:tcPr>
            <w:tcW w:w="475" w:type="pct"/>
            <w:tcBorders>
              <w:tl2br w:val="nil"/>
              <w:tr2bl w:val="nil"/>
            </w:tcBorders>
            <w:vAlign w:val="center"/>
          </w:tcPr>
          <w:p>
            <w:pPr>
              <w:spacing w:line="30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sz w:val="24"/>
                <w:szCs w:val="24"/>
              </w:rPr>
              <w:t>3.0.2</w:t>
            </w:r>
          </w:p>
        </w:tc>
        <w:tc>
          <w:tcPr>
            <w:tcW w:w="1159" w:type="pct"/>
            <w:tcBorders>
              <w:tl2br w:val="nil"/>
              <w:tr2bl w:val="nil"/>
            </w:tcBorders>
            <w:vAlign w:val="center"/>
          </w:tcPr>
          <w:p>
            <w:pPr>
              <w:spacing w:line="300" w:lineRule="auto"/>
              <w:jc w:val="center"/>
              <w:rPr>
                <w:rFonts w:hint="eastAsia" w:ascii="仿宋_GB2312" w:hAnsi="仿宋_GB2312" w:eastAsia="仿宋_GB2312" w:cs="仿宋_GB2312"/>
                <w:color w:val="auto"/>
                <w:sz w:val="24"/>
                <w:szCs w:val="24"/>
                <w:lang w:val="en-US" w:eastAsia="zh-CN"/>
              </w:rPr>
            </w:pPr>
          </w:p>
        </w:tc>
        <w:tc>
          <w:tcPr>
            <w:tcW w:w="1574" w:type="pct"/>
            <w:tcBorders>
              <w:tl2br w:val="nil"/>
              <w:tr2bl w:val="nil"/>
            </w:tcBorders>
            <w:vAlign w:val="top"/>
          </w:tcPr>
          <w:p>
            <w:pPr>
              <w:pStyle w:val="11"/>
              <w:spacing w:before="56" w:line="257" w:lineRule="auto"/>
              <w:ind w:left="115" w:leftChars="0" w:right="208" w:rightChars="0" w:firstLine="1" w:firstLineChars="0"/>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建议：此条描述修改为“高分子益胶泥可用于建筑物的内、外墙面、楼地面、有水房间的防水。”地下室纳入3.0.3条。</w:t>
            </w:r>
          </w:p>
        </w:tc>
        <w:tc>
          <w:tcPr>
            <w:tcW w:w="411" w:type="pct"/>
            <w:tcBorders>
              <w:tl2br w:val="nil"/>
              <w:tr2bl w:val="nil"/>
            </w:tcBorders>
            <w:vAlign w:val="top"/>
          </w:tcPr>
          <w:p>
            <w:pPr>
              <w:pStyle w:val="11"/>
              <w:spacing w:before="56" w:line="257" w:lineRule="auto"/>
              <w:ind w:left="115" w:leftChars="0" w:right="208" w:rightChars="0" w:firstLine="1" w:firstLineChars="0"/>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spacing w:val="8"/>
                <w:sz w:val="24"/>
                <w:szCs w:val="24"/>
                <w:lang w:val="en-US" w:eastAsia="zh-CN"/>
              </w:rPr>
              <w:t>采纳</w:t>
            </w:r>
          </w:p>
        </w:tc>
        <w:tc>
          <w:tcPr>
            <w:tcW w:w="1184" w:type="pct"/>
            <w:tcBorders>
              <w:tl2br w:val="nil"/>
              <w:tr2bl w:val="nil"/>
            </w:tcBorders>
            <w:vAlign w:val="top"/>
          </w:tcPr>
          <w:p>
            <w:pPr>
              <w:pStyle w:val="11"/>
              <w:spacing w:before="56" w:line="257" w:lineRule="auto"/>
              <w:ind w:left="115" w:leftChars="0" w:right="208" w:rightChars="0" w:firstLine="1" w:firstLineChars="0"/>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spacing w:val="8"/>
                <w:sz w:val="24"/>
                <w:szCs w:val="24"/>
                <w:lang w:val="en-US" w:eastAsia="zh-CN"/>
              </w:rPr>
              <w:t>已加“楼”</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gridAfter w:val="1"/>
          <w:wAfter w:w="2" w:type="pct"/>
          <w:trHeight w:val="680" w:hRule="atLeast"/>
          <w:jc w:val="center"/>
        </w:trPr>
        <w:tc>
          <w:tcPr>
            <w:tcW w:w="191" w:type="pct"/>
            <w:tcBorders>
              <w:tl2br w:val="nil"/>
              <w:tr2bl w:val="nil"/>
            </w:tcBorders>
            <w:vAlign w:val="center"/>
          </w:tcPr>
          <w:p>
            <w:pPr>
              <w:widowControl/>
              <w:numPr>
                <w:ilvl w:val="0"/>
                <w:numId w:val="1"/>
              </w:numPr>
              <w:kinsoku w:val="0"/>
              <w:autoSpaceDE w:val="0"/>
              <w:autoSpaceDN w:val="0"/>
              <w:adjustRightInd w:val="0"/>
              <w:snapToGrid w:val="0"/>
              <w:spacing w:before="89" w:line="191" w:lineRule="auto"/>
              <w:ind w:left="113" w:leftChars="0" w:firstLine="0" w:firstLineChars="0"/>
              <w:jc w:val="center"/>
              <w:rPr>
                <w:rFonts w:hint="eastAsia" w:ascii="仿宋_GB2312" w:hAnsi="仿宋_GB2312" w:eastAsia="仿宋_GB2312" w:cs="仿宋_GB2312"/>
                <w:color w:val="auto"/>
                <w:spacing w:val="-8"/>
                <w:kern w:val="0"/>
                <w:sz w:val="24"/>
                <w:szCs w:val="24"/>
                <w:lang w:val="en-US" w:eastAsia="zh-CN"/>
              </w:rPr>
            </w:pPr>
          </w:p>
        </w:tc>
        <w:tc>
          <w:tcPr>
            <w:tcW w:w="475" w:type="pct"/>
            <w:tcBorders>
              <w:tl2br w:val="nil"/>
              <w:tr2bl w:val="nil"/>
            </w:tcBorders>
            <w:vAlign w:val="center"/>
          </w:tcPr>
          <w:p>
            <w:pPr>
              <w:spacing w:line="300" w:lineRule="auto"/>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sz w:val="24"/>
                <w:szCs w:val="24"/>
              </w:rPr>
              <w:t>4.1.1</w:t>
            </w:r>
          </w:p>
        </w:tc>
        <w:tc>
          <w:tcPr>
            <w:tcW w:w="1159" w:type="pct"/>
            <w:tcBorders>
              <w:tl2br w:val="nil"/>
              <w:tr2bl w:val="nil"/>
            </w:tcBorders>
            <w:vAlign w:val="center"/>
          </w:tcPr>
          <w:p>
            <w:pPr>
              <w:spacing w:line="300" w:lineRule="auto"/>
              <w:jc w:val="center"/>
              <w:rPr>
                <w:rFonts w:hint="eastAsia" w:ascii="仿宋_GB2312" w:hAnsi="仿宋_GB2312" w:eastAsia="仿宋_GB2312" w:cs="仿宋_GB2312"/>
                <w:color w:val="auto"/>
                <w:sz w:val="24"/>
                <w:szCs w:val="24"/>
                <w:lang w:val="en-US" w:eastAsia="zh-CN"/>
              </w:rPr>
            </w:pPr>
          </w:p>
        </w:tc>
        <w:tc>
          <w:tcPr>
            <w:tcW w:w="1574" w:type="pct"/>
            <w:tcBorders>
              <w:tl2br w:val="nil"/>
              <w:tr2bl w:val="nil"/>
            </w:tcBorders>
            <w:vAlign w:val="top"/>
          </w:tcPr>
          <w:p>
            <w:pPr>
              <w:pStyle w:val="11"/>
              <w:spacing w:before="56" w:line="257" w:lineRule="auto"/>
              <w:ind w:left="115" w:leftChars="0" w:right="208" w:rightChars="0" w:firstLine="1" w:firstLineChars="0"/>
              <w:jc w:val="center"/>
              <w:rPr>
                <w:rFonts w:hint="eastAsia" w:ascii="仿宋_GB2312" w:hAnsi="仿宋_GB2312" w:eastAsia="仿宋_GB2312" w:cs="仿宋_GB2312"/>
                <w:b w:val="0"/>
                <w:bCs w:val="0"/>
                <w:color w:val="auto"/>
                <w:kern w:val="0"/>
                <w:position w:val="6"/>
                <w:sz w:val="24"/>
                <w:szCs w:val="24"/>
                <w:lang w:val="en-US" w:eastAsia="zh-CN" w:bidi="ar-SA"/>
              </w:rPr>
            </w:pPr>
            <w:r>
              <w:rPr>
                <w:rFonts w:hint="eastAsia" w:ascii="仿宋_GB2312" w:hAnsi="仿宋_GB2312" w:eastAsia="仿宋_GB2312" w:cs="仿宋_GB2312"/>
                <w:b w:val="0"/>
                <w:bCs w:val="0"/>
                <w:color w:val="auto"/>
                <w:kern w:val="0"/>
                <w:position w:val="6"/>
                <w:sz w:val="24"/>
                <w:szCs w:val="24"/>
                <w:lang w:val="en-US" w:eastAsia="zh-CN" w:bidi="ar-SA"/>
              </w:rPr>
              <w:t>建议：此条描述修改为“高分子益胶泥进场时应对产品资料进行验证：高分子益胶泥进场时，供方应按规定批次向需方提供质量证明文件，质量证明文件应包括产品出厂检验报告及产品合格证。”</w:t>
            </w:r>
          </w:p>
        </w:tc>
        <w:tc>
          <w:tcPr>
            <w:tcW w:w="411" w:type="pct"/>
            <w:tcBorders>
              <w:tl2br w:val="nil"/>
              <w:tr2bl w:val="nil"/>
            </w:tcBorders>
            <w:vAlign w:val="top"/>
          </w:tcPr>
          <w:p>
            <w:pPr>
              <w:pStyle w:val="11"/>
              <w:spacing w:before="56" w:line="257" w:lineRule="auto"/>
              <w:ind w:left="115" w:leftChars="0" w:right="208" w:rightChars="0" w:firstLine="1" w:firstLineChars="0"/>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spacing w:val="8"/>
                <w:sz w:val="24"/>
                <w:szCs w:val="24"/>
                <w:lang w:val="en-US" w:eastAsia="zh-CN"/>
              </w:rPr>
              <w:t>采纳</w:t>
            </w:r>
          </w:p>
        </w:tc>
        <w:tc>
          <w:tcPr>
            <w:tcW w:w="1184" w:type="pct"/>
            <w:tcBorders>
              <w:tl2br w:val="nil"/>
              <w:tr2bl w:val="nil"/>
            </w:tcBorders>
            <w:vAlign w:val="top"/>
          </w:tcPr>
          <w:p>
            <w:pPr>
              <w:pStyle w:val="11"/>
              <w:spacing w:before="56" w:line="257" w:lineRule="auto"/>
              <w:ind w:left="115" w:leftChars="0" w:right="208" w:rightChars="0" w:firstLine="1" w:firstLineChars="0"/>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spacing w:val="8"/>
                <w:sz w:val="24"/>
                <w:szCs w:val="24"/>
                <w:lang w:val="en-US" w:eastAsia="zh-CN"/>
              </w:rPr>
              <w:t>增加“产品”字样</w:t>
            </w:r>
          </w:p>
        </w:tc>
      </w:tr>
    </w:tbl>
    <w:p>
      <w:pPr>
        <w:pStyle w:val="6"/>
        <w:rPr>
          <w:rFonts w:hint="eastAsia" w:ascii="仿宋_GB2312" w:hAnsi="仿宋_GB2312" w:eastAsia="仿宋_GB2312" w:cs="仿宋_GB2312"/>
          <w:b/>
          <w:bCs/>
          <w:color w:val="auto"/>
          <w:lang w:val="en-US" w:eastAsia="zh-CN"/>
        </w:rPr>
      </w:pPr>
    </w:p>
    <w:sectPr>
      <w:footerReference r:id="rId3" w:type="default"/>
      <w:pgSz w:w="16838" w:h="11906" w:orient="landscape"/>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3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CESI仿宋-GB13000">
    <w:panose1 w:val="02000500000000000000"/>
    <w:charset w:val="86"/>
    <w:family w:val="auto"/>
    <w:pitch w:val="default"/>
    <w:sig w:usb0="800002BF" w:usb1="18CF7CF8" w:usb2="00000016" w:usb3="00000000" w:csb0="0004000F" w:csb1="00000000"/>
  </w:font>
  <w:font w:name="幼圆">
    <w:panose1 w:val="02010509060101010101"/>
    <w:charset w:val="86"/>
    <w:family w:val="auto"/>
    <w:pitch w:val="default"/>
    <w:sig w:usb0="00000001" w:usb1="080E0000" w:usb2="00000000" w:usb3="00000000" w:csb0="00040000" w:csb1="00000000"/>
  </w:font>
  <w:font w:name="方正姚体_GBK">
    <w:panose1 w:val="02000000000000000000"/>
    <w:charset w:val="86"/>
    <w:family w:val="auto"/>
    <w:pitch w:val="default"/>
    <w:sig w:usb0="00000001" w:usb1="0800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细黑一_GBK">
    <w:panose1 w:val="03000509000000000000"/>
    <w:charset w:val="86"/>
    <w:family w:val="auto"/>
    <w:pitch w:val="default"/>
    <w:sig w:usb0="00000001" w:usb1="080E0000" w:usb2="00000000" w:usb3="00000000" w:csb0="00040000" w:csb1="00000000"/>
  </w:font>
  <w:font w:name="方正行楷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  \* MERGEFORMAT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1</w:t>
                          </w:r>
                          <w:r>
                            <w:rPr>
                              <w:rFonts w:hint="eastAsia" w:ascii="宋体" w:hAnsi="宋体" w:eastAsia="宋体" w:cs="宋体"/>
                              <w:color w:val="000000"/>
                              <w:sz w:val="21"/>
                              <w:szCs w:val="21"/>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4"/>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  \* MERGEFORMAT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1</w:t>
                    </w:r>
                    <w:r>
                      <w:rPr>
                        <w:rFonts w:hint="eastAsia" w:ascii="宋体" w:hAnsi="宋体" w:eastAsia="宋体" w:cs="宋体"/>
                        <w:color w:val="000000"/>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B963F2"/>
    <w:multiLevelType w:val="singleLevel"/>
    <w:tmpl w:val="C3B963F2"/>
    <w:lvl w:ilvl="0" w:tentative="0">
      <w:start w:val="1"/>
      <w:numFmt w:val="decimal"/>
      <w:lvlText w:val="%1"/>
      <w:lvlJc w:val="center"/>
      <w:pPr>
        <w:tabs>
          <w:tab w:val="left" w:pos="283"/>
        </w:tabs>
        <w:ind w:left="113" w:leftChars="0" w:firstLine="0" w:firstLineChars="0"/>
      </w:pPr>
      <w:rPr>
        <w:rFonts w:hint="default"/>
      </w:rPr>
    </w:lvl>
  </w:abstractNum>
  <w:abstractNum w:abstractNumId="1">
    <w:nsid w:val="74073525"/>
    <w:multiLevelType w:val="singleLevel"/>
    <w:tmpl w:val="7407352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A0783"/>
    <w:rsid w:val="00386300"/>
    <w:rsid w:val="01087948"/>
    <w:rsid w:val="017C6D0A"/>
    <w:rsid w:val="020B79C6"/>
    <w:rsid w:val="02EF3E7D"/>
    <w:rsid w:val="033D772D"/>
    <w:rsid w:val="041A1B6C"/>
    <w:rsid w:val="043B5AFC"/>
    <w:rsid w:val="04565F0C"/>
    <w:rsid w:val="0482288A"/>
    <w:rsid w:val="055422FD"/>
    <w:rsid w:val="06113AEC"/>
    <w:rsid w:val="07A7031D"/>
    <w:rsid w:val="07E8334B"/>
    <w:rsid w:val="08053EFD"/>
    <w:rsid w:val="081E7E69"/>
    <w:rsid w:val="08C96CD9"/>
    <w:rsid w:val="08CA47FF"/>
    <w:rsid w:val="095E1B17"/>
    <w:rsid w:val="09865008"/>
    <w:rsid w:val="09C556F2"/>
    <w:rsid w:val="09FE0C04"/>
    <w:rsid w:val="0A3458B3"/>
    <w:rsid w:val="0A84735B"/>
    <w:rsid w:val="0ADD7A49"/>
    <w:rsid w:val="0AE33940"/>
    <w:rsid w:val="0C236700"/>
    <w:rsid w:val="0C4D3902"/>
    <w:rsid w:val="0C552D4C"/>
    <w:rsid w:val="0CFD1647"/>
    <w:rsid w:val="0D0B3D64"/>
    <w:rsid w:val="0D1150F2"/>
    <w:rsid w:val="0D1A0783"/>
    <w:rsid w:val="0DE545B5"/>
    <w:rsid w:val="0E122ED0"/>
    <w:rsid w:val="0E355127"/>
    <w:rsid w:val="110E3E08"/>
    <w:rsid w:val="11AE22DB"/>
    <w:rsid w:val="124500D3"/>
    <w:rsid w:val="12AC38F3"/>
    <w:rsid w:val="13C04D1D"/>
    <w:rsid w:val="147F207F"/>
    <w:rsid w:val="14BA11C1"/>
    <w:rsid w:val="157B75AD"/>
    <w:rsid w:val="157C1645"/>
    <w:rsid w:val="15E11197"/>
    <w:rsid w:val="17477FBC"/>
    <w:rsid w:val="17854EC8"/>
    <w:rsid w:val="178A2EE1"/>
    <w:rsid w:val="18702CCD"/>
    <w:rsid w:val="188E4EC1"/>
    <w:rsid w:val="19AD7F51"/>
    <w:rsid w:val="19EC6C78"/>
    <w:rsid w:val="1A134190"/>
    <w:rsid w:val="1A34097B"/>
    <w:rsid w:val="1C651A8C"/>
    <w:rsid w:val="1CA57F98"/>
    <w:rsid w:val="1D2F2C78"/>
    <w:rsid w:val="1E5660EB"/>
    <w:rsid w:val="1E7B69F5"/>
    <w:rsid w:val="1F3ED8E8"/>
    <w:rsid w:val="1F642E60"/>
    <w:rsid w:val="1F881244"/>
    <w:rsid w:val="1FFFA303"/>
    <w:rsid w:val="20D83B05"/>
    <w:rsid w:val="210A02A4"/>
    <w:rsid w:val="21371D65"/>
    <w:rsid w:val="22410EAD"/>
    <w:rsid w:val="24501AAF"/>
    <w:rsid w:val="25164BFC"/>
    <w:rsid w:val="255F07E0"/>
    <w:rsid w:val="259C15A5"/>
    <w:rsid w:val="25B96753"/>
    <w:rsid w:val="2604714B"/>
    <w:rsid w:val="268C32D8"/>
    <w:rsid w:val="27BD5803"/>
    <w:rsid w:val="28810596"/>
    <w:rsid w:val="291925F4"/>
    <w:rsid w:val="2A047719"/>
    <w:rsid w:val="2A4D10C0"/>
    <w:rsid w:val="2AEB15F8"/>
    <w:rsid w:val="2B5D3585"/>
    <w:rsid w:val="2B98280F"/>
    <w:rsid w:val="2BF79DED"/>
    <w:rsid w:val="2C8836E4"/>
    <w:rsid w:val="2D875411"/>
    <w:rsid w:val="2F9E23BE"/>
    <w:rsid w:val="2FE51D9B"/>
    <w:rsid w:val="2FFF2F3A"/>
    <w:rsid w:val="30963095"/>
    <w:rsid w:val="31004AF3"/>
    <w:rsid w:val="317A086B"/>
    <w:rsid w:val="319F44BB"/>
    <w:rsid w:val="31B42D54"/>
    <w:rsid w:val="31B45EC9"/>
    <w:rsid w:val="32170F7F"/>
    <w:rsid w:val="32427031"/>
    <w:rsid w:val="32CF5A59"/>
    <w:rsid w:val="332D4131"/>
    <w:rsid w:val="33E74334"/>
    <w:rsid w:val="33FB92C3"/>
    <w:rsid w:val="341C0B67"/>
    <w:rsid w:val="344D6161"/>
    <w:rsid w:val="34E24AFB"/>
    <w:rsid w:val="352E5F92"/>
    <w:rsid w:val="355A755C"/>
    <w:rsid w:val="35BA7547"/>
    <w:rsid w:val="368220F2"/>
    <w:rsid w:val="36FD5D83"/>
    <w:rsid w:val="37543B13"/>
    <w:rsid w:val="376842B9"/>
    <w:rsid w:val="37A95DA4"/>
    <w:rsid w:val="37C9251E"/>
    <w:rsid w:val="37F77D1F"/>
    <w:rsid w:val="38794FC3"/>
    <w:rsid w:val="38845534"/>
    <w:rsid w:val="38C66DC5"/>
    <w:rsid w:val="38DB1B44"/>
    <w:rsid w:val="38EA628D"/>
    <w:rsid w:val="39671A73"/>
    <w:rsid w:val="396C8050"/>
    <w:rsid w:val="3986639D"/>
    <w:rsid w:val="39B051C8"/>
    <w:rsid w:val="39FA5619"/>
    <w:rsid w:val="3A8D5509"/>
    <w:rsid w:val="3AFA6220"/>
    <w:rsid w:val="3B6E71F3"/>
    <w:rsid w:val="3C3720E7"/>
    <w:rsid w:val="3C6F26E0"/>
    <w:rsid w:val="3D7F2C6F"/>
    <w:rsid w:val="3DA43295"/>
    <w:rsid w:val="3E20CCFD"/>
    <w:rsid w:val="3E9375E1"/>
    <w:rsid w:val="3EFD96EE"/>
    <w:rsid w:val="3F1FAB99"/>
    <w:rsid w:val="3F894EFE"/>
    <w:rsid w:val="3FAE0C50"/>
    <w:rsid w:val="3FDF0FFD"/>
    <w:rsid w:val="3FDFF612"/>
    <w:rsid w:val="3FE70B1C"/>
    <w:rsid w:val="3FEF3F2B"/>
    <w:rsid w:val="404F0EE6"/>
    <w:rsid w:val="422F6EA6"/>
    <w:rsid w:val="42D00689"/>
    <w:rsid w:val="43721BC8"/>
    <w:rsid w:val="444D134B"/>
    <w:rsid w:val="44FD4407"/>
    <w:rsid w:val="45171294"/>
    <w:rsid w:val="481753A4"/>
    <w:rsid w:val="48AF2FAE"/>
    <w:rsid w:val="493060AA"/>
    <w:rsid w:val="49EB0E21"/>
    <w:rsid w:val="4A344261"/>
    <w:rsid w:val="4A396D19"/>
    <w:rsid w:val="4A830E92"/>
    <w:rsid w:val="4B0771CB"/>
    <w:rsid w:val="4B5D6832"/>
    <w:rsid w:val="4B751DCD"/>
    <w:rsid w:val="4B9B6C8A"/>
    <w:rsid w:val="4BFE1DA7"/>
    <w:rsid w:val="4C80543E"/>
    <w:rsid w:val="4E163064"/>
    <w:rsid w:val="4E1D5228"/>
    <w:rsid w:val="4E346E10"/>
    <w:rsid w:val="4ED00D27"/>
    <w:rsid w:val="4F811AF9"/>
    <w:rsid w:val="50200DB4"/>
    <w:rsid w:val="50792360"/>
    <w:rsid w:val="50E6470E"/>
    <w:rsid w:val="512C0529"/>
    <w:rsid w:val="51911F10"/>
    <w:rsid w:val="51DB774E"/>
    <w:rsid w:val="523A1889"/>
    <w:rsid w:val="5306230C"/>
    <w:rsid w:val="53532C6B"/>
    <w:rsid w:val="536959A6"/>
    <w:rsid w:val="53DB0C3B"/>
    <w:rsid w:val="554B3544"/>
    <w:rsid w:val="55AE6607"/>
    <w:rsid w:val="560D6F51"/>
    <w:rsid w:val="563E7E71"/>
    <w:rsid w:val="565FEC04"/>
    <w:rsid w:val="573A3ECB"/>
    <w:rsid w:val="57BC2B32"/>
    <w:rsid w:val="57C739B1"/>
    <w:rsid w:val="57D800A1"/>
    <w:rsid w:val="57EF2D17"/>
    <w:rsid w:val="581934E5"/>
    <w:rsid w:val="586C24F1"/>
    <w:rsid w:val="58F919E4"/>
    <w:rsid w:val="5A7D47FA"/>
    <w:rsid w:val="5AA30013"/>
    <w:rsid w:val="5B2348F0"/>
    <w:rsid w:val="5C566F61"/>
    <w:rsid w:val="5D107BA8"/>
    <w:rsid w:val="5DAF3F31"/>
    <w:rsid w:val="5DC34C1A"/>
    <w:rsid w:val="5DFFBDC1"/>
    <w:rsid w:val="5E703FCE"/>
    <w:rsid w:val="5F5B08E5"/>
    <w:rsid w:val="5F9E7C60"/>
    <w:rsid w:val="5FB54431"/>
    <w:rsid w:val="5FF3CAF6"/>
    <w:rsid w:val="605E78A2"/>
    <w:rsid w:val="60A807F2"/>
    <w:rsid w:val="6242717A"/>
    <w:rsid w:val="62456B4E"/>
    <w:rsid w:val="629923ED"/>
    <w:rsid w:val="64314E47"/>
    <w:rsid w:val="644A3F19"/>
    <w:rsid w:val="66860D49"/>
    <w:rsid w:val="66EE9FC2"/>
    <w:rsid w:val="67EC296B"/>
    <w:rsid w:val="67FA392E"/>
    <w:rsid w:val="6852376A"/>
    <w:rsid w:val="6876268E"/>
    <w:rsid w:val="68D128E1"/>
    <w:rsid w:val="69B67D29"/>
    <w:rsid w:val="69BC26F9"/>
    <w:rsid w:val="6BF6265F"/>
    <w:rsid w:val="6C863145"/>
    <w:rsid w:val="6CE72211"/>
    <w:rsid w:val="6D045452"/>
    <w:rsid w:val="6D0D025F"/>
    <w:rsid w:val="6D855A48"/>
    <w:rsid w:val="6DE9C34B"/>
    <w:rsid w:val="6E56579E"/>
    <w:rsid w:val="6E5FCAD4"/>
    <w:rsid w:val="6E8D72AA"/>
    <w:rsid w:val="6EC151A6"/>
    <w:rsid w:val="6ED57B2E"/>
    <w:rsid w:val="6F590B21"/>
    <w:rsid w:val="6F7264A0"/>
    <w:rsid w:val="6F810491"/>
    <w:rsid w:val="6FFFD5B1"/>
    <w:rsid w:val="704240C4"/>
    <w:rsid w:val="719D061C"/>
    <w:rsid w:val="73267CCD"/>
    <w:rsid w:val="737DE0DF"/>
    <w:rsid w:val="73B9DE1F"/>
    <w:rsid w:val="73BA353C"/>
    <w:rsid w:val="73EBCC90"/>
    <w:rsid w:val="73F15E96"/>
    <w:rsid w:val="73F7370F"/>
    <w:rsid w:val="73FB3A27"/>
    <w:rsid w:val="742026EA"/>
    <w:rsid w:val="74CB355A"/>
    <w:rsid w:val="75B32764"/>
    <w:rsid w:val="75DA004E"/>
    <w:rsid w:val="75DD51F8"/>
    <w:rsid w:val="75F398AF"/>
    <w:rsid w:val="75FFF20A"/>
    <w:rsid w:val="7601057E"/>
    <w:rsid w:val="76B54783"/>
    <w:rsid w:val="76B7CA08"/>
    <w:rsid w:val="76E310F4"/>
    <w:rsid w:val="76F9B508"/>
    <w:rsid w:val="76FB7D71"/>
    <w:rsid w:val="76FF243B"/>
    <w:rsid w:val="76FF89FF"/>
    <w:rsid w:val="77F3E2DE"/>
    <w:rsid w:val="77FBCBEC"/>
    <w:rsid w:val="78012DA4"/>
    <w:rsid w:val="7866523B"/>
    <w:rsid w:val="79422511"/>
    <w:rsid w:val="79544AAA"/>
    <w:rsid w:val="7977E371"/>
    <w:rsid w:val="79982FA7"/>
    <w:rsid w:val="79CFB3FD"/>
    <w:rsid w:val="79F47D3E"/>
    <w:rsid w:val="7A256345"/>
    <w:rsid w:val="7A2B3810"/>
    <w:rsid w:val="7A4D5B40"/>
    <w:rsid w:val="7AEDE506"/>
    <w:rsid w:val="7AF64429"/>
    <w:rsid w:val="7B3EA2AD"/>
    <w:rsid w:val="7BC810AA"/>
    <w:rsid w:val="7BEF3B4C"/>
    <w:rsid w:val="7BFFDD52"/>
    <w:rsid w:val="7C7F3782"/>
    <w:rsid w:val="7D4B70B3"/>
    <w:rsid w:val="7DC91981"/>
    <w:rsid w:val="7DFFABF4"/>
    <w:rsid w:val="7E100520"/>
    <w:rsid w:val="7E29575D"/>
    <w:rsid w:val="7E2A70A8"/>
    <w:rsid w:val="7E7F0644"/>
    <w:rsid w:val="7E9E6BE9"/>
    <w:rsid w:val="7EAF8C10"/>
    <w:rsid w:val="7EBF9C84"/>
    <w:rsid w:val="7EF65DD8"/>
    <w:rsid w:val="7EFD2A1F"/>
    <w:rsid w:val="7EFFDF60"/>
    <w:rsid w:val="7F196975"/>
    <w:rsid w:val="7F774684"/>
    <w:rsid w:val="7F7B2285"/>
    <w:rsid w:val="7F820039"/>
    <w:rsid w:val="7FB62B45"/>
    <w:rsid w:val="7FB95345"/>
    <w:rsid w:val="7FBD17F9"/>
    <w:rsid w:val="7FBF6552"/>
    <w:rsid w:val="7FBF786A"/>
    <w:rsid w:val="7FD12699"/>
    <w:rsid w:val="7FDEAEBB"/>
    <w:rsid w:val="7FE9E7EB"/>
    <w:rsid w:val="7FEFB9B0"/>
    <w:rsid w:val="7FFF5FED"/>
    <w:rsid w:val="8E53A1D4"/>
    <w:rsid w:val="9D3292CB"/>
    <w:rsid w:val="9EEE3551"/>
    <w:rsid w:val="9EFD4711"/>
    <w:rsid w:val="ABE9E519"/>
    <w:rsid w:val="AFFF677D"/>
    <w:rsid w:val="AFFFD946"/>
    <w:rsid w:val="B3DD58D9"/>
    <w:rsid w:val="B5FFECB3"/>
    <w:rsid w:val="BA5BA916"/>
    <w:rsid w:val="BA7B23C6"/>
    <w:rsid w:val="BCBD8A14"/>
    <w:rsid w:val="BF3E6507"/>
    <w:rsid w:val="BF913ABC"/>
    <w:rsid w:val="BF9BA8F2"/>
    <w:rsid w:val="BFC531ED"/>
    <w:rsid w:val="BFE56D8F"/>
    <w:rsid w:val="BFFF3D42"/>
    <w:rsid w:val="C5EF4055"/>
    <w:rsid w:val="CCFBE222"/>
    <w:rsid w:val="CD7B68DC"/>
    <w:rsid w:val="CD7FA307"/>
    <w:rsid w:val="D7FF8DFE"/>
    <w:rsid w:val="DDBFA354"/>
    <w:rsid w:val="DDEC4CF2"/>
    <w:rsid w:val="DED5FEB9"/>
    <w:rsid w:val="DFBC6B7B"/>
    <w:rsid w:val="DFDEEB92"/>
    <w:rsid w:val="DFEFE942"/>
    <w:rsid w:val="DFFE1F2A"/>
    <w:rsid w:val="DFFF41ED"/>
    <w:rsid w:val="DFFF52BA"/>
    <w:rsid w:val="E589BE4F"/>
    <w:rsid w:val="EAB66338"/>
    <w:rsid w:val="ED76B637"/>
    <w:rsid w:val="EDF702BF"/>
    <w:rsid w:val="EFDF612C"/>
    <w:rsid w:val="EFE9D509"/>
    <w:rsid w:val="EFF7447F"/>
    <w:rsid w:val="EFFAD975"/>
    <w:rsid w:val="EFFBC47F"/>
    <w:rsid w:val="EFFBE9E0"/>
    <w:rsid w:val="F32A1895"/>
    <w:rsid w:val="FB7DCA0C"/>
    <w:rsid w:val="FBE879DE"/>
    <w:rsid w:val="FCB73232"/>
    <w:rsid w:val="FCBE8721"/>
    <w:rsid w:val="FD7AEE57"/>
    <w:rsid w:val="FD7F3A07"/>
    <w:rsid w:val="FDD69018"/>
    <w:rsid w:val="FDEF52D9"/>
    <w:rsid w:val="FDF7586D"/>
    <w:rsid w:val="FDFA3A8C"/>
    <w:rsid w:val="FDFB2180"/>
    <w:rsid w:val="FE3FADE9"/>
    <w:rsid w:val="FE734873"/>
    <w:rsid w:val="FE7F2129"/>
    <w:rsid w:val="FEC6AF01"/>
    <w:rsid w:val="FEEF9672"/>
    <w:rsid w:val="FEEFFF3B"/>
    <w:rsid w:val="FF3E90E0"/>
    <w:rsid w:val="FF76BC02"/>
    <w:rsid w:val="FF788CB9"/>
    <w:rsid w:val="FFB566B0"/>
    <w:rsid w:val="FFD69D4F"/>
    <w:rsid w:val="FFD94E5F"/>
    <w:rsid w:val="FFF739B2"/>
    <w:rsid w:val="FFF770BC"/>
    <w:rsid w:val="FFFE55EF"/>
    <w:rsid w:val="FFFF8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qFormat="1" w:unhideWhenUsed="0" w:uiPriority="3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Body Text Indent"/>
    <w:qFormat/>
    <w:uiPriority w:val="0"/>
    <w:pPr>
      <w:widowControl w:val="0"/>
      <w:tabs>
        <w:tab w:val="left" w:pos="210"/>
      </w:tabs>
      <w:spacing w:after="120"/>
      <w:ind w:left="420" w:leftChars="200"/>
      <w:jc w:val="both"/>
    </w:pPr>
    <w:rPr>
      <w:rFonts w:ascii="Calibri" w:hAnsi="Calibri" w:eastAsia="宋体" w:cs="Times New Roman"/>
      <w:kern w:val="0"/>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2"/>
    <w:next w:val="1"/>
    <w:qFormat/>
    <w:uiPriority w:val="39"/>
    <w:pPr>
      <w:widowControl w:val="0"/>
      <w:ind w:left="420" w:leftChars="200"/>
      <w:jc w:val="both"/>
    </w:pPr>
    <w:rPr>
      <w:rFonts w:ascii="Times New Roman" w:hAnsi="Times New Roman" w:eastAsia="宋体" w:cs="Times New Roman"/>
      <w:kern w:val="2"/>
      <w:sz w:val="21"/>
      <w:szCs w:val="24"/>
      <w:lang w:val="en-US" w:eastAsia="zh-CN" w:bidi="ar-SA"/>
    </w:rPr>
  </w:style>
  <w:style w:type="paragraph" w:customStyle="1" w:styleId="9">
    <w:name w:val="表格文字2"/>
    <w:qFormat/>
    <w:uiPriority w:val="0"/>
    <w:pPr>
      <w:widowControl w:val="0"/>
      <w:tabs>
        <w:tab w:val="left" w:pos="210"/>
      </w:tabs>
      <w:spacing w:before="25" w:after="25"/>
      <w:ind w:left="420" w:leftChars="200"/>
      <w:jc w:val="left"/>
    </w:pPr>
    <w:rPr>
      <w:rFonts w:ascii="Calibri" w:hAnsi="Calibri" w:eastAsia="宋体" w:cs="Times New Roman"/>
      <w:bCs/>
      <w:spacing w:val="10"/>
      <w:kern w:val="0"/>
      <w:sz w:val="24"/>
      <w:szCs w:val="20"/>
      <w:lang w:val="en-US" w:eastAsia="zh-CN" w:bidi="ar-SA"/>
    </w:rPr>
  </w:style>
  <w:style w:type="table" w:customStyle="1" w:styleId="10">
    <w:name w:val="Table Normal"/>
    <w:basedOn w:val="7"/>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true">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4700</Words>
  <Characters>5261</Characters>
  <Lines>1</Lines>
  <Paragraphs>1</Paragraphs>
  <TotalTime>8</TotalTime>
  <ScaleCrop>false</ScaleCrop>
  <LinksUpToDate>false</LinksUpToDate>
  <CharactersWithSpaces>5363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2023-05-13T06:06:00Z</dcterms:created>
  <dc:creator>刘国华</dc:creator>
  <cp:lastModifiedBy>xyy</cp:lastModifiedBy>
  <dcterms:modified xsi:type="dcterms:W3CDTF">2024-05-09T16:18:41Z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09F53CC602FB454BB5D4B73164CC74C0_13</vt:lpwstr>
  </property>
</Properties>
</file>