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ascii="黑体" w:hAnsi="黑体" w:eastAsia="黑体" w:cs="黑体"/>
          <w:sz w:val="44"/>
          <w:szCs w:val="44"/>
          <w:shd w:val="clear" w:color="050000" w:fill="auto"/>
        </w:rPr>
      </w:pPr>
      <w:r>
        <w:rPr>
          <w:rFonts w:hint="eastAsia" w:ascii="黑体" w:hAnsi="黑体" w:eastAsia="黑体" w:cs="黑体"/>
          <w:sz w:val="44"/>
          <w:szCs w:val="44"/>
          <w:shd w:val="clear" w:color="050000" w:fill="auto"/>
        </w:rPr>
        <w:t>附件</w:t>
      </w:r>
    </w:p>
    <w:p>
      <w:pPr>
        <w:jc w:val="left"/>
        <w:rPr>
          <w:rFonts w:ascii="黑体" w:hAnsi="黑体" w:eastAsia="黑体" w:cs="黑体"/>
          <w:sz w:val="44"/>
          <w:szCs w:val="44"/>
        </w:rPr>
      </w:pPr>
    </w:p>
    <w:p>
      <w:pPr>
        <w:widowControl/>
        <w:spacing w:after="156" w:afterLines="50"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《岩溶地区城市轨道交通工程技术标准（征求意见稿）》</w:t>
      </w:r>
    </w:p>
    <w:p>
      <w:pPr>
        <w:widowControl/>
        <w:spacing w:after="156" w:afterLines="50" w:line="56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公开征求意见采纳情况汇总表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本次征求意见共收25条有效意见。经认真研究，采纳19条，部分采纳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条，不采纳2条，解释说明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条。</w:t>
      </w:r>
    </w:p>
    <w:p>
      <w:pPr>
        <w:pStyle w:val="2"/>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23"/>
        <w:gridCol w:w="5440"/>
        <w:gridCol w:w="3580"/>
        <w:gridCol w:w="720"/>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6" w:type="pct"/>
            <w:shd w:val="clear" w:color="auto" w:fill="auto"/>
            <w:noWrap/>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序号</w:t>
            </w:r>
          </w:p>
        </w:tc>
        <w:tc>
          <w:tcPr>
            <w:tcW w:w="278" w:type="pct"/>
            <w:shd w:val="clear" w:color="auto" w:fill="auto"/>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条文号</w:t>
            </w:r>
          </w:p>
        </w:tc>
        <w:tc>
          <w:tcPr>
            <w:tcW w:w="1839" w:type="pct"/>
            <w:shd w:val="clear" w:color="auto" w:fill="auto"/>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原文</w:t>
            </w:r>
          </w:p>
        </w:tc>
        <w:tc>
          <w:tcPr>
            <w:tcW w:w="1210" w:type="pct"/>
            <w:shd w:val="clear" w:color="auto" w:fill="auto"/>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修改意见</w:t>
            </w:r>
          </w:p>
        </w:tc>
        <w:tc>
          <w:tcPr>
            <w:tcW w:w="243" w:type="pct"/>
            <w:shd w:val="clear" w:color="auto" w:fill="auto"/>
            <w:noWrap/>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是否采纳</w:t>
            </w:r>
          </w:p>
        </w:tc>
        <w:tc>
          <w:tcPr>
            <w:tcW w:w="1251" w:type="pct"/>
            <w:shd w:val="clear" w:color="auto" w:fill="auto"/>
            <w:vAlign w:val="center"/>
          </w:tcPr>
          <w:p>
            <w:pPr>
              <w:widowControl/>
              <w:jc w:val="center"/>
              <w:textAlignment w:val="center"/>
              <w:rPr>
                <w:rFonts w:ascii="宋体" w:hAnsi="宋体" w:eastAsia="宋体" w:cs="宋体"/>
                <w:b/>
                <w:sz w:val="20"/>
                <w:szCs w:val="20"/>
              </w:rPr>
            </w:pPr>
            <w:r>
              <w:rPr>
                <w:rFonts w:hint="eastAsia" w:ascii="宋体" w:hAnsi="宋体" w:eastAsia="宋体" w:cs="宋体"/>
                <w:b/>
                <w:kern w:val="0"/>
                <w:sz w:val="20"/>
                <w:szCs w:val="20"/>
                <w:lang w:bidi="ar"/>
              </w:rPr>
              <w:t>理由或说明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总体意见</w:t>
            </w:r>
          </w:p>
        </w:tc>
        <w:tc>
          <w:tcPr>
            <w:tcW w:w="1839" w:type="pct"/>
            <w:shd w:val="clear" w:color="auto" w:fill="auto"/>
            <w:vAlign w:val="center"/>
          </w:tcPr>
          <w:p>
            <w:pPr>
              <w:jc w:val="center"/>
              <w:rPr>
                <w:rFonts w:ascii="宋体" w:hAnsi="宋体" w:eastAsia="宋体" w:cs="宋体"/>
                <w:sz w:val="20"/>
                <w:szCs w:val="20"/>
              </w:rPr>
            </w:pP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1、建议明确是否可用于指导岩溶地区城际项目工程；2、由于城际与地铁项目都是轨道交通地下工程，岩溶地区的城际项目也需要专项技术措施指导，是否可一并纳入该标准中。</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岩溶地区城际轨道交通工程参照使用。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1.0.1</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为确保深圳岩溶地区城市轨道交通工程建设安全适用、技术先进、经济合理、确保质量、保护环境、风险可控，结合深圳岩溶地区的地质环境条件，制定本标准。</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出现两个“确保”，建议“......确保质量......”调整为“......工程质量......”</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2.1.14</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 xml:space="preserve">红黏土地基 red clay subgrade </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地基主要受力层由碳酸盐类岩石露出地表经红土化作用形成的颜色为棕红、褐黄色的高塑性黏土组成的地基。</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“红黏土地基”，建议删除，深圳地区基本未发现“红黏土”。</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2.1.31</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风险控制 risk control</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制定岩溶地区工程建设风险处置措施及应急预案，实施风险监测、跟踪与记录。风险处置措施包括风险降低、风险转移和风险自留四种方式。</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只描述了3种风险处置措施，建议调整为“......风险处置措施包括风险清除、风险降低、风险转移和风险自留四种方式。”</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3.1.6</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场地稳定性可根据场地地基稳定性、场地地震稳定性、岩溶发育程度和其他不良地质作用、地质灾害危险性等方面进行定性评价，岩溶场地稳定性划分为基本稳定、中等稳定、不稳定、极不稳定等四个等级，详见附录C.0.1；岩溶场地适宜性可根据场地地基稳定性、破坏后果、治理难易程度结合工程建设特征进行定性评价，岩溶场地适宜性划分为基本适宜、基本适宜、适宜性差等三个等级，详见附录C.0.2。</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建议调整为“......岩溶场地适宜性划分为适宜性强、基本适宜、适宜性差等三个等级。”</w:t>
            </w:r>
          </w:p>
        </w:tc>
        <w:tc>
          <w:tcPr>
            <w:tcW w:w="243" w:type="pct"/>
            <w:shd w:val="clear" w:color="auto" w:fill="auto"/>
            <w:noWrap/>
            <w:vAlign w:val="center"/>
          </w:tcPr>
          <w:p>
            <w:pPr>
              <w:widowControl/>
              <w:jc w:val="center"/>
              <w:textAlignment w:val="center"/>
              <w:rPr>
                <w:rFonts w:hint="eastAsia" w:ascii="宋体" w:hAnsi="宋体" w:eastAsia="宋体" w:cs="宋体"/>
                <w:sz w:val="20"/>
                <w:szCs w:val="20"/>
                <w:lang w:eastAsia="zh-CN"/>
              </w:rPr>
            </w:pPr>
            <w:r>
              <w:rPr>
                <w:rFonts w:hint="eastAsia" w:ascii="宋体" w:hAnsi="宋体" w:eastAsia="宋体" w:cs="宋体"/>
                <w:kern w:val="0"/>
                <w:sz w:val="20"/>
                <w:szCs w:val="20"/>
                <w:lang w:eastAsia="zh-CN" w:bidi="ar"/>
              </w:rPr>
              <w:t>解释说明</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笔误。第一个“基本适宜”改为“适宜”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3.1.7</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岩溶地区的勘察尚应符合现行国家标准《建筑抗震设计规范》GB 50011、《岩土工程勘察规范》GB 50021、《城市轨道交通岩土工程勘察规范》GB 50307、《城市轨道交通结构抗震设计规范》GB 50909、《岩溶地区建筑地基基础技术标准》GB/T 51238、《工程勘察通用规范》GB 55017、《建筑与市政地基基础通用规范》GB 55003和广东省标准《城市轨道交通岩土工程勘察规范》DBJ 15-241和《岩溶地区建筑地基基础技术规范》DBJ/T 15-136的有关规定。</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岩溶地区的勘察建议增加深圳市《地基基础勘察设计标准》SJG01。</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7</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3.2.11</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岩溶地区Ⅰ类岩溶地质结构场地不应宜抽排岩溶水；当确需抽排时，应采取相应环境保护措施。</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建议调整为“岩溶地区I类岩溶地质结构场地不宜抽排岩溶水;......”</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8</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3.2.12</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岩溶地区应结合工程实际进行现场试验和试验性施工，并根据试验经验确定施工参数和工艺。</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建议调整为“......并根据试验取得的经验数据确定施工参数和工艺。”</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9</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3.3.3</w:t>
            </w:r>
          </w:p>
        </w:tc>
        <w:tc>
          <w:tcPr>
            <w:tcW w:w="1839" w:type="pct"/>
            <w:vMerge w:val="restar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岩溶地区检验与监测应符合现行国家标准《城市轨道交通工程监测技术规范》GB 50911、《岩溶地区建筑地基基础技术标准》GB/T 51238、行业标准《建筑地基处理技术规范》JGJ 79、《建筑基坑支护技术规程》JGJ 120、广东省标准《建筑地基基础检测规范》DBJ 15-60、深圳市标准《地基处理技术规范》SJG 04和《基坑工程技术标准》SJG 05的有关规定。</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岩溶地区的检测建议增加深圳市《建筑基桩检测规程》SJG 09。</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采用最新的《建筑基桩检测标准》（SJG 09–2024）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10</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3.3.3</w:t>
            </w:r>
          </w:p>
        </w:tc>
        <w:tc>
          <w:tcPr>
            <w:tcW w:w="1839" w:type="pct"/>
            <w:vMerge w:val="continue"/>
            <w:shd w:val="clear" w:color="auto" w:fill="auto"/>
            <w:vAlign w:val="center"/>
          </w:tcPr>
          <w:p>
            <w:pPr>
              <w:jc w:val="center"/>
              <w:rPr>
                <w:rFonts w:ascii="宋体" w:hAnsi="宋体" w:eastAsia="宋体" w:cs="宋体"/>
                <w:sz w:val="20"/>
                <w:szCs w:val="20"/>
              </w:rPr>
            </w:pP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建议增加：广东省《岩溶地区建筑地基处理技术规范》DBJ/T 15-36</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11</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3.4.2</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风险管理应覆盖勘察、设计、施工和运行维护全生命周期全过程。</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“风险管理应覆盖勘察、设计、施工和运行维护全生命周期全过程。”建议删除掉“全生命周期”或者“全过程”；</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删除“全过程”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12</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4.3.4</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岩溶地区初步勘察应重点进行下列工作：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  初步查明沿线地质构造、岩土类型及分布、岩土物理力学性质、地下水埋藏条件；</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  初步查明可溶岩与非可溶岩边界，可溶岩类型，岩溶类型、成因、分布、规模、工程性质，分析其对工程的危害程度，预测其发展趋势；岩溶塌陷危害程度划分标准应符合现行国家标准《地质灾害危险性评估规范》GB/T 40112的规定；</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3  初步查明沿线地表水的水位、水质、河湖淤积物的分布，地表水与地下水的补径排关系；</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4  初步查明岩溶地段含水层类型、地下水埋深及承压性，地下水补给、径流、流量、流向、排泄条件，历史最高水位，地下水动态和变化规律，初步评价地下水和土对建筑材料的腐蚀性；</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5  初步评价岩溶场地和地基的地震效应；</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6  评价岩溶场地稳定性和工程建设适宜性；</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7  初步划分岩溶场地复杂程度等级。</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4.3.4“地下水埋藏条件”与4.5.2条“岩溶水文地质条件”说法应统一。</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第4.3.4条第1款中的“地下水埋藏条件”修改为“岩溶水文地质条件”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13</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4.4.5</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岩溶地区详细勘察阶段勘探孔布置应符合下列规定：</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 ...矿山法区间钻孔间距10m～15m；钻孔宜沿结构外侧1m～3m布置；…</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“钻孔宜沿结构外侧 1m～3m 布置”，建议困难条件下可放宽至“3m~5m”。</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解释说明</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标准中用词为“宜”，当不具备条件时可根据岩溶发育情况适当调整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14</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4.4.11</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岩溶地区详细勘察取样和原位测试的位置、数量等，应满足岩溶地区岩土工程分析评价需要，且应符合下列要求：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  每个工点波速测试不宜少于3孔，电阻率测试不宜少于2孔；当采用连续记录的静力触探或动力触探为主要勘察手段时，每个工点不应少于3个孔；</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4  取样和原位</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条文二级编号有误，应为“3 取样和原位测试......”。</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15</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4.6.7</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专项勘察物探方法可采用地震反射法、微动探测法、高密度电法、探地雷达法、跨孔CT法、管波探测法、孔内声纳法等方法，查明周边岩溶洞（土）位置、规模、空间分布形态、洞穴（隙）充填情况、地下水渗流请情况等。</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“......地下水渗流请情况等”应删掉多余的“请”字；</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16</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5.4.5</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支护桩（墙）的嵌固深度应满足支护结构稳定性要求。当支护桩（墙）嵌固深度范围内存在溶（土）洞时，应对溶（土）洞进行充填注浆加固处理，根据检测的加固体强度参数估算水平抗力，并进一步计算支护桩（墙）的嵌固深度。</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“根据检测的加固体强度参数估算水平抗力，并进一步计算支护桩（墙）的嵌固深度”，并不可靠，“加固体”仅为局部，不能代表整个外侧土体的水平抗力。</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“根据检测的加固体强度参数估算水平抗力，”修改为“根据检测的加固体强度参数修正加固段水平抗力”。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17</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5.5.3</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岩溶地区隧道设计荷载应根据地形、地质条件、埋置深度、施工工法、相邻隧道间距等因素，采用定量计算或按工程类比法确定。</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设计方法有定量计算和工程类比，设计荷载本身即为定量计算的一部分，采用工程类比确定的说法不妥，可根据《铁路隧道设计规范》TB10003规定选取。</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18</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5.5.5</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隧道工程岩溶水治理措施应结合沿线场地水文地质条件、岩溶发育程度、岩溶水赋存及连通情况、隧道地面环境复杂程度、开挖面岩性特征等因素综合确定。对水压高、水量大的隧道宜采用“疏排为主，封堵为辅，综合治理”的治理原则；对水压和水量相对较小的隧道可采用“封堵为主，疏排为辅，综合治理”的治理原则。</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结合深圳地区的城轨建设经验，在条件允许的情况下隧道设计宜采取全包防水。因此建议水压和水量较小的隧道采用全包不排水，对于水压和水量大的隧道采用以堵为主，可预留排水条件或径向注浆后限排。</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19</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5.5.8</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岩溶地区隧道衬砌设计应符合下列规定：</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隧道在全包防水下需验算衬砌抗水压能力，同时对于盾构法管片衬砌还需验算密封垫、注浆孔等位置抗水压能力。对于限排情况下，也需考虑外水压力荷载；对于全排的隧道是否按照公路隧道规范所规定的以50 ~ 100kPa（拱顶）水压力按正常使用极限状态标准组合进行结构验算，还是不考虑水压力荷载。</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不采纳</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城市轨道交通工程一般不采用全排水隧道。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20</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6.2.4、6.2.6、6.2.9、6.5.2</w:t>
            </w:r>
          </w:p>
        </w:tc>
        <w:tc>
          <w:tcPr>
            <w:tcW w:w="1839" w:type="pct"/>
            <w:shd w:val="clear" w:color="auto" w:fill="auto"/>
            <w:vAlign w:val="center"/>
          </w:tcPr>
          <w:p>
            <w:pPr>
              <w:jc w:val="center"/>
              <w:rPr>
                <w:rFonts w:ascii="宋体" w:hAnsi="宋体" w:eastAsia="宋体" w:cs="宋体"/>
                <w:sz w:val="20"/>
                <w:szCs w:val="20"/>
              </w:rPr>
            </w:pP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6.2.4、6.2.6、6.2.9、6.5.2等部分条文为规范解释用语，不是标准要求。</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删除6.2.4、6.2.6、6.2.9条文说明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21</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6.2.6条文说明</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对于中、大型溶洞的充填施工，现场大多利用混凝土输送泵通过不小于Φ100钢管向溶（土）洞内泵送低标号混凝土或水泥砂浆，至压力上升，灌满溶洞；现场施工经验表明，由于深圳地区的溶洞发育特点为竖向发育强，水平方向发育差，所以粗颗粒的碎石材料充填效果不好，较少采用；对于区间盾构拱顶以上的溶洞处理，不宜使用砂石类材料进行处理，防止人为造成I1类地质结构岩溶中等及中等以上发育时，孔隙承压水与岩溶裂隙水有直接水力联系，可溶岩上覆砂土及卵砾石可直接通过可溶性岩中的溶隙、孔洞流失，在盾构施工时极易造成拱顶坍塌。</w:t>
            </w:r>
          </w:p>
        </w:tc>
        <w:tc>
          <w:tcPr>
            <w:tcW w:w="1210" w:type="pct"/>
            <w:shd w:val="clear" w:color="auto" w:fill="auto"/>
            <w:noWrap/>
            <w:vAlign w:val="center"/>
          </w:tcPr>
          <w:p>
            <w:pPr>
              <w:widowControl/>
              <w:jc w:val="center"/>
              <w:textAlignment w:val="center"/>
              <w:rPr>
                <w:rFonts w:ascii="宋体" w:hAnsi="宋体" w:eastAsia="宋体" w:cs="宋体"/>
                <w:szCs w:val="21"/>
              </w:rPr>
            </w:pPr>
            <w:r>
              <w:rPr>
                <w:rStyle w:val="12"/>
                <w:rFonts w:hint="default"/>
                <w:color w:val="auto"/>
                <w:lang w:bidi="ar"/>
              </w:rPr>
              <w:t>“不宜使用砂石类材料进行处理，防止人为造成</w:t>
            </w:r>
            <w:r>
              <w:rPr>
                <w:rStyle w:val="13"/>
                <w:rFonts w:eastAsia="宋体"/>
                <w:color w:val="auto"/>
                <w:lang w:bidi="ar"/>
              </w:rPr>
              <w:t>I1</w:t>
            </w:r>
            <w:r>
              <w:rPr>
                <w:rStyle w:val="12"/>
                <w:rFonts w:hint="default"/>
                <w:color w:val="auto"/>
                <w:lang w:bidi="ar"/>
              </w:rPr>
              <w:t>类地质结构岩溶中等及中等以上发育时”中间缺少标点符号</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不采纳</w:t>
            </w:r>
          </w:p>
        </w:tc>
        <w:tc>
          <w:tcPr>
            <w:tcW w:w="1251"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6.2.6条文说明已删除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22</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6.2.9</w:t>
            </w:r>
          </w:p>
        </w:tc>
        <w:tc>
          <w:tcPr>
            <w:tcW w:w="1839"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用注浆法处理边界不小于溶（土）洞边界时，单一溶(土)洞的注浆处理可采用单液浆，其余应采用双液浆或单、双液浆相结合的方式；当地下水具有流通性时，应采用双液浆；当平面处理边界位于溶洞边界以内时，应在处理边界设置注浆孔(周边孔)注入双液浆进行封堵，再对边界内的注浆孔(中央孔)进行注浆充填，中央注浆孔可采用水泥浆或水泥砂浆等单液浆。</w:t>
            </w: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无实质内容</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解释说明</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参考广东省标准DBJ/T-15-136中的11.4.5和11.4.6条。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23</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7.2.4</w:t>
            </w:r>
          </w:p>
        </w:tc>
        <w:tc>
          <w:tcPr>
            <w:tcW w:w="1839" w:type="pct"/>
            <w:vMerge w:val="restar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充填注浆效果检验应符合下列规定：</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  充填注浆应检验注浆平面范围、深度范围、充填效果和加固体无测限抗压强度，检验方法可采用钻芯法、静力触探试验、动力触探试验、标准贯入试验等方法，检验位置应选择有代表性地段和薄弱部位（溶洞、土洞或破碎带），且应在注浆结束7天后进行；</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  充填注浆平面范围、深度范围检验方法可采取钻芯法、物探法等方法，检验范围不应小于充填注浆范围；</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3  充填注浆效果检验方法可采取钻芯法，也可采用物探或检测孔内数字成像等方法。检验钻孔数量不应少于注浆孔总数的10%且不少于10个，每个溶（土）洞钻孔数量应不少于1个，钻孔布置宜位于距离充填孔50cm～100cm，充填效果应根据充填前后的相关数据比较后进行评价；</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4  充填注浆加固体强度检验方法可采取钻芯法。检验钻孔数量不应少于注浆孔总数的10%且不少于10个，对于复杂场地岩溶地基应适当增加检测点数，每孔加固体芯样试件个数应不少于3件且满足设计要求；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5  对设计有承载力要求的，应采用载荷试验进行检验，单位工程抽检数量应不少于3个点且满足设计要求；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6  充填注浆效果的渗透性性检验方法可采取压（注）水试验或抽水试验等方法，充填加固范围内的平均渗透系数或测得的单位吸水量平均值均不应大于设计值，单位工程检验数量应不少于3个点且满足设计要求；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7  当检验点合格率小于或等于80%，或虽大于80%但检验点的平均值达不到强度或防渗的设计要求时，应对不合格的注浆区实施扩大检验并采取相应处置措施。</w:t>
            </w:r>
          </w:p>
        </w:tc>
        <w:tc>
          <w:tcPr>
            <w:tcW w:w="1210" w:type="pct"/>
            <w:shd w:val="clear" w:color="auto" w:fill="auto"/>
            <w:vAlign w:val="center"/>
          </w:tcPr>
          <w:p>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“溶洞注浆填充物采用随机钻孔抽芯法，做抗压试验，要求无侧限抗压强度≥0.2MPa。”根据广东省《岩溶地区建筑地基处理技术规范》(DBJ/T 15-36-2018)12.1.3条规定，“溶（土）洞注浆效果的检测应根据注浆的目的来规定具体指标，如以填充为目的，仅以填满为原则，强度可不做要求。”建议改为：1.对无地基承载力要求的溶洞处理控制目标以填满为主，可采用抽芯法、标贯法检测。处理效果检测抽芯检测以检测填充饱满程度或密实度为主，标贯法以检测充填状态和密实度为主。2.对于有地基承载力要求的采用抽芯检测，做抗压试验，强度满足设计要求。3.对于填充砂浆或混凝土的采用抽芯检测，做抗压试验，强度满足设计要求</w:t>
            </w:r>
          </w:p>
          <w:p>
            <w:pPr>
              <w:widowControl/>
              <w:numPr>
                <w:ilvl w:val="0"/>
                <w:numId w:val="1"/>
              </w:numPr>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7.2.4条，压（注）水试验透水率检测建议在矿山法段实施，盾构法无此必要。</w:t>
            </w:r>
          </w:p>
          <w:p>
            <w:pPr>
              <w:widowControl/>
              <w:jc w:val="center"/>
              <w:textAlignment w:val="center"/>
              <w:rPr>
                <w:rFonts w:ascii="宋体" w:hAnsi="宋体" w:eastAsia="宋体" w:cs="宋体"/>
                <w:sz w:val="20"/>
                <w:szCs w:val="20"/>
              </w:rPr>
            </w:pPr>
            <w:r>
              <w:rPr>
                <w:rFonts w:hint="default" w:ascii="宋体" w:hAnsi="宋体" w:eastAsia="宋体" w:cs="宋体"/>
                <w:kern w:val="0"/>
                <w:sz w:val="20"/>
                <w:szCs w:val="20"/>
                <w:lang w:val="en" w:bidi="ar"/>
              </w:rPr>
              <w:t>5.</w:t>
            </w:r>
            <w:r>
              <w:rPr>
                <w:rFonts w:hint="eastAsia" w:ascii="宋体" w:hAnsi="宋体" w:eastAsia="宋体" w:cs="宋体"/>
                <w:kern w:val="0"/>
                <w:sz w:val="20"/>
                <w:szCs w:val="20"/>
                <w:lang w:bidi="ar"/>
              </w:rPr>
              <w:t>整体章节序号混乱。如7.2.4、7.2.5、7.2.6、7.2.7条。</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部分采纳</w:t>
            </w:r>
          </w:p>
        </w:tc>
        <w:tc>
          <w:tcPr>
            <w:tcW w:w="1251" w:type="pct"/>
            <w:shd w:val="clear" w:color="auto" w:fill="auto"/>
            <w:noWrap/>
            <w:vAlign w:val="center"/>
          </w:tcPr>
          <w:p>
            <w:pPr>
              <w:widowControl/>
              <w:jc w:val="center"/>
              <w:textAlignment w:val="center"/>
              <w:rPr>
                <w:rFonts w:hint="eastAsia" w:ascii="宋体" w:hAnsi="宋体" w:eastAsia="宋体" w:cs="宋体"/>
                <w:kern w:val="0"/>
                <w:sz w:val="20"/>
                <w:szCs w:val="20"/>
                <w:lang w:bidi="ar"/>
              </w:rPr>
            </w:pPr>
            <w:r>
              <w:rPr>
                <w:rFonts w:hint="eastAsia"/>
                <w:lang w:eastAsia="zh-CN"/>
              </w:rPr>
              <w:t>针</w:t>
            </w:r>
            <w:r>
              <w:rPr>
                <w:rFonts w:hint="eastAsia" w:ascii="宋体" w:hAnsi="宋体" w:eastAsia="宋体" w:cs="宋体"/>
                <w:kern w:val="0"/>
                <w:sz w:val="20"/>
                <w:szCs w:val="20"/>
                <w:lang w:eastAsia="zh-CN" w:bidi="ar"/>
              </w:rPr>
              <w:t>对第</w:t>
            </w:r>
            <w:r>
              <w:rPr>
                <w:rFonts w:hint="eastAsia" w:ascii="宋体" w:hAnsi="宋体" w:eastAsia="宋体" w:cs="宋体"/>
                <w:kern w:val="0"/>
                <w:sz w:val="20"/>
                <w:szCs w:val="20"/>
                <w:lang w:val="en-US" w:eastAsia="zh-CN" w:bidi="ar"/>
              </w:rPr>
              <w:t>1-3条建议修改如下：</w:t>
            </w:r>
            <w:r>
              <w:rPr>
                <w:rFonts w:hint="eastAsia" w:ascii="宋体" w:hAnsi="宋体" w:eastAsia="宋体" w:cs="宋体"/>
                <w:kern w:val="0"/>
                <w:sz w:val="20"/>
                <w:szCs w:val="20"/>
                <w:lang w:bidi="ar"/>
              </w:rPr>
              <w:t>参照</w:t>
            </w:r>
            <w:r>
              <w:rPr>
                <w:rFonts w:hint="eastAsia" w:ascii="宋体" w:hAnsi="宋体" w:eastAsia="宋体" w:cs="宋体"/>
                <w:kern w:val="0"/>
                <w:sz w:val="20"/>
                <w:szCs w:val="20"/>
                <w:lang w:eastAsia="zh-CN" w:bidi="ar"/>
              </w:rPr>
              <w:t>专家</w:t>
            </w:r>
            <w:r>
              <w:rPr>
                <w:rFonts w:hint="eastAsia" w:ascii="宋体" w:hAnsi="宋体" w:eastAsia="宋体" w:cs="宋体"/>
                <w:kern w:val="0"/>
                <w:sz w:val="20"/>
                <w:szCs w:val="20"/>
                <w:lang w:bidi="ar"/>
              </w:rPr>
              <w:t>建议</w:t>
            </w:r>
            <w:r>
              <w:rPr>
                <w:rFonts w:hint="eastAsia" w:ascii="宋体" w:hAnsi="宋体" w:eastAsia="宋体" w:cs="宋体"/>
                <w:kern w:val="0"/>
                <w:sz w:val="20"/>
                <w:szCs w:val="20"/>
                <w:lang w:eastAsia="zh-CN" w:bidi="ar"/>
              </w:rPr>
              <w:t>但并未采用专家建议原文</w:t>
            </w:r>
            <w:r>
              <w:rPr>
                <w:rFonts w:hint="eastAsia" w:ascii="宋体" w:hAnsi="宋体" w:eastAsia="宋体" w:cs="宋体"/>
                <w:kern w:val="0"/>
                <w:sz w:val="20"/>
                <w:szCs w:val="20"/>
                <w:lang w:bidi="ar"/>
              </w:rPr>
              <w:t>，</w:t>
            </w:r>
            <w:r>
              <w:rPr>
                <w:rFonts w:hint="eastAsia" w:ascii="宋体" w:hAnsi="宋体" w:eastAsia="宋体" w:cs="宋体"/>
                <w:kern w:val="0"/>
                <w:sz w:val="20"/>
                <w:szCs w:val="20"/>
                <w:lang w:eastAsia="zh-CN" w:bidi="ar"/>
              </w:rPr>
              <w:t>已</w:t>
            </w:r>
            <w:r>
              <w:rPr>
                <w:rFonts w:hint="eastAsia" w:ascii="宋体" w:hAnsi="宋体" w:eastAsia="宋体" w:cs="宋体"/>
                <w:kern w:val="0"/>
                <w:sz w:val="20"/>
                <w:szCs w:val="20"/>
                <w:lang w:bidi="ar"/>
              </w:rPr>
              <w:t>在正文中说明注浆施工验收检验应根据设计要求进行，在条文中说明无设计要求时应满足的要求。</w:t>
            </w:r>
          </w:p>
          <w:p>
            <w:pPr>
              <w:widowControl/>
              <w:jc w:val="center"/>
              <w:textAlignment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eastAsia="zh-CN" w:bidi="ar"/>
              </w:rPr>
              <w:t>针对第</w:t>
            </w:r>
            <w:r>
              <w:rPr>
                <w:rFonts w:hint="eastAsia" w:ascii="宋体" w:hAnsi="宋体" w:eastAsia="宋体" w:cs="宋体"/>
                <w:kern w:val="0"/>
                <w:sz w:val="20"/>
                <w:szCs w:val="20"/>
                <w:lang w:val="en-US" w:eastAsia="zh-CN" w:bidi="ar"/>
              </w:rPr>
              <w:t>4</w:t>
            </w:r>
            <w:r>
              <w:rPr>
                <w:rFonts w:hint="eastAsia" w:ascii="宋体" w:hAnsi="宋体" w:eastAsia="宋体" w:cs="宋体"/>
                <w:kern w:val="0"/>
                <w:sz w:val="20"/>
                <w:szCs w:val="20"/>
                <w:lang w:eastAsia="zh-CN" w:bidi="ar"/>
              </w:rPr>
              <w:t>条建议，由于</w:t>
            </w:r>
            <w:r>
              <w:rPr>
                <w:rFonts w:hint="eastAsia" w:ascii="宋体" w:hAnsi="宋体" w:eastAsia="宋体" w:cs="宋体"/>
                <w:kern w:val="0"/>
                <w:sz w:val="20"/>
                <w:szCs w:val="20"/>
                <w:lang w:bidi="ar"/>
              </w:rPr>
              <w:t>渗透性设计有要求的进行检测，因此未删除</w:t>
            </w:r>
            <w:r>
              <w:rPr>
                <w:rFonts w:hint="eastAsia" w:ascii="宋体" w:hAnsi="宋体" w:eastAsia="宋体" w:cs="宋体"/>
                <w:kern w:val="0"/>
                <w:sz w:val="20"/>
                <w:szCs w:val="20"/>
                <w:lang w:eastAsia="zh-CN" w:bidi="ar"/>
              </w:rPr>
              <w:t>；</w:t>
            </w:r>
          </w:p>
          <w:p>
            <w:pPr>
              <w:widowControl/>
              <w:jc w:val="center"/>
              <w:textAlignment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eastAsia="zh-CN" w:bidi="ar"/>
              </w:rPr>
              <w:t>针对第</w:t>
            </w:r>
            <w:r>
              <w:rPr>
                <w:rFonts w:hint="eastAsia" w:ascii="宋体" w:hAnsi="宋体" w:eastAsia="宋体" w:cs="宋体"/>
                <w:kern w:val="0"/>
                <w:sz w:val="20"/>
                <w:szCs w:val="20"/>
                <w:lang w:val="en-US" w:eastAsia="zh-CN" w:bidi="ar"/>
              </w:rPr>
              <w:t>5</w:t>
            </w:r>
            <w:r>
              <w:rPr>
                <w:rFonts w:hint="eastAsia" w:ascii="宋体" w:hAnsi="宋体" w:eastAsia="宋体" w:cs="宋体"/>
                <w:kern w:val="0"/>
                <w:sz w:val="20"/>
                <w:szCs w:val="20"/>
                <w:lang w:eastAsia="zh-CN" w:bidi="ar"/>
              </w:rPr>
              <w:t>条建议，</w:t>
            </w:r>
            <w:r>
              <w:rPr>
                <w:rFonts w:hint="eastAsia" w:ascii="宋体" w:hAnsi="宋体" w:eastAsia="宋体" w:cs="宋体"/>
                <w:kern w:val="0"/>
                <w:sz w:val="20"/>
                <w:szCs w:val="20"/>
                <w:lang w:bidi="ar"/>
              </w:rPr>
              <w:t>7.2.4条文重新编写，7.2.5～7.2.7未做修改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24</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7.2.4</w:t>
            </w:r>
          </w:p>
        </w:tc>
        <w:tc>
          <w:tcPr>
            <w:tcW w:w="1839" w:type="pct"/>
            <w:vMerge w:val="continue"/>
            <w:shd w:val="clear" w:color="auto" w:fill="auto"/>
            <w:vAlign w:val="center"/>
          </w:tcPr>
          <w:p>
            <w:pPr>
              <w:jc w:val="center"/>
              <w:rPr>
                <w:rFonts w:ascii="宋体" w:hAnsi="宋体" w:eastAsia="宋体" w:cs="宋体"/>
                <w:sz w:val="20"/>
                <w:szCs w:val="20"/>
              </w:rPr>
            </w:pP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建设工程在施工期间可能会遇到岩溶发育地层，岩溶处理方式一般采用投料充填，或者注浆的方式。对岩溶处理效果的检测方法，部分项目按照设计要求，通过抽芯方法验证，用芯样完整性和无侧限抗压强度来判定处理效果。多数施工和检测单位反映，很难将芯样完整取出来，无法制成试件进行无侧限抗压试验，提出了岩溶处理检测设计要求与现场实际不符，建议修改检测方法。</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我司组织召开了岩溶检测方法专家会，专家提出可以参照部分地市（广州）岩溶处理检测要求，增加标贯作为岩溶检测判定方法。经查阅相关建设工程岩溶处理的设计，明确标贯可以作为检测手段，施工、检测资料反映标贯方式可行。</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我司发现《岩溶地区城市轨道交通工程技术标准》（征求意见）在岩溶检测章节内容中，延用了已建项目的相关技术标准，即采用无侧限抗压强度方式判定岩溶处理效果。建议《标准》修订如下：</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（1）岩溶处理检测判定方式，建议参考广州的设计要求。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（2）7.2.4 充填注浆岩溶处理效果检验，增加标贯作为检测方法之一。</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（3）在条文说明中，充填注浆岩溶处理效果检验方法为标贯或无侧限，无侧限达到设计要求即可，删除大于0.2MPa</w:t>
            </w:r>
            <w:bookmarkStart w:id="0" w:name="_GoBack"/>
            <w:bookmarkEnd w:id="0"/>
            <w:r>
              <w:rPr>
                <w:rFonts w:hint="eastAsia" w:ascii="宋体" w:hAnsi="宋体" w:eastAsia="宋体" w:cs="宋体"/>
                <w:kern w:val="0"/>
                <w:sz w:val="20"/>
                <w:szCs w:val="20"/>
                <w:lang w:bidi="ar"/>
              </w:rPr>
              <w:t>要求。</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noWrap/>
            <w:vAlign w:val="center"/>
          </w:tcPr>
          <w:p>
            <w:pPr>
              <w:widowControl/>
              <w:jc w:val="center"/>
              <w:textAlignment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76"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25</w:t>
            </w:r>
          </w:p>
        </w:tc>
        <w:tc>
          <w:tcPr>
            <w:tcW w:w="278"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附录F</w:t>
            </w:r>
          </w:p>
        </w:tc>
        <w:tc>
          <w:tcPr>
            <w:tcW w:w="1839" w:type="pct"/>
            <w:shd w:val="clear" w:color="auto" w:fill="auto"/>
            <w:vAlign w:val="center"/>
          </w:tcPr>
          <w:p>
            <w:pPr>
              <w:jc w:val="center"/>
              <w:rPr>
                <w:rFonts w:ascii="宋体" w:hAnsi="宋体" w:eastAsia="宋体" w:cs="宋体"/>
                <w:sz w:val="20"/>
                <w:szCs w:val="20"/>
              </w:rPr>
            </w:pPr>
          </w:p>
        </w:tc>
        <w:tc>
          <w:tcPr>
            <w:tcW w:w="1210"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考虑轨道交通网越来越密集，往纵向深度发展为后期趋势，对于后期隧道岩溶处理，针对深埋、大断面隧道，需结合理论计算，综合确定满足隧道施工及运营安全的岩溶处理范围。</w:t>
            </w:r>
          </w:p>
        </w:tc>
        <w:tc>
          <w:tcPr>
            <w:tcW w:w="243" w:type="pct"/>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采纳</w:t>
            </w:r>
          </w:p>
        </w:tc>
        <w:tc>
          <w:tcPr>
            <w:tcW w:w="1251" w:type="pct"/>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增加注7：当隧道周边（上、下、左、右）和端头有规划待建的城市轨道交通工程时，其岩溶治理范围应统筹考虑。</w:t>
            </w:r>
          </w:p>
        </w:tc>
      </w:tr>
    </w:tbl>
    <w:p>
      <w:pPr>
        <w:pStyle w:val="6"/>
        <w:rPr>
          <w:rFonts w:ascii="仿宋_GB2312" w:hAnsi="仿宋_GB2312" w:eastAsia="仿宋_GB2312" w:cs="仿宋_GB2312"/>
          <w:b/>
          <w:bCs/>
        </w:rPr>
      </w:pPr>
    </w:p>
    <w:sectPr>
      <w:footerReference r:id="rId5" w:type="default"/>
      <w:pgSz w:w="16838" w:h="11906" w:orient="landscape"/>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E7339"/>
    <w:multiLevelType w:val="singleLevel"/>
    <w:tmpl w:val="7FFE733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A0783"/>
    <w:rsid w:val="00105D8C"/>
    <w:rsid w:val="00367849"/>
    <w:rsid w:val="00386300"/>
    <w:rsid w:val="00637D4E"/>
    <w:rsid w:val="00B13192"/>
    <w:rsid w:val="00DD2413"/>
    <w:rsid w:val="01087948"/>
    <w:rsid w:val="017C6D0A"/>
    <w:rsid w:val="020B79C6"/>
    <w:rsid w:val="02EF3E7D"/>
    <w:rsid w:val="033D772D"/>
    <w:rsid w:val="041A1B6C"/>
    <w:rsid w:val="043B5AFC"/>
    <w:rsid w:val="04565F0C"/>
    <w:rsid w:val="0482288A"/>
    <w:rsid w:val="055422FD"/>
    <w:rsid w:val="06113AEC"/>
    <w:rsid w:val="07A7031D"/>
    <w:rsid w:val="07E8334B"/>
    <w:rsid w:val="08053EFD"/>
    <w:rsid w:val="081E7E69"/>
    <w:rsid w:val="08C96CD9"/>
    <w:rsid w:val="08CA47FF"/>
    <w:rsid w:val="095E1B17"/>
    <w:rsid w:val="09865008"/>
    <w:rsid w:val="09C556F2"/>
    <w:rsid w:val="09FE0C04"/>
    <w:rsid w:val="0A3458B3"/>
    <w:rsid w:val="0A84735B"/>
    <w:rsid w:val="0ADD7A49"/>
    <w:rsid w:val="0AE33940"/>
    <w:rsid w:val="0C236700"/>
    <w:rsid w:val="0C4D3902"/>
    <w:rsid w:val="0C552D4C"/>
    <w:rsid w:val="0CFD1647"/>
    <w:rsid w:val="0D0B3D64"/>
    <w:rsid w:val="0D1150F2"/>
    <w:rsid w:val="0D1A0783"/>
    <w:rsid w:val="0DE545B5"/>
    <w:rsid w:val="0E122ED0"/>
    <w:rsid w:val="0E355127"/>
    <w:rsid w:val="110E3E08"/>
    <w:rsid w:val="11AE22DB"/>
    <w:rsid w:val="124500D3"/>
    <w:rsid w:val="12AC38F3"/>
    <w:rsid w:val="13C04D1D"/>
    <w:rsid w:val="147F207F"/>
    <w:rsid w:val="14BA11C1"/>
    <w:rsid w:val="157B75AD"/>
    <w:rsid w:val="157C1645"/>
    <w:rsid w:val="15E11197"/>
    <w:rsid w:val="17477FBC"/>
    <w:rsid w:val="17854EC8"/>
    <w:rsid w:val="178A2EE1"/>
    <w:rsid w:val="18702CCD"/>
    <w:rsid w:val="188E4EC1"/>
    <w:rsid w:val="19AD7F51"/>
    <w:rsid w:val="19EC6C78"/>
    <w:rsid w:val="1A134190"/>
    <w:rsid w:val="1A34097B"/>
    <w:rsid w:val="1C651A8C"/>
    <w:rsid w:val="1CA57F98"/>
    <w:rsid w:val="1D2F2C78"/>
    <w:rsid w:val="1E5660EB"/>
    <w:rsid w:val="1E7B69F5"/>
    <w:rsid w:val="1F3ED8E8"/>
    <w:rsid w:val="1F642E60"/>
    <w:rsid w:val="1F881244"/>
    <w:rsid w:val="1FFFA303"/>
    <w:rsid w:val="20D83B05"/>
    <w:rsid w:val="210A02A4"/>
    <w:rsid w:val="21371D65"/>
    <w:rsid w:val="22410EAD"/>
    <w:rsid w:val="24501AAF"/>
    <w:rsid w:val="25164BFC"/>
    <w:rsid w:val="255F07E0"/>
    <w:rsid w:val="259C15A5"/>
    <w:rsid w:val="25B96753"/>
    <w:rsid w:val="2604714B"/>
    <w:rsid w:val="268C32D8"/>
    <w:rsid w:val="27BD5803"/>
    <w:rsid w:val="28810596"/>
    <w:rsid w:val="291925F4"/>
    <w:rsid w:val="2A047719"/>
    <w:rsid w:val="2A4D10C0"/>
    <w:rsid w:val="2AEB15F8"/>
    <w:rsid w:val="2B5D3585"/>
    <w:rsid w:val="2B98280F"/>
    <w:rsid w:val="2BF79DED"/>
    <w:rsid w:val="2C8836E4"/>
    <w:rsid w:val="2D875411"/>
    <w:rsid w:val="2F9E23BE"/>
    <w:rsid w:val="2FE51D9B"/>
    <w:rsid w:val="2FFF2F3A"/>
    <w:rsid w:val="30963095"/>
    <w:rsid w:val="31004AF3"/>
    <w:rsid w:val="317A086B"/>
    <w:rsid w:val="319F44BB"/>
    <w:rsid w:val="31B42D54"/>
    <w:rsid w:val="31B45EC9"/>
    <w:rsid w:val="32170F7F"/>
    <w:rsid w:val="32427031"/>
    <w:rsid w:val="32CF5A59"/>
    <w:rsid w:val="332D4131"/>
    <w:rsid w:val="33E74334"/>
    <w:rsid w:val="33FB92C3"/>
    <w:rsid w:val="341C0B67"/>
    <w:rsid w:val="344D6161"/>
    <w:rsid w:val="34E24AFB"/>
    <w:rsid w:val="352E5F92"/>
    <w:rsid w:val="355A755C"/>
    <w:rsid w:val="35BA7547"/>
    <w:rsid w:val="368220F2"/>
    <w:rsid w:val="36FD5D83"/>
    <w:rsid w:val="37543B13"/>
    <w:rsid w:val="376842B9"/>
    <w:rsid w:val="37A95DA4"/>
    <w:rsid w:val="37C9251E"/>
    <w:rsid w:val="37F77D1F"/>
    <w:rsid w:val="38794FC3"/>
    <w:rsid w:val="38845534"/>
    <w:rsid w:val="38C66DC5"/>
    <w:rsid w:val="38DB1B44"/>
    <w:rsid w:val="38EA628D"/>
    <w:rsid w:val="39671A73"/>
    <w:rsid w:val="396C8050"/>
    <w:rsid w:val="3986639D"/>
    <w:rsid w:val="39B051C8"/>
    <w:rsid w:val="39FA5619"/>
    <w:rsid w:val="3A8D5509"/>
    <w:rsid w:val="3AFA6220"/>
    <w:rsid w:val="3B6E71F3"/>
    <w:rsid w:val="3B6F774A"/>
    <w:rsid w:val="3C3720E7"/>
    <w:rsid w:val="3C6F26E0"/>
    <w:rsid w:val="3D7F2C6F"/>
    <w:rsid w:val="3DA43295"/>
    <w:rsid w:val="3E20CCFD"/>
    <w:rsid w:val="3E9375E1"/>
    <w:rsid w:val="3EFD96EE"/>
    <w:rsid w:val="3F1FAB99"/>
    <w:rsid w:val="3F894EFE"/>
    <w:rsid w:val="3FAE0C50"/>
    <w:rsid w:val="3FDF0FFD"/>
    <w:rsid w:val="3FDFF612"/>
    <w:rsid w:val="3FE70B1C"/>
    <w:rsid w:val="3FEF3F2B"/>
    <w:rsid w:val="404F0EE6"/>
    <w:rsid w:val="422F6EA6"/>
    <w:rsid w:val="42D00689"/>
    <w:rsid w:val="43721BC8"/>
    <w:rsid w:val="444D134B"/>
    <w:rsid w:val="44FD4407"/>
    <w:rsid w:val="45171294"/>
    <w:rsid w:val="481753A4"/>
    <w:rsid w:val="48AF2FAE"/>
    <w:rsid w:val="493060AA"/>
    <w:rsid w:val="49EB0E21"/>
    <w:rsid w:val="4A344261"/>
    <w:rsid w:val="4A396D19"/>
    <w:rsid w:val="4A830E92"/>
    <w:rsid w:val="4B0771CB"/>
    <w:rsid w:val="4B5D6832"/>
    <w:rsid w:val="4B751DCD"/>
    <w:rsid w:val="4B9B6C8A"/>
    <w:rsid w:val="4BFE1DA7"/>
    <w:rsid w:val="4C80543E"/>
    <w:rsid w:val="4E163064"/>
    <w:rsid w:val="4E1D5228"/>
    <w:rsid w:val="4E346E10"/>
    <w:rsid w:val="4ED00D27"/>
    <w:rsid w:val="4F811AF9"/>
    <w:rsid w:val="50200DB4"/>
    <w:rsid w:val="50792360"/>
    <w:rsid w:val="50E6470E"/>
    <w:rsid w:val="512C0529"/>
    <w:rsid w:val="51911F10"/>
    <w:rsid w:val="51DB774E"/>
    <w:rsid w:val="523A1889"/>
    <w:rsid w:val="5306230C"/>
    <w:rsid w:val="53532C6B"/>
    <w:rsid w:val="536959A6"/>
    <w:rsid w:val="53DB0C3B"/>
    <w:rsid w:val="554B3544"/>
    <w:rsid w:val="55AE6607"/>
    <w:rsid w:val="560D6F51"/>
    <w:rsid w:val="563E7E71"/>
    <w:rsid w:val="565FEC04"/>
    <w:rsid w:val="573A3ECB"/>
    <w:rsid w:val="57BC2B32"/>
    <w:rsid w:val="57C739B1"/>
    <w:rsid w:val="57D800A1"/>
    <w:rsid w:val="57EF2D17"/>
    <w:rsid w:val="581934E5"/>
    <w:rsid w:val="586C24F1"/>
    <w:rsid w:val="58F919E4"/>
    <w:rsid w:val="5A7D47FA"/>
    <w:rsid w:val="5AA30013"/>
    <w:rsid w:val="5B2348F0"/>
    <w:rsid w:val="5C566F61"/>
    <w:rsid w:val="5D107BA8"/>
    <w:rsid w:val="5DAF3F31"/>
    <w:rsid w:val="5DC34C1A"/>
    <w:rsid w:val="5DFFBDC1"/>
    <w:rsid w:val="5E703FCE"/>
    <w:rsid w:val="5F5B08E5"/>
    <w:rsid w:val="5F9E7C60"/>
    <w:rsid w:val="5FB54431"/>
    <w:rsid w:val="5FF3CAF6"/>
    <w:rsid w:val="605E78A2"/>
    <w:rsid w:val="60A807F2"/>
    <w:rsid w:val="6242717A"/>
    <w:rsid w:val="62456B4E"/>
    <w:rsid w:val="629923ED"/>
    <w:rsid w:val="64314E47"/>
    <w:rsid w:val="644A3F19"/>
    <w:rsid w:val="66860D49"/>
    <w:rsid w:val="66EE9FC2"/>
    <w:rsid w:val="67EC296B"/>
    <w:rsid w:val="67FA392E"/>
    <w:rsid w:val="6852376A"/>
    <w:rsid w:val="6876268E"/>
    <w:rsid w:val="68D128E1"/>
    <w:rsid w:val="69B67D29"/>
    <w:rsid w:val="69BC26F9"/>
    <w:rsid w:val="6BF6265F"/>
    <w:rsid w:val="6C863145"/>
    <w:rsid w:val="6CE72211"/>
    <w:rsid w:val="6D045452"/>
    <w:rsid w:val="6D0D025F"/>
    <w:rsid w:val="6D7D90A7"/>
    <w:rsid w:val="6D855A48"/>
    <w:rsid w:val="6DE9C34B"/>
    <w:rsid w:val="6E56579E"/>
    <w:rsid w:val="6E5FCAD4"/>
    <w:rsid w:val="6E8D72AA"/>
    <w:rsid w:val="6EC151A6"/>
    <w:rsid w:val="6ED57B2E"/>
    <w:rsid w:val="6F590B21"/>
    <w:rsid w:val="6F7264A0"/>
    <w:rsid w:val="6F810491"/>
    <w:rsid w:val="6FFFD5B1"/>
    <w:rsid w:val="704240C4"/>
    <w:rsid w:val="719D061C"/>
    <w:rsid w:val="73267CCD"/>
    <w:rsid w:val="737DE0DF"/>
    <w:rsid w:val="73B9DE1F"/>
    <w:rsid w:val="73BA353C"/>
    <w:rsid w:val="73DEF1C0"/>
    <w:rsid w:val="73EBCC90"/>
    <w:rsid w:val="73F15E96"/>
    <w:rsid w:val="73F7370F"/>
    <w:rsid w:val="73FB3A27"/>
    <w:rsid w:val="742026EA"/>
    <w:rsid w:val="74CB355A"/>
    <w:rsid w:val="75B32764"/>
    <w:rsid w:val="75DA004E"/>
    <w:rsid w:val="75DD51F8"/>
    <w:rsid w:val="75F398AF"/>
    <w:rsid w:val="75FFF20A"/>
    <w:rsid w:val="7601057E"/>
    <w:rsid w:val="76B54783"/>
    <w:rsid w:val="76B7CA08"/>
    <w:rsid w:val="76E310F4"/>
    <w:rsid w:val="76F9B508"/>
    <w:rsid w:val="76FB7D71"/>
    <w:rsid w:val="76FF243B"/>
    <w:rsid w:val="76FF89FF"/>
    <w:rsid w:val="77DC59B4"/>
    <w:rsid w:val="77F3E2DE"/>
    <w:rsid w:val="77FBCBEC"/>
    <w:rsid w:val="78012DA4"/>
    <w:rsid w:val="7866523B"/>
    <w:rsid w:val="79422511"/>
    <w:rsid w:val="79544AAA"/>
    <w:rsid w:val="7977E371"/>
    <w:rsid w:val="79982FA7"/>
    <w:rsid w:val="79CFB3FD"/>
    <w:rsid w:val="79F47D3E"/>
    <w:rsid w:val="7A256345"/>
    <w:rsid w:val="7A2B3810"/>
    <w:rsid w:val="7A4D5B40"/>
    <w:rsid w:val="7AEDE506"/>
    <w:rsid w:val="7AF64429"/>
    <w:rsid w:val="7B3EA2AD"/>
    <w:rsid w:val="7BC810AA"/>
    <w:rsid w:val="7BEF3B4C"/>
    <w:rsid w:val="7BFFDD52"/>
    <w:rsid w:val="7C7F3782"/>
    <w:rsid w:val="7D4B70B3"/>
    <w:rsid w:val="7DC91981"/>
    <w:rsid w:val="7DFFABF4"/>
    <w:rsid w:val="7E100520"/>
    <w:rsid w:val="7E29575D"/>
    <w:rsid w:val="7E2A70A8"/>
    <w:rsid w:val="7E7F0644"/>
    <w:rsid w:val="7E9E6BE9"/>
    <w:rsid w:val="7EAF8C10"/>
    <w:rsid w:val="7EBF9C84"/>
    <w:rsid w:val="7EF65DD8"/>
    <w:rsid w:val="7EFD2A1F"/>
    <w:rsid w:val="7EFFDF60"/>
    <w:rsid w:val="7F196975"/>
    <w:rsid w:val="7F774684"/>
    <w:rsid w:val="7F7B2285"/>
    <w:rsid w:val="7F820039"/>
    <w:rsid w:val="7FB62B45"/>
    <w:rsid w:val="7FB95345"/>
    <w:rsid w:val="7FBD17F9"/>
    <w:rsid w:val="7FBF6552"/>
    <w:rsid w:val="7FBF786A"/>
    <w:rsid w:val="7FD12699"/>
    <w:rsid w:val="7FDEAEBB"/>
    <w:rsid w:val="7FE9E7EB"/>
    <w:rsid w:val="7FEFB9B0"/>
    <w:rsid w:val="7FFF5FED"/>
    <w:rsid w:val="8E53A1D4"/>
    <w:rsid w:val="9D3292CB"/>
    <w:rsid w:val="9EEE3551"/>
    <w:rsid w:val="9EFD4711"/>
    <w:rsid w:val="ABE9E519"/>
    <w:rsid w:val="AFFF677D"/>
    <w:rsid w:val="AFFFD946"/>
    <w:rsid w:val="B3DD58D9"/>
    <w:rsid w:val="B5FFECB3"/>
    <w:rsid w:val="BA5BA916"/>
    <w:rsid w:val="BA7B23C6"/>
    <w:rsid w:val="BCBD8A14"/>
    <w:rsid w:val="BF3E6507"/>
    <w:rsid w:val="BF913ABC"/>
    <w:rsid w:val="BF9BA8F2"/>
    <w:rsid w:val="BFC531ED"/>
    <w:rsid w:val="BFE56D8F"/>
    <w:rsid w:val="BFFF3D42"/>
    <w:rsid w:val="C5EF4055"/>
    <w:rsid w:val="CCFBE222"/>
    <w:rsid w:val="CD7B68DC"/>
    <w:rsid w:val="CD7FA307"/>
    <w:rsid w:val="D3F72044"/>
    <w:rsid w:val="D7FF8DFE"/>
    <w:rsid w:val="DDBFA354"/>
    <w:rsid w:val="DDEC4CF2"/>
    <w:rsid w:val="DDF73FF6"/>
    <w:rsid w:val="DED5FEB9"/>
    <w:rsid w:val="DFBC6B7B"/>
    <w:rsid w:val="DFDEEB92"/>
    <w:rsid w:val="DFEFE942"/>
    <w:rsid w:val="DFFE1F2A"/>
    <w:rsid w:val="DFFF41ED"/>
    <w:rsid w:val="DFFF52BA"/>
    <w:rsid w:val="E589BE4F"/>
    <w:rsid w:val="E79F9658"/>
    <w:rsid w:val="EAB66338"/>
    <w:rsid w:val="ED76B637"/>
    <w:rsid w:val="EDF702BF"/>
    <w:rsid w:val="EFDBA5FD"/>
    <w:rsid w:val="EFDF612C"/>
    <w:rsid w:val="EFE9D509"/>
    <w:rsid w:val="EFF7447F"/>
    <w:rsid w:val="EFFAD975"/>
    <w:rsid w:val="EFFBC47F"/>
    <w:rsid w:val="EFFBE9E0"/>
    <w:rsid w:val="F32A1895"/>
    <w:rsid w:val="FB7DCA0C"/>
    <w:rsid w:val="FBE879DE"/>
    <w:rsid w:val="FCB73232"/>
    <w:rsid w:val="FCBE8721"/>
    <w:rsid w:val="FD7AEE57"/>
    <w:rsid w:val="FD7F3A07"/>
    <w:rsid w:val="FDD69018"/>
    <w:rsid w:val="FDEF52D9"/>
    <w:rsid w:val="FDF7586D"/>
    <w:rsid w:val="FDFA3A8C"/>
    <w:rsid w:val="FDFB2180"/>
    <w:rsid w:val="FE3FADE9"/>
    <w:rsid w:val="FE734873"/>
    <w:rsid w:val="FE7F2129"/>
    <w:rsid w:val="FEC6AF01"/>
    <w:rsid w:val="FEEF9672"/>
    <w:rsid w:val="FEEFFF3B"/>
    <w:rsid w:val="FF3E90E0"/>
    <w:rsid w:val="FF76BC02"/>
    <w:rsid w:val="FF788CB9"/>
    <w:rsid w:val="FFB566B0"/>
    <w:rsid w:val="FFD69D4F"/>
    <w:rsid w:val="FFD94E5F"/>
    <w:rsid w:val="FFDF5234"/>
    <w:rsid w:val="FFF739B2"/>
    <w:rsid w:val="FFF770BC"/>
    <w:rsid w:val="FFFE55EF"/>
    <w:rsid w:val="FFFF8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qFormat/>
    <w:uiPriority w:val="0"/>
    <w:pPr>
      <w:widowControl w:val="0"/>
      <w:tabs>
        <w:tab w:val="left" w:pos="210"/>
      </w:tabs>
      <w:spacing w:after="120" w:line="278" w:lineRule="auto"/>
      <w:ind w:left="420" w:leftChars="200"/>
      <w:jc w:val="both"/>
    </w:pPr>
    <w:rPr>
      <w:rFonts w:ascii="Calibri" w:hAnsi="Calibri" w:eastAsia="宋体" w:cs="Times New Roman"/>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oc 2"/>
    <w:next w:val="1"/>
    <w:qFormat/>
    <w:uiPriority w:val="39"/>
    <w:pPr>
      <w:widowControl w:val="0"/>
      <w:spacing w:after="160" w:line="278" w:lineRule="auto"/>
      <w:ind w:left="420" w:leftChars="200"/>
      <w:jc w:val="both"/>
    </w:pPr>
    <w:rPr>
      <w:rFonts w:ascii="Times New Roman" w:hAnsi="Times New Roman" w:eastAsia="宋体" w:cs="Times New Roman"/>
      <w:kern w:val="2"/>
      <w:sz w:val="21"/>
      <w:szCs w:val="24"/>
      <w:lang w:val="en-US" w:eastAsia="zh-CN" w:bidi="ar-SA"/>
    </w:rPr>
  </w:style>
  <w:style w:type="paragraph" w:customStyle="1" w:styleId="9">
    <w:name w:val="表格文字2"/>
    <w:qFormat/>
    <w:uiPriority w:val="0"/>
    <w:pPr>
      <w:widowControl w:val="0"/>
      <w:tabs>
        <w:tab w:val="left" w:pos="210"/>
      </w:tabs>
      <w:spacing w:before="25" w:after="25" w:line="278" w:lineRule="auto"/>
      <w:ind w:left="420" w:leftChars="200"/>
    </w:pPr>
    <w:rPr>
      <w:rFonts w:ascii="Calibri" w:hAnsi="Calibri" w:eastAsia="宋体" w:cs="Times New Roman"/>
      <w:bCs/>
      <w:spacing w:val="10"/>
      <w:sz w:val="24"/>
      <w:lang w:val="en-US" w:eastAsia="zh-CN" w:bidi="ar-SA"/>
    </w:rPr>
  </w:style>
  <w:style w:type="table" w:customStyle="1" w:styleId="10">
    <w:name w:val="Table Normal"/>
    <w:basedOn w:val="7"/>
    <w:semiHidden/>
    <w:unhideWhenUsed/>
    <w:qFormat/>
    <w:uiPriority w:val="0"/>
    <w:tblPr>
      <w:tblCellMar>
        <w:left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 w:type="character" w:customStyle="1" w:styleId="12">
    <w:name w:val="font21"/>
    <w:basedOn w:val="8"/>
    <w:qFormat/>
    <w:uiPriority w:val="0"/>
    <w:rPr>
      <w:rFonts w:hint="eastAsia"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883</Words>
  <Characters>5035</Characters>
  <Lines>41</Lines>
  <Paragraphs>11</Paragraphs>
  <TotalTime>3</TotalTime>
  <ScaleCrop>false</ScaleCrop>
  <LinksUpToDate>false</LinksUpToDate>
  <CharactersWithSpaces>5907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2023-05-14T14:06:00Z</dcterms:created>
  <dc:creator>刘国华</dc:creator>
  <cp:lastModifiedBy>xyy</cp:lastModifiedBy>
  <dcterms:modified xsi:type="dcterms:W3CDTF">2024-05-09T19:09:40Z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09F53CC602FB454BB5D4B73164CC74C0_13</vt:lpwstr>
  </property>
</Properties>
</file>