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t>《建筑和市政工程概算编制规程（征求意见稿）》</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城市轨道交通工程概算编制规程（征求意见稿）</w:t>
      </w:r>
      <w:r>
        <w:rPr>
          <w:rFonts w:hint="eastAsia" w:ascii="宋体" w:hAnsi="宋体" w:eastAsia="宋体" w:cs="宋体"/>
          <w:b/>
          <w:bCs/>
          <w:sz w:val="44"/>
          <w:szCs w:val="44"/>
        </w:rPr>
        <w:t>》</w:t>
      </w:r>
      <w:bookmarkStart w:id="0" w:name="_GoBack"/>
      <w:bookmarkEnd w:id="0"/>
      <w:r>
        <w:rPr>
          <w:rFonts w:hint="eastAsia" w:ascii="宋体" w:hAnsi="宋体" w:eastAsia="宋体" w:cs="宋体"/>
          <w:b/>
          <w:bCs/>
          <w:sz w:val="44"/>
          <w:szCs w:val="44"/>
          <w:lang w:eastAsia="zh-CN"/>
        </w:rPr>
        <w:t>公开征求意见采纳情况汇总表</w:t>
      </w:r>
    </w:p>
    <w:p>
      <w:pPr>
        <w:pStyle w:val="2"/>
        <w:rPr>
          <w:rFonts w:hint="eastAsia"/>
          <w:lang w:eastAsia="zh-CN"/>
        </w:rPr>
      </w:pPr>
    </w:p>
    <w:tbl>
      <w:tblPr>
        <w:tblStyle w:val="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461"/>
        <w:gridCol w:w="1612"/>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261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意见</w:t>
            </w:r>
          </w:p>
        </w:tc>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采纳情况</w:t>
            </w:r>
          </w:p>
        </w:tc>
        <w:tc>
          <w:tcPr>
            <w:tcW w:w="1519"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sz w:val="32"/>
                <w:szCs w:val="32"/>
                <w:lang w:eastAsia="zh-CN"/>
              </w:rPr>
            </w:pPr>
            <w:r>
              <w:rPr>
                <w:rFonts w:hint="eastAsia" w:ascii="宋体" w:hAnsi="宋体" w:cs="宋体"/>
                <w:b/>
                <w:bCs/>
                <w:sz w:val="28"/>
                <w:szCs w:val="28"/>
                <w:lang w:eastAsia="zh-CN"/>
              </w:rPr>
              <w:t>一、</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城市轨道交通工程概算编制规程</w:t>
            </w:r>
            <w:r>
              <w:rPr>
                <w:rFonts w:hint="eastAsia" w:ascii="宋体" w:hAnsi="宋体" w:eastAsia="宋体" w:cs="宋体"/>
                <w:b/>
                <w:bCs/>
                <w:sz w:val="28"/>
                <w:szCs w:val="28"/>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P21，建议将地下区间进一步划分为盾构、矿山法、明挖法三种，便于区分。</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《城市轨道交通工程概算编制规程（征求意见稿）》/6.1.6 /p8</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6.1.6 3 车辆基地、主变电所、运营控制中心的常规机电设备安装工程及检修工艺设备工程采用现行的深圳市安装工程计价标准。</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建议调整为：车辆基地、主变电所、运营控制中心的常规机电设备安装工程采用现行的深圳市安装工程计价标准，检修工艺设备工程暂采用相关部委发布的计价标准或按市场价计列。</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修改理由：现行的深圳市安装工程计价标准无检修工艺设备内容。</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解释说明</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工艺设备安装一般由厂家负责安装，安装费包含在设备购置费中，因此不需要另行套定额。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《城市轨道交通工程概算编制规程（征求意见稿）》/6.1.6   /p8</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采用现行预算定额编制概算时，各专业工程计价标准要求如下：</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地下结构工程、桥梁工程、路基工程、……，采用现行的深圳市城市轨道交通工程计价标准</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高架车站、……构筑物的土建工程，采用现行的深圳市建筑工程计价标准；</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修改理由：上述1桥梁工程和上述2中的高架车站 的桩基施工方法、工序基本一样，只是部位不同，计价标准建议统一，执行深圳市城市轨道交通工程计价标准或深圳市建筑工程计价标准。</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《城市轨道交通工程概算编制规程（征求意见稿）》/6.1.6  /p8</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装配式车站结构安装工程，采用现行的深圳市装配建筑工程计价标准</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修改理由：装配式车站的构件与普通房建预制构件有较大差异，垂直运输一般采用龙门吊，安装也需要台车等设备。但是最新的装配建筑工程计价标准安装定额（征求意见稿）中没有机械费，垂直运输费也无法按《建筑工程消耗量标准计算》，标准缺乏。</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建议调整为：装配式车站结构安装工程，采用现行的深圳市装配建筑工程计价标准，结合市场价综合取定。</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《城市轨道交通工程概算编制规程（征求意见稿）》/6. 3.2/p10</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6.3.2.1  p — 工程造价年增长率</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建议调整为 p—工程造价指数年增长率</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《城市轨道交通工程概算编制规程（征求意见稿）》/附录A概算章节表/p17</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 基坑土石方工程 费用内容及其他说明</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建议补充：钢筋混凝土支撑拆除、钢支撑拆除</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修改理由：拆除是工作内容的一部分</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7</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《城市轨道交通工程概算编制规程（征求意见稿）》/附录C概算编制细则及标准/p59</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C.2.2.1基坑土石方外运数量按挖除的自然方计算，余泥渣土外运运距根据工程所在位置综合确定。</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修改理由：挖除的自然方装载和弃置，市场有实方、虚方之别。</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建议修改为：基坑土石方外运数量按挖除的自然方计算，考虑虚方系数，余泥渣土外运运距根据工程所在位置综合确定。</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解释说明</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外运按自然方计算，虚方系数已经在定额台班中考虑。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8</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《城市轨道交通工程概算编制规程（征求意见稿）》</w:t>
            </w:r>
          </w:p>
          <w:p>
            <w:pPr>
              <w:spacing w:beforeLines="0" w:afterLines="0"/>
              <w:jc w:val="left"/>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rPr>
              <w:t>因“GB55031-2022《民用建筑通用规范》”对建筑面积计算规则有调整，“GB/T 50353-2013 建筑工程建筑面积计算规范”建议取消或修改</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9</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《城市轨道交通工程概算编制规程（征求意见稿）》5.3.3.18</w:t>
            </w:r>
          </w:p>
          <w:p>
            <w:pPr>
              <w:spacing w:beforeLines="0" w:afterLines="0"/>
              <w:jc w:val="left"/>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rPr>
              <w:t>BIM技术应用费，建议修正增加：含聘请建筑信息模型（BIM）技术应用的咨询顾问</w:t>
            </w:r>
          </w:p>
        </w:tc>
        <w:tc>
          <w:tcPr>
            <w:tcW w:w="565" w:type="pct"/>
            <w:noWrap w:val="0"/>
            <w:vAlign w:val="top"/>
          </w:tcPr>
          <w:p>
            <w:pPr>
              <w:spacing w:beforeLines="0" w:afterLines="0"/>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解释说明</w:t>
            </w:r>
          </w:p>
        </w:tc>
        <w:tc>
          <w:tcPr>
            <w:tcW w:w="1519" w:type="pct"/>
            <w:noWrap w:val="0"/>
            <w:vAlign w:val="top"/>
          </w:tcPr>
          <w:p>
            <w:pPr>
              <w:spacing w:beforeLines="0" w:afterLines="0"/>
              <w:jc w:val="lef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5.3.318中的BIM技术应用费已列明费用的内容，咨询顾问只是其中可能发生的一笔费用，因此不增加相关表述。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sz w:val="28"/>
                <w:szCs w:val="28"/>
                <w:lang w:eastAsia="zh-CN"/>
              </w:rPr>
              <w:t>二、《建筑和市政工程概算编制规程（征求意见稿）》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P32、P34中的专项工程（如防护工程、被服系统等）土建、安装分开列项，建议合并成一个专项工程，与土建、安装工程并列。</w:t>
            </w:r>
          </w:p>
        </w:tc>
        <w:tc>
          <w:tcPr>
            <w:tcW w:w="565" w:type="pct"/>
            <w:noWrap w:val="0"/>
            <w:vAlign w:val="top"/>
          </w:tcPr>
          <w:p>
            <w:pPr>
              <w:bidi w:val="0"/>
              <w:jc w:val="center"/>
              <w:rPr>
                <w:rFonts w:hint="eastAsia"/>
                <w:lang w:val="en" w:eastAsia="zh-CN"/>
              </w:rPr>
            </w:pPr>
            <w:r>
              <w:rPr>
                <w:rFonts w:hint="eastAsia"/>
                <w:lang w:val="en" w:eastAsia="zh-CN"/>
              </w:rPr>
              <w:t>解释说明</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专项工程本质上是由土建和安装工程构成的，为保持一致性，将专项工程按专业划分，符合现行计价习惯。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P35中“配套及其他工程”中建议增加：“直升机场地工程”</w:t>
            </w:r>
          </w:p>
        </w:tc>
        <w:tc>
          <w:tcPr>
            <w:tcW w:w="565" w:type="pct"/>
            <w:noWrap w:val="0"/>
            <w:vAlign w:val="top"/>
          </w:tcPr>
          <w:p>
            <w:pPr>
              <w:bidi w:val="0"/>
              <w:jc w:val="center"/>
              <w:rPr>
                <w:rFonts w:hint="eastAsia"/>
                <w:lang w:val="en" w:eastAsia="zh-CN"/>
              </w:rPr>
            </w:pPr>
            <w:r>
              <w:rPr>
                <w:rFonts w:hint="eastAsia"/>
              </w:rPr>
              <w:t>解释说明</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具体表格可以根据项目实际情况进行增减。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P36中建议将“交通疏解”、“管线迁改”各作为一个项目与“道路”并列。</w:t>
            </w:r>
          </w:p>
        </w:tc>
        <w:tc>
          <w:tcPr>
            <w:tcW w:w="565" w:type="pct"/>
            <w:noWrap w:val="0"/>
            <w:vAlign w:val="top"/>
          </w:tcPr>
          <w:p>
            <w:pPr>
              <w:bidi w:val="0"/>
              <w:jc w:val="center"/>
              <w:rPr>
                <w:rFonts w:hint="eastAsia"/>
                <w:lang w:val="en" w:eastAsia="zh-CN"/>
              </w:rPr>
            </w:pPr>
            <w:r>
              <w:rPr>
                <w:rFonts w:hint="eastAsia"/>
              </w:rPr>
              <w:t>采纳</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建议增加：“工业厂房类概算细目表”</w:t>
            </w:r>
          </w:p>
        </w:tc>
        <w:tc>
          <w:tcPr>
            <w:tcW w:w="565" w:type="pct"/>
            <w:noWrap w:val="0"/>
            <w:vAlign w:val="top"/>
          </w:tcPr>
          <w:p>
            <w:pPr>
              <w:bidi w:val="0"/>
              <w:jc w:val="center"/>
              <w:rPr>
                <w:rFonts w:hint="eastAsia"/>
                <w:lang w:val="en" w:eastAsia="zh-CN"/>
              </w:rPr>
            </w:pPr>
            <w:r>
              <w:rPr>
                <w:rFonts w:hint="eastAsia"/>
                <w:lang w:val="en" w:eastAsia="zh-CN"/>
              </w:rPr>
              <w:t>解释说明</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工业厂房类可参照建筑工程单项工程概算细目表编制。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页码第1页，规范性引用文件建议增加《GB 50857-2013 市政工程工程量计算规范》、《GB 50856-2013 通用安装工程工程量计算规范》。</w:t>
            </w:r>
          </w:p>
        </w:tc>
        <w:tc>
          <w:tcPr>
            <w:tcW w:w="565" w:type="pct"/>
            <w:noWrap w:val="0"/>
            <w:vAlign w:val="top"/>
          </w:tcPr>
          <w:p>
            <w:pPr>
              <w:bidi w:val="0"/>
              <w:jc w:val="center"/>
              <w:rPr>
                <w:rFonts w:hint="eastAsia"/>
                <w:lang w:val="en" w:eastAsia="zh-CN"/>
              </w:rPr>
            </w:pPr>
            <w:r>
              <w:rPr>
                <w:rFonts w:hint="eastAsia"/>
              </w:rPr>
              <w:t>采纳</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页码第35页，迁改类说明中，建议增加燃气迁改专业；室外安装工程说明中，建议在室外给水排水后增加电气专业；页尾多写了一个“注”字，建议删除。</w:t>
            </w:r>
          </w:p>
        </w:tc>
        <w:tc>
          <w:tcPr>
            <w:tcW w:w="565" w:type="pct"/>
            <w:noWrap w:val="0"/>
            <w:vAlign w:val="top"/>
          </w:tcPr>
          <w:p>
            <w:pPr>
              <w:bidi w:val="0"/>
              <w:jc w:val="center"/>
              <w:rPr>
                <w:rFonts w:hint="eastAsia"/>
                <w:lang w:val="en" w:eastAsia="zh-CN"/>
              </w:rPr>
            </w:pPr>
            <w:r>
              <w:rPr>
                <w:rFonts w:hint="eastAsia"/>
              </w:rPr>
              <w:t>采纳</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2615"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页码第36页，电气工程中的“电信工程”建议修改为“通信工程”；照明工程的单位建议修改为“套”。</w:t>
            </w:r>
          </w:p>
        </w:tc>
        <w:tc>
          <w:tcPr>
            <w:tcW w:w="565" w:type="pct"/>
            <w:noWrap w:val="0"/>
            <w:vAlign w:val="top"/>
          </w:tcPr>
          <w:p>
            <w:pPr>
              <w:bidi w:val="0"/>
              <w:jc w:val="center"/>
              <w:rPr>
                <w:rFonts w:hint="eastAsia"/>
                <w:lang w:val="en" w:eastAsia="zh-CN"/>
              </w:rPr>
            </w:pPr>
            <w:r>
              <w:rPr>
                <w:rFonts w:hint="eastAsia"/>
              </w:rPr>
              <w:t>部分采纳</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已完善相关内容。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p>
        </w:tc>
        <w:tc>
          <w:tcPr>
            <w:tcW w:w="2615" w:type="pct"/>
            <w:noWrap w:val="0"/>
            <w:vAlign w:val="top"/>
          </w:tcPr>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深圳市建筑和市政概算编制规程（征求意见稿）/6.1.2 建筑安装工程费的计算方法 /p7</w:t>
            </w:r>
          </w:p>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 4采用预算定额法编制概算时……，建筑专业中的装饰工程、安装工程和市政专业中的地下结构、隧道、桥梁上部结构及安装工程可按3%～5% 计取零星工程费（概算幅度差），也可按照经验列项估算，其他工程不计。</w:t>
            </w:r>
          </w:p>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建议补充：估算时应分专业、系统按专业指标计列。</w:t>
            </w:r>
          </w:p>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修改理由：对估算内容加以限制。初步阶段机电及装饰不确定因素多，可按装饰区域面积、建筑布局、功能等经验指标估算。</w:t>
            </w:r>
          </w:p>
        </w:tc>
        <w:tc>
          <w:tcPr>
            <w:tcW w:w="565" w:type="pct"/>
            <w:noWrap w:val="0"/>
            <w:vAlign w:val="top"/>
          </w:tcPr>
          <w:p>
            <w:pPr>
              <w:bidi w:val="0"/>
              <w:jc w:val="center"/>
              <w:rPr>
                <w:rFonts w:hint="eastAsia"/>
                <w:lang w:val="en" w:eastAsia="zh-CN"/>
              </w:rPr>
            </w:pPr>
            <w:r>
              <w:rPr>
                <w:rFonts w:hint="eastAsia"/>
                <w:lang w:val="en" w:eastAsia="zh-CN"/>
              </w:rPr>
              <w:t>采纳</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p>
        </w:tc>
        <w:tc>
          <w:tcPr>
            <w:tcW w:w="2615" w:type="pct"/>
            <w:noWrap w:val="0"/>
            <w:vAlign w:val="top"/>
          </w:tcPr>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深圳市建筑和市政概算编制规程（征求意见稿）/6.3工程建设其他费用的内容及计算方法/p8</w:t>
            </w:r>
          </w:p>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根据国家、广东省和深圳市有关文件规定，……市场调节价。若工程项目采用……叠加后再增加相应统筹管理费用计取。</w:t>
            </w:r>
          </w:p>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议参考《城市轨道交通工程概算编制规程》，增加：编制概算时，其他费用应根据现行国家、广东省和深圳市有关文件，结合工程实际情况计列。费用可根据实际工量估算，也可结合项目实际情况按相关费用的一定费率计取。</w:t>
            </w:r>
          </w:p>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修改理由：市场正向引导</w:t>
            </w:r>
          </w:p>
        </w:tc>
        <w:tc>
          <w:tcPr>
            <w:tcW w:w="565" w:type="pct"/>
            <w:noWrap w:val="0"/>
            <w:vAlign w:val="top"/>
          </w:tcPr>
          <w:p>
            <w:pPr>
              <w:bidi w:val="0"/>
              <w:jc w:val="center"/>
              <w:rPr>
                <w:rFonts w:hint="eastAsia"/>
                <w:lang w:val="en" w:eastAsia="zh-CN"/>
              </w:rPr>
            </w:pPr>
            <w:r>
              <w:rPr>
                <w:rFonts w:hint="eastAsia"/>
              </w:rPr>
              <w:t>解释说明</w:t>
            </w:r>
          </w:p>
        </w:tc>
        <w:tc>
          <w:tcPr>
            <w:tcW w:w="1519" w:type="pct"/>
            <w:noWrap w:val="0"/>
            <w:vAlign w:val="top"/>
          </w:tcPr>
          <w:p>
            <w:pPr>
              <w:bidi w:val="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市场调节价已含结合工程实际情况计列的意义。各费用的计算方法在各项费用的计算方法中已表述。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2615" w:type="pct"/>
            <w:noWrap w:val="0"/>
            <w:vAlign w:val="top"/>
          </w:tcPr>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建议：明确余泥渣土弃置费工程量基数计算规则；</w:t>
            </w:r>
          </w:p>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理由：概算编制常规按天然密实土方计算，深圳市有关部门发布的价格文件中对弃土方量表述有出入（例：深建废管[2020]3号中按海外外运设施接收时的现状土方为准）。</w:t>
            </w:r>
          </w:p>
        </w:tc>
        <w:tc>
          <w:tcPr>
            <w:tcW w:w="565" w:type="pct"/>
            <w:noWrap w:val="0"/>
            <w:vAlign w:val="top"/>
          </w:tcPr>
          <w:p>
            <w:pPr>
              <w:bidi w:val="0"/>
              <w:jc w:val="center"/>
              <w:rPr>
                <w:rFonts w:hint="eastAsia" w:asciiTheme="minorEastAsia" w:hAnsiTheme="minorEastAsia" w:eastAsiaTheme="minorEastAsia" w:cstheme="minorEastAsia"/>
                <w:sz w:val="21"/>
                <w:szCs w:val="21"/>
                <w:lang w:val="en" w:eastAsia="zh-CN"/>
              </w:rPr>
            </w:pPr>
            <w:r>
              <w:rPr>
                <w:rFonts w:hint="eastAsia" w:asciiTheme="minorEastAsia" w:hAnsiTheme="minorEastAsia" w:eastAsiaTheme="minorEastAsia" w:cstheme="minorEastAsia"/>
                <w:sz w:val="21"/>
                <w:szCs w:val="21"/>
              </w:rPr>
              <w:t>解释说明</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深圳市已有弃置费的相关计算规则，规程不宜另行约定。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2615" w:type="pct"/>
            <w:noWrap w:val="0"/>
            <w:vAlign w:val="top"/>
          </w:tcPr>
          <w:p>
            <w:pPr>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建议：水土保持专项费实行市场调节价；</w:t>
            </w:r>
          </w:p>
          <w:p>
            <w:pPr>
              <w:bidi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理由：(1)基于以往国家标准，水利部水土保持司印发《水利部水土保持司关于废止的函》（水保监督函〔2014〕2号），废止了保监〔2005〕22号文，因此水土保持服务费收费标准目前没有国家标准；(2)基于现深圳标准，关于印发《深圳市开发建设项目水土保持服务费计列办法》的通知（深水保〔2007〕362号），此文发布年限较远，现深圳已有源远、深水水务、如茵生态、新大地、泰然生态等诸多专业单位，实行市场调节价具有市场必要性。</w:t>
            </w:r>
          </w:p>
        </w:tc>
        <w:tc>
          <w:tcPr>
            <w:tcW w:w="565" w:type="pct"/>
            <w:noWrap w:val="0"/>
            <w:vAlign w:val="top"/>
          </w:tcPr>
          <w:p>
            <w:pPr>
              <w:bidi w:val="0"/>
              <w:jc w:val="center"/>
              <w:rPr>
                <w:rFonts w:hint="eastAsia" w:asciiTheme="minorEastAsia" w:hAnsiTheme="minorEastAsia" w:eastAsiaTheme="minorEastAsia" w:cstheme="minorEastAsia"/>
                <w:sz w:val="21"/>
                <w:szCs w:val="21"/>
                <w:lang w:val="en" w:eastAsia="zh-CN"/>
              </w:rPr>
            </w:pPr>
            <w:r>
              <w:rPr>
                <w:rFonts w:hint="eastAsia" w:asciiTheme="minorEastAsia" w:hAnsiTheme="minorEastAsia" w:eastAsiaTheme="minorEastAsia" w:cstheme="minorEastAsia"/>
                <w:sz w:val="21"/>
                <w:szCs w:val="21"/>
              </w:rPr>
              <w:t>采纳</w:t>
            </w:r>
          </w:p>
        </w:tc>
        <w:tc>
          <w:tcPr>
            <w:tcW w:w="1519" w:type="pct"/>
            <w:noWrap w:val="0"/>
            <w:vAlign w:val="top"/>
          </w:tcPr>
          <w:p>
            <w:pPr>
              <w:bidi w:val="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《建筑和市政工程概算编制规程（征求意见稿）》P31~P35</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“附录B.1建筑工程单项工程概算细目表”单位工程名称建议同“SJG77-2020 《房屋建筑工程造价文件分部分项和措施项目划分标准》”统一</w:t>
            </w:r>
          </w:p>
        </w:tc>
        <w:tc>
          <w:tcPr>
            <w:tcW w:w="565" w:type="pct"/>
            <w:noWrap w:val="0"/>
            <w:vAlign w:val="top"/>
          </w:tcPr>
          <w:p>
            <w:pPr>
              <w:spacing w:beforeLines="0" w:afterLines="0"/>
              <w:jc w:val="center"/>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sz w:val="21"/>
                <w:szCs w:val="21"/>
              </w:rPr>
              <w:t>解释说明</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两部标准的单位工程基本一致，但由于两部标准使用范围不同，可能个别存在细微差异。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《建筑和市政工程概算编制规程（征求意见稿）》6.1.2-1</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“首先采用深圳市现行概算定额或概算指标进行编制，没有适用的概算定额或指标时，可采用现行预算定额进行编制。”</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修改理由和建议：深圳市目前没有“现行概算定额或概算指标”，建议直接改为根据预算定额进行编制。</w:t>
            </w:r>
          </w:p>
        </w:tc>
        <w:tc>
          <w:tcPr>
            <w:tcW w:w="565" w:type="pct"/>
            <w:noWrap w:val="0"/>
            <w:vAlign w:val="top"/>
          </w:tcPr>
          <w:p>
            <w:pPr>
              <w:spacing w:beforeLines="0" w:afterLines="0"/>
              <w:jc w:val="center"/>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sz w:val="21"/>
                <w:szCs w:val="21"/>
              </w:rPr>
              <w:t>解释说明</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我站已经启动了</w:t>
            </w:r>
            <w:r>
              <w:rPr>
                <w:rFonts w:hint="eastAsia" w:asciiTheme="minorEastAsia" w:hAnsiTheme="minorEastAsia" w:eastAsiaTheme="minorEastAsia" w:cstheme="minorEastAsia"/>
                <w:color w:val="000000"/>
                <w:sz w:val="21"/>
                <w:szCs w:val="21"/>
                <w:lang w:eastAsia="zh-CN"/>
              </w:rPr>
              <w:t>相关概算</w:t>
            </w:r>
            <w:r>
              <w:rPr>
                <w:rFonts w:hint="eastAsia" w:asciiTheme="minorEastAsia" w:hAnsiTheme="minorEastAsia" w:eastAsiaTheme="minorEastAsia" w:cstheme="minorEastAsia"/>
                <w:color w:val="000000"/>
                <w:sz w:val="21"/>
                <w:szCs w:val="21"/>
              </w:rPr>
              <w:t>定额或指标的编制。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《建筑和市政工程概算编制规程（征求意见稿）》6.1.2-2</w:t>
            </w:r>
          </w:p>
          <w:p>
            <w:pPr>
              <w:spacing w:beforeLines="0" w:afterLine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“概算编制期，应按照项目初步设计文件的编制时间确定，采用当时最新发布的市场信息价、市场询价。”</w:t>
            </w:r>
          </w:p>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修改理由和建议：概算编制期与项目初步设计文件的编制时间不相同，建议修改为“概算编制期，应按照概算编制时间最新发布的市场信息价、市场询价。”</w:t>
            </w:r>
          </w:p>
        </w:tc>
        <w:tc>
          <w:tcPr>
            <w:tcW w:w="565" w:type="pct"/>
            <w:noWrap w:val="0"/>
            <w:vAlign w:val="top"/>
          </w:tcPr>
          <w:p>
            <w:pPr>
              <w:spacing w:beforeLines="0" w:afterLines="0"/>
              <w:jc w:val="center"/>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sz w:val="21"/>
                <w:szCs w:val="21"/>
              </w:rPr>
              <w:t>采纳</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0" w:type="pct"/>
            <w:noWrap w:val="0"/>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w:t>
            </w:r>
          </w:p>
        </w:tc>
        <w:tc>
          <w:tcPr>
            <w:tcW w:w="2615" w:type="pct"/>
            <w:noWrap w:val="0"/>
            <w:vAlign w:val="top"/>
          </w:tcPr>
          <w:p>
            <w:pPr>
              <w:spacing w:beforeLines="0" w:afterLine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《建筑和市政工程概算编制规程（征求意见稿）》6.4.2.2</w:t>
            </w:r>
          </w:p>
          <w:p>
            <w:pPr>
              <w:spacing w:beforeLines="0" w:afterLines="0"/>
              <w:jc w:val="left"/>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rPr>
              <w:t>计算方法，建议修正：概算阶段基本预备费率一般情况下可按5%～10%计取</w:t>
            </w:r>
          </w:p>
        </w:tc>
        <w:tc>
          <w:tcPr>
            <w:tcW w:w="565" w:type="pct"/>
            <w:noWrap w:val="0"/>
            <w:vAlign w:val="top"/>
          </w:tcPr>
          <w:p>
            <w:pPr>
              <w:spacing w:beforeLines="0" w:afterLines="0"/>
              <w:jc w:val="center"/>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sz w:val="21"/>
                <w:szCs w:val="21"/>
                <w:highlight w:val="none"/>
              </w:rPr>
              <w:t>解释说明</w:t>
            </w:r>
          </w:p>
        </w:tc>
        <w:tc>
          <w:tcPr>
            <w:tcW w:w="1519" w:type="pct"/>
            <w:noWrap w:val="0"/>
            <w:vAlign w:val="top"/>
          </w:tcPr>
          <w:p>
            <w:pPr>
              <w:spacing w:beforeLines="0" w:afterLines="0"/>
              <w:jc w:val="left"/>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eastAsia="zh-CN"/>
              </w:rPr>
              <w:t>经市场调研，深圳市建筑和市政概算编制规程（</w:t>
            </w:r>
            <w:r>
              <w:rPr>
                <w:rFonts w:hint="eastAsia" w:asciiTheme="minorEastAsia" w:hAnsiTheme="minorEastAsia" w:eastAsiaTheme="minorEastAsia" w:cstheme="minorEastAsia"/>
                <w:color w:val="000000"/>
                <w:sz w:val="21"/>
                <w:szCs w:val="21"/>
                <w:highlight w:val="none"/>
                <w:lang w:val="en-US" w:eastAsia="zh-CN"/>
              </w:rPr>
              <w:t>2017</w:t>
            </w:r>
            <w:r>
              <w:rPr>
                <w:rFonts w:hint="eastAsia" w:asciiTheme="minorEastAsia" w:hAnsiTheme="minorEastAsia" w:eastAsiaTheme="minorEastAsia" w:cstheme="minorEastAsia"/>
                <w:color w:val="000000"/>
                <w:sz w:val="21"/>
                <w:szCs w:val="21"/>
                <w:highlight w:val="none"/>
                <w:lang w:eastAsia="zh-CN"/>
              </w:rPr>
              <w:t>）初步设计概算基本预备费按</w:t>
            </w:r>
            <w:r>
              <w:rPr>
                <w:rFonts w:hint="eastAsia" w:asciiTheme="minorEastAsia" w:hAnsiTheme="minorEastAsia" w:eastAsiaTheme="minorEastAsia" w:cstheme="minorEastAsia"/>
                <w:color w:val="000000"/>
                <w:sz w:val="21"/>
                <w:szCs w:val="21"/>
                <w:highlight w:val="none"/>
                <w:lang w:val="en-US" w:eastAsia="zh-CN"/>
              </w:rPr>
              <w:t>5%计算是符合政府项目投资要求的。</w:t>
            </w:r>
            <w:r>
              <w:rPr>
                <w:rFonts w:hint="eastAsia" w:asciiTheme="minorEastAsia" w:hAnsiTheme="minorEastAsia" w:eastAsiaTheme="minorEastAsia" w:cstheme="minorEastAsia"/>
                <w:color w:val="000000"/>
                <w:sz w:val="21"/>
                <w:szCs w:val="21"/>
                <w:highlight w:val="none"/>
              </w:rPr>
              <w:t xml:space="preserve"> </w:t>
            </w:r>
          </w:p>
        </w:tc>
      </w:tr>
    </w:tbl>
    <w:p>
      <w:pPr>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2523C"/>
    <w:rsid w:val="06BBC570"/>
    <w:rsid w:val="07BD00E8"/>
    <w:rsid w:val="07FFA12C"/>
    <w:rsid w:val="0A411EAC"/>
    <w:rsid w:val="0ABBA747"/>
    <w:rsid w:val="0B33DEF2"/>
    <w:rsid w:val="0DBFBA90"/>
    <w:rsid w:val="0DF7992E"/>
    <w:rsid w:val="0DFBC0E1"/>
    <w:rsid w:val="0F79A59C"/>
    <w:rsid w:val="0FFFF1FD"/>
    <w:rsid w:val="1275C1E1"/>
    <w:rsid w:val="1397BE6E"/>
    <w:rsid w:val="13FF5177"/>
    <w:rsid w:val="13FFC5E8"/>
    <w:rsid w:val="151A12ED"/>
    <w:rsid w:val="163EEC08"/>
    <w:rsid w:val="1705219D"/>
    <w:rsid w:val="173C1198"/>
    <w:rsid w:val="17456004"/>
    <w:rsid w:val="177EDC5A"/>
    <w:rsid w:val="179FC0F2"/>
    <w:rsid w:val="1BF9F0F1"/>
    <w:rsid w:val="1CB1D23B"/>
    <w:rsid w:val="1DF24F80"/>
    <w:rsid w:val="1E9C6E58"/>
    <w:rsid w:val="1EB5F7A8"/>
    <w:rsid w:val="1EFF65B6"/>
    <w:rsid w:val="1EFFEF91"/>
    <w:rsid w:val="1F5A45ED"/>
    <w:rsid w:val="1F67B691"/>
    <w:rsid w:val="1F9B9E71"/>
    <w:rsid w:val="1FD660D8"/>
    <w:rsid w:val="1FD74C8D"/>
    <w:rsid w:val="1FFF28B1"/>
    <w:rsid w:val="23FF33F2"/>
    <w:rsid w:val="25FF6009"/>
    <w:rsid w:val="26DFF088"/>
    <w:rsid w:val="277F3DE5"/>
    <w:rsid w:val="277F90C5"/>
    <w:rsid w:val="27CAC413"/>
    <w:rsid w:val="2A7D63CF"/>
    <w:rsid w:val="2B7FB355"/>
    <w:rsid w:val="2B993688"/>
    <w:rsid w:val="2CF572AF"/>
    <w:rsid w:val="2DFA1B80"/>
    <w:rsid w:val="2F33ABD1"/>
    <w:rsid w:val="2FA60FEF"/>
    <w:rsid w:val="2FB7ED8B"/>
    <w:rsid w:val="2FF98506"/>
    <w:rsid w:val="2FFEA9FD"/>
    <w:rsid w:val="2FFF4944"/>
    <w:rsid w:val="306B2EA8"/>
    <w:rsid w:val="31F19093"/>
    <w:rsid w:val="3331AC41"/>
    <w:rsid w:val="34345499"/>
    <w:rsid w:val="366FD237"/>
    <w:rsid w:val="37350101"/>
    <w:rsid w:val="373FCACE"/>
    <w:rsid w:val="377D66D4"/>
    <w:rsid w:val="379BF2FB"/>
    <w:rsid w:val="37D174BD"/>
    <w:rsid w:val="37D562D5"/>
    <w:rsid w:val="37DD0F1D"/>
    <w:rsid w:val="37F6C565"/>
    <w:rsid w:val="37FF3149"/>
    <w:rsid w:val="37FFE003"/>
    <w:rsid w:val="39DF1380"/>
    <w:rsid w:val="39FFDBFC"/>
    <w:rsid w:val="3A7F57C3"/>
    <w:rsid w:val="3B3F7C43"/>
    <w:rsid w:val="3B6B0E60"/>
    <w:rsid w:val="3BD1F3A4"/>
    <w:rsid w:val="3BDCE54E"/>
    <w:rsid w:val="3BDFC832"/>
    <w:rsid w:val="3BE75819"/>
    <w:rsid w:val="3BEBF81B"/>
    <w:rsid w:val="3BF339F1"/>
    <w:rsid w:val="3CD1C942"/>
    <w:rsid w:val="3DA53BDE"/>
    <w:rsid w:val="3DBE500B"/>
    <w:rsid w:val="3DDFBFF9"/>
    <w:rsid w:val="3DF0B50A"/>
    <w:rsid w:val="3DFEA0E7"/>
    <w:rsid w:val="3E5A76F9"/>
    <w:rsid w:val="3E73421E"/>
    <w:rsid w:val="3EBF0638"/>
    <w:rsid w:val="3EEE2F3A"/>
    <w:rsid w:val="3EF94579"/>
    <w:rsid w:val="3F3F6FD8"/>
    <w:rsid w:val="3F5D71DC"/>
    <w:rsid w:val="3F5F3680"/>
    <w:rsid w:val="3F6DB555"/>
    <w:rsid w:val="3F7FEFFB"/>
    <w:rsid w:val="3F9651F7"/>
    <w:rsid w:val="3FB9D383"/>
    <w:rsid w:val="3FBDA6E8"/>
    <w:rsid w:val="3FCB1139"/>
    <w:rsid w:val="3FD74F14"/>
    <w:rsid w:val="3FDB7297"/>
    <w:rsid w:val="3FF3E878"/>
    <w:rsid w:val="3FF7139E"/>
    <w:rsid w:val="3FFB2A69"/>
    <w:rsid w:val="3FFBB330"/>
    <w:rsid w:val="3FFCC8E1"/>
    <w:rsid w:val="3FFD09D6"/>
    <w:rsid w:val="3FFEA691"/>
    <w:rsid w:val="3FFF37AD"/>
    <w:rsid w:val="3FFF415E"/>
    <w:rsid w:val="468876F9"/>
    <w:rsid w:val="46B99302"/>
    <w:rsid w:val="46DF8F5A"/>
    <w:rsid w:val="46FDE8B3"/>
    <w:rsid w:val="472B08C0"/>
    <w:rsid w:val="47DFD934"/>
    <w:rsid w:val="4AB17C29"/>
    <w:rsid w:val="4B1E4B4A"/>
    <w:rsid w:val="4B5E9A81"/>
    <w:rsid w:val="4B9F35A6"/>
    <w:rsid w:val="4D7F9CD4"/>
    <w:rsid w:val="4DDA11A5"/>
    <w:rsid w:val="4DF9983C"/>
    <w:rsid w:val="4E5C023B"/>
    <w:rsid w:val="4F7FBE32"/>
    <w:rsid w:val="4FCF5C63"/>
    <w:rsid w:val="4FDD04B6"/>
    <w:rsid w:val="4FEBCA53"/>
    <w:rsid w:val="4FFDB82F"/>
    <w:rsid w:val="51BFC072"/>
    <w:rsid w:val="52FE41B5"/>
    <w:rsid w:val="52FF0590"/>
    <w:rsid w:val="53AB8931"/>
    <w:rsid w:val="54BB56AF"/>
    <w:rsid w:val="55F39314"/>
    <w:rsid w:val="56FFB890"/>
    <w:rsid w:val="575DC5D8"/>
    <w:rsid w:val="577C6439"/>
    <w:rsid w:val="577F6052"/>
    <w:rsid w:val="57AEAA73"/>
    <w:rsid w:val="57CF68F2"/>
    <w:rsid w:val="57EF241E"/>
    <w:rsid w:val="57F987D5"/>
    <w:rsid w:val="57FCC8AD"/>
    <w:rsid w:val="59AB59EC"/>
    <w:rsid w:val="59BF2BBC"/>
    <w:rsid w:val="5A5D9777"/>
    <w:rsid w:val="5AAFFD45"/>
    <w:rsid w:val="5AEF58FE"/>
    <w:rsid w:val="5AFD1D8F"/>
    <w:rsid w:val="5B47CFA4"/>
    <w:rsid w:val="5B5B1F96"/>
    <w:rsid w:val="5B6F6FBE"/>
    <w:rsid w:val="5BE7636C"/>
    <w:rsid w:val="5BEF419B"/>
    <w:rsid w:val="5BEFBEC6"/>
    <w:rsid w:val="5BF6EB1D"/>
    <w:rsid w:val="5C7D13DD"/>
    <w:rsid w:val="5CFF28DF"/>
    <w:rsid w:val="5D1E1D04"/>
    <w:rsid w:val="5D5EF13A"/>
    <w:rsid w:val="5D6B9B87"/>
    <w:rsid w:val="5DBBB452"/>
    <w:rsid w:val="5DCF633F"/>
    <w:rsid w:val="5DED9555"/>
    <w:rsid w:val="5DFD2FCE"/>
    <w:rsid w:val="5DFE8D9B"/>
    <w:rsid w:val="5DFF2F85"/>
    <w:rsid w:val="5DFFA165"/>
    <w:rsid w:val="5EB28FA9"/>
    <w:rsid w:val="5ECC74A9"/>
    <w:rsid w:val="5EDED73C"/>
    <w:rsid w:val="5EE51782"/>
    <w:rsid w:val="5EF5BEE2"/>
    <w:rsid w:val="5EFD3CCA"/>
    <w:rsid w:val="5EFF4266"/>
    <w:rsid w:val="5F5E27F7"/>
    <w:rsid w:val="5F78BBCE"/>
    <w:rsid w:val="5F7A8EA1"/>
    <w:rsid w:val="5F7FBF86"/>
    <w:rsid w:val="5FA1698F"/>
    <w:rsid w:val="5FBE2F95"/>
    <w:rsid w:val="5FBF7D54"/>
    <w:rsid w:val="5FBFFE4C"/>
    <w:rsid w:val="5FD1FB1C"/>
    <w:rsid w:val="5FDF59FC"/>
    <w:rsid w:val="5FEB2891"/>
    <w:rsid w:val="5FEC8610"/>
    <w:rsid w:val="5FED0D44"/>
    <w:rsid w:val="5FEFE99E"/>
    <w:rsid w:val="5FF4FAEF"/>
    <w:rsid w:val="5FFB1C5E"/>
    <w:rsid w:val="5FFBA6FD"/>
    <w:rsid w:val="5FFDA215"/>
    <w:rsid w:val="5FFF177A"/>
    <w:rsid w:val="5FFF9806"/>
    <w:rsid w:val="63B39146"/>
    <w:rsid w:val="63EBD728"/>
    <w:rsid w:val="65FD4094"/>
    <w:rsid w:val="669F7DAB"/>
    <w:rsid w:val="6723AE4E"/>
    <w:rsid w:val="677FBDCC"/>
    <w:rsid w:val="67D37C1A"/>
    <w:rsid w:val="67DDB79E"/>
    <w:rsid w:val="67DE5480"/>
    <w:rsid w:val="67ED2A70"/>
    <w:rsid w:val="67EF9FD6"/>
    <w:rsid w:val="67F2536D"/>
    <w:rsid w:val="68FF9352"/>
    <w:rsid w:val="697E0AC3"/>
    <w:rsid w:val="69FE09E7"/>
    <w:rsid w:val="6ABFAA4D"/>
    <w:rsid w:val="6B6FD01F"/>
    <w:rsid w:val="6BDE2F4A"/>
    <w:rsid w:val="6BEBD9F5"/>
    <w:rsid w:val="6BEE51DF"/>
    <w:rsid w:val="6BF76EDD"/>
    <w:rsid w:val="6BFB0B65"/>
    <w:rsid w:val="6BFD6DAF"/>
    <w:rsid w:val="6BFE7A46"/>
    <w:rsid w:val="6C7E72FA"/>
    <w:rsid w:val="6CF75461"/>
    <w:rsid w:val="6D1D4B88"/>
    <w:rsid w:val="6D2FF49A"/>
    <w:rsid w:val="6D3FEA40"/>
    <w:rsid w:val="6D7BE370"/>
    <w:rsid w:val="6D81BC72"/>
    <w:rsid w:val="6DB6293C"/>
    <w:rsid w:val="6DBE8FB8"/>
    <w:rsid w:val="6DDD90CB"/>
    <w:rsid w:val="6DEFE15B"/>
    <w:rsid w:val="6DF4E93F"/>
    <w:rsid w:val="6DF75E5B"/>
    <w:rsid w:val="6E6E7164"/>
    <w:rsid w:val="6EAD0FA7"/>
    <w:rsid w:val="6ECFC7F6"/>
    <w:rsid w:val="6EF3B6A3"/>
    <w:rsid w:val="6EF85C3D"/>
    <w:rsid w:val="6F0DB3EE"/>
    <w:rsid w:val="6F3F77E8"/>
    <w:rsid w:val="6F63661A"/>
    <w:rsid w:val="6F67824C"/>
    <w:rsid w:val="6F77E7E4"/>
    <w:rsid w:val="6F8CBA82"/>
    <w:rsid w:val="6F8F4F46"/>
    <w:rsid w:val="6FAE71BD"/>
    <w:rsid w:val="6FB919A1"/>
    <w:rsid w:val="6FC9D7D9"/>
    <w:rsid w:val="6FCA0EA9"/>
    <w:rsid w:val="6FDE52E3"/>
    <w:rsid w:val="6FDFA791"/>
    <w:rsid w:val="6FE213E0"/>
    <w:rsid w:val="6FE431D9"/>
    <w:rsid w:val="6FE9C5A7"/>
    <w:rsid w:val="6FEEB941"/>
    <w:rsid w:val="6FF379B4"/>
    <w:rsid w:val="6FF46698"/>
    <w:rsid w:val="6FFBA490"/>
    <w:rsid w:val="6FFD4905"/>
    <w:rsid w:val="6FFDBDCD"/>
    <w:rsid w:val="6FFEE575"/>
    <w:rsid w:val="719AD1C4"/>
    <w:rsid w:val="71A79703"/>
    <w:rsid w:val="731B96B2"/>
    <w:rsid w:val="732DA8B8"/>
    <w:rsid w:val="7379B94F"/>
    <w:rsid w:val="7391A0C3"/>
    <w:rsid w:val="739F384A"/>
    <w:rsid w:val="73BF9B5A"/>
    <w:rsid w:val="73EE82DE"/>
    <w:rsid w:val="73F70BBF"/>
    <w:rsid w:val="73F7A068"/>
    <w:rsid w:val="73FB1797"/>
    <w:rsid w:val="73FB428F"/>
    <w:rsid w:val="73FF4C21"/>
    <w:rsid w:val="73FFC1F2"/>
    <w:rsid w:val="74DAC774"/>
    <w:rsid w:val="74FF2D6A"/>
    <w:rsid w:val="757FE31E"/>
    <w:rsid w:val="75B1EEF2"/>
    <w:rsid w:val="75DE61BE"/>
    <w:rsid w:val="75FF319B"/>
    <w:rsid w:val="75FF8B9C"/>
    <w:rsid w:val="765F1182"/>
    <w:rsid w:val="76ED7B59"/>
    <w:rsid w:val="76F66D13"/>
    <w:rsid w:val="76F7A9DC"/>
    <w:rsid w:val="77759D81"/>
    <w:rsid w:val="777F349B"/>
    <w:rsid w:val="7784FB2F"/>
    <w:rsid w:val="77BBAB9F"/>
    <w:rsid w:val="77BD6D38"/>
    <w:rsid w:val="77BDA232"/>
    <w:rsid w:val="77BEB1C9"/>
    <w:rsid w:val="77BF5FB6"/>
    <w:rsid w:val="77D7A590"/>
    <w:rsid w:val="77D7C45D"/>
    <w:rsid w:val="77D9F890"/>
    <w:rsid w:val="77DD9932"/>
    <w:rsid w:val="77DE5E2B"/>
    <w:rsid w:val="77E5A0BC"/>
    <w:rsid w:val="77ED6B3C"/>
    <w:rsid w:val="77F4C0E5"/>
    <w:rsid w:val="77F57340"/>
    <w:rsid w:val="77F85274"/>
    <w:rsid w:val="77FB1978"/>
    <w:rsid w:val="77FE54A8"/>
    <w:rsid w:val="786D4D89"/>
    <w:rsid w:val="7893D8D4"/>
    <w:rsid w:val="78D737BE"/>
    <w:rsid w:val="78FF637C"/>
    <w:rsid w:val="791F6B45"/>
    <w:rsid w:val="79CF083F"/>
    <w:rsid w:val="79DD179D"/>
    <w:rsid w:val="79EF0BF4"/>
    <w:rsid w:val="7A67E089"/>
    <w:rsid w:val="7A730941"/>
    <w:rsid w:val="7A77CE39"/>
    <w:rsid w:val="7A7826E9"/>
    <w:rsid w:val="7AE6CA44"/>
    <w:rsid w:val="7AF561BC"/>
    <w:rsid w:val="7AFA1738"/>
    <w:rsid w:val="7B577818"/>
    <w:rsid w:val="7B5F7C09"/>
    <w:rsid w:val="7B63D1D1"/>
    <w:rsid w:val="7B6EAE75"/>
    <w:rsid w:val="7B754554"/>
    <w:rsid w:val="7B8F4B96"/>
    <w:rsid w:val="7B8F6C90"/>
    <w:rsid w:val="7BAFAAF2"/>
    <w:rsid w:val="7BB3278B"/>
    <w:rsid w:val="7BBB781A"/>
    <w:rsid w:val="7BBBDA07"/>
    <w:rsid w:val="7BBD2ACF"/>
    <w:rsid w:val="7BBD4313"/>
    <w:rsid w:val="7BBE2997"/>
    <w:rsid w:val="7BBE4882"/>
    <w:rsid w:val="7BBF4126"/>
    <w:rsid w:val="7BD6729C"/>
    <w:rsid w:val="7BDAFAE3"/>
    <w:rsid w:val="7BDF2CC9"/>
    <w:rsid w:val="7BDF49D1"/>
    <w:rsid w:val="7BE541BF"/>
    <w:rsid w:val="7BE74DCC"/>
    <w:rsid w:val="7BF3B4C7"/>
    <w:rsid w:val="7BF3F292"/>
    <w:rsid w:val="7BF72D73"/>
    <w:rsid w:val="7BFB3F76"/>
    <w:rsid w:val="7BFDDFAC"/>
    <w:rsid w:val="7BFE3535"/>
    <w:rsid w:val="7BFFE666"/>
    <w:rsid w:val="7BFFE85C"/>
    <w:rsid w:val="7CF7A79F"/>
    <w:rsid w:val="7CFBEA0D"/>
    <w:rsid w:val="7D9B622E"/>
    <w:rsid w:val="7DAFAC40"/>
    <w:rsid w:val="7DB6FFF8"/>
    <w:rsid w:val="7DBBE2DC"/>
    <w:rsid w:val="7DCF5062"/>
    <w:rsid w:val="7DCFB592"/>
    <w:rsid w:val="7DD32A7D"/>
    <w:rsid w:val="7DDAD643"/>
    <w:rsid w:val="7DDD88F2"/>
    <w:rsid w:val="7DDDA1C9"/>
    <w:rsid w:val="7DE196F3"/>
    <w:rsid w:val="7DE5815E"/>
    <w:rsid w:val="7DE844C7"/>
    <w:rsid w:val="7DF9B27F"/>
    <w:rsid w:val="7DFFE8DE"/>
    <w:rsid w:val="7E17826A"/>
    <w:rsid w:val="7E4E1422"/>
    <w:rsid w:val="7E9A855D"/>
    <w:rsid w:val="7E9F2A97"/>
    <w:rsid w:val="7EA3E190"/>
    <w:rsid w:val="7EAE9A64"/>
    <w:rsid w:val="7EBFFD9C"/>
    <w:rsid w:val="7ECFE3AA"/>
    <w:rsid w:val="7ED2B31D"/>
    <w:rsid w:val="7ED5DFB5"/>
    <w:rsid w:val="7EDC0ECB"/>
    <w:rsid w:val="7EE10936"/>
    <w:rsid w:val="7EE70314"/>
    <w:rsid w:val="7EEB8C25"/>
    <w:rsid w:val="7EEF5D3B"/>
    <w:rsid w:val="7EEFBDEC"/>
    <w:rsid w:val="7EF34516"/>
    <w:rsid w:val="7EFACAB4"/>
    <w:rsid w:val="7EFB22CB"/>
    <w:rsid w:val="7EFB3C60"/>
    <w:rsid w:val="7EFC21F4"/>
    <w:rsid w:val="7EFC4895"/>
    <w:rsid w:val="7EFD070E"/>
    <w:rsid w:val="7EFE330C"/>
    <w:rsid w:val="7EFF0B39"/>
    <w:rsid w:val="7F37ED25"/>
    <w:rsid w:val="7F3E6689"/>
    <w:rsid w:val="7F3EA98C"/>
    <w:rsid w:val="7F3F5CDF"/>
    <w:rsid w:val="7F57A7EF"/>
    <w:rsid w:val="7F5D2D1E"/>
    <w:rsid w:val="7F5E6962"/>
    <w:rsid w:val="7F5FDBCA"/>
    <w:rsid w:val="7F6FD8D6"/>
    <w:rsid w:val="7F7C98A1"/>
    <w:rsid w:val="7F7EF18C"/>
    <w:rsid w:val="7F7F09B6"/>
    <w:rsid w:val="7F7F33DE"/>
    <w:rsid w:val="7F7FEB27"/>
    <w:rsid w:val="7F7FF6C1"/>
    <w:rsid w:val="7F97D41C"/>
    <w:rsid w:val="7F9AF39D"/>
    <w:rsid w:val="7F9BA53B"/>
    <w:rsid w:val="7F9F1947"/>
    <w:rsid w:val="7FB3AC8B"/>
    <w:rsid w:val="7FB5416A"/>
    <w:rsid w:val="7FBF45A0"/>
    <w:rsid w:val="7FBFAFD7"/>
    <w:rsid w:val="7FD65D3D"/>
    <w:rsid w:val="7FD96226"/>
    <w:rsid w:val="7FDABE9F"/>
    <w:rsid w:val="7FDB1E8B"/>
    <w:rsid w:val="7FDC9265"/>
    <w:rsid w:val="7FDD4FA4"/>
    <w:rsid w:val="7FDDBADD"/>
    <w:rsid w:val="7FDDC291"/>
    <w:rsid w:val="7FDE48D0"/>
    <w:rsid w:val="7FDF4BAE"/>
    <w:rsid w:val="7FDFDF3E"/>
    <w:rsid w:val="7FE716EE"/>
    <w:rsid w:val="7FE75DA0"/>
    <w:rsid w:val="7FEBD096"/>
    <w:rsid w:val="7FED3044"/>
    <w:rsid w:val="7FEE227E"/>
    <w:rsid w:val="7FEF4907"/>
    <w:rsid w:val="7FEF645C"/>
    <w:rsid w:val="7FEFDF3B"/>
    <w:rsid w:val="7FF2357D"/>
    <w:rsid w:val="7FF2DA86"/>
    <w:rsid w:val="7FF660BB"/>
    <w:rsid w:val="7FF73445"/>
    <w:rsid w:val="7FF76A1B"/>
    <w:rsid w:val="7FFC862B"/>
    <w:rsid w:val="7FFD6090"/>
    <w:rsid w:val="7FFF0460"/>
    <w:rsid w:val="7FFF2DC8"/>
    <w:rsid w:val="7FFF43B9"/>
    <w:rsid w:val="7FFF5D10"/>
    <w:rsid w:val="7FFF9EAB"/>
    <w:rsid w:val="7FFFBE06"/>
    <w:rsid w:val="7FFFE08C"/>
    <w:rsid w:val="7FFFECFD"/>
    <w:rsid w:val="81DBD845"/>
    <w:rsid w:val="85FF5A59"/>
    <w:rsid w:val="86EA683E"/>
    <w:rsid w:val="87DCCA7A"/>
    <w:rsid w:val="8D8733CE"/>
    <w:rsid w:val="8EBBF7D2"/>
    <w:rsid w:val="8ED7F828"/>
    <w:rsid w:val="8EFFC08C"/>
    <w:rsid w:val="8F7FC471"/>
    <w:rsid w:val="8FE71C55"/>
    <w:rsid w:val="8FFFCA8A"/>
    <w:rsid w:val="8FFFEF2A"/>
    <w:rsid w:val="97ED5FD5"/>
    <w:rsid w:val="97EEC2C6"/>
    <w:rsid w:val="98B8619F"/>
    <w:rsid w:val="9B7F2390"/>
    <w:rsid w:val="9BEA72E8"/>
    <w:rsid w:val="9BFC184C"/>
    <w:rsid w:val="9BFD727B"/>
    <w:rsid w:val="9BFF7277"/>
    <w:rsid w:val="9BFF74CA"/>
    <w:rsid w:val="9D2FC968"/>
    <w:rsid w:val="9DF49D05"/>
    <w:rsid w:val="9EAF9E43"/>
    <w:rsid w:val="9EC7F5FF"/>
    <w:rsid w:val="9EF33F23"/>
    <w:rsid w:val="9F2F8F94"/>
    <w:rsid w:val="9F573B3C"/>
    <w:rsid w:val="9F750D6F"/>
    <w:rsid w:val="9FBE1448"/>
    <w:rsid w:val="A3CE224C"/>
    <w:rsid w:val="A3FBF036"/>
    <w:rsid w:val="A3FF23EA"/>
    <w:rsid w:val="A4FF33D6"/>
    <w:rsid w:val="A63B8597"/>
    <w:rsid w:val="A7BE9BC7"/>
    <w:rsid w:val="A7EF374C"/>
    <w:rsid w:val="A9A11AB4"/>
    <w:rsid w:val="AAA463CE"/>
    <w:rsid w:val="AAF562E3"/>
    <w:rsid w:val="AB2FB8A5"/>
    <w:rsid w:val="ABE56938"/>
    <w:rsid w:val="ABEF2572"/>
    <w:rsid w:val="AD3F9797"/>
    <w:rsid w:val="AD7FF7B9"/>
    <w:rsid w:val="ADFD1399"/>
    <w:rsid w:val="AE7DD091"/>
    <w:rsid w:val="AEBF8515"/>
    <w:rsid w:val="AEF0E257"/>
    <w:rsid w:val="AEFBC5A0"/>
    <w:rsid w:val="AF7DF50C"/>
    <w:rsid w:val="AFDED613"/>
    <w:rsid w:val="AFFBF0B5"/>
    <w:rsid w:val="B2CC6EF7"/>
    <w:rsid w:val="B2FBBDD5"/>
    <w:rsid w:val="B36B942E"/>
    <w:rsid w:val="B5BD9D8A"/>
    <w:rsid w:val="B6B78DD4"/>
    <w:rsid w:val="B77FFDF7"/>
    <w:rsid w:val="B7BFA697"/>
    <w:rsid w:val="B7EF646F"/>
    <w:rsid w:val="B7EFB90C"/>
    <w:rsid w:val="B7FD381A"/>
    <w:rsid w:val="B7FDD5A1"/>
    <w:rsid w:val="B8BF1C5F"/>
    <w:rsid w:val="B8DC99FB"/>
    <w:rsid w:val="B97F3806"/>
    <w:rsid w:val="BB5F76DF"/>
    <w:rsid w:val="BBBBC848"/>
    <w:rsid w:val="BBBD5C34"/>
    <w:rsid w:val="BBBFF3C1"/>
    <w:rsid w:val="BBF52EF1"/>
    <w:rsid w:val="BCAF19A1"/>
    <w:rsid w:val="BCD5AAFC"/>
    <w:rsid w:val="BCEB89E0"/>
    <w:rsid w:val="BD6E9664"/>
    <w:rsid w:val="BD977604"/>
    <w:rsid w:val="BDFFA6F8"/>
    <w:rsid w:val="BE7FD249"/>
    <w:rsid w:val="BE8D5424"/>
    <w:rsid w:val="BED61A4B"/>
    <w:rsid w:val="BEEFEEBD"/>
    <w:rsid w:val="BEF125E7"/>
    <w:rsid w:val="BEFDA6CB"/>
    <w:rsid w:val="BEFF0F03"/>
    <w:rsid w:val="BF87B388"/>
    <w:rsid w:val="BF9B644B"/>
    <w:rsid w:val="BFAFE298"/>
    <w:rsid w:val="BFB3AC53"/>
    <w:rsid w:val="BFB7C781"/>
    <w:rsid w:val="BFBFA87E"/>
    <w:rsid w:val="BFCD5BA7"/>
    <w:rsid w:val="BFDB18D1"/>
    <w:rsid w:val="BFF721B7"/>
    <w:rsid w:val="BFF732A9"/>
    <w:rsid w:val="BFFB4681"/>
    <w:rsid w:val="BFFF7195"/>
    <w:rsid w:val="C2AF5B8B"/>
    <w:rsid w:val="C3E2D917"/>
    <w:rsid w:val="C5778D8E"/>
    <w:rsid w:val="C5E79980"/>
    <w:rsid w:val="C6C22ABC"/>
    <w:rsid w:val="C6E53EED"/>
    <w:rsid w:val="C6FE755C"/>
    <w:rsid w:val="C75F623A"/>
    <w:rsid w:val="C7D5692E"/>
    <w:rsid w:val="C7FBA825"/>
    <w:rsid w:val="C9768C86"/>
    <w:rsid w:val="C9EA45AB"/>
    <w:rsid w:val="C9FDEC3B"/>
    <w:rsid w:val="C9FF3D95"/>
    <w:rsid w:val="CCFEB094"/>
    <w:rsid w:val="CD2E0076"/>
    <w:rsid w:val="CD732DB5"/>
    <w:rsid w:val="CD7FEFF8"/>
    <w:rsid w:val="CDB3031B"/>
    <w:rsid w:val="CDCD720A"/>
    <w:rsid w:val="CDFB3ABC"/>
    <w:rsid w:val="CDFF3B72"/>
    <w:rsid w:val="CE7D9F09"/>
    <w:rsid w:val="CF753691"/>
    <w:rsid w:val="CF8E5B16"/>
    <w:rsid w:val="CFB33F92"/>
    <w:rsid w:val="CFB74A80"/>
    <w:rsid w:val="CFBDFED0"/>
    <w:rsid w:val="D17CB1F5"/>
    <w:rsid w:val="D1F91CAE"/>
    <w:rsid w:val="D27F19BE"/>
    <w:rsid w:val="D27FC622"/>
    <w:rsid w:val="D3EEEFB7"/>
    <w:rsid w:val="D4D88E80"/>
    <w:rsid w:val="D5ED7711"/>
    <w:rsid w:val="D6B72AA5"/>
    <w:rsid w:val="D6BF0D60"/>
    <w:rsid w:val="D6FE8455"/>
    <w:rsid w:val="D73EA98F"/>
    <w:rsid w:val="D74D8DC1"/>
    <w:rsid w:val="D74F0D75"/>
    <w:rsid w:val="D79F37C8"/>
    <w:rsid w:val="D7AEE272"/>
    <w:rsid w:val="D7EDAB3B"/>
    <w:rsid w:val="D7F76D50"/>
    <w:rsid w:val="D7FB3369"/>
    <w:rsid w:val="D7FCBFB3"/>
    <w:rsid w:val="D8EF4BB4"/>
    <w:rsid w:val="DAB3616F"/>
    <w:rsid w:val="DABB9555"/>
    <w:rsid w:val="DAFFF95E"/>
    <w:rsid w:val="DB64B7BB"/>
    <w:rsid w:val="DB770836"/>
    <w:rsid w:val="DB7D80E8"/>
    <w:rsid w:val="DBBB1DAA"/>
    <w:rsid w:val="DBDF26D4"/>
    <w:rsid w:val="DBF75ADB"/>
    <w:rsid w:val="DBF8660F"/>
    <w:rsid w:val="DBFB07BC"/>
    <w:rsid w:val="DBFBD951"/>
    <w:rsid w:val="DC755FB0"/>
    <w:rsid w:val="DC778A64"/>
    <w:rsid w:val="DCA9C0CB"/>
    <w:rsid w:val="DCB749A5"/>
    <w:rsid w:val="DCEF5120"/>
    <w:rsid w:val="DD7B5B21"/>
    <w:rsid w:val="DDE769DD"/>
    <w:rsid w:val="DDEFB419"/>
    <w:rsid w:val="DDF97B7F"/>
    <w:rsid w:val="DDFD8E7B"/>
    <w:rsid w:val="DDFFDED9"/>
    <w:rsid w:val="DE6CE833"/>
    <w:rsid w:val="DE6FFAFB"/>
    <w:rsid w:val="DE7E589A"/>
    <w:rsid w:val="DEDF7E42"/>
    <w:rsid w:val="DEE1287D"/>
    <w:rsid w:val="DEE71CDB"/>
    <w:rsid w:val="DEE79B9A"/>
    <w:rsid w:val="DEECB389"/>
    <w:rsid w:val="DEEE0813"/>
    <w:rsid w:val="DF17434F"/>
    <w:rsid w:val="DF1F9DD4"/>
    <w:rsid w:val="DF5A9A28"/>
    <w:rsid w:val="DF6C1B35"/>
    <w:rsid w:val="DF7F84F0"/>
    <w:rsid w:val="DF9A3F1A"/>
    <w:rsid w:val="DF9FFA29"/>
    <w:rsid w:val="DFAB15AB"/>
    <w:rsid w:val="DFBEDE1D"/>
    <w:rsid w:val="DFBF3B4F"/>
    <w:rsid w:val="DFCFAA22"/>
    <w:rsid w:val="DFD844A3"/>
    <w:rsid w:val="DFE59E46"/>
    <w:rsid w:val="DFED2D8E"/>
    <w:rsid w:val="DFED5194"/>
    <w:rsid w:val="DFFB8A1C"/>
    <w:rsid w:val="DFFF133D"/>
    <w:rsid w:val="DFFFF474"/>
    <w:rsid w:val="E2D72B9B"/>
    <w:rsid w:val="E37FE18F"/>
    <w:rsid w:val="E3FEEA26"/>
    <w:rsid w:val="E3FFC21F"/>
    <w:rsid w:val="E5AFE266"/>
    <w:rsid w:val="E5CB52B4"/>
    <w:rsid w:val="E5DFEF5C"/>
    <w:rsid w:val="E5FEB139"/>
    <w:rsid w:val="E5FF922D"/>
    <w:rsid w:val="E6CF9C25"/>
    <w:rsid w:val="E7BE5E0C"/>
    <w:rsid w:val="E7D7BCE4"/>
    <w:rsid w:val="E7F79034"/>
    <w:rsid w:val="E7FD6C16"/>
    <w:rsid w:val="E7FF5225"/>
    <w:rsid w:val="E8B320F1"/>
    <w:rsid w:val="E8CF13E0"/>
    <w:rsid w:val="E93DC5BE"/>
    <w:rsid w:val="E9AF1F72"/>
    <w:rsid w:val="E9EE263C"/>
    <w:rsid w:val="E9F1A76D"/>
    <w:rsid w:val="EA77F5F9"/>
    <w:rsid w:val="EAFF1690"/>
    <w:rsid w:val="EBE723E3"/>
    <w:rsid w:val="EBF658B3"/>
    <w:rsid w:val="EC9D444F"/>
    <w:rsid w:val="ECD7BCF7"/>
    <w:rsid w:val="ECF64D82"/>
    <w:rsid w:val="ECFEF2C6"/>
    <w:rsid w:val="ECFF1747"/>
    <w:rsid w:val="EDBAFDFC"/>
    <w:rsid w:val="EDD7478D"/>
    <w:rsid w:val="EDF66B62"/>
    <w:rsid w:val="EDFB1842"/>
    <w:rsid w:val="EDFFF0FF"/>
    <w:rsid w:val="EEEF10A2"/>
    <w:rsid w:val="EF754D1A"/>
    <w:rsid w:val="EF767C8B"/>
    <w:rsid w:val="EF77222B"/>
    <w:rsid w:val="EF7D61B0"/>
    <w:rsid w:val="EF7F3639"/>
    <w:rsid w:val="EFA9A4B5"/>
    <w:rsid w:val="EFAF53D6"/>
    <w:rsid w:val="EFBF1237"/>
    <w:rsid w:val="EFCF7438"/>
    <w:rsid w:val="EFEE9FA0"/>
    <w:rsid w:val="EFF38C76"/>
    <w:rsid w:val="EFF56BAC"/>
    <w:rsid w:val="EFF7868E"/>
    <w:rsid w:val="EFF8945B"/>
    <w:rsid w:val="EFFDA0B3"/>
    <w:rsid w:val="EFFDA42F"/>
    <w:rsid w:val="EFFE4EA1"/>
    <w:rsid w:val="F146D527"/>
    <w:rsid w:val="F165F89C"/>
    <w:rsid w:val="F2F92E95"/>
    <w:rsid w:val="F32FD01C"/>
    <w:rsid w:val="F34FFDFE"/>
    <w:rsid w:val="F3597F4D"/>
    <w:rsid w:val="F37E0437"/>
    <w:rsid w:val="F37F315A"/>
    <w:rsid w:val="F3CD614B"/>
    <w:rsid w:val="F3FBDB76"/>
    <w:rsid w:val="F3FDA24C"/>
    <w:rsid w:val="F3FF86A0"/>
    <w:rsid w:val="F3FFC4DD"/>
    <w:rsid w:val="F4EE4DE0"/>
    <w:rsid w:val="F5DFF1F0"/>
    <w:rsid w:val="F5E377AB"/>
    <w:rsid w:val="F5E7BB1E"/>
    <w:rsid w:val="F5FD935A"/>
    <w:rsid w:val="F63FF335"/>
    <w:rsid w:val="F697F9F2"/>
    <w:rsid w:val="F6DDAAC3"/>
    <w:rsid w:val="F6DF7C0E"/>
    <w:rsid w:val="F6F6BB3C"/>
    <w:rsid w:val="F6F7EA07"/>
    <w:rsid w:val="F6FB40D7"/>
    <w:rsid w:val="F6FEB5B1"/>
    <w:rsid w:val="F747E4BC"/>
    <w:rsid w:val="F79D316F"/>
    <w:rsid w:val="F79F96AA"/>
    <w:rsid w:val="F7AEBE52"/>
    <w:rsid w:val="F7D3FFA1"/>
    <w:rsid w:val="F7EAC418"/>
    <w:rsid w:val="F7FACC51"/>
    <w:rsid w:val="F7FF0CE5"/>
    <w:rsid w:val="F7FFBBC2"/>
    <w:rsid w:val="F7FFBE71"/>
    <w:rsid w:val="F7FFE9B0"/>
    <w:rsid w:val="F87386BC"/>
    <w:rsid w:val="F9BDCC43"/>
    <w:rsid w:val="F9BE2E5E"/>
    <w:rsid w:val="F9FF646F"/>
    <w:rsid w:val="FA6703BA"/>
    <w:rsid w:val="FA7D2890"/>
    <w:rsid w:val="FA7FA509"/>
    <w:rsid w:val="FABF7758"/>
    <w:rsid w:val="FABFAD09"/>
    <w:rsid w:val="FADBE693"/>
    <w:rsid w:val="FADEA101"/>
    <w:rsid w:val="FAEBD66D"/>
    <w:rsid w:val="FAFE29E4"/>
    <w:rsid w:val="FAFFE592"/>
    <w:rsid w:val="FB1B1A14"/>
    <w:rsid w:val="FB3B80B7"/>
    <w:rsid w:val="FB3BE069"/>
    <w:rsid w:val="FB5DAEC0"/>
    <w:rsid w:val="FB63A343"/>
    <w:rsid w:val="FB6F0697"/>
    <w:rsid w:val="FB6F5510"/>
    <w:rsid w:val="FB6F56C1"/>
    <w:rsid w:val="FB713E9B"/>
    <w:rsid w:val="FB756CFD"/>
    <w:rsid w:val="FB7E2BCB"/>
    <w:rsid w:val="FB7FDCAB"/>
    <w:rsid w:val="FB9F72BA"/>
    <w:rsid w:val="FBBA4CB4"/>
    <w:rsid w:val="FBBA842D"/>
    <w:rsid w:val="FBBB7042"/>
    <w:rsid w:val="FBBF14D6"/>
    <w:rsid w:val="FBBF3BE8"/>
    <w:rsid w:val="FBD3E290"/>
    <w:rsid w:val="FBDF52CD"/>
    <w:rsid w:val="FBE790D6"/>
    <w:rsid w:val="FBEFD052"/>
    <w:rsid w:val="FBF71937"/>
    <w:rsid w:val="FBFF94E1"/>
    <w:rsid w:val="FBFFA234"/>
    <w:rsid w:val="FBFFDC66"/>
    <w:rsid w:val="FC975110"/>
    <w:rsid w:val="FCBB9D28"/>
    <w:rsid w:val="FCDFC479"/>
    <w:rsid w:val="FCF50C59"/>
    <w:rsid w:val="FCFDF1AC"/>
    <w:rsid w:val="FD3FA41B"/>
    <w:rsid w:val="FD3FA866"/>
    <w:rsid w:val="FD59D93A"/>
    <w:rsid w:val="FD7F6FB1"/>
    <w:rsid w:val="FD7FC97F"/>
    <w:rsid w:val="FD7FCF11"/>
    <w:rsid w:val="FD9DB7B9"/>
    <w:rsid w:val="FDBD27AC"/>
    <w:rsid w:val="FDD71CC3"/>
    <w:rsid w:val="FDDA559D"/>
    <w:rsid w:val="FDDD65B9"/>
    <w:rsid w:val="FDEF9F72"/>
    <w:rsid w:val="FDFA8716"/>
    <w:rsid w:val="FDFF5B1C"/>
    <w:rsid w:val="FDFF6982"/>
    <w:rsid w:val="FDFFC1C7"/>
    <w:rsid w:val="FDFFCF26"/>
    <w:rsid w:val="FE3BA577"/>
    <w:rsid w:val="FE4D8282"/>
    <w:rsid w:val="FE5692B6"/>
    <w:rsid w:val="FE7EB9B3"/>
    <w:rsid w:val="FE7FF244"/>
    <w:rsid w:val="FE9FED17"/>
    <w:rsid w:val="FEA59EA7"/>
    <w:rsid w:val="FEAE2F98"/>
    <w:rsid w:val="FEAE885B"/>
    <w:rsid w:val="FEB7E147"/>
    <w:rsid w:val="FEB7F3A9"/>
    <w:rsid w:val="FEBB9D9D"/>
    <w:rsid w:val="FEBF1F37"/>
    <w:rsid w:val="FEE5D91E"/>
    <w:rsid w:val="FEEEEEAB"/>
    <w:rsid w:val="FEF61965"/>
    <w:rsid w:val="FEF65B18"/>
    <w:rsid w:val="FEF7FBAA"/>
    <w:rsid w:val="FEFBE96A"/>
    <w:rsid w:val="FEFFAE20"/>
    <w:rsid w:val="FEFFE0F4"/>
    <w:rsid w:val="FEFFF7CE"/>
    <w:rsid w:val="FF2EF33C"/>
    <w:rsid w:val="FF3FABC5"/>
    <w:rsid w:val="FF4D67C6"/>
    <w:rsid w:val="FF69604D"/>
    <w:rsid w:val="FF6E6935"/>
    <w:rsid w:val="FF73A3C8"/>
    <w:rsid w:val="FF7764DB"/>
    <w:rsid w:val="FF7BB188"/>
    <w:rsid w:val="FF7E0850"/>
    <w:rsid w:val="FF7F70F5"/>
    <w:rsid w:val="FF8C0EC7"/>
    <w:rsid w:val="FF8F117F"/>
    <w:rsid w:val="FF9BE687"/>
    <w:rsid w:val="FFA4C840"/>
    <w:rsid w:val="FFA72EAC"/>
    <w:rsid w:val="FFBC5018"/>
    <w:rsid w:val="FFBC82AF"/>
    <w:rsid w:val="FFBCE2D4"/>
    <w:rsid w:val="FFBEA8A6"/>
    <w:rsid w:val="FFBF4A35"/>
    <w:rsid w:val="FFBF85ED"/>
    <w:rsid w:val="FFBFFBF7"/>
    <w:rsid w:val="FFC217E5"/>
    <w:rsid w:val="FFC74672"/>
    <w:rsid w:val="FFCD7E85"/>
    <w:rsid w:val="FFCDE1DA"/>
    <w:rsid w:val="FFCF93D7"/>
    <w:rsid w:val="FFDEE1A1"/>
    <w:rsid w:val="FFE79A6A"/>
    <w:rsid w:val="FFE7C418"/>
    <w:rsid w:val="FFECC722"/>
    <w:rsid w:val="FFEDB565"/>
    <w:rsid w:val="FFEF8E98"/>
    <w:rsid w:val="FFEFD3FD"/>
    <w:rsid w:val="FFF11DEA"/>
    <w:rsid w:val="FFF300D4"/>
    <w:rsid w:val="FFF51E97"/>
    <w:rsid w:val="FFF58B7B"/>
    <w:rsid w:val="FFF64F03"/>
    <w:rsid w:val="FFF78684"/>
    <w:rsid w:val="FFF9AECB"/>
    <w:rsid w:val="FFFB5B03"/>
    <w:rsid w:val="FFFB6589"/>
    <w:rsid w:val="FFFD3BA5"/>
    <w:rsid w:val="FFFD5E8D"/>
    <w:rsid w:val="FFFD7C69"/>
    <w:rsid w:val="FFFD8028"/>
    <w:rsid w:val="FFFE4D42"/>
    <w:rsid w:val="FFFE9A60"/>
    <w:rsid w:val="FFFEC827"/>
    <w:rsid w:val="FFFF7B53"/>
    <w:rsid w:val="FFFFB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2023-04-22T19:38:00Z</dcterms:created>
  <dc:creator>Administrator</dc:creator>
  <cp:lastModifiedBy>赵燕燕</cp:lastModifiedBy>
  <cp:lastPrinted>2023-05-12T18:18:00Z</cp:lastPrinted>
  <dcterms:modified xsi:type="dcterms:W3CDTF">2023-05-19T11:18:10Z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49C96D7385AB408FA6511440DB8684CF</vt:lpwstr>
  </property>
</Properties>
</file>