
<file path=[Content_Types].xml><?xml version="1.0" encoding="utf-8"?>
<Types xmlns="http://schemas.openxmlformats.org/package/2006/content-types">
  <Default Extension="xml" ContentType="application/xml"/>
  <Default Extension="wmf" ContentType="image/x-wmf"/>
  <Default Extension="emf" ContentType="image/x-emf"/>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3"/>
        <w:spacing w:line="360" w:lineRule="auto"/>
        <w:jc w:val="center"/>
        <w:rPr>
          <w:rFonts w:hAnsi="黑体" w:cs="黑体"/>
          <w:color w:val="auto"/>
          <w:spacing w:val="20"/>
          <w:sz w:val="32"/>
          <w:szCs w:val="32"/>
        </w:rPr>
      </w:pPr>
      <w:bookmarkStart w:id="0" w:name="_Hlk54356604"/>
      <w:bookmarkStart w:id="1" w:name="_Hlk54425543"/>
      <w:bookmarkStart w:id="2" w:name="_Hlk54942040"/>
    </w:p>
    <w:p>
      <w:pPr>
        <w:pStyle w:val="93"/>
        <w:spacing w:line="360" w:lineRule="auto"/>
        <w:jc w:val="center"/>
        <w:rPr>
          <w:rFonts w:hAnsi="黑体" w:cs="黑体"/>
          <w:color w:val="1F2765"/>
          <w:spacing w:val="20"/>
          <w:sz w:val="32"/>
          <w:szCs w:val="32"/>
        </w:rPr>
      </w:pPr>
      <w:r>
        <w:rPr>
          <w:rFonts w:hAnsi="黑体" w:cs="黑体"/>
          <w:color w:val="auto"/>
          <w:spacing w:val="20"/>
          <w:sz w:val="32"/>
          <w:szCs w:val="32"/>
        </w:rPr>
        <w:t>深圳</w:t>
      </w:r>
      <w:r>
        <w:rPr>
          <w:rFonts w:hint="eastAsia" w:hAnsi="黑体" w:cs="黑体"/>
          <w:color w:val="auto"/>
          <w:spacing w:val="20"/>
          <w:sz w:val="32"/>
          <w:szCs w:val="32"/>
        </w:rPr>
        <w:t>市工程建设</w:t>
      </w:r>
      <w:r>
        <w:rPr>
          <w:rFonts w:hint="eastAsia" w:hAnsi="黑体" w:cs="黑体"/>
          <w:color w:val="auto"/>
          <w:spacing w:val="20"/>
          <w:sz w:val="32"/>
          <w:szCs w:val="32"/>
          <w:lang w:eastAsia="zh-CN"/>
        </w:rPr>
        <w:t>地方</w:t>
      </w:r>
      <w:r>
        <w:rPr>
          <w:rFonts w:hint="eastAsia" w:hAnsi="黑体" w:cs="黑体"/>
          <w:color w:val="auto"/>
          <w:spacing w:val="20"/>
          <w:sz w:val="32"/>
          <w:szCs w:val="32"/>
        </w:rPr>
        <w:t>标准</w:t>
      </w:r>
      <w:r>
        <w:rPr>
          <w:sz w:val="17"/>
        </w:rPr>
        <mc:AlternateContent>
          <mc:Choice Requires="wps">
            <w:drawing>
              <wp:anchor distT="0" distB="0" distL="114300" distR="114300" simplePos="0" relativeHeight="251679744" behindDoc="0" locked="0" layoutInCell="1" allowOverlap="1">
                <wp:simplePos x="0" y="0"/>
                <wp:positionH relativeFrom="column">
                  <wp:posOffset>4655820</wp:posOffset>
                </wp:positionH>
                <wp:positionV relativeFrom="paragraph">
                  <wp:posOffset>-259080</wp:posOffset>
                </wp:positionV>
                <wp:extent cx="1061720" cy="684530"/>
                <wp:effectExtent l="0" t="0" r="0" b="0"/>
                <wp:wrapNone/>
                <wp:docPr id="75" name="文本框 75"/>
                <wp:cNvGraphicFramePr/>
                <a:graphic xmlns:a="http://schemas.openxmlformats.org/drawingml/2006/main">
                  <a:graphicData uri="http://schemas.microsoft.com/office/word/2010/wordprocessingShape">
                    <wps:wsp>
                      <wps:cNvSpPr txBox="1"/>
                      <wps:spPr>
                        <a:xfrm>
                          <a:off x="0" y="0"/>
                          <a:ext cx="1061720" cy="6845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ascii="Times New Roman" w:hAnsi="Times New Roman" w:eastAsia="宋体" w:cs="Times New Roman"/>
                                <w:color w:val="auto"/>
                                <w:sz w:val="96"/>
                                <w:szCs w:val="96"/>
                              </w:rPr>
                            </w:pPr>
                            <w:r>
                              <w:rPr>
                                <w:rFonts w:ascii="Times New Roman" w:hAnsi="Times New Roman" w:eastAsia="宋体" w:cs="Times New Roman"/>
                                <w:b/>
                                <w:bCs/>
                                <w:color w:val="auto"/>
                                <w:sz w:val="72"/>
                                <w:szCs w:val="72"/>
                              </w:rPr>
                              <w:t>SJG</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66.6pt;margin-top:-20.4pt;height:53.9pt;width:83.6pt;z-index:251679744;mso-width-relative:page;mso-height-relative:page;" filled="f" stroked="f" coordsize="21600,21600" o:gfxdata="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QfF5&#10;2dwAAAAKAQAADwAAAAAAAAABACAAAAAiAAAAZHJzL2Rvd25yZXYueG1sUEsBAhQAFAAAAAgAh07i&#10;QEo8KGseAgAAGgQAAA4AAAAAAAAAAQAgAAAAKwEAAGRycy9lMm9Eb2MueG1sUEsFBgAAAAAGAAYA&#10;WQEAALsFAAAAAA==&#10;">
                <v:fill on="f" focussize="0,0"/>
                <v:stroke on="f" weight="0.5pt"/>
                <v:imagedata o:title=""/>
                <o:lock v:ext="edit" aspectratio="f"/>
                <v:textbox>
                  <w:txbxContent>
                    <w:p>
                      <w:pPr>
                        <w:rPr>
                          <w:rFonts w:ascii="Times New Roman" w:hAnsi="Times New Roman" w:eastAsia="宋体" w:cs="Times New Roman"/>
                          <w:color w:val="auto"/>
                          <w:sz w:val="96"/>
                          <w:szCs w:val="96"/>
                        </w:rPr>
                      </w:pPr>
                      <w:r>
                        <w:rPr>
                          <w:rFonts w:ascii="Times New Roman" w:hAnsi="Times New Roman" w:eastAsia="宋体" w:cs="Times New Roman"/>
                          <w:b/>
                          <w:bCs/>
                          <w:color w:val="auto"/>
                          <w:sz w:val="72"/>
                          <w:szCs w:val="72"/>
                        </w:rPr>
                        <w:t>SJG</w:t>
                      </w:r>
                    </w:p>
                  </w:txbxContent>
                </v:textbox>
              </v:shape>
            </w:pict>
          </mc:Fallback>
        </mc:AlternateContent>
      </w:r>
    </w:p>
    <w:p>
      <w:pPr>
        <w:pStyle w:val="90"/>
        <w:wordWrap w:val="0"/>
        <w:spacing w:after="240" w:line="360" w:lineRule="auto"/>
        <w:jc w:val="right"/>
        <w:rPr>
          <w:rFonts w:ascii="宋体" w:hAnsi="宋体"/>
          <w:color w:val="auto"/>
          <w:sz w:val="28"/>
          <w:szCs w:val="28"/>
        </w:rPr>
      </w:pPr>
      <w:r>
        <w:rPr>
          <w:sz w:val="28"/>
        </w:rPr>
        <mc:AlternateContent>
          <mc:Choice Requires="wps">
            <w:drawing>
              <wp:anchor distT="0" distB="0" distL="114300" distR="114300" simplePos="0" relativeHeight="251680768" behindDoc="0" locked="0" layoutInCell="1" allowOverlap="1">
                <wp:simplePos x="0" y="0"/>
                <wp:positionH relativeFrom="column">
                  <wp:posOffset>-1100455</wp:posOffset>
                </wp:positionH>
                <wp:positionV relativeFrom="paragraph">
                  <wp:posOffset>376555</wp:posOffset>
                </wp:positionV>
                <wp:extent cx="7591425" cy="9525"/>
                <wp:effectExtent l="0" t="0" r="0" b="0"/>
                <wp:wrapNone/>
                <wp:docPr id="76" name="直接连接符 76"/>
                <wp:cNvGraphicFramePr/>
                <a:graphic xmlns:a="http://schemas.openxmlformats.org/drawingml/2006/main">
                  <a:graphicData uri="http://schemas.microsoft.com/office/word/2010/wordprocessingShape">
                    <wps:wsp>
                      <wps:cNvCnPr/>
                      <wps:spPr>
                        <a:xfrm flipV="1">
                          <a:off x="42545" y="1687195"/>
                          <a:ext cx="7591425" cy="9525"/>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y;margin-left:-86.65pt;margin-top:29.65pt;height:0.75pt;width:597.75pt;z-index:251680768;mso-width-relative:page;mso-height-relative:page;" filled="f" stroked="t" coordsize="21600,21600" o:gfxdata="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ow7adsAAAALAQAADwAA&#10;AAAAAAABACAAAAAiAAAAZHJzL2Rvd25yZXYueG1sUEsBAhQAFAAAAAgAh07iQB3m+I7aAQAAfAMA&#10;AA4AAAAAAAAAAQAgAAAAKgEAAGRycy9lMm9Eb2MueG1sUEsFBgAAAAAGAAYAWQEAAHYFAAAAAA==&#10;">
                <v:fill on="f" focussize="0,0"/>
                <v:stroke color="#000000 [3213]" miterlimit="8" joinstyle="miter"/>
                <v:imagedata o:title=""/>
                <o:lock v:ext="edit" aspectratio="f"/>
              </v:line>
            </w:pict>
          </mc:Fallback>
        </mc:AlternateContent>
      </w:r>
      <w:r>
        <w:rPr>
          <w:rFonts w:ascii="华文仿宋" w:hAnsi="华文仿宋"/>
          <w:color w:val="auto"/>
          <w:sz w:val="28"/>
          <w:szCs w:val="28"/>
        </w:rPr>
        <w:t>SJG</w:t>
      </w:r>
      <w:r>
        <w:rPr>
          <w:rFonts w:ascii="宋体" w:hAnsi="宋体"/>
          <w:color w:val="auto"/>
          <w:sz w:val="28"/>
          <w:szCs w:val="28"/>
        </w:rPr>
        <w:t xml:space="preserve"> </w:t>
      </w:r>
      <w:r>
        <w:rPr>
          <w:rFonts w:hint="eastAsia" w:hAnsi="宋体"/>
          <w:color w:val="auto"/>
          <w:sz w:val="28"/>
          <w:szCs w:val="28"/>
          <w:lang w:val="en-US" w:eastAsia="zh-CN"/>
        </w:rPr>
        <w:t xml:space="preserve"> </w:t>
      </w:r>
      <w:r>
        <w:rPr>
          <w:rFonts w:ascii="宋体" w:hAnsi="宋体"/>
          <w:color w:val="auto"/>
          <w:sz w:val="28"/>
          <w:szCs w:val="28"/>
        </w:rPr>
        <w:t>—</w:t>
      </w:r>
      <w:r>
        <w:rPr>
          <w:rFonts w:hint="eastAsia" w:hAnsi="宋体"/>
          <w:color w:val="auto"/>
          <w:sz w:val="28"/>
          <w:szCs w:val="28"/>
          <w:lang w:val="en-US" w:eastAsia="zh-CN"/>
        </w:rPr>
        <w:t xml:space="preserve"> </w:t>
      </w:r>
    </w:p>
    <w:p>
      <w:pPr>
        <w:pStyle w:val="90"/>
        <w:spacing w:before="240" w:after="240" w:line="360" w:lineRule="auto"/>
        <w:jc w:val="right"/>
        <w:rPr>
          <w:rFonts w:ascii="宋体" w:hAnsi="宋体"/>
          <w:color w:val="auto"/>
          <w:sz w:val="28"/>
          <w:szCs w:val="28"/>
        </w:rPr>
      </w:pPr>
    </w:p>
    <w:p>
      <w:pPr>
        <w:pStyle w:val="29"/>
        <w:keepLines w:val="0"/>
        <w:pageBreakBefore w:val="0"/>
        <w:widowControl w:val="0"/>
        <w:kinsoku/>
        <w:wordWrap/>
        <w:overflowPunct/>
        <w:topLinePunct w:val="0"/>
        <w:autoSpaceDE/>
        <w:autoSpaceDN/>
        <w:bidi w:val="0"/>
        <w:adjustRightInd/>
        <w:snapToGrid/>
        <w:spacing w:after="0"/>
        <w:ind w:left="0" w:leftChars="0" w:right="0" w:rightChars="0" w:firstLine="0" w:firstLineChars="0"/>
        <w:jc w:val="center"/>
        <w:textAlignment w:val="auto"/>
        <w:rPr>
          <w:rFonts w:hint="eastAsia" w:ascii="黑体" w:hAnsi="黑体" w:eastAsia="黑体" w:cs="黑体"/>
          <w:b w:val="0"/>
          <w:bCs w:val="0"/>
          <w:sz w:val="44"/>
          <w:szCs w:val="44"/>
        </w:rPr>
      </w:pPr>
      <w:r>
        <w:rPr>
          <w:rFonts w:hint="eastAsia" w:ascii="黑体" w:hAnsi="黑体" w:eastAsia="黑体" w:cs="黑体"/>
          <w:b w:val="0"/>
          <w:bCs w:val="0"/>
          <w:sz w:val="44"/>
          <w:szCs w:val="44"/>
        </w:rPr>
        <w:t>深圳</w:t>
      </w:r>
      <w:bookmarkStart w:id="3" w:name="OLE_LINK1"/>
      <w:r>
        <w:rPr>
          <w:rFonts w:hint="eastAsia" w:ascii="黑体" w:hAnsi="黑体" w:eastAsia="黑体" w:cs="黑体"/>
          <w:b w:val="0"/>
          <w:bCs w:val="0"/>
          <w:sz w:val="44"/>
          <w:szCs w:val="44"/>
        </w:rPr>
        <w:t>地铁车辆基地上盖建筑</w:t>
      </w:r>
      <w:bookmarkEnd w:id="3"/>
      <w:r>
        <w:rPr>
          <w:rFonts w:hint="eastAsia" w:ascii="黑体" w:hAnsi="黑体" w:eastAsia="黑体" w:cs="黑体"/>
          <w:b w:val="0"/>
          <w:bCs w:val="0"/>
          <w:sz w:val="44"/>
          <w:szCs w:val="44"/>
        </w:rPr>
        <w:t>结构设计标准</w:t>
      </w:r>
    </w:p>
    <w:p>
      <w:pPr>
        <w:pStyle w:val="5"/>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sz w:val="30"/>
          <w:szCs w:val="30"/>
        </w:rPr>
      </w:pPr>
      <w:r>
        <w:rPr>
          <w:sz w:val="30"/>
          <w:szCs w:val="30"/>
        </w:rPr>
        <w:t>Standard for Design of Shenzhen Metro Depot Superstructure</w:t>
      </w:r>
    </w:p>
    <w:p>
      <w:pPr>
        <w:jc w:val="center"/>
        <w:rPr>
          <w:rFonts w:hint="eastAsia" w:eastAsia="宋体"/>
          <w:sz w:val="32"/>
          <w:szCs w:val="32"/>
          <w:lang w:eastAsia="zh-CN"/>
        </w:rPr>
      </w:pPr>
      <w:r>
        <w:rPr>
          <w:rFonts w:hint="eastAsia"/>
          <w:sz w:val="32"/>
          <w:szCs w:val="32"/>
          <w:lang w:eastAsia="zh-CN"/>
        </w:rPr>
        <w:t>（征求意稿）</w:t>
      </w:r>
    </w:p>
    <w:p>
      <w:pPr>
        <w:ind w:firstLine="480"/>
      </w:pPr>
    </w:p>
    <w:p>
      <w:pPr>
        <w:ind w:firstLine="480"/>
      </w:pPr>
    </w:p>
    <w:p>
      <w:pPr>
        <w:ind w:firstLine="480"/>
      </w:pPr>
    </w:p>
    <w:p>
      <w:pPr>
        <w:ind w:firstLine="480"/>
      </w:pPr>
    </w:p>
    <w:p>
      <w:pPr>
        <w:ind w:firstLine="480"/>
      </w:pPr>
    </w:p>
    <w:p>
      <w:pPr>
        <w:ind w:firstLine="480"/>
        <w:rPr>
          <w:sz w:val="24"/>
        </w:rPr>
      </w:pPr>
    </w:p>
    <w:p>
      <w:pPr>
        <w:ind w:firstLine="480"/>
        <w:rPr>
          <w:sz w:val="24"/>
        </w:rPr>
      </w:pPr>
    </w:p>
    <w:p>
      <w:pPr>
        <w:ind w:firstLine="480"/>
        <w:rPr>
          <w:sz w:val="24"/>
        </w:rPr>
      </w:pPr>
    </w:p>
    <w:p>
      <w:pPr>
        <w:ind w:firstLine="480"/>
        <w:rPr>
          <w:sz w:val="24"/>
        </w:rPr>
      </w:pPr>
    </w:p>
    <w:p>
      <w:pPr>
        <w:ind w:firstLine="480"/>
      </w:pPr>
    </w:p>
    <w:p>
      <w:pPr>
        <w:ind w:firstLine="480"/>
      </w:pPr>
    </w:p>
    <w:p>
      <w:pPr>
        <w:ind w:firstLine="480"/>
      </w:pPr>
    </w:p>
    <w:p>
      <w:pPr>
        <w:ind w:firstLine="480"/>
      </w:pPr>
    </w:p>
    <w:p>
      <w:pPr>
        <w:ind w:firstLine="141" w:firstLineChars="50"/>
        <w:rPr>
          <w:b/>
          <w:sz w:val="28"/>
          <w:szCs w:val="28"/>
        </w:rPr>
      </w:pPr>
    </w:p>
    <w:p>
      <w:pPr>
        <w:ind w:firstLine="141" w:firstLineChars="50"/>
        <w:rPr>
          <w:b/>
          <w:sz w:val="28"/>
          <w:szCs w:val="28"/>
        </w:rPr>
      </w:pPr>
    </w:p>
    <w:p>
      <w:pPr>
        <w:ind w:firstLine="141" w:firstLineChars="50"/>
        <w:rPr>
          <w:b/>
          <w:sz w:val="28"/>
          <w:szCs w:val="28"/>
        </w:rPr>
      </w:pPr>
    </w:p>
    <w:p>
      <w:pPr>
        <w:ind w:firstLine="141" w:firstLineChars="50"/>
        <w:rPr>
          <w:b/>
          <w:sz w:val="28"/>
          <w:szCs w:val="28"/>
        </w:rPr>
      </w:pPr>
    </w:p>
    <w:p>
      <w:pPr>
        <w:ind w:firstLine="141" w:firstLineChars="50"/>
        <w:rPr>
          <w:b/>
          <w:sz w:val="28"/>
          <w:szCs w:val="28"/>
        </w:rPr>
      </w:pPr>
    </w:p>
    <w:p>
      <w:pPr>
        <w:pStyle w:val="90"/>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center"/>
        <w:textAlignment w:val="auto"/>
        <w:outlineLvl w:val="9"/>
        <w:rPr>
          <w:rFonts w:hint="eastAsia"/>
          <w:color w:val="auto"/>
          <w:sz w:val="28"/>
          <w:szCs w:val="28"/>
        </w:rPr>
      </w:pPr>
    </w:p>
    <w:p>
      <w:pPr>
        <w:pStyle w:val="90"/>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center"/>
        <w:textAlignment w:val="auto"/>
        <w:outlineLvl w:val="9"/>
        <w:rPr>
          <w:rFonts w:ascii="黑体" w:hAnsi="黑体" w:eastAsia="黑体"/>
          <w:color w:val="auto"/>
          <w:sz w:val="36"/>
          <w:szCs w:val="36"/>
        </w:rPr>
      </w:pPr>
      <w:r>
        <w:rPr>
          <w:rFonts w:ascii="宋体" w:hAnsi="宋体"/>
          <w:color w:val="auto"/>
          <w:sz w:val="28"/>
          <w:szCs w:val="28"/>
        </w:rPr>
        <mc:AlternateContent>
          <mc:Choice Requires="wps">
            <w:drawing>
              <wp:anchor distT="0" distB="0" distL="114300" distR="114300" simplePos="0" relativeHeight="251682816" behindDoc="0" locked="0" layoutInCell="1" allowOverlap="1">
                <wp:simplePos x="0" y="0"/>
                <wp:positionH relativeFrom="column">
                  <wp:posOffset>-1148715</wp:posOffset>
                </wp:positionH>
                <wp:positionV relativeFrom="paragraph">
                  <wp:posOffset>351790</wp:posOffset>
                </wp:positionV>
                <wp:extent cx="7658735" cy="0"/>
                <wp:effectExtent l="0" t="0" r="0" b="0"/>
                <wp:wrapNone/>
                <wp:docPr id="1" name="直接箭头连接符 1"/>
                <wp:cNvGraphicFramePr/>
                <a:graphic xmlns:a="http://schemas.openxmlformats.org/drawingml/2006/main">
                  <a:graphicData uri="http://schemas.microsoft.com/office/word/2010/wordprocessingShape">
                    <wps:wsp>
                      <wps:cNvCnPr/>
                      <wps:spPr>
                        <a:xfrm>
                          <a:off x="0" y="0"/>
                          <a:ext cx="7658735" cy="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margin-left:-90.45pt;margin-top:27.7pt;height:0pt;width:603.05pt;z-index:251682816;mso-width-relative:page;mso-height-relative:page;" filled="f" stroked="t" coordsize="21600,21600" o:gfxdata="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E87UULY&#10;AAAACwEAAA8AAAAAAAAAAQAgAAAAIgAAAGRycy9kb3ducmV2LnhtbFBLAQIUABQAAAAIAIdO4kDr&#10;Y/6t5wEAAKwDAAAOAAAAAAAAAAEAIAAAACcBAABkcnMvZTJvRG9jLnhtbFBLBQYAAAAABgAGAFkB&#10;AACABQAAAAA=&#10;">
                <v:fill on="f" focussize="0,0"/>
                <v:stroke color="#000000" joinstyle="round"/>
                <v:imagedata o:title=""/>
                <o:lock v:ext="edit" aspectratio="f"/>
              </v:shape>
            </w:pict>
          </mc:Fallback>
        </mc:AlternateContent>
      </w:r>
      <w:r>
        <w:rPr>
          <w:rFonts w:hint="eastAsia"/>
          <w:color w:val="auto"/>
          <w:sz w:val="28"/>
          <w:szCs w:val="28"/>
        </w:rPr>
        <w:t>20</w:t>
      </w:r>
      <w:r>
        <w:rPr>
          <w:color w:val="auto"/>
          <w:sz w:val="28"/>
          <w:szCs w:val="28"/>
        </w:rPr>
        <w:t>21</w:t>
      </w:r>
      <w:r>
        <w:rPr>
          <w:rFonts w:eastAsia="黑体"/>
          <w:color w:val="auto"/>
          <w:sz w:val="28"/>
          <w:szCs w:val="28"/>
        </w:rPr>
        <w:t>-</w:t>
      </w:r>
      <w:r>
        <w:rPr>
          <w:rFonts w:hint="eastAsia" w:ascii="华文仿宋" w:hAnsi="华文仿宋" w:eastAsia="黑体"/>
          <w:color w:val="auto"/>
          <w:sz w:val="28"/>
          <w:szCs w:val="28"/>
          <w:lang w:val="en-US" w:eastAsia="zh-CN"/>
        </w:rPr>
        <w:t>12</w:t>
      </w:r>
      <w:r>
        <w:rPr>
          <w:rFonts w:eastAsia="黑体"/>
          <w:color w:val="auto"/>
          <w:sz w:val="28"/>
          <w:szCs w:val="28"/>
        </w:rPr>
        <w:t>-</w:t>
      </w:r>
      <w:r>
        <w:rPr>
          <w:rFonts w:hint="eastAsia" w:eastAsia="黑体"/>
          <w:color w:val="auto"/>
          <w:sz w:val="28"/>
          <w:szCs w:val="28"/>
          <w:lang w:val="en-US" w:eastAsia="zh-CN"/>
        </w:rPr>
        <w:t>25</w:t>
      </w:r>
      <w:r>
        <w:rPr>
          <w:rFonts w:hint="eastAsia" w:ascii="华文仿宋" w:hAnsi="华文仿宋"/>
          <w:color w:val="auto"/>
          <w:sz w:val="28"/>
          <w:szCs w:val="28"/>
          <w:lang w:val="en-US" w:eastAsia="zh-CN"/>
        </w:rPr>
        <w:t xml:space="preserve"> </w:t>
      </w:r>
      <w:r>
        <w:rPr>
          <w:rFonts w:eastAsia="黑体"/>
          <w:color w:val="auto"/>
          <w:sz w:val="28"/>
          <w:szCs w:val="28"/>
        </w:rPr>
        <w:t xml:space="preserve">发布                            </w:t>
      </w:r>
      <w:r>
        <w:rPr>
          <w:rFonts w:hint="eastAsia"/>
          <w:color w:val="auto"/>
          <w:sz w:val="28"/>
          <w:szCs w:val="28"/>
        </w:rPr>
        <w:t>20</w:t>
      </w:r>
      <w:r>
        <w:rPr>
          <w:color w:val="auto"/>
          <w:sz w:val="28"/>
          <w:szCs w:val="28"/>
        </w:rPr>
        <w:t>2</w:t>
      </w:r>
      <w:r>
        <w:rPr>
          <w:rFonts w:hint="eastAsia"/>
          <w:color w:val="auto"/>
          <w:sz w:val="28"/>
          <w:szCs w:val="28"/>
          <w:lang w:val="en-US" w:eastAsia="zh-CN"/>
        </w:rPr>
        <w:t>2</w:t>
      </w:r>
      <w:r>
        <w:rPr>
          <w:rFonts w:eastAsia="黑体"/>
          <w:color w:val="auto"/>
          <w:sz w:val="28"/>
          <w:szCs w:val="28"/>
        </w:rPr>
        <w:t>-</w:t>
      </w:r>
      <w:r>
        <w:rPr>
          <w:rFonts w:hint="eastAsia" w:eastAsia="黑体"/>
          <w:color w:val="auto"/>
          <w:sz w:val="28"/>
          <w:szCs w:val="28"/>
        </w:rPr>
        <w:t xml:space="preserve"> </w:t>
      </w:r>
      <w:r>
        <w:rPr>
          <w:rFonts w:hint="eastAsia" w:ascii="华文仿宋" w:hAnsi="华文仿宋" w:eastAsia="黑体"/>
          <w:color w:val="auto"/>
          <w:sz w:val="28"/>
          <w:szCs w:val="28"/>
          <w:lang w:val="en-US" w:eastAsia="zh-CN"/>
        </w:rPr>
        <w:t>03</w:t>
      </w:r>
      <w:r>
        <w:rPr>
          <w:rFonts w:eastAsia="黑体"/>
          <w:color w:val="auto"/>
          <w:sz w:val="28"/>
          <w:szCs w:val="28"/>
        </w:rPr>
        <w:t>-</w:t>
      </w:r>
      <w:r>
        <w:rPr>
          <w:rFonts w:hint="eastAsia" w:eastAsia="黑体"/>
          <w:color w:val="auto"/>
          <w:sz w:val="28"/>
          <w:szCs w:val="28"/>
          <w:lang w:val="en-US" w:eastAsia="zh-CN"/>
        </w:rPr>
        <w:t>01</w:t>
      </w:r>
      <w:r>
        <w:rPr>
          <w:rFonts w:hint="eastAsia" w:ascii="华文仿宋" w:hAnsi="华文仿宋"/>
          <w:color w:val="auto"/>
          <w:sz w:val="28"/>
          <w:szCs w:val="28"/>
          <w:lang w:val="en-US" w:eastAsia="zh-CN"/>
        </w:rPr>
        <w:t xml:space="preserve"> </w:t>
      </w:r>
      <w:r>
        <w:rPr>
          <w:rFonts w:eastAsia="黑体"/>
          <w:color w:val="auto"/>
          <w:sz w:val="28"/>
          <w:szCs w:val="28"/>
        </w:rPr>
        <w:t>实施</w:t>
      </w:r>
      <w:r>
        <w:rPr>
          <w:rFonts w:hint="eastAsia" w:ascii="黑体" w:hAnsi="黑体" w:eastAsia="黑体"/>
          <w:color w:val="auto"/>
          <w:sz w:val="36"/>
          <w:szCs w:val="36"/>
        </w:rPr>
        <w:t>深圳市住房和建设局发布</w:t>
      </w:r>
    </w:p>
    <w:p>
      <w:pPr>
        <w:widowControl/>
        <w:jc w:val="left"/>
        <w:rPr>
          <w:rFonts w:ascii="宋体" w:hAnsi="宋体"/>
          <w:sz w:val="36"/>
          <w:szCs w:val="36"/>
        </w:rPr>
        <w:sectPr>
          <w:footerReference r:id="rId5" w:type="first"/>
          <w:footerReference r:id="rId3" w:type="default"/>
          <w:footerReference r:id="rId4" w:type="even"/>
          <w:type w:val="continuous"/>
          <w:pgSz w:w="11906" w:h="16838"/>
          <w:pgMar w:top="1440" w:right="1800" w:bottom="1440" w:left="1800" w:header="851" w:footer="992" w:gutter="0"/>
          <w:pgNumType w:start="1"/>
          <w:cols w:space="720" w:num="1"/>
          <w:titlePg/>
          <w:docGrid w:type="lines" w:linePitch="312" w:charSpace="0"/>
        </w:sectPr>
      </w:pPr>
      <w:r>
        <w:rPr>
          <w:rFonts w:ascii="宋体" w:hAnsi="宋体"/>
          <w:sz w:val="36"/>
          <w:szCs w:val="36"/>
        </w:rPr>
        <w:br w:type="page"/>
      </w:r>
    </w:p>
    <w:p>
      <w:pPr>
        <w:jc w:val="both"/>
        <w:rPr>
          <w:rFonts w:ascii="宋体" w:hAnsi="宋体"/>
          <w:b/>
          <w:sz w:val="32"/>
        </w:rPr>
      </w:pPr>
    </w:p>
    <w:p>
      <w:pPr>
        <w:jc w:val="center"/>
        <w:rPr>
          <w:rFonts w:ascii="宋体" w:hAnsi="宋体"/>
          <w:b/>
          <w:sz w:val="32"/>
        </w:rPr>
      </w:pPr>
    </w:p>
    <w:p>
      <w:pPr>
        <w:jc w:val="center"/>
        <w:rPr>
          <w:rFonts w:ascii="宋体" w:hAnsi="宋体"/>
          <w:b/>
          <w:sz w:val="32"/>
        </w:rPr>
      </w:pPr>
      <w:bookmarkStart w:id="4" w:name="OLE_LINK3"/>
      <w:r>
        <w:rPr>
          <w:rFonts w:hint="eastAsia" w:ascii="黑体" w:hAnsi="黑体" w:eastAsia="黑体"/>
          <w:b/>
          <w:sz w:val="32"/>
        </w:rPr>
        <w:t>深圳市工程建设</w:t>
      </w:r>
      <w:r>
        <w:rPr>
          <w:rFonts w:hint="eastAsia" w:ascii="黑体" w:hAnsi="黑体" w:eastAsia="黑体"/>
          <w:b/>
          <w:sz w:val="32"/>
          <w:lang w:eastAsia="zh-CN"/>
        </w:rPr>
        <w:t>地方</w:t>
      </w:r>
      <w:r>
        <w:rPr>
          <w:rFonts w:hint="eastAsia" w:ascii="黑体" w:hAnsi="黑体" w:eastAsia="黑体"/>
          <w:b/>
          <w:sz w:val="32"/>
        </w:rPr>
        <w:t>标准</w:t>
      </w:r>
    </w:p>
    <w:bookmarkEnd w:id="4"/>
    <w:p>
      <w:pPr>
        <w:spacing w:line="480" w:lineRule="auto"/>
        <w:jc w:val="both"/>
        <w:rPr>
          <w:rFonts w:hint="eastAsia" w:ascii="宋体" w:hAnsi="宋体"/>
          <w:b/>
          <w:bCs/>
          <w:sz w:val="48"/>
          <w:szCs w:val="48"/>
        </w:rPr>
      </w:pPr>
    </w:p>
    <w:p>
      <w:pPr>
        <w:spacing w:line="480" w:lineRule="auto"/>
        <w:jc w:val="center"/>
        <w:rPr>
          <w:rFonts w:hint="eastAsia" w:ascii="宋体" w:hAnsi="宋体"/>
          <w:b/>
          <w:bCs/>
          <w:sz w:val="32"/>
          <w:szCs w:val="32"/>
        </w:rPr>
      </w:pPr>
      <w:r>
        <w:rPr>
          <w:rFonts w:hint="eastAsia" w:ascii="宋体" w:hAnsi="宋体"/>
          <w:b/>
          <w:bCs/>
          <w:sz w:val="32"/>
          <w:szCs w:val="32"/>
        </w:rPr>
        <w:t>深圳地铁车辆基地上盖建筑结构设计标准</w:t>
      </w:r>
    </w:p>
    <w:p>
      <w:pPr>
        <w:pStyle w:val="5"/>
        <w:keepNext/>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3"/>
        <w:rPr>
          <w:sz w:val="32"/>
          <w:szCs w:val="32"/>
        </w:rPr>
      </w:pPr>
      <w:r>
        <w:rPr>
          <w:sz w:val="32"/>
          <w:szCs w:val="32"/>
        </w:rPr>
        <w:t>Standard for Design of Shenzhen Metro Depot</w:t>
      </w:r>
      <w:r>
        <w:rPr>
          <w:rFonts w:hint="eastAsia"/>
          <w:sz w:val="32"/>
          <w:szCs w:val="32"/>
          <w:lang w:val="en-US" w:eastAsia="zh-CN"/>
        </w:rPr>
        <w:t xml:space="preserve"> </w:t>
      </w:r>
      <w:r>
        <w:rPr>
          <w:sz w:val="32"/>
          <w:szCs w:val="32"/>
        </w:rPr>
        <w:t>Superstructure</w:t>
      </w:r>
    </w:p>
    <w:p/>
    <w:p>
      <w:pPr>
        <w:jc w:val="center"/>
        <w:rPr>
          <w:rFonts w:hint="eastAsia" w:ascii="黑体" w:hAnsi="黑体" w:eastAsia="黑体" w:cs="黑体"/>
          <w:b/>
          <w:sz w:val="28"/>
          <w:szCs w:val="28"/>
        </w:rPr>
      </w:pPr>
      <w:r>
        <w:rPr>
          <w:rFonts w:hint="eastAsia" w:ascii="黑体" w:hAnsi="黑体" w:eastAsia="黑体" w:cs="黑体"/>
          <w:b/>
          <w:sz w:val="28"/>
          <w:szCs w:val="28"/>
        </w:rPr>
        <w:t xml:space="preserve">SJG </w:t>
      </w:r>
      <w:r>
        <w:rPr>
          <w:rFonts w:hint="eastAsia" w:ascii="黑体" w:hAnsi="黑体" w:eastAsia="黑体" w:cs="黑体"/>
          <w:b/>
          <w:sz w:val="28"/>
          <w:szCs w:val="28"/>
          <w:lang w:val="en-US" w:eastAsia="zh-CN"/>
        </w:rPr>
        <w:t xml:space="preserve"> </w:t>
      </w:r>
      <w:r>
        <w:rPr>
          <w:rFonts w:hint="eastAsia" w:ascii="黑体" w:hAnsi="黑体" w:eastAsia="黑体" w:cs="黑体"/>
          <w:b/>
          <w:sz w:val="28"/>
          <w:szCs w:val="28"/>
        </w:rPr>
        <w:t>—</w:t>
      </w:r>
      <w:r>
        <w:rPr>
          <w:rFonts w:hint="eastAsia" w:ascii="黑体" w:hAnsi="黑体" w:eastAsia="黑体" w:cs="黑体"/>
          <w:b/>
          <w:sz w:val="28"/>
          <w:szCs w:val="28"/>
          <w:lang w:val="en-US" w:eastAsia="zh-CN"/>
        </w:rPr>
        <w:t xml:space="preserve"> </w:t>
      </w:r>
    </w:p>
    <w:p>
      <w:pPr>
        <w:ind w:firstLine="480"/>
      </w:pPr>
    </w:p>
    <w:p>
      <w:pPr>
        <w:ind w:firstLine="480"/>
      </w:pPr>
    </w:p>
    <w:p>
      <w:pPr>
        <w:ind w:firstLine="480"/>
      </w:pPr>
    </w:p>
    <w:p>
      <w:pPr>
        <w:ind w:firstLine="480"/>
      </w:pPr>
    </w:p>
    <w:p>
      <w:pPr>
        <w:ind w:firstLine="480"/>
        <w:rPr>
          <w:sz w:val="24"/>
        </w:rPr>
      </w:pPr>
    </w:p>
    <w:p>
      <w:pPr>
        <w:ind w:firstLine="480"/>
        <w:rPr>
          <w:sz w:val="24"/>
        </w:rPr>
      </w:pPr>
    </w:p>
    <w:p>
      <w:pPr>
        <w:ind w:firstLine="480"/>
        <w:rPr>
          <w:sz w:val="24"/>
        </w:rPr>
      </w:pPr>
    </w:p>
    <w:p>
      <w:pPr>
        <w:ind w:firstLine="480"/>
        <w:rPr>
          <w:sz w:val="24"/>
        </w:rPr>
      </w:pPr>
    </w:p>
    <w:p>
      <w:pPr>
        <w:ind w:firstLine="480"/>
      </w:pPr>
    </w:p>
    <w:p>
      <w:pPr>
        <w:ind w:firstLine="480"/>
      </w:pPr>
    </w:p>
    <w:p>
      <w:pPr>
        <w:ind w:firstLine="480"/>
      </w:pPr>
    </w:p>
    <w:p>
      <w:pPr>
        <w:ind w:firstLine="480"/>
      </w:pPr>
    </w:p>
    <w:p>
      <w:pPr>
        <w:ind w:firstLine="480"/>
      </w:pPr>
    </w:p>
    <w:p>
      <w:pPr>
        <w:ind w:firstLine="480"/>
      </w:pPr>
    </w:p>
    <w:p>
      <w:pPr>
        <w:ind w:firstLine="480"/>
      </w:pPr>
    </w:p>
    <w:p>
      <w:pPr>
        <w:ind w:firstLine="480"/>
      </w:pPr>
    </w:p>
    <w:p>
      <w:pPr>
        <w:ind w:firstLine="480"/>
      </w:pPr>
    </w:p>
    <w:p>
      <w:pPr>
        <w:ind w:firstLine="723"/>
        <w:jc w:val="center"/>
        <w:rPr>
          <w:b/>
          <w:bCs/>
          <w:sz w:val="36"/>
        </w:rPr>
      </w:pPr>
      <w:r>
        <w:rPr>
          <w:b/>
          <w:bCs/>
          <w:sz w:val="36"/>
        </w:rPr>
        <w:t>202X　深 圳</w:t>
      </w:r>
    </w:p>
    <w:p>
      <w:pPr>
        <w:ind w:firstLine="723"/>
        <w:rPr>
          <w:b/>
          <w:bCs/>
          <w:sz w:val="36"/>
        </w:rPr>
      </w:pPr>
    </w:p>
    <w:p>
      <w:pPr>
        <w:ind w:firstLine="643"/>
        <w:rPr>
          <w:rFonts w:eastAsia="黑体"/>
          <w:b/>
          <w:bCs/>
          <w:sz w:val="32"/>
        </w:rPr>
      </w:pPr>
    </w:p>
    <w:p>
      <w:pPr>
        <w:spacing w:before="240"/>
        <w:ind w:firstLine="643"/>
        <w:jc w:val="center"/>
        <w:rPr>
          <w:rFonts w:eastAsia="黑体"/>
          <w:b/>
          <w:bCs/>
          <w:sz w:val="32"/>
        </w:rPr>
        <w:sectPr>
          <w:type w:val="continuous"/>
          <w:pgSz w:w="11906" w:h="16838"/>
          <w:pgMar w:top="1440" w:right="1800" w:bottom="1440" w:left="1800" w:header="851" w:footer="992" w:gutter="0"/>
          <w:pgNumType w:start="1"/>
          <w:cols w:space="720" w:num="1"/>
          <w:docGrid w:type="lines" w:linePitch="312" w:charSpace="0"/>
        </w:sectPr>
      </w:pPr>
    </w:p>
    <w:p>
      <w:pPr>
        <w:spacing w:before="240"/>
        <w:jc w:val="center"/>
        <w:rPr>
          <w:rFonts w:eastAsia="黑体"/>
          <w:b/>
          <w:bCs/>
          <w:sz w:val="28"/>
          <w:szCs w:val="28"/>
        </w:rPr>
      </w:pPr>
      <w:r>
        <w:rPr>
          <w:rFonts w:eastAsia="黑体"/>
          <w:b/>
          <w:bCs/>
          <w:sz w:val="28"/>
          <w:szCs w:val="28"/>
        </w:rPr>
        <w:t>前       言</w:t>
      </w:r>
    </w:p>
    <w:p>
      <w:pPr>
        <w:spacing w:before="240"/>
        <w:jc w:val="center"/>
        <w:rPr>
          <w:rFonts w:eastAsia="黑体"/>
          <w:b/>
          <w:bCs/>
          <w:sz w:val="32"/>
        </w:rPr>
      </w:pP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20" w:firstLineChars="200"/>
        <w:jc w:val="both"/>
        <w:textAlignment w:val="auto"/>
        <w:outlineLvl w:val="9"/>
        <w:rPr>
          <w:rFonts w:hint="eastAsia" w:ascii="宋体" w:hAnsi="宋体" w:eastAsia="宋体" w:cs="宋体"/>
          <w:szCs w:val="21"/>
          <w:lang w:eastAsia="zh-CN"/>
        </w:rPr>
      </w:pPr>
      <w:r>
        <w:rPr>
          <w:rFonts w:hint="eastAsia" w:ascii="宋体" w:hAnsi="宋体" w:eastAsia="宋体" w:cs="宋体"/>
          <w:szCs w:val="21"/>
          <w:lang w:eastAsia="zh-CN"/>
        </w:rPr>
        <w:t>根据《</w:t>
      </w:r>
      <w:r>
        <w:rPr>
          <w:rFonts w:hint="eastAsia" w:ascii="宋体" w:hAnsi="宋体" w:eastAsia="宋体" w:cs="宋体"/>
          <w:szCs w:val="21"/>
        </w:rPr>
        <w:t>深圳市住房和建设局关于发布2020年深圳市工程建设标准制订修订计划项目（第一批）的通知</w:t>
      </w:r>
      <w:r>
        <w:rPr>
          <w:rFonts w:hint="eastAsia" w:ascii="宋体" w:hAnsi="宋体" w:eastAsia="宋体" w:cs="宋体"/>
          <w:szCs w:val="21"/>
          <w:lang w:eastAsia="zh-CN"/>
        </w:rPr>
        <w:t>》（</w:t>
      </w:r>
      <w:r>
        <w:rPr>
          <w:rFonts w:hint="eastAsia" w:ascii="宋体" w:hAnsi="宋体" w:eastAsia="宋体" w:cs="宋体"/>
          <w:szCs w:val="21"/>
        </w:rPr>
        <w:t>深建标〔2020〕2号</w:t>
      </w:r>
      <w:r>
        <w:rPr>
          <w:rFonts w:hint="eastAsia" w:ascii="宋体" w:hAnsi="宋体" w:eastAsia="宋体" w:cs="宋体"/>
          <w:szCs w:val="21"/>
          <w:lang w:eastAsia="zh-CN"/>
        </w:rPr>
        <w:t>）</w:t>
      </w:r>
      <w:r>
        <w:rPr>
          <w:rFonts w:hint="eastAsia" w:ascii="宋体" w:hAnsi="宋体" w:eastAsia="宋体" w:cs="宋体"/>
          <w:szCs w:val="21"/>
        </w:rPr>
        <w:t>。</w:t>
      </w:r>
      <w:r>
        <w:rPr>
          <w:rFonts w:hint="eastAsia" w:ascii="宋体" w:hAnsi="宋体" w:eastAsia="宋体" w:cs="宋体"/>
          <w:szCs w:val="21"/>
          <w:lang w:eastAsia="zh-CN"/>
        </w:rPr>
        <w:t>本标准由</w:t>
      </w:r>
      <w:r>
        <w:rPr>
          <w:rFonts w:hint="eastAsia" w:ascii="宋体" w:hAnsi="宋体" w:eastAsia="宋体" w:cs="宋体"/>
          <w:szCs w:val="21"/>
        </w:rPr>
        <w:t>深圳地铁置业集团有限公司联合深圳千典建筑结构设计事务所有限公司</w:t>
      </w:r>
      <w:r>
        <w:rPr>
          <w:rFonts w:hint="eastAsia" w:ascii="宋体" w:hAnsi="宋体" w:eastAsia="宋体" w:cs="宋体"/>
          <w:szCs w:val="21"/>
          <w:lang w:eastAsia="zh-CN"/>
        </w:rPr>
        <w:t>等有关单位共同编制而成。</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20" w:firstLineChars="200"/>
        <w:jc w:val="both"/>
        <w:textAlignment w:val="auto"/>
        <w:outlineLvl w:val="9"/>
        <w:rPr>
          <w:rFonts w:hint="eastAsia" w:ascii="宋体" w:hAnsi="宋体" w:eastAsia="宋体" w:cs="宋体"/>
          <w:szCs w:val="21"/>
          <w:lang w:eastAsia="zh-CN"/>
        </w:rPr>
      </w:pPr>
      <w:r>
        <w:rPr>
          <w:rFonts w:hint="eastAsia" w:ascii="宋体" w:hAnsi="宋体" w:eastAsia="宋体" w:cs="宋体"/>
          <w:szCs w:val="21"/>
          <w:lang w:eastAsia="zh-CN"/>
        </w:rPr>
        <w:t>本标准编制过程中深入调研了</w:t>
      </w:r>
      <w:r>
        <w:rPr>
          <w:rFonts w:hint="eastAsia" w:ascii="宋体" w:hAnsi="宋体" w:eastAsia="宋体" w:cs="宋体"/>
          <w:szCs w:val="21"/>
        </w:rPr>
        <w:t>国内各地车辆基地上盖设计</w:t>
      </w:r>
      <w:r>
        <w:rPr>
          <w:rFonts w:hint="eastAsia" w:ascii="宋体" w:hAnsi="宋体" w:eastAsia="宋体" w:cs="宋体"/>
          <w:szCs w:val="21"/>
          <w:lang w:eastAsia="zh-CN"/>
        </w:rPr>
        <w:t>和工程情况，认真总结相关经验，</w:t>
      </w:r>
      <w:r>
        <w:rPr>
          <w:rFonts w:hint="eastAsia" w:ascii="宋体" w:hAnsi="宋体" w:cs="宋体"/>
          <w:szCs w:val="21"/>
          <w:lang w:eastAsia="zh-CN"/>
        </w:rPr>
        <w:t>结合我市地铁车辆基地上盖建筑</w:t>
      </w:r>
      <w:r>
        <w:rPr>
          <w:rFonts w:hint="eastAsia" w:ascii="宋体" w:hAnsi="宋体" w:eastAsia="宋体" w:cs="宋体"/>
          <w:szCs w:val="21"/>
        </w:rPr>
        <w:t>的实践经验</w:t>
      </w:r>
      <w:r>
        <w:rPr>
          <w:rFonts w:hint="eastAsia" w:ascii="宋体" w:hAnsi="宋体" w:eastAsia="宋体" w:cs="宋体"/>
          <w:szCs w:val="21"/>
          <w:lang w:eastAsia="zh-CN"/>
        </w:rPr>
        <w:t>，吸收先进技术成果，</w:t>
      </w:r>
      <w:r>
        <w:rPr>
          <w:rFonts w:hint="eastAsia" w:ascii="宋体" w:hAnsi="宋体" w:cs="宋体"/>
          <w:szCs w:val="21"/>
          <w:lang w:eastAsia="zh-CN"/>
        </w:rPr>
        <w:t>经</w:t>
      </w:r>
      <w:r>
        <w:rPr>
          <w:rFonts w:hint="eastAsia" w:ascii="宋体" w:hAnsi="宋体" w:eastAsia="宋体" w:cs="宋体"/>
          <w:szCs w:val="21"/>
          <w:lang w:eastAsia="zh-CN"/>
        </w:rPr>
        <w:t>广泛征求各有关单位意见</w:t>
      </w:r>
      <w:r>
        <w:rPr>
          <w:rFonts w:hint="eastAsia" w:ascii="宋体" w:hAnsi="宋体" w:cs="宋体"/>
          <w:szCs w:val="21"/>
          <w:lang w:eastAsia="zh-CN"/>
        </w:rPr>
        <w:t>编制而成</w:t>
      </w:r>
      <w:r>
        <w:rPr>
          <w:rFonts w:hint="eastAsia" w:ascii="宋体" w:hAnsi="宋体" w:eastAsia="宋体" w:cs="宋体"/>
          <w:szCs w:val="21"/>
          <w:lang w:eastAsia="zh-CN"/>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20" w:firstLineChars="200"/>
        <w:jc w:val="both"/>
        <w:textAlignment w:val="auto"/>
        <w:outlineLvl w:val="9"/>
        <w:rPr>
          <w:rFonts w:hint="eastAsia" w:ascii="宋体" w:hAnsi="宋体" w:eastAsia="宋体" w:cs="宋体"/>
          <w:szCs w:val="21"/>
          <w:lang w:eastAsia="zh-CN"/>
        </w:rPr>
      </w:pPr>
      <w:r>
        <w:rPr>
          <w:rFonts w:hint="eastAsia" w:ascii="宋体" w:hAnsi="宋体" w:eastAsia="宋体" w:cs="宋体"/>
          <w:szCs w:val="21"/>
          <w:lang w:eastAsia="zh-CN"/>
        </w:rPr>
        <w:t>本标准的主要技术内容是：1总则；2术语与符号；3基本规定；4结构设计基本规定；5全框支厚板转换结构；6车辆基地上盖隔震设计；7基础设计；8预留要求。</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20" w:firstLineChars="200"/>
        <w:jc w:val="both"/>
        <w:textAlignment w:val="auto"/>
        <w:outlineLvl w:val="9"/>
        <w:rPr>
          <w:rFonts w:hint="eastAsia" w:ascii="宋体" w:hAnsi="宋体" w:eastAsia="宋体" w:cs="宋体"/>
          <w:szCs w:val="21"/>
        </w:rPr>
      </w:pPr>
      <w:r>
        <w:rPr>
          <w:rFonts w:hint="eastAsia" w:ascii="宋体" w:hAnsi="宋体" w:eastAsia="宋体" w:cs="宋体"/>
          <w:szCs w:val="21"/>
        </w:rPr>
        <w:t>本标准由深圳市住房和建设局负责管理，深圳千典建筑结构设计事务所有限公司负责具体技术内容的解释。</w:t>
      </w:r>
      <w:r>
        <w:rPr>
          <w:rFonts w:hint="eastAsia" w:ascii="宋体" w:hAnsi="宋体" w:eastAsia="宋体" w:cs="宋体"/>
          <w:szCs w:val="21"/>
          <w:lang w:eastAsia="zh-CN"/>
        </w:rPr>
        <w:t>执行过程中如有意见和建议</w:t>
      </w:r>
      <w:r>
        <w:rPr>
          <w:rFonts w:hint="eastAsia" w:ascii="宋体" w:hAnsi="宋体" w:eastAsia="宋体" w:cs="宋体"/>
          <w:szCs w:val="21"/>
        </w:rPr>
        <w:t>，</w:t>
      </w:r>
      <w:r>
        <w:rPr>
          <w:rFonts w:hint="eastAsia" w:ascii="宋体" w:hAnsi="宋体" w:eastAsia="宋体" w:cs="宋体"/>
          <w:szCs w:val="21"/>
          <w:lang w:eastAsia="zh-CN"/>
        </w:rPr>
        <w:t>请</w:t>
      </w:r>
      <w:r>
        <w:rPr>
          <w:rFonts w:hint="eastAsia" w:ascii="宋体" w:hAnsi="宋体" w:eastAsia="宋体" w:cs="宋体"/>
          <w:szCs w:val="21"/>
        </w:rPr>
        <w:t>寄送深圳千典建筑结构设计事务所有限公司（深圳市南山区粤海街道高新区南区科技南十二路18号长虹科技大厦2101，邮编：518057，Email：classicaldesign@classicaidesign.cn）。</w:t>
      </w:r>
      <w:bookmarkStart w:id="157" w:name="_GoBack"/>
      <w:bookmarkEnd w:id="157"/>
    </w:p>
    <w:p>
      <w:pPr>
        <w:snapToGrid w:val="0"/>
        <w:spacing w:before="240" w:beforeLines="100" w:line="360" w:lineRule="auto"/>
        <w:ind w:firstLine="420" w:firstLineChars="200"/>
        <w:rPr>
          <w:rFonts w:hint="eastAsia" w:ascii="宋体" w:hAnsi="宋体" w:eastAsia="宋体" w:cs="宋体"/>
          <w:szCs w:val="21"/>
          <w:lang w:eastAsia="zh-CN"/>
        </w:rPr>
      </w:pPr>
    </w:p>
    <w:p>
      <w:pPr>
        <w:snapToGrid w:val="0"/>
        <w:spacing w:line="360" w:lineRule="auto"/>
        <w:ind w:firstLine="480"/>
        <w:rPr>
          <w:szCs w:val="21"/>
        </w:rPr>
      </w:pPr>
      <w:r>
        <w:rPr>
          <w:rFonts w:hint="eastAsia"/>
          <w:szCs w:val="21"/>
        </w:rPr>
        <w:t>本标准</w:t>
      </w:r>
      <w:r>
        <w:rPr>
          <w:szCs w:val="21"/>
        </w:rPr>
        <w:t>主编单位：</w:t>
      </w:r>
      <w:r>
        <w:rPr>
          <w:rFonts w:hint="eastAsia"/>
          <w:szCs w:val="21"/>
        </w:rPr>
        <w:t>深圳千典建筑结构设计事务所有限公司</w:t>
      </w:r>
    </w:p>
    <w:p>
      <w:pPr>
        <w:snapToGrid w:val="0"/>
        <w:spacing w:line="360" w:lineRule="auto"/>
        <w:ind w:firstLine="480"/>
        <w:rPr>
          <w:szCs w:val="21"/>
        </w:rPr>
      </w:pPr>
      <w:r>
        <w:rPr>
          <w:rFonts w:hint="eastAsia"/>
          <w:szCs w:val="21"/>
        </w:rPr>
        <w:t xml:space="preserve"> </w:t>
      </w:r>
      <w:r>
        <w:rPr>
          <w:szCs w:val="21"/>
        </w:rPr>
        <w:t xml:space="preserve">               </w:t>
      </w:r>
      <w:r>
        <w:rPr>
          <w:rFonts w:hint="eastAsia"/>
          <w:szCs w:val="21"/>
        </w:rPr>
        <w:t>深圳地铁置业集团有限公司</w:t>
      </w:r>
    </w:p>
    <w:p>
      <w:pPr>
        <w:spacing w:line="400" w:lineRule="exact"/>
        <w:ind w:firstLine="420" w:firstLineChars="200"/>
        <w:rPr>
          <w:szCs w:val="21"/>
        </w:rPr>
      </w:pPr>
      <w:r>
        <w:rPr>
          <w:rFonts w:hint="eastAsia"/>
          <w:szCs w:val="21"/>
        </w:rPr>
        <w:t xml:space="preserve">本标准参编单位：  </w:t>
      </w:r>
    </w:p>
    <w:p>
      <w:pPr>
        <w:spacing w:line="400" w:lineRule="exact"/>
        <w:ind w:firstLine="1680" w:firstLineChars="800"/>
        <w:rPr>
          <w:szCs w:val="21"/>
        </w:rPr>
      </w:pPr>
    </w:p>
    <w:p>
      <w:pPr>
        <w:spacing w:line="400" w:lineRule="exact"/>
        <w:ind w:firstLine="480"/>
        <w:rPr>
          <w:szCs w:val="21"/>
        </w:rPr>
      </w:pPr>
      <w:r>
        <w:rPr>
          <w:rFonts w:hint="eastAsia"/>
          <w:szCs w:val="21"/>
        </w:rPr>
        <w:t xml:space="preserve">本标准主要起草人： </w:t>
      </w:r>
    </w:p>
    <w:p>
      <w:pPr>
        <w:spacing w:line="400" w:lineRule="exact"/>
        <w:ind w:firstLine="480"/>
        <w:rPr>
          <w:szCs w:val="21"/>
        </w:rPr>
      </w:pPr>
      <w:r>
        <w:rPr>
          <w:rFonts w:hint="eastAsia"/>
          <w:szCs w:val="21"/>
        </w:rPr>
        <w:t xml:space="preserve">本标准主要审查人： </w:t>
      </w:r>
    </w:p>
    <w:p>
      <w:pPr>
        <w:spacing w:line="400" w:lineRule="exact"/>
        <w:ind w:firstLine="480"/>
        <w:rPr>
          <w:sz w:val="24"/>
        </w:rPr>
      </w:pPr>
    </w:p>
    <w:p>
      <w:pPr>
        <w:ind w:firstLine="480"/>
      </w:pPr>
    </w:p>
    <w:p>
      <w:pPr>
        <w:ind w:firstLine="480"/>
      </w:pPr>
    </w:p>
    <w:p>
      <w:pPr>
        <w:ind w:firstLine="480"/>
      </w:pPr>
    </w:p>
    <w:p>
      <w:pPr>
        <w:ind w:firstLine="480"/>
      </w:pPr>
    </w:p>
    <w:p>
      <w:pPr>
        <w:ind w:firstLine="480"/>
      </w:pPr>
    </w:p>
    <w:p>
      <w:pPr>
        <w:ind w:firstLine="480"/>
      </w:pPr>
    </w:p>
    <w:p>
      <w:pPr>
        <w:ind w:firstLine="480"/>
      </w:pPr>
    </w:p>
    <w:p>
      <w:pPr>
        <w:ind w:firstLine="480"/>
      </w:pPr>
    </w:p>
    <w:p>
      <w:pPr>
        <w:ind w:firstLine="480"/>
      </w:pPr>
    </w:p>
    <w:p>
      <w:pPr>
        <w:ind w:firstLine="480"/>
      </w:pPr>
    </w:p>
    <w:p>
      <w:pPr>
        <w:ind w:firstLine="480"/>
      </w:pPr>
    </w:p>
    <w:p>
      <w:pPr>
        <w:ind w:firstLine="480"/>
      </w:pPr>
    </w:p>
    <w:p>
      <w:pPr>
        <w:ind w:firstLine="480"/>
      </w:pPr>
    </w:p>
    <w:p>
      <w:pPr>
        <w:ind w:firstLine="480"/>
      </w:pPr>
    </w:p>
    <w:p>
      <w:pPr>
        <w:ind w:firstLine="480"/>
      </w:pPr>
    </w:p>
    <w:p>
      <w:pPr>
        <w:ind w:firstLine="480"/>
      </w:pPr>
    </w:p>
    <w:p>
      <w:pPr>
        <w:ind w:firstLine="480"/>
      </w:pPr>
    </w:p>
    <w:p>
      <w:pPr>
        <w:ind w:firstLine="480"/>
      </w:pPr>
    </w:p>
    <w:p>
      <w:pPr>
        <w:ind w:firstLine="480"/>
      </w:pPr>
    </w:p>
    <w:p>
      <w:pPr>
        <w:ind w:firstLine="480"/>
      </w:pPr>
    </w:p>
    <w:p>
      <w:pPr>
        <w:ind w:firstLine="480"/>
      </w:pPr>
    </w:p>
    <w:p>
      <w:pPr>
        <w:pStyle w:val="77"/>
        <w:jc w:val="center"/>
        <w:rPr>
          <w:rFonts w:ascii="黑体" w:hAnsi="黑体" w:eastAsia="黑体"/>
          <w:b/>
          <w:bCs/>
          <w:color w:val="auto"/>
          <w:sz w:val="28"/>
          <w:szCs w:val="28"/>
        </w:rPr>
      </w:pPr>
      <w:r>
        <w:rPr>
          <w:rFonts w:ascii="黑体" w:hAnsi="黑体" w:eastAsia="黑体"/>
          <w:b/>
          <w:bCs/>
          <w:color w:val="auto"/>
          <w:sz w:val="28"/>
          <w:szCs w:val="28"/>
          <w:lang w:val="zh-CN"/>
        </w:rPr>
        <w:t>目</w:t>
      </w:r>
      <w:r>
        <w:rPr>
          <w:rFonts w:hint="eastAsia" w:ascii="黑体" w:hAnsi="黑体" w:eastAsia="黑体"/>
          <w:b/>
          <w:bCs/>
          <w:color w:val="auto"/>
          <w:sz w:val="28"/>
          <w:szCs w:val="28"/>
          <w:lang w:val="zh-CN"/>
        </w:rPr>
        <w:t xml:space="preserve"> </w:t>
      </w:r>
      <w:r>
        <w:rPr>
          <w:rFonts w:ascii="黑体" w:hAnsi="黑体" w:eastAsia="黑体"/>
          <w:b/>
          <w:bCs/>
          <w:color w:val="auto"/>
          <w:sz w:val="28"/>
          <w:szCs w:val="28"/>
          <w:lang w:val="zh-CN"/>
        </w:rPr>
        <w:t xml:space="preserve"> </w:t>
      </w:r>
      <w:r>
        <w:rPr>
          <w:rFonts w:hint="eastAsia" w:ascii="黑体" w:hAnsi="黑体" w:eastAsia="黑体"/>
          <w:b/>
          <w:bCs/>
          <w:color w:val="auto"/>
          <w:sz w:val="28"/>
          <w:szCs w:val="28"/>
          <w:lang w:val="zh-CN"/>
        </w:rPr>
        <w:t>次</w:t>
      </w:r>
    </w:p>
    <w:p>
      <w:pPr>
        <w:pStyle w:val="23"/>
        <w:rPr>
          <w:rFonts w:asciiTheme="minorHAnsi" w:hAnsiTheme="minorHAnsi" w:eastAsiaTheme="minorEastAsia" w:cstheme="minorBidi"/>
          <w:b w:val="0"/>
          <w:bCs w:val="0"/>
          <w:caps w:val="0"/>
          <w:sz w:val="21"/>
          <w:szCs w:val="22"/>
        </w:rPr>
      </w:pPr>
      <w:r>
        <w:fldChar w:fldCharType="begin"/>
      </w:r>
      <w:r>
        <w:instrText xml:space="preserve"> TOC \o "1-3" \h \z \u </w:instrText>
      </w:r>
      <w:r>
        <w:fldChar w:fldCharType="separate"/>
      </w:r>
      <w:r>
        <w:fldChar w:fldCharType="begin"/>
      </w:r>
      <w:r>
        <w:instrText xml:space="preserve"> HYPERLINK \l "_Toc90922366" </w:instrText>
      </w:r>
      <w:r>
        <w:fldChar w:fldCharType="separate"/>
      </w:r>
      <w:r>
        <w:rPr>
          <w:rStyle w:val="35"/>
          <w:rFonts w:hAnsi="Times New Roman"/>
        </w:rPr>
        <w:t>1  总 则</w:t>
      </w:r>
      <w:r>
        <w:tab/>
      </w:r>
      <w:r>
        <w:fldChar w:fldCharType="begin"/>
      </w:r>
      <w:r>
        <w:instrText xml:space="preserve"> PAGEREF _Toc90922366 \h </w:instrText>
      </w:r>
      <w:r>
        <w:fldChar w:fldCharType="separate"/>
      </w:r>
      <w:r>
        <w:t>1</w:t>
      </w:r>
      <w:r>
        <w:fldChar w:fldCharType="end"/>
      </w:r>
      <w:r>
        <w:fldChar w:fldCharType="end"/>
      </w:r>
    </w:p>
    <w:p>
      <w:pPr>
        <w:pStyle w:val="23"/>
        <w:rPr>
          <w:rFonts w:asciiTheme="minorHAnsi" w:hAnsiTheme="minorHAnsi" w:eastAsiaTheme="minorEastAsia" w:cstheme="minorBidi"/>
          <w:b w:val="0"/>
          <w:bCs w:val="0"/>
          <w:caps w:val="0"/>
          <w:sz w:val="21"/>
          <w:szCs w:val="22"/>
        </w:rPr>
      </w:pPr>
      <w:r>
        <w:fldChar w:fldCharType="begin"/>
      </w:r>
      <w:r>
        <w:instrText xml:space="preserve"> HYPERLINK \l "_Toc90922367" </w:instrText>
      </w:r>
      <w:r>
        <w:fldChar w:fldCharType="separate"/>
      </w:r>
      <w:r>
        <w:rPr>
          <w:rStyle w:val="35"/>
          <w:rFonts w:hAnsi="Times New Roman"/>
        </w:rPr>
        <w:t>2  术语与符号</w:t>
      </w:r>
      <w:r>
        <w:tab/>
      </w:r>
      <w:r>
        <w:fldChar w:fldCharType="begin"/>
      </w:r>
      <w:r>
        <w:instrText xml:space="preserve"> PAGEREF _Toc90922367 \h </w:instrText>
      </w:r>
      <w:r>
        <w:fldChar w:fldCharType="separate"/>
      </w:r>
      <w:r>
        <w:t>2</w:t>
      </w:r>
      <w:r>
        <w:fldChar w:fldCharType="end"/>
      </w:r>
      <w:r>
        <w:fldChar w:fldCharType="end"/>
      </w:r>
    </w:p>
    <w:p>
      <w:pPr>
        <w:pStyle w:val="27"/>
        <w:tabs>
          <w:tab w:val="right" w:leader="dot" w:pos="9402"/>
        </w:tabs>
        <w:rPr>
          <w:rFonts w:asciiTheme="minorHAnsi" w:hAnsiTheme="minorHAnsi" w:eastAsiaTheme="minorEastAsia" w:cstheme="minorBidi"/>
          <w:smallCaps w:val="0"/>
          <w:szCs w:val="22"/>
        </w:rPr>
      </w:pPr>
      <w:r>
        <w:fldChar w:fldCharType="begin"/>
      </w:r>
      <w:r>
        <w:instrText xml:space="preserve"> HYPERLINK \l "_Toc90922368" </w:instrText>
      </w:r>
      <w:r>
        <w:fldChar w:fldCharType="separate"/>
      </w:r>
      <w:r>
        <w:rPr>
          <w:rStyle w:val="35"/>
        </w:rPr>
        <w:t>2.1  术 语</w:t>
      </w:r>
      <w:r>
        <w:tab/>
      </w:r>
      <w:r>
        <w:fldChar w:fldCharType="begin"/>
      </w:r>
      <w:r>
        <w:instrText xml:space="preserve"> PAGEREF _Toc90922368 \h </w:instrText>
      </w:r>
      <w:r>
        <w:fldChar w:fldCharType="separate"/>
      </w:r>
      <w:r>
        <w:t>2</w:t>
      </w:r>
      <w:r>
        <w:fldChar w:fldCharType="end"/>
      </w:r>
      <w:r>
        <w:fldChar w:fldCharType="end"/>
      </w:r>
    </w:p>
    <w:p>
      <w:pPr>
        <w:pStyle w:val="27"/>
        <w:tabs>
          <w:tab w:val="right" w:leader="dot" w:pos="9402"/>
        </w:tabs>
        <w:rPr>
          <w:rFonts w:asciiTheme="minorHAnsi" w:hAnsiTheme="minorHAnsi" w:eastAsiaTheme="minorEastAsia" w:cstheme="minorBidi"/>
          <w:smallCaps w:val="0"/>
          <w:szCs w:val="22"/>
        </w:rPr>
      </w:pPr>
      <w:r>
        <w:fldChar w:fldCharType="begin"/>
      </w:r>
      <w:r>
        <w:instrText xml:space="preserve"> HYPERLINK \l "_Toc90922369" </w:instrText>
      </w:r>
      <w:r>
        <w:fldChar w:fldCharType="separate"/>
      </w:r>
      <w:r>
        <w:rPr>
          <w:rStyle w:val="35"/>
        </w:rPr>
        <w:t>2.2  符 号</w:t>
      </w:r>
      <w:r>
        <w:tab/>
      </w:r>
      <w:r>
        <w:fldChar w:fldCharType="begin"/>
      </w:r>
      <w:r>
        <w:instrText xml:space="preserve"> PAGEREF _Toc90922369 \h </w:instrText>
      </w:r>
      <w:r>
        <w:fldChar w:fldCharType="separate"/>
      </w:r>
      <w:r>
        <w:t>3</w:t>
      </w:r>
      <w:r>
        <w:fldChar w:fldCharType="end"/>
      </w:r>
      <w:r>
        <w:fldChar w:fldCharType="end"/>
      </w:r>
    </w:p>
    <w:p>
      <w:pPr>
        <w:pStyle w:val="23"/>
        <w:rPr>
          <w:rFonts w:asciiTheme="minorHAnsi" w:hAnsiTheme="minorHAnsi" w:eastAsiaTheme="minorEastAsia" w:cstheme="minorBidi"/>
          <w:b w:val="0"/>
          <w:bCs w:val="0"/>
          <w:caps w:val="0"/>
          <w:sz w:val="21"/>
          <w:szCs w:val="22"/>
        </w:rPr>
      </w:pPr>
      <w:r>
        <w:fldChar w:fldCharType="begin"/>
      </w:r>
      <w:r>
        <w:instrText xml:space="preserve"> HYPERLINK \l "_Toc90922370" </w:instrText>
      </w:r>
      <w:r>
        <w:fldChar w:fldCharType="separate"/>
      </w:r>
      <w:r>
        <w:rPr>
          <w:rStyle w:val="35"/>
          <w:rFonts w:hAnsi="Times New Roman"/>
        </w:rPr>
        <w:t>3  基本规定</w:t>
      </w:r>
      <w:r>
        <w:tab/>
      </w:r>
      <w:r>
        <w:fldChar w:fldCharType="begin"/>
      </w:r>
      <w:r>
        <w:instrText xml:space="preserve"> PAGEREF _Toc90922370 \h </w:instrText>
      </w:r>
      <w:r>
        <w:fldChar w:fldCharType="separate"/>
      </w:r>
      <w:r>
        <w:t>6</w:t>
      </w:r>
      <w:r>
        <w:fldChar w:fldCharType="end"/>
      </w:r>
      <w:r>
        <w:fldChar w:fldCharType="end"/>
      </w:r>
    </w:p>
    <w:p>
      <w:pPr>
        <w:pStyle w:val="23"/>
        <w:rPr>
          <w:rFonts w:asciiTheme="minorHAnsi" w:hAnsiTheme="minorHAnsi" w:eastAsiaTheme="minorEastAsia" w:cstheme="minorBidi"/>
          <w:b w:val="0"/>
          <w:bCs w:val="0"/>
          <w:caps w:val="0"/>
          <w:sz w:val="21"/>
          <w:szCs w:val="22"/>
        </w:rPr>
      </w:pPr>
      <w:r>
        <w:fldChar w:fldCharType="begin"/>
      </w:r>
      <w:r>
        <w:instrText xml:space="preserve"> HYPERLINK \l "_Toc90922371" </w:instrText>
      </w:r>
      <w:r>
        <w:fldChar w:fldCharType="separate"/>
      </w:r>
      <w:r>
        <w:rPr>
          <w:rStyle w:val="35"/>
        </w:rPr>
        <w:t>4  结构设计基本规定</w:t>
      </w:r>
      <w:r>
        <w:tab/>
      </w:r>
      <w:r>
        <w:fldChar w:fldCharType="begin"/>
      </w:r>
      <w:r>
        <w:instrText xml:space="preserve"> PAGEREF _Toc90922371 \h </w:instrText>
      </w:r>
      <w:r>
        <w:fldChar w:fldCharType="separate"/>
      </w:r>
      <w:r>
        <w:t>9</w:t>
      </w:r>
      <w:r>
        <w:fldChar w:fldCharType="end"/>
      </w:r>
      <w:r>
        <w:fldChar w:fldCharType="end"/>
      </w:r>
    </w:p>
    <w:p>
      <w:pPr>
        <w:pStyle w:val="27"/>
        <w:tabs>
          <w:tab w:val="right" w:leader="dot" w:pos="9402"/>
        </w:tabs>
        <w:rPr>
          <w:rFonts w:asciiTheme="minorHAnsi" w:hAnsiTheme="minorHAnsi" w:eastAsiaTheme="minorEastAsia" w:cstheme="minorBidi"/>
          <w:smallCaps w:val="0"/>
          <w:szCs w:val="22"/>
        </w:rPr>
      </w:pPr>
      <w:r>
        <w:fldChar w:fldCharType="begin"/>
      </w:r>
      <w:r>
        <w:instrText xml:space="preserve"> HYPERLINK \l "_Toc90922372" </w:instrText>
      </w:r>
      <w:r>
        <w:fldChar w:fldCharType="separate"/>
      </w:r>
      <w:r>
        <w:rPr>
          <w:rStyle w:val="35"/>
        </w:rPr>
        <w:t>4.1  一般规定</w:t>
      </w:r>
      <w:r>
        <w:tab/>
      </w:r>
      <w:r>
        <w:fldChar w:fldCharType="begin"/>
      </w:r>
      <w:r>
        <w:instrText xml:space="preserve"> PAGEREF _Toc90922372 \h </w:instrText>
      </w:r>
      <w:r>
        <w:fldChar w:fldCharType="separate"/>
      </w:r>
      <w:r>
        <w:t>9</w:t>
      </w:r>
      <w:r>
        <w:fldChar w:fldCharType="end"/>
      </w:r>
      <w:r>
        <w:fldChar w:fldCharType="end"/>
      </w:r>
    </w:p>
    <w:p>
      <w:pPr>
        <w:pStyle w:val="27"/>
        <w:tabs>
          <w:tab w:val="right" w:leader="dot" w:pos="9402"/>
        </w:tabs>
        <w:rPr>
          <w:rFonts w:asciiTheme="minorHAnsi" w:hAnsiTheme="minorHAnsi" w:eastAsiaTheme="minorEastAsia" w:cstheme="minorBidi"/>
          <w:smallCaps w:val="0"/>
          <w:szCs w:val="22"/>
        </w:rPr>
      </w:pPr>
      <w:r>
        <w:fldChar w:fldCharType="begin"/>
      </w:r>
      <w:r>
        <w:instrText xml:space="preserve"> HYPERLINK \l "_Toc90922373" </w:instrText>
      </w:r>
      <w:r>
        <w:fldChar w:fldCharType="separate"/>
      </w:r>
      <w:r>
        <w:rPr>
          <w:rStyle w:val="35"/>
        </w:rPr>
        <w:t>4.2  结构布置</w:t>
      </w:r>
      <w:r>
        <w:tab/>
      </w:r>
      <w:r>
        <w:fldChar w:fldCharType="begin"/>
      </w:r>
      <w:r>
        <w:instrText xml:space="preserve"> PAGEREF _Toc90922373 \h </w:instrText>
      </w:r>
      <w:r>
        <w:fldChar w:fldCharType="separate"/>
      </w:r>
      <w:r>
        <w:t>12</w:t>
      </w:r>
      <w:r>
        <w:fldChar w:fldCharType="end"/>
      </w:r>
      <w:r>
        <w:fldChar w:fldCharType="end"/>
      </w:r>
    </w:p>
    <w:p>
      <w:pPr>
        <w:pStyle w:val="27"/>
        <w:tabs>
          <w:tab w:val="right" w:leader="dot" w:pos="9402"/>
        </w:tabs>
        <w:rPr>
          <w:rFonts w:asciiTheme="minorHAnsi" w:hAnsiTheme="minorHAnsi" w:eastAsiaTheme="minorEastAsia" w:cstheme="minorBidi"/>
          <w:smallCaps w:val="0"/>
          <w:szCs w:val="22"/>
        </w:rPr>
      </w:pPr>
      <w:r>
        <w:fldChar w:fldCharType="begin"/>
      </w:r>
      <w:r>
        <w:instrText xml:space="preserve"> HYPERLINK \l "_Toc90922374" </w:instrText>
      </w:r>
      <w:r>
        <w:fldChar w:fldCharType="separate"/>
      </w:r>
      <w:r>
        <w:rPr>
          <w:rStyle w:val="35"/>
        </w:rPr>
        <w:t>4.3  荷载、作用和结构计算</w:t>
      </w:r>
      <w:r>
        <w:tab/>
      </w:r>
      <w:r>
        <w:fldChar w:fldCharType="begin"/>
      </w:r>
      <w:r>
        <w:instrText xml:space="preserve"> PAGEREF _Toc90922374 \h </w:instrText>
      </w:r>
      <w:r>
        <w:fldChar w:fldCharType="separate"/>
      </w:r>
      <w:r>
        <w:t>17</w:t>
      </w:r>
      <w:r>
        <w:fldChar w:fldCharType="end"/>
      </w:r>
      <w:r>
        <w:fldChar w:fldCharType="end"/>
      </w:r>
    </w:p>
    <w:p>
      <w:pPr>
        <w:pStyle w:val="23"/>
        <w:rPr>
          <w:rFonts w:asciiTheme="minorHAnsi" w:hAnsiTheme="minorHAnsi" w:eastAsiaTheme="minorEastAsia" w:cstheme="minorBidi"/>
          <w:b w:val="0"/>
          <w:bCs w:val="0"/>
          <w:caps w:val="0"/>
          <w:sz w:val="21"/>
          <w:szCs w:val="22"/>
        </w:rPr>
      </w:pPr>
      <w:r>
        <w:fldChar w:fldCharType="begin"/>
      </w:r>
      <w:r>
        <w:instrText xml:space="preserve"> HYPERLINK \l "_Toc90922375" </w:instrText>
      </w:r>
      <w:r>
        <w:fldChar w:fldCharType="separate"/>
      </w:r>
      <w:r>
        <w:rPr>
          <w:rStyle w:val="35"/>
          <w:rFonts w:hAnsi="Times New Roman"/>
        </w:rPr>
        <w:t xml:space="preserve">5  </w:t>
      </w:r>
      <w:r>
        <w:rPr>
          <w:rStyle w:val="35"/>
        </w:rPr>
        <w:t>全框支厚板转换结构</w:t>
      </w:r>
      <w:r>
        <w:tab/>
      </w:r>
      <w:r>
        <w:fldChar w:fldCharType="begin"/>
      </w:r>
      <w:r>
        <w:instrText xml:space="preserve"> PAGEREF _Toc90922375 \h </w:instrText>
      </w:r>
      <w:r>
        <w:fldChar w:fldCharType="separate"/>
      </w:r>
      <w:r>
        <w:t>22</w:t>
      </w:r>
      <w:r>
        <w:fldChar w:fldCharType="end"/>
      </w:r>
      <w:r>
        <w:fldChar w:fldCharType="end"/>
      </w:r>
    </w:p>
    <w:p>
      <w:pPr>
        <w:pStyle w:val="27"/>
        <w:tabs>
          <w:tab w:val="right" w:leader="dot" w:pos="9402"/>
        </w:tabs>
        <w:rPr>
          <w:rFonts w:asciiTheme="minorHAnsi" w:hAnsiTheme="minorHAnsi" w:eastAsiaTheme="minorEastAsia" w:cstheme="minorBidi"/>
          <w:smallCaps w:val="0"/>
          <w:szCs w:val="22"/>
        </w:rPr>
      </w:pPr>
      <w:r>
        <w:fldChar w:fldCharType="begin"/>
      </w:r>
      <w:r>
        <w:instrText xml:space="preserve"> HYPERLINK \l "_Toc90922376" </w:instrText>
      </w:r>
      <w:r>
        <w:fldChar w:fldCharType="separate"/>
      </w:r>
      <w:r>
        <w:rPr>
          <w:rStyle w:val="35"/>
        </w:rPr>
        <w:t>5.1  一般规定</w:t>
      </w:r>
      <w:r>
        <w:tab/>
      </w:r>
      <w:r>
        <w:fldChar w:fldCharType="begin"/>
      </w:r>
      <w:r>
        <w:instrText xml:space="preserve"> PAGEREF _Toc90922376 \h </w:instrText>
      </w:r>
      <w:r>
        <w:fldChar w:fldCharType="separate"/>
      </w:r>
      <w:r>
        <w:t>22</w:t>
      </w:r>
      <w:r>
        <w:fldChar w:fldCharType="end"/>
      </w:r>
      <w:r>
        <w:fldChar w:fldCharType="end"/>
      </w:r>
    </w:p>
    <w:p>
      <w:pPr>
        <w:pStyle w:val="27"/>
        <w:tabs>
          <w:tab w:val="right" w:leader="dot" w:pos="9402"/>
        </w:tabs>
        <w:rPr>
          <w:rFonts w:asciiTheme="minorHAnsi" w:hAnsiTheme="minorHAnsi" w:eastAsiaTheme="minorEastAsia" w:cstheme="minorBidi"/>
          <w:smallCaps w:val="0"/>
          <w:szCs w:val="22"/>
        </w:rPr>
      </w:pPr>
      <w:r>
        <w:fldChar w:fldCharType="begin"/>
      </w:r>
      <w:r>
        <w:instrText xml:space="preserve"> HYPERLINK \l "_Toc90922377" </w:instrText>
      </w:r>
      <w:r>
        <w:fldChar w:fldCharType="separate"/>
      </w:r>
      <w:r>
        <w:rPr>
          <w:rStyle w:val="35"/>
        </w:rPr>
        <w:t>5.2  截面设计及构造</w:t>
      </w:r>
      <w:r>
        <w:tab/>
      </w:r>
      <w:r>
        <w:fldChar w:fldCharType="begin"/>
      </w:r>
      <w:r>
        <w:instrText xml:space="preserve"> PAGEREF _Toc90922377 \h </w:instrText>
      </w:r>
      <w:r>
        <w:fldChar w:fldCharType="separate"/>
      </w:r>
      <w:r>
        <w:t>22</w:t>
      </w:r>
      <w:r>
        <w:fldChar w:fldCharType="end"/>
      </w:r>
      <w:r>
        <w:fldChar w:fldCharType="end"/>
      </w:r>
    </w:p>
    <w:p>
      <w:pPr>
        <w:pStyle w:val="23"/>
        <w:rPr>
          <w:rFonts w:asciiTheme="minorHAnsi" w:hAnsiTheme="minorHAnsi" w:eastAsiaTheme="minorEastAsia" w:cstheme="minorBidi"/>
          <w:b w:val="0"/>
          <w:bCs w:val="0"/>
          <w:caps w:val="0"/>
          <w:sz w:val="21"/>
          <w:szCs w:val="22"/>
        </w:rPr>
      </w:pPr>
      <w:r>
        <w:fldChar w:fldCharType="begin"/>
      </w:r>
      <w:r>
        <w:instrText xml:space="preserve"> HYPERLINK \l "_Toc90922378" </w:instrText>
      </w:r>
      <w:r>
        <w:fldChar w:fldCharType="separate"/>
      </w:r>
      <w:r>
        <w:rPr>
          <w:rStyle w:val="35"/>
          <w:rFonts w:hAnsi="Times New Roman"/>
        </w:rPr>
        <w:t>6  车辆基地上盖</w:t>
      </w:r>
      <w:r>
        <w:rPr>
          <w:rStyle w:val="35"/>
        </w:rPr>
        <w:t>隔震设计</w:t>
      </w:r>
      <w:r>
        <w:tab/>
      </w:r>
      <w:r>
        <w:fldChar w:fldCharType="begin"/>
      </w:r>
      <w:r>
        <w:instrText xml:space="preserve"> PAGEREF _Toc90922378 \h </w:instrText>
      </w:r>
      <w:r>
        <w:fldChar w:fldCharType="separate"/>
      </w:r>
      <w:r>
        <w:t>29</w:t>
      </w:r>
      <w:r>
        <w:fldChar w:fldCharType="end"/>
      </w:r>
      <w:r>
        <w:fldChar w:fldCharType="end"/>
      </w:r>
    </w:p>
    <w:p>
      <w:pPr>
        <w:pStyle w:val="27"/>
        <w:tabs>
          <w:tab w:val="right" w:leader="dot" w:pos="9402"/>
        </w:tabs>
        <w:rPr>
          <w:rFonts w:asciiTheme="minorHAnsi" w:hAnsiTheme="minorHAnsi" w:eastAsiaTheme="minorEastAsia" w:cstheme="minorBidi"/>
          <w:smallCaps w:val="0"/>
          <w:szCs w:val="22"/>
        </w:rPr>
      </w:pPr>
      <w:r>
        <w:fldChar w:fldCharType="begin"/>
      </w:r>
      <w:r>
        <w:instrText xml:space="preserve"> HYPERLINK \l "_Toc90922379" </w:instrText>
      </w:r>
      <w:r>
        <w:fldChar w:fldCharType="separate"/>
      </w:r>
      <w:r>
        <w:rPr>
          <w:rStyle w:val="35"/>
        </w:rPr>
        <w:t>6.1 一般规定</w:t>
      </w:r>
      <w:r>
        <w:tab/>
      </w:r>
      <w:r>
        <w:fldChar w:fldCharType="begin"/>
      </w:r>
      <w:r>
        <w:instrText xml:space="preserve"> PAGEREF _Toc90922379 \h </w:instrText>
      </w:r>
      <w:r>
        <w:fldChar w:fldCharType="separate"/>
      </w:r>
      <w:r>
        <w:t>29</w:t>
      </w:r>
      <w:r>
        <w:fldChar w:fldCharType="end"/>
      </w:r>
      <w:r>
        <w:fldChar w:fldCharType="end"/>
      </w:r>
    </w:p>
    <w:p>
      <w:pPr>
        <w:pStyle w:val="27"/>
        <w:tabs>
          <w:tab w:val="right" w:leader="dot" w:pos="9402"/>
        </w:tabs>
        <w:rPr>
          <w:rFonts w:asciiTheme="minorHAnsi" w:hAnsiTheme="minorHAnsi" w:eastAsiaTheme="minorEastAsia" w:cstheme="minorBidi"/>
          <w:smallCaps w:val="0"/>
          <w:szCs w:val="22"/>
        </w:rPr>
      </w:pPr>
      <w:r>
        <w:fldChar w:fldCharType="begin"/>
      </w:r>
      <w:r>
        <w:instrText xml:space="preserve"> HYPERLINK \l "_Toc90922380" </w:instrText>
      </w:r>
      <w:r>
        <w:fldChar w:fldCharType="separate"/>
      </w:r>
      <w:r>
        <w:rPr>
          <w:rStyle w:val="35"/>
        </w:rPr>
        <w:t>6.2 隔震结构设计</w:t>
      </w:r>
      <w:r>
        <w:tab/>
      </w:r>
      <w:r>
        <w:fldChar w:fldCharType="begin"/>
      </w:r>
      <w:r>
        <w:instrText xml:space="preserve"> PAGEREF _Toc90922380 \h </w:instrText>
      </w:r>
      <w:r>
        <w:fldChar w:fldCharType="separate"/>
      </w:r>
      <w:r>
        <w:t>30</w:t>
      </w:r>
      <w:r>
        <w:fldChar w:fldCharType="end"/>
      </w:r>
      <w:r>
        <w:fldChar w:fldCharType="end"/>
      </w:r>
    </w:p>
    <w:p>
      <w:pPr>
        <w:pStyle w:val="27"/>
        <w:tabs>
          <w:tab w:val="right" w:leader="dot" w:pos="9402"/>
        </w:tabs>
        <w:rPr>
          <w:rFonts w:asciiTheme="minorHAnsi" w:hAnsiTheme="minorHAnsi" w:eastAsiaTheme="minorEastAsia" w:cstheme="minorBidi"/>
          <w:smallCaps w:val="0"/>
          <w:szCs w:val="22"/>
        </w:rPr>
      </w:pPr>
      <w:r>
        <w:fldChar w:fldCharType="begin"/>
      </w:r>
      <w:r>
        <w:instrText xml:space="preserve"> HYPERLINK \l "_Toc90922381" </w:instrText>
      </w:r>
      <w:r>
        <w:fldChar w:fldCharType="separate"/>
      </w:r>
      <w:r>
        <w:rPr>
          <w:rStyle w:val="35"/>
        </w:rPr>
        <w:t>6.3 隔震装置</w:t>
      </w:r>
      <w:r>
        <w:tab/>
      </w:r>
      <w:r>
        <w:fldChar w:fldCharType="begin"/>
      </w:r>
      <w:r>
        <w:instrText xml:space="preserve"> PAGEREF _Toc90922381 \h </w:instrText>
      </w:r>
      <w:r>
        <w:fldChar w:fldCharType="separate"/>
      </w:r>
      <w:r>
        <w:t>31</w:t>
      </w:r>
      <w:r>
        <w:fldChar w:fldCharType="end"/>
      </w:r>
      <w:r>
        <w:fldChar w:fldCharType="end"/>
      </w:r>
    </w:p>
    <w:p>
      <w:pPr>
        <w:pStyle w:val="23"/>
        <w:rPr>
          <w:rFonts w:asciiTheme="minorHAnsi" w:hAnsiTheme="minorHAnsi" w:eastAsiaTheme="minorEastAsia" w:cstheme="minorBidi"/>
          <w:b w:val="0"/>
          <w:bCs w:val="0"/>
          <w:caps w:val="0"/>
          <w:sz w:val="21"/>
          <w:szCs w:val="22"/>
        </w:rPr>
      </w:pPr>
      <w:r>
        <w:fldChar w:fldCharType="begin"/>
      </w:r>
      <w:r>
        <w:instrText xml:space="preserve"> HYPERLINK \l "_Toc90922382" </w:instrText>
      </w:r>
      <w:r>
        <w:fldChar w:fldCharType="separate"/>
      </w:r>
      <w:r>
        <w:rPr>
          <w:rStyle w:val="35"/>
          <w:rFonts w:hAnsi="Times New Roman"/>
        </w:rPr>
        <w:t xml:space="preserve">7  </w:t>
      </w:r>
      <w:r>
        <w:rPr>
          <w:rStyle w:val="35"/>
        </w:rPr>
        <w:t>基础设计</w:t>
      </w:r>
      <w:r>
        <w:tab/>
      </w:r>
      <w:r>
        <w:fldChar w:fldCharType="begin"/>
      </w:r>
      <w:r>
        <w:instrText xml:space="preserve"> PAGEREF _Toc90922382 \h </w:instrText>
      </w:r>
      <w:r>
        <w:fldChar w:fldCharType="separate"/>
      </w:r>
      <w:r>
        <w:t>33</w:t>
      </w:r>
      <w:r>
        <w:fldChar w:fldCharType="end"/>
      </w:r>
      <w:r>
        <w:fldChar w:fldCharType="end"/>
      </w:r>
    </w:p>
    <w:p>
      <w:pPr>
        <w:pStyle w:val="23"/>
        <w:rPr>
          <w:rFonts w:asciiTheme="minorHAnsi" w:hAnsiTheme="minorHAnsi" w:eastAsiaTheme="minorEastAsia" w:cstheme="minorBidi"/>
          <w:b w:val="0"/>
          <w:bCs w:val="0"/>
          <w:caps w:val="0"/>
          <w:sz w:val="21"/>
          <w:szCs w:val="22"/>
        </w:rPr>
      </w:pPr>
      <w:r>
        <w:fldChar w:fldCharType="begin"/>
      </w:r>
      <w:r>
        <w:instrText xml:space="preserve"> HYPERLINK \l "_Toc90922383" </w:instrText>
      </w:r>
      <w:r>
        <w:fldChar w:fldCharType="separate"/>
      </w:r>
      <w:r>
        <w:rPr>
          <w:rStyle w:val="35"/>
        </w:rPr>
        <w:t>8  预留要求</w:t>
      </w:r>
      <w:r>
        <w:tab/>
      </w:r>
      <w:r>
        <w:fldChar w:fldCharType="begin"/>
      </w:r>
      <w:r>
        <w:instrText xml:space="preserve"> PAGEREF _Toc90922383 \h </w:instrText>
      </w:r>
      <w:r>
        <w:fldChar w:fldCharType="separate"/>
      </w:r>
      <w:r>
        <w:t>38</w:t>
      </w:r>
      <w:r>
        <w:fldChar w:fldCharType="end"/>
      </w:r>
      <w:r>
        <w:fldChar w:fldCharType="end"/>
      </w:r>
    </w:p>
    <w:p>
      <w:pPr>
        <w:pStyle w:val="23"/>
        <w:rPr>
          <w:rFonts w:asciiTheme="minorHAnsi" w:hAnsiTheme="minorHAnsi" w:eastAsiaTheme="minorEastAsia" w:cstheme="minorBidi"/>
          <w:b w:val="0"/>
          <w:bCs w:val="0"/>
          <w:caps w:val="0"/>
          <w:sz w:val="21"/>
          <w:szCs w:val="22"/>
        </w:rPr>
      </w:pPr>
      <w:r>
        <w:fldChar w:fldCharType="begin"/>
      </w:r>
      <w:r>
        <w:instrText xml:space="preserve"> HYPERLINK \l "_Toc90922384" </w:instrText>
      </w:r>
      <w:r>
        <w:fldChar w:fldCharType="separate"/>
      </w:r>
      <w:r>
        <w:rPr>
          <w:rStyle w:val="35"/>
          <w:rFonts w:hAnsi="Times New Roman"/>
        </w:rPr>
        <w:t>附录A  性能设计</w:t>
      </w:r>
      <w:r>
        <w:tab/>
      </w:r>
      <w:r>
        <w:fldChar w:fldCharType="begin"/>
      </w:r>
      <w:r>
        <w:instrText xml:space="preserve"> PAGEREF _Toc90922384 \h </w:instrText>
      </w:r>
      <w:r>
        <w:fldChar w:fldCharType="separate"/>
      </w:r>
      <w:r>
        <w:t>41</w:t>
      </w:r>
      <w:r>
        <w:fldChar w:fldCharType="end"/>
      </w:r>
      <w:r>
        <w:fldChar w:fldCharType="end"/>
      </w:r>
    </w:p>
    <w:p>
      <w:pPr>
        <w:pStyle w:val="23"/>
        <w:rPr>
          <w:rFonts w:asciiTheme="minorHAnsi" w:hAnsiTheme="minorHAnsi" w:eastAsiaTheme="minorEastAsia" w:cstheme="minorBidi"/>
          <w:b w:val="0"/>
          <w:bCs w:val="0"/>
          <w:caps w:val="0"/>
          <w:sz w:val="21"/>
          <w:szCs w:val="22"/>
        </w:rPr>
      </w:pPr>
      <w:r>
        <w:fldChar w:fldCharType="begin"/>
      </w:r>
      <w:r>
        <w:instrText xml:space="preserve"> HYPERLINK \l "_Toc90922385" </w:instrText>
      </w:r>
      <w:r>
        <w:fldChar w:fldCharType="separate"/>
      </w:r>
      <w:r>
        <w:rPr>
          <w:rStyle w:val="35"/>
          <w:rFonts w:hAnsi="Times New Roman"/>
        </w:rPr>
        <w:t>本规范用词和用语说明</w:t>
      </w:r>
      <w:r>
        <w:tab/>
      </w:r>
      <w:r>
        <w:fldChar w:fldCharType="begin"/>
      </w:r>
      <w:r>
        <w:instrText xml:space="preserve"> PAGEREF _Toc90922385 \h </w:instrText>
      </w:r>
      <w:r>
        <w:fldChar w:fldCharType="separate"/>
      </w:r>
      <w:r>
        <w:t>45</w:t>
      </w:r>
      <w:r>
        <w:fldChar w:fldCharType="end"/>
      </w:r>
      <w:r>
        <w:fldChar w:fldCharType="end"/>
      </w:r>
    </w:p>
    <w:p>
      <w:pPr>
        <w:pStyle w:val="23"/>
        <w:rPr>
          <w:rFonts w:asciiTheme="minorHAnsi" w:hAnsiTheme="minorHAnsi" w:eastAsiaTheme="minorEastAsia" w:cstheme="minorBidi"/>
          <w:b w:val="0"/>
          <w:bCs w:val="0"/>
          <w:caps w:val="0"/>
          <w:sz w:val="21"/>
          <w:szCs w:val="22"/>
        </w:rPr>
      </w:pPr>
      <w:r>
        <w:fldChar w:fldCharType="begin"/>
      </w:r>
      <w:r>
        <w:instrText xml:space="preserve"> HYPERLINK \l "_Toc90922386" </w:instrText>
      </w:r>
      <w:r>
        <w:fldChar w:fldCharType="separate"/>
      </w:r>
      <w:r>
        <w:rPr>
          <w:rStyle w:val="35"/>
          <w:rFonts w:hAnsi="Times New Roman"/>
        </w:rPr>
        <w:t>引用标准名录</w:t>
      </w:r>
      <w:r>
        <w:tab/>
      </w:r>
      <w:r>
        <w:fldChar w:fldCharType="begin"/>
      </w:r>
      <w:r>
        <w:instrText xml:space="preserve"> PAGEREF _Toc90922386 \h </w:instrText>
      </w:r>
      <w:r>
        <w:fldChar w:fldCharType="separate"/>
      </w:r>
      <w:r>
        <w:t>46</w:t>
      </w:r>
      <w:r>
        <w:fldChar w:fldCharType="end"/>
      </w:r>
      <w:r>
        <w:fldChar w:fldCharType="end"/>
      </w:r>
    </w:p>
    <w:p>
      <w:pPr>
        <w:ind w:firstLine="482"/>
      </w:pPr>
      <w:r>
        <w:rPr>
          <w:b/>
          <w:bCs/>
          <w:lang w:val="zh-CN"/>
        </w:rPr>
        <w:fldChar w:fldCharType="end"/>
      </w:r>
    </w:p>
    <w:p>
      <w:pPr>
        <w:widowControl/>
        <w:jc w:val="left"/>
        <w:rPr>
          <w:sz w:val="24"/>
        </w:rPr>
      </w:pPr>
      <w:r>
        <w:rPr>
          <w:sz w:val="24"/>
        </w:rPr>
        <w:br w:type="page"/>
      </w:r>
    </w:p>
    <w:p>
      <w:pPr>
        <w:spacing w:line="380" w:lineRule="exact"/>
        <w:ind w:firstLine="480"/>
        <w:rPr>
          <w:sz w:val="24"/>
        </w:rPr>
      </w:pPr>
    </w:p>
    <w:p>
      <w:pPr>
        <w:pStyle w:val="77"/>
        <w:jc w:val="center"/>
        <w:rPr>
          <w:rFonts w:ascii="Times New Roman" w:hAnsi="Times New Roman" w:eastAsia="黑体"/>
          <w:b/>
          <w:bCs/>
          <w:color w:val="auto"/>
        </w:rPr>
      </w:pPr>
      <w:r>
        <w:rPr>
          <w:rFonts w:ascii="Times New Roman" w:hAnsi="Times New Roman" w:eastAsia="黑体"/>
          <w:b/>
          <w:bCs/>
          <w:color w:val="auto"/>
        </w:rPr>
        <w:t>Contents</w:t>
      </w:r>
    </w:p>
    <w:p>
      <w:pPr>
        <w:pStyle w:val="23"/>
        <w:rPr>
          <w:rFonts w:asciiTheme="minorHAnsi" w:hAnsiTheme="minorHAnsi" w:eastAsiaTheme="minorEastAsia" w:cstheme="minorBidi"/>
          <w:b w:val="0"/>
          <w:bCs w:val="0"/>
          <w:caps w:val="0"/>
          <w:sz w:val="21"/>
          <w:szCs w:val="22"/>
        </w:rPr>
      </w:pPr>
      <w:r>
        <w:fldChar w:fldCharType="begin"/>
      </w:r>
      <w:r>
        <w:instrText xml:space="preserve"> TOC \o "1-3" \h \z \u </w:instrText>
      </w:r>
      <w:r>
        <w:fldChar w:fldCharType="separate"/>
      </w:r>
      <w:r>
        <w:fldChar w:fldCharType="begin"/>
      </w:r>
      <w:r>
        <w:instrText xml:space="preserve"> HYPERLINK \l "_Toc90922366" </w:instrText>
      </w:r>
      <w:r>
        <w:fldChar w:fldCharType="separate"/>
      </w:r>
      <w:r>
        <w:rPr>
          <w:rStyle w:val="35"/>
          <w:rFonts w:hAnsi="Times New Roman"/>
        </w:rPr>
        <w:t xml:space="preserve">1  </w:t>
      </w:r>
      <w:r>
        <w:rPr>
          <w:rStyle w:val="35"/>
          <w:rFonts w:hint="eastAsia" w:hAnsi="Times New Roman"/>
        </w:rPr>
        <w:t>G</w:t>
      </w:r>
      <w:r>
        <w:rPr>
          <w:rStyle w:val="35"/>
          <w:rFonts w:hint="eastAsia" w:hAnsi="Times New Roman"/>
          <w:caps w:val="0"/>
        </w:rPr>
        <w:t>eneral</w:t>
      </w:r>
      <w:r>
        <w:rPr>
          <w:rStyle w:val="35"/>
          <w:rFonts w:hAnsi="Times New Roman"/>
        </w:rPr>
        <w:t xml:space="preserve"> </w:t>
      </w:r>
      <w:r>
        <w:rPr>
          <w:rStyle w:val="35"/>
          <w:rFonts w:hint="eastAsia" w:hAnsi="Times New Roman"/>
        </w:rPr>
        <w:t>p</w:t>
      </w:r>
      <w:r>
        <w:rPr>
          <w:rStyle w:val="35"/>
          <w:rFonts w:hint="eastAsia" w:hAnsi="Times New Roman"/>
          <w:caps w:val="0"/>
        </w:rPr>
        <w:t>rovisions</w:t>
      </w:r>
      <w:r>
        <w:tab/>
      </w:r>
      <w:r>
        <w:fldChar w:fldCharType="begin"/>
      </w:r>
      <w:r>
        <w:instrText xml:space="preserve"> PAGEREF _Toc90922366 \h </w:instrText>
      </w:r>
      <w:r>
        <w:fldChar w:fldCharType="separate"/>
      </w:r>
      <w:r>
        <w:t>1</w:t>
      </w:r>
      <w:r>
        <w:fldChar w:fldCharType="end"/>
      </w:r>
      <w:r>
        <w:fldChar w:fldCharType="end"/>
      </w:r>
    </w:p>
    <w:p>
      <w:pPr>
        <w:pStyle w:val="23"/>
        <w:rPr>
          <w:rFonts w:asciiTheme="minorHAnsi" w:hAnsiTheme="minorHAnsi" w:eastAsiaTheme="minorEastAsia" w:cstheme="minorBidi"/>
          <w:b w:val="0"/>
          <w:bCs w:val="0"/>
          <w:caps w:val="0"/>
          <w:sz w:val="21"/>
          <w:szCs w:val="22"/>
        </w:rPr>
      </w:pPr>
      <w:r>
        <w:fldChar w:fldCharType="begin"/>
      </w:r>
      <w:r>
        <w:instrText xml:space="preserve"> HYPERLINK \l "_Toc90922367" </w:instrText>
      </w:r>
      <w:r>
        <w:fldChar w:fldCharType="separate"/>
      </w:r>
      <w:r>
        <w:rPr>
          <w:rStyle w:val="35"/>
          <w:rFonts w:hAnsi="Times New Roman"/>
        </w:rPr>
        <w:t xml:space="preserve">2  </w:t>
      </w:r>
      <w:r>
        <w:rPr>
          <w:rStyle w:val="35"/>
          <w:rFonts w:hint="eastAsia" w:hAnsi="Times New Roman"/>
        </w:rPr>
        <w:t>t</w:t>
      </w:r>
      <w:r>
        <w:rPr>
          <w:rStyle w:val="35"/>
          <w:rFonts w:hint="eastAsia" w:hAnsi="Times New Roman"/>
          <w:caps w:val="0"/>
        </w:rPr>
        <w:t>erms</w:t>
      </w:r>
      <w:r>
        <w:rPr>
          <w:rStyle w:val="35"/>
          <w:rFonts w:hAnsi="Times New Roman"/>
          <w:caps w:val="0"/>
        </w:rPr>
        <w:t xml:space="preserve"> </w:t>
      </w:r>
      <w:r>
        <w:rPr>
          <w:rStyle w:val="35"/>
          <w:rFonts w:hint="eastAsia" w:hAnsi="Times New Roman"/>
          <w:caps w:val="0"/>
        </w:rPr>
        <w:t>and</w:t>
      </w:r>
      <w:r>
        <w:rPr>
          <w:rStyle w:val="35"/>
          <w:rFonts w:hAnsi="Times New Roman"/>
        </w:rPr>
        <w:t xml:space="preserve"> s</w:t>
      </w:r>
      <w:r>
        <w:rPr>
          <w:rStyle w:val="35"/>
          <w:rFonts w:hAnsi="Times New Roman"/>
          <w:caps w:val="0"/>
        </w:rPr>
        <w:t>ymbols</w:t>
      </w:r>
      <w:r>
        <w:tab/>
      </w:r>
      <w:r>
        <w:fldChar w:fldCharType="begin"/>
      </w:r>
      <w:r>
        <w:instrText xml:space="preserve"> PAGEREF _Toc90922367 \h </w:instrText>
      </w:r>
      <w:r>
        <w:fldChar w:fldCharType="separate"/>
      </w:r>
      <w:r>
        <w:t>2</w:t>
      </w:r>
      <w:r>
        <w:fldChar w:fldCharType="end"/>
      </w:r>
      <w:r>
        <w:fldChar w:fldCharType="end"/>
      </w:r>
    </w:p>
    <w:p>
      <w:pPr>
        <w:pStyle w:val="27"/>
        <w:tabs>
          <w:tab w:val="right" w:leader="dot" w:pos="9402"/>
        </w:tabs>
        <w:rPr>
          <w:rFonts w:asciiTheme="minorHAnsi" w:hAnsiTheme="minorHAnsi" w:eastAsiaTheme="minorEastAsia" w:cstheme="minorBidi"/>
          <w:smallCaps w:val="0"/>
          <w:szCs w:val="22"/>
        </w:rPr>
      </w:pPr>
      <w:r>
        <w:fldChar w:fldCharType="begin"/>
      </w:r>
      <w:r>
        <w:instrText xml:space="preserve"> HYPERLINK \l "_Toc90922368" </w:instrText>
      </w:r>
      <w:r>
        <w:fldChar w:fldCharType="separate"/>
      </w:r>
      <w:r>
        <w:rPr>
          <w:rStyle w:val="35"/>
        </w:rPr>
        <w:t xml:space="preserve">2.1  </w:t>
      </w:r>
      <w:r>
        <w:rPr>
          <w:rStyle w:val="35"/>
          <w:smallCaps w:val="0"/>
        </w:rPr>
        <w:t>Terms</w:t>
      </w:r>
      <w:r>
        <w:tab/>
      </w:r>
      <w:r>
        <w:fldChar w:fldCharType="begin"/>
      </w:r>
      <w:r>
        <w:instrText xml:space="preserve"> PAGEREF _Toc90922368 \h </w:instrText>
      </w:r>
      <w:r>
        <w:fldChar w:fldCharType="separate"/>
      </w:r>
      <w:r>
        <w:t>2</w:t>
      </w:r>
      <w:r>
        <w:fldChar w:fldCharType="end"/>
      </w:r>
      <w:r>
        <w:fldChar w:fldCharType="end"/>
      </w:r>
    </w:p>
    <w:p>
      <w:pPr>
        <w:pStyle w:val="27"/>
        <w:tabs>
          <w:tab w:val="right" w:leader="dot" w:pos="9402"/>
        </w:tabs>
        <w:rPr>
          <w:rFonts w:asciiTheme="minorHAnsi" w:hAnsiTheme="minorHAnsi" w:eastAsiaTheme="minorEastAsia" w:cstheme="minorBidi"/>
          <w:smallCaps w:val="0"/>
          <w:szCs w:val="22"/>
        </w:rPr>
      </w:pPr>
      <w:r>
        <w:fldChar w:fldCharType="begin"/>
      </w:r>
      <w:r>
        <w:instrText xml:space="preserve"> HYPERLINK \l "_Toc90922369" </w:instrText>
      </w:r>
      <w:r>
        <w:fldChar w:fldCharType="separate"/>
      </w:r>
      <w:r>
        <w:rPr>
          <w:rStyle w:val="35"/>
        </w:rPr>
        <w:t xml:space="preserve">2.2  </w:t>
      </w:r>
      <w:r>
        <w:rPr>
          <w:rStyle w:val="35"/>
          <w:smallCaps w:val="0"/>
        </w:rPr>
        <w:t>Symbols</w:t>
      </w:r>
      <w:r>
        <w:tab/>
      </w:r>
      <w:r>
        <w:fldChar w:fldCharType="begin"/>
      </w:r>
      <w:r>
        <w:instrText xml:space="preserve"> PAGEREF _Toc90922369 \h </w:instrText>
      </w:r>
      <w:r>
        <w:fldChar w:fldCharType="separate"/>
      </w:r>
      <w:r>
        <w:t>3</w:t>
      </w:r>
      <w:r>
        <w:fldChar w:fldCharType="end"/>
      </w:r>
      <w:r>
        <w:fldChar w:fldCharType="end"/>
      </w:r>
    </w:p>
    <w:p>
      <w:pPr>
        <w:pStyle w:val="23"/>
        <w:rPr>
          <w:rFonts w:asciiTheme="minorHAnsi" w:hAnsiTheme="minorHAnsi" w:eastAsiaTheme="minorEastAsia" w:cstheme="minorBidi"/>
          <w:b w:val="0"/>
          <w:bCs w:val="0"/>
          <w:caps w:val="0"/>
          <w:sz w:val="21"/>
          <w:szCs w:val="22"/>
        </w:rPr>
      </w:pPr>
      <w:r>
        <w:fldChar w:fldCharType="begin"/>
      </w:r>
      <w:r>
        <w:instrText xml:space="preserve"> HYPERLINK \l "_Toc90922370" </w:instrText>
      </w:r>
      <w:r>
        <w:fldChar w:fldCharType="separate"/>
      </w:r>
      <w:r>
        <w:rPr>
          <w:rStyle w:val="35"/>
          <w:rFonts w:hAnsi="Times New Roman"/>
        </w:rPr>
        <w:t xml:space="preserve">3  </w:t>
      </w:r>
      <w:r>
        <w:rPr>
          <w:rStyle w:val="35"/>
          <w:rFonts w:hint="eastAsia" w:hAnsi="Times New Roman"/>
        </w:rPr>
        <w:t>G</w:t>
      </w:r>
      <w:r>
        <w:rPr>
          <w:rStyle w:val="35"/>
          <w:rFonts w:hint="eastAsia" w:hAnsi="Times New Roman"/>
          <w:caps w:val="0"/>
        </w:rPr>
        <w:t>eneral</w:t>
      </w:r>
      <w:r>
        <w:rPr>
          <w:rStyle w:val="35"/>
          <w:rFonts w:hAnsi="Times New Roman"/>
        </w:rPr>
        <w:t xml:space="preserve"> r</w:t>
      </w:r>
      <w:r>
        <w:rPr>
          <w:rStyle w:val="35"/>
          <w:rFonts w:hAnsi="Times New Roman"/>
          <w:caps w:val="0"/>
        </w:rPr>
        <w:t>equirements</w:t>
      </w:r>
      <w:r>
        <w:tab/>
      </w:r>
      <w:r>
        <w:fldChar w:fldCharType="begin"/>
      </w:r>
      <w:r>
        <w:instrText xml:space="preserve"> PAGEREF _Toc90922370 \h </w:instrText>
      </w:r>
      <w:r>
        <w:fldChar w:fldCharType="separate"/>
      </w:r>
      <w:r>
        <w:t>6</w:t>
      </w:r>
      <w:r>
        <w:fldChar w:fldCharType="end"/>
      </w:r>
      <w:r>
        <w:fldChar w:fldCharType="end"/>
      </w:r>
    </w:p>
    <w:p>
      <w:pPr>
        <w:pStyle w:val="23"/>
        <w:rPr>
          <w:rFonts w:asciiTheme="minorHAnsi" w:hAnsiTheme="minorHAnsi" w:eastAsiaTheme="minorEastAsia" w:cstheme="minorBidi"/>
          <w:b w:val="0"/>
          <w:bCs w:val="0"/>
          <w:caps w:val="0"/>
          <w:sz w:val="21"/>
          <w:szCs w:val="22"/>
        </w:rPr>
      </w:pPr>
      <w:r>
        <w:fldChar w:fldCharType="begin"/>
      </w:r>
      <w:r>
        <w:instrText xml:space="preserve"> HYPERLINK \l "_Toc90922371" </w:instrText>
      </w:r>
      <w:r>
        <w:fldChar w:fldCharType="separate"/>
      </w:r>
      <w:r>
        <w:rPr>
          <w:rStyle w:val="35"/>
        </w:rPr>
        <w:t xml:space="preserve">4  </w:t>
      </w:r>
      <w:r>
        <w:rPr>
          <w:rStyle w:val="35"/>
          <w:caps w:val="0"/>
        </w:rPr>
        <w:t>Basic</w:t>
      </w:r>
      <w:r>
        <w:rPr>
          <w:rStyle w:val="35"/>
        </w:rPr>
        <w:t xml:space="preserve"> r</w:t>
      </w:r>
      <w:r>
        <w:rPr>
          <w:rStyle w:val="35"/>
          <w:caps w:val="0"/>
        </w:rPr>
        <w:t xml:space="preserve">equirements of </w:t>
      </w:r>
      <w:r>
        <w:rPr>
          <w:rStyle w:val="35"/>
        </w:rPr>
        <w:t>s</w:t>
      </w:r>
      <w:r>
        <w:rPr>
          <w:rStyle w:val="35"/>
          <w:caps w:val="0"/>
        </w:rPr>
        <w:t>tructural</w:t>
      </w:r>
      <w:r>
        <w:rPr>
          <w:rStyle w:val="35"/>
        </w:rPr>
        <w:t xml:space="preserve"> d</w:t>
      </w:r>
      <w:r>
        <w:rPr>
          <w:rStyle w:val="35"/>
          <w:caps w:val="0"/>
        </w:rPr>
        <w:t>esign</w:t>
      </w:r>
      <w:r>
        <w:tab/>
      </w:r>
      <w:r>
        <w:fldChar w:fldCharType="begin"/>
      </w:r>
      <w:r>
        <w:instrText xml:space="preserve"> PAGEREF _Toc90922371 \h </w:instrText>
      </w:r>
      <w:r>
        <w:fldChar w:fldCharType="separate"/>
      </w:r>
      <w:r>
        <w:t>9</w:t>
      </w:r>
      <w:r>
        <w:fldChar w:fldCharType="end"/>
      </w:r>
      <w:r>
        <w:fldChar w:fldCharType="end"/>
      </w:r>
    </w:p>
    <w:p>
      <w:pPr>
        <w:pStyle w:val="27"/>
        <w:tabs>
          <w:tab w:val="right" w:leader="dot" w:pos="9402"/>
        </w:tabs>
        <w:rPr>
          <w:rFonts w:asciiTheme="minorHAnsi" w:hAnsiTheme="minorHAnsi" w:eastAsiaTheme="minorEastAsia" w:cstheme="minorBidi"/>
          <w:smallCaps w:val="0"/>
          <w:szCs w:val="22"/>
        </w:rPr>
      </w:pPr>
      <w:r>
        <w:fldChar w:fldCharType="begin"/>
      </w:r>
      <w:r>
        <w:instrText xml:space="preserve"> HYPERLINK \l "_Toc90922372" </w:instrText>
      </w:r>
      <w:r>
        <w:fldChar w:fldCharType="separate"/>
      </w:r>
      <w:r>
        <w:rPr>
          <w:rStyle w:val="35"/>
          <w:smallCaps w:val="0"/>
        </w:rPr>
        <w:t>4.1  General</w:t>
      </w:r>
      <w:r>
        <w:rPr>
          <w:smallCaps w:val="0"/>
        </w:rPr>
        <w:tab/>
      </w:r>
      <w:r>
        <w:rPr>
          <w:smallCaps w:val="0"/>
        </w:rPr>
        <w:fldChar w:fldCharType="begin"/>
      </w:r>
      <w:r>
        <w:rPr>
          <w:smallCaps w:val="0"/>
        </w:rPr>
        <w:instrText xml:space="preserve"> PAGEREF _Toc90922372 \h </w:instrText>
      </w:r>
      <w:r>
        <w:rPr>
          <w:smallCaps w:val="0"/>
        </w:rPr>
        <w:fldChar w:fldCharType="separate"/>
      </w:r>
      <w:r>
        <w:rPr>
          <w:smallCaps w:val="0"/>
        </w:rPr>
        <w:t>9</w:t>
      </w:r>
      <w:r>
        <w:rPr>
          <w:smallCaps w:val="0"/>
        </w:rPr>
        <w:fldChar w:fldCharType="end"/>
      </w:r>
      <w:r>
        <w:rPr>
          <w:smallCaps w:val="0"/>
        </w:rPr>
        <w:fldChar w:fldCharType="end"/>
      </w:r>
    </w:p>
    <w:p>
      <w:pPr>
        <w:pStyle w:val="27"/>
        <w:tabs>
          <w:tab w:val="right" w:leader="dot" w:pos="9402"/>
        </w:tabs>
        <w:rPr>
          <w:rFonts w:asciiTheme="minorHAnsi" w:hAnsiTheme="minorHAnsi" w:eastAsiaTheme="minorEastAsia" w:cstheme="minorBidi"/>
          <w:smallCaps w:val="0"/>
          <w:szCs w:val="22"/>
        </w:rPr>
      </w:pPr>
      <w:r>
        <w:fldChar w:fldCharType="begin"/>
      </w:r>
      <w:r>
        <w:instrText xml:space="preserve"> HYPERLINK \l "_Toc90922373" </w:instrText>
      </w:r>
      <w:r>
        <w:fldChar w:fldCharType="separate"/>
      </w:r>
      <w:r>
        <w:rPr>
          <w:rStyle w:val="35"/>
          <w:smallCaps w:val="0"/>
        </w:rPr>
        <w:t>4.2  Structural Layout and Arrangement</w:t>
      </w:r>
      <w:r>
        <w:rPr>
          <w:smallCaps w:val="0"/>
        </w:rPr>
        <w:tab/>
      </w:r>
      <w:r>
        <w:rPr>
          <w:smallCaps w:val="0"/>
        </w:rPr>
        <w:fldChar w:fldCharType="begin"/>
      </w:r>
      <w:r>
        <w:rPr>
          <w:smallCaps w:val="0"/>
        </w:rPr>
        <w:instrText xml:space="preserve"> PAGEREF _Toc90922373 \h </w:instrText>
      </w:r>
      <w:r>
        <w:rPr>
          <w:smallCaps w:val="0"/>
        </w:rPr>
        <w:fldChar w:fldCharType="separate"/>
      </w:r>
      <w:r>
        <w:rPr>
          <w:smallCaps w:val="0"/>
        </w:rPr>
        <w:t>12</w:t>
      </w:r>
      <w:r>
        <w:rPr>
          <w:smallCaps w:val="0"/>
        </w:rPr>
        <w:fldChar w:fldCharType="end"/>
      </w:r>
      <w:r>
        <w:rPr>
          <w:smallCaps w:val="0"/>
        </w:rPr>
        <w:fldChar w:fldCharType="end"/>
      </w:r>
    </w:p>
    <w:p>
      <w:pPr>
        <w:pStyle w:val="27"/>
        <w:tabs>
          <w:tab w:val="right" w:leader="dot" w:pos="9402"/>
        </w:tabs>
        <w:rPr>
          <w:rFonts w:asciiTheme="minorHAnsi" w:hAnsiTheme="minorHAnsi" w:eastAsiaTheme="minorEastAsia" w:cstheme="minorBidi"/>
          <w:smallCaps w:val="0"/>
          <w:szCs w:val="22"/>
        </w:rPr>
      </w:pPr>
      <w:r>
        <w:fldChar w:fldCharType="begin"/>
      </w:r>
      <w:r>
        <w:instrText xml:space="preserve"> HYPERLINK \l "_Toc90922374" </w:instrText>
      </w:r>
      <w:r>
        <w:fldChar w:fldCharType="separate"/>
      </w:r>
      <w:r>
        <w:rPr>
          <w:rStyle w:val="35"/>
          <w:smallCaps w:val="0"/>
        </w:rPr>
        <w:t>4.3  Loads、Actions and Structural Analysis</w:t>
      </w:r>
      <w:r>
        <w:rPr>
          <w:smallCaps w:val="0"/>
        </w:rPr>
        <w:tab/>
      </w:r>
      <w:r>
        <w:rPr>
          <w:smallCaps w:val="0"/>
        </w:rPr>
        <w:fldChar w:fldCharType="begin"/>
      </w:r>
      <w:r>
        <w:rPr>
          <w:smallCaps w:val="0"/>
        </w:rPr>
        <w:instrText xml:space="preserve"> PAGEREF _Toc90922374 \h </w:instrText>
      </w:r>
      <w:r>
        <w:rPr>
          <w:smallCaps w:val="0"/>
        </w:rPr>
        <w:fldChar w:fldCharType="separate"/>
      </w:r>
      <w:r>
        <w:rPr>
          <w:smallCaps w:val="0"/>
        </w:rPr>
        <w:t>17</w:t>
      </w:r>
      <w:r>
        <w:rPr>
          <w:smallCaps w:val="0"/>
        </w:rPr>
        <w:fldChar w:fldCharType="end"/>
      </w:r>
      <w:r>
        <w:rPr>
          <w:smallCaps w:val="0"/>
        </w:rPr>
        <w:fldChar w:fldCharType="end"/>
      </w:r>
    </w:p>
    <w:p>
      <w:pPr>
        <w:pStyle w:val="23"/>
        <w:rPr>
          <w:rFonts w:asciiTheme="minorHAnsi" w:hAnsiTheme="minorHAnsi" w:eastAsiaTheme="minorEastAsia" w:cstheme="minorBidi"/>
          <w:b w:val="0"/>
          <w:bCs w:val="0"/>
          <w:caps w:val="0"/>
          <w:sz w:val="21"/>
          <w:szCs w:val="22"/>
        </w:rPr>
      </w:pPr>
      <w:r>
        <w:fldChar w:fldCharType="begin"/>
      </w:r>
      <w:r>
        <w:instrText xml:space="preserve"> HYPERLINK \l "_Toc90922375" </w:instrText>
      </w:r>
      <w:r>
        <w:fldChar w:fldCharType="separate"/>
      </w:r>
      <w:r>
        <w:rPr>
          <w:rStyle w:val="35"/>
          <w:rFonts w:hAnsi="Times New Roman"/>
          <w:caps w:val="0"/>
        </w:rPr>
        <w:t>5  Bottom-</w:t>
      </w:r>
      <w:r>
        <w:rPr>
          <w:rStyle w:val="35"/>
          <w:caps w:val="0"/>
        </w:rPr>
        <w:t>Frame Support Plate Transfer</w:t>
      </w:r>
      <w:r>
        <w:t xml:space="preserve"> </w:t>
      </w:r>
      <w:r>
        <w:rPr>
          <w:rStyle w:val="35"/>
          <w:caps w:val="0"/>
        </w:rPr>
        <w:t>Structure</w:t>
      </w:r>
      <w:r>
        <w:rPr>
          <w:caps w:val="0"/>
        </w:rPr>
        <w:tab/>
      </w:r>
      <w:r>
        <w:rPr>
          <w:caps w:val="0"/>
        </w:rPr>
        <w:fldChar w:fldCharType="begin"/>
      </w:r>
      <w:r>
        <w:rPr>
          <w:caps w:val="0"/>
        </w:rPr>
        <w:instrText xml:space="preserve"> PAGEREF _Toc90922375 \h </w:instrText>
      </w:r>
      <w:r>
        <w:rPr>
          <w:caps w:val="0"/>
        </w:rPr>
        <w:fldChar w:fldCharType="separate"/>
      </w:r>
      <w:r>
        <w:rPr>
          <w:caps w:val="0"/>
        </w:rPr>
        <w:t>22</w:t>
      </w:r>
      <w:r>
        <w:rPr>
          <w:caps w:val="0"/>
        </w:rPr>
        <w:fldChar w:fldCharType="end"/>
      </w:r>
      <w:r>
        <w:rPr>
          <w:caps w:val="0"/>
        </w:rPr>
        <w:fldChar w:fldCharType="end"/>
      </w:r>
    </w:p>
    <w:p>
      <w:pPr>
        <w:pStyle w:val="27"/>
        <w:tabs>
          <w:tab w:val="right" w:leader="dot" w:pos="9402"/>
        </w:tabs>
        <w:rPr>
          <w:rFonts w:asciiTheme="minorHAnsi" w:hAnsiTheme="minorHAnsi" w:eastAsiaTheme="minorEastAsia" w:cstheme="minorBidi"/>
          <w:smallCaps w:val="0"/>
          <w:szCs w:val="22"/>
        </w:rPr>
      </w:pPr>
      <w:r>
        <w:fldChar w:fldCharType="begin"/>
      </w:r>
      <w:r>
        <w:instrText xml:space="preserve"> HYPERLINK \l "_Toc90922376" </w:instrText>
      </w:r>
      <w:r>
        <w:fldChar w:fldCharType="separate"/>
      </w:r>
      <w:r>
        <w:rPr>
          <w:rStyle w:val="35"/>
          <w:smallCaps w:val="0"/>
        </w:rPr>
        <w:t>5.1  General Requirements</w:t>
      </w:r>
      <w:r>
        <w:rPr>
          <w:smallCaps w:val="0"/>
        </w:rPr>
        <w:tab/>
      </w:r>
      <w:r>
        <w:rPr>
          <w:smallCaps w:val="0"/>
        </w:rPr>
        <w:fldChar w:fldCharType="begin"/>
      </w:r>
      <w:r>
        <w:rPr>
          <w:smallCaps w:val="0"/>
        </w:rPr>
        <w:instrText xml:space="preserve"> PAGEREF _Toc90922376 \h </w:instrText>
      </w:r>
      <w:r>
        <w:rPr>
          <w:smallCaps w:val="0"/>
        </w:rPr>
        <w:fldChar w:fldCharType="separate"/>
      </w:r>
      <w:r>
        <w:rPr>
          <w:smallCaps w:val="0"/>
        </w:rPr>
        <w:t>22</w:t>
      </w:r>
      <w:r>
        <w:rPr>
          <w:smallCaps w:val="0"/>
        </w:rPr>
        <w:fldChar w:fldCharType="end"/>
      </w:r>
      <w:r>
        <w:rPr>
          <w:smallCaps w:val="0"/>
        </w:rPr>
        <w:fldChar w:fldCharType="end"/>
      </w:r>
    </w:p>
    <w:p>
      <w:pPr>
        <w:pStyle w:val="27"/>
        <w:tabs>
          <w:tab w:val="right" w:leader="dot" w:pos="9402"/>
        </w:tabs>
        <w:rPr>
          <w:rFonts w:asciiTheme="minorHAnsi" w:hAnsiTheme="minorHAnsi" w:eastAsiaTheme="minorEastAsia" w:cstheme="minorBidi"/>
          <w:smallCaps w:val="0"/>
          <w:szCs w:val="22"/>
        </w:rPr>
      </w:pPr>
      <w:r>
        <w:fldChar w:fldCharType="begin"/>
      </w:r>
      <w:r>
        <w:instrText xml:space="preserve"> HYPERLINK \l "_Toc90922377" </w:instrText>
      </w:r>
      <w:r>
        <w:fldChar w:fldCharType="separate"/>
      </w:r>
      <w:r>
        <w:rPr>
          <w:rStyle w:val="35"/>
          <w:smallCaps w:val="0"/>
        </w:rPr>
        <w:t>5.2  Bearing Capacity and Detailing</w:t>
      </w:r>
      <w:r>
        <w:rPr>
          <w:smallCaps w:val="0"/>
        </w:rPr>
        <w:tab/>
      </w:r>
      <w:r>
        <w:rPr>
          <w:smallCaps w:val="0"/>
        </w:rPr>
        <w:fldChar w:fldCharType="begin"/>
      </w:r>
      <w:r>
        <w:rPr>
          <w:smallCaps w:val="0"/>
        </w:rPr>
        <w:instrText xml:space="preserve"> PAGEREF _Toc90922377 \h </w:instrText>
      </w:r>
      <w:r>
        <w:rPr>
          <w:smallCaps w:val="0"/>
        </w:rPr>
        <w:fldChar w:fldCharType="separate"/>
      </w:r>
      <w:r>
        <w:rPr>
          <w:smallCaps w:val="0"/>
        </w:rPr>
        <w:t>22</w:t>
      </w:r>
      <w:r>
        <w:rPr>
          <w:smallCaps w:val="0"/>
        </w:rPr>
        <w:fldChar w:fldCharType="end"/>
      </w:r>
      <w:r>
        <w:rPr>
          <w:smallCaps w:val="0"/>
        </w:rPr>
        <w:fldChar w:fldCharType="end"/>
      </w:r>
    </w:p>
    <w:p>
      <w:pPr>
        <w:pStyle w:val="23"/>
        <w:rPr>
          <w:rFonts w:asciiTheme="minorHAnsi" w:hAnsiTheme="minorHAnsi" w:eastAsiaTheme="minorEastAsia" w:cstheme="minorBidi"/>
          <w:b w:val="0"/>
          <w:bCs w:val="0"/>
          <w:caps w:val="0"/>
          <w:sz w:val="21"/>
          <w:szCs w:val="22"/>
        </w:rPr>
      </w:pPr>
      <w:r>
        <w:fldChar w:fldCharType="begin"/>
      </w:r>
      <w:r>
        <w:instrText xml:space="preserve"> HYPERLINK \l "_Toc90922378" </w:instrText>
      </w:r>
      <w:r>
        <w:fldChar w:fldCharType="separate"/>
      </w:r>
      <w:r>
        <w:rPr>
          <w:rStyle w:val="35"/>
          <w:rFonts w:hAnsi="Times New Roman"/>
          <w:caps w:val="0"/>
        </w:rPr>
        <w:t xml:space="preserve">6  </w:t>
      </w:r>
      <w:r>
        <w:rPr>
          <w:rStyle w:val="35"/>
          <w:rFonts w:hint="eastAsia" w:hAnsi="Times New Roman"/>
          <w:caps w:val="0"/>
        </w:rPr>
        <w:t>S</w:t>
      </w:r>
      <w:r>
        <w:rPr>
          <w:rStyle w:val="35"/>
          <w:rFonts w:hAnsi="Times New Roman"/>
          <w:caps w:val="0"/>
        </w:rPr>
        <w:t>eismic Isolation Design for Metro Depot Superstructure</w:t>
      </w:r>
      <w:r>
        <w:rPr>
          <w:caps w:val="0"/>
        </w:rPr>
        <w:tab/>
      </w:r>
      <w:r>
        <w:rPr>
          <w:caps w:val="0"/>
        </w:rPr>
        <w:fldChar w:fldCharType="begin"/>
      </w:r>
      <w:r>
        <w:rPr>
          <w:caps w:val="0"/>
        </w:rPr>
        <w:instrText xml:space="preserve"> PAGEREF _Toc90922378 \h </w:instrText>
      </w:r>
      <w:r>
        <w:rPr>
          <w:caps w:val="0"/>
        </w:rPr>
        <w:fldChar w:fldCharType="separate"/>
      </w:r>
      <w:r>
        <w:rPr>
          <w:caps w:val="0"/>
        </w:rPr>
        <w:t>29</w:t>
      </w:r>
      <w:r>
        <w:rPr>
          <w:caps w:val="0"/>
        </w:rPr>
        <w:fldChar w:fldCharType="end"/>
      </w:r>
      <w:r>
        <w:rPr>
          <w:caps w:val="0"/>
        </w:rPr>
        <w:fldChar w:fldCharType="end"/>
      </w:r>
    </w:p>
    <w:p>
      <w:pPr>
        <w:pStyle w:val="27"/>
        <w:tabs>
          <w:tab w:val="right" w:leader="dot" w:pos="9402"/>
        </w:tabs>
        <w:rPr>
          <w:rFonts w:asciiTheme="minorHAnsi" w:hAnsiTheme="minorHAnsi" w:eastAsiaTheme="minorEastAsia" w:cstheme="minorBidi"/>
          <w:smallCaps w:val="0"/>
          <w:szCs w:val="22"/>
        </w:rPr>
      </w:pPr>
      <w:r>
        <w:fldChar w:fldCharType="begin"/>
      </w:r>
      <w:r>
        <w:instrText xml:space="preserve"> HYPERLINK \l "_Toc90922379" </w:instrText>
      </w:r>
      <w:r>
        <w:fldChar w:fldCharType="separate"/>
      </w:r>
      <w:r>
        <w:rPr>
          <w:rStyle w:val="35"/>
          <w:smallCaps w:val="0"/>
        </w:rPr>
        <w:t>6.1  General Requirements</w:t>
      </w:r>
      <w:r>
        <w:rPr>
          <w:smallCaps w:val="0"/>
        </w:rPr>
        <w:tab/>
      </w:r>
      <w:r>
        <w:rPr>
          <w:smallCaps w:val="0"/>
        </w:rPr>
        <w:fldChar w:fldCharType="begin"/>
      </w:r>
      <w:r>
        <w:rPr>
          <w:smallCaps w:val="0"/>
        </w:rPr>
        <w:instrText xml:space="preserve"> PAGEREF _Toc90922379 \h </w:instrText>
      </w:r>
      <w:r>
        <w:rPr>
          <w:smallCaps w:val="0"/>
        </w:rPr>
        <w:fldChar w:fldCharType="separate"/>
      </w:r>
      <w:r>
        <w:rPr>
          <w:smallCaps w:val="0"/>
        </w:rPr>
        <w:t>29</w:t>
      </w:r>
      <w:r>
        <w:rPr>
          <w:smallCaps w:val="0"/>
        </w:rPr>
        <w:fldChar w:fldCharType="end"/>
      </w:r>
      <w:r>
        <w:rPr>
          <w:smallCaps w:val="0"/>
        </w:rPr>
        <w:fldChar w:fldCharType="end"/>
      </w:r>
    </w:p>
    <w:p>
      <w:pPr>
        <w:pStyle w:val="27"/>
        <w:tabs>
          <w:tab w:val="right" w:leader="dot" w:pos="9402"/>
        </w:tabs>
        <w:rPr>
          <w:rFonts w:asciiTheme="minorHAnsi" w:hAnsiTheme="minorHAnsi" w:eastAsiaTheme="minorEastAsia" w:cstheme="minorBidi"/>
          <w:smallCaps w:val="0"/>
          <w:szCs w:val="22"/>
        </w:rPr>
      </w:pPr>
      <w:r>
        <w:fldChar w:fldCharType="begin"/>
      </w:r>
      <w:r>
        <w:instrText xml:space="preserve"> HYPERLINK \l "_Toc90922380" </w:instrText>
      </w:r>
      <w:r>
        <w:fldChar w:fldCharType="separate"/>
      </w:r>
      <w:r>
        <w:rPr>
          <w:rStyle w:val="35"/>
          <w:smallCaps w:val="0"/>
        </w:rPr>
        <w:t>6.2  Seismic Isolation Design</w:t>
      </w:r>
      <w:r>
        <w:rPr>
          <w:smallCaps w:val="0"/>
        </w:rPr>
        <w:tab/>
      </w:r>
      <w:r>
        <w:rPr>
          <w:smallCaps w:val="0"/>
        </w:rPr>
        <w:fldChar w:fldCharType="begin"/>
      </w:r>
      <w:r>
        <w:rPr>
          <w:smallCaps w:val="0"/>
        </w:rPr>
        <w:instrText xml:space="preserve"> PAGEREF _Toc90922380 \h </w:instrText>
      </w:r>
      <w:r>
        <w:rPr>
          <w:smallCaps w:val="0"/>
        </w:rPr>
        <w:fldChar w:fldCharType="separate"/>
      </w:r>
      <w:r>
        <w:rPr>
          <w:smallCaps w:val="0"/>
        </w:rPr>
        <w:t>30</w:t>
      </w:r>
      <w:r>
        <w:rPr>
          <w:smallCaps w:val="0"/>
        </w:rPr>
        <w:fldChar w:fldCharType="end"/>
      </w:r>
      <w:r>
        <w:rPr>
          <w:smallCaps w:val="0"/>
        </w:rPr>
        <w:fldChar w:fldCharType="end"/>
      </w:r>
    </w:p>
    <w:p>
      <w:pPr>
        <w:pStyle w:val="27"/>
        <w:tabs>
          <w:tab w:val="right" w:leader="dot" w:pos="9402"/>
        </w:tabs>
        <w:rPr>
          <w:rFonts w:asciiTheme="minorHAnsi" w:hAnsiTheme="minorHAnsi" w:eastAsiaTheme="minorEastAsia" w:cstheme="minorBidi"/>
          <w:smallCaps w:val="0"/>
          <w:szCs w:val="22"/>
        </w:rPr>
      </w:pPr>
      <w:r>
        <w:fldChar w:fldCharType="begin"/>
      </w:r>
      <w:r>
        <w:instrText xml:space="preserve"> HYPERLINK \l "_Toc90922381" </w:instrText>
      </w:r>
      <w:r>
        <w:fldChar w:fldCharType="separate"/>
      </w:r>
      <w:r>
        <w:rPr>
          <w:rStyle w:val="35"/>
          <w:smallCaps w:val="0"/>
        </w:rPr>
        <w:t xml:space="preserve">6.3  </w:t>
      </w:r>
      <w:r>
        <w:rPr>
          <w:rStyle w:val="35"/>
          <w:rFonts w:hint="eastAsia"/>
          <w:smallCaps w:val="0"/>
        </w:rPr>
        <w:t>Seismic</w:t>
      </w:r>
      <w:r>
        <w:rPr>
          <w:rStyle w:val="35"/>
          <w:smallCaps w:val="0"/>
        </w:rPr>
        <w:t xml:space="preserve"> </w:t>
      </w:r>
      <w:r>
        <w:rPr>
          <w:rStyle w:val="35"/>
          <w:rFonts w:hint="eastAsia"/>
          <w:smallCaps w:val="0"/>
        </w:rPr>
        <w:t>Isolator</w:t>
      </w:r>
      <w:r>
        <w:rPr>
          <w:smallCaps w:val="0"/>
        </w:rPr>
        <w:tab/>
      </w:r>
      <w:r>
        <w:rPr>
          <w:smallCaps w:val="0"/>
        </w:rPr>
        <w:fldChar w:fldCharType="begin"/>
      </w:r>
      <w:r>
        <w:rPr>
          <w:smallCaps w:val="0"/>
        </w:rPr>
        <w:instrText xml:space="preserve"> PAGEREF _Toc90922381 \h </w:instrText>
      </w:r>
      <w:r>
        <w:rPr>
          <w:smallCaps w:val="0"/>
        </w:rPr>
        <w:fldChar w:fldCharType="separate"/>
      </w:r>
      <w:r>
        <w:rPr>
          <w:smallCaps w:val="0"/>
        </w:rPr>
        <w:t>31</w:t>
      </w:r>
      <w:r>
        <w:rPr>
          <w:smallCaps w:val="0"/>
        </w:rPr>
        <w:fldChar w:fldCharType="end"/>
      </w:r>
      <w:r>
        <w:rPr>
          <w:smallCaps w:val="0"/>
        </w:rPr>
        <w:fldChar w:fldCharType="end"/>
      </w:r>
    </w:p>
    <w:p>
      <w:pPr>
        <w:pStyle w:val="23"/>
        <w:rPr>
          <w:rFonts w:asciiTheme="minorHAnsi" w:hAnsiTheme="minorHAnsi" w:eastAsiaTheme="minorEastAsia" w:cstheme="minorBidi"/>
          <w:b w:val="0"/>
          <w:bCs w:val="0"/>
          <w:caps w:val="0"/>
          <w:sz w:val="21"/>
          <w:szCs w:val="22"/>
        </w:rPr>
      </w:pPr>
      <w:r>
        <w:fldChar w:fldCharType="begin"/>
      </w:r>
      <w:r>
        <w:instrText xml:space="preserve"> HYPERLINK \l "_Toc90922382" </w:instrText>
      </w:r>
      <w:r>
        <w:fldChar w:fldCharType="separate"/>
      </w:r>
      <w:r>
        <w:rPr>
          <w:rStyle w:val="35"/>
          <w:rFonts w:hAnsi="Times New Roman"/>
          <w:caps w:val="0"/>
        </w:rPr>
        <w:t xml:space="preserve">7  </w:t>
      </w:r>
      <w:r>
        <w:rPr>
          <w:rStyle w:val="35"/>
          <w:caps w:val="0"/>
        </w:rPr>
        <w:t>Design of Foundation</w:t>
      </w:r>
      <w:r>
        <w:rPr>
          <w:caps w:val="0"/>
        </w:rPr>
        <w:tab/>
      </w:r>
      <w:r>
        <w:rPr>
          <w:caps w:val="0"/>
        </w:rPr>
        <w:fldChar w:fldCharType="begin"/>
      </w:r>
      <w:r>
        <w:rPr>
          <w:caps w:val="0"/>
        </w:rPr>
        <w:instrText xml:space="preserve"> PAGEREF _Toc90922382 \h </w:instrText>
      </w:r>
      <w:r>
        <w:rPr>
          <w:caps w:val="0"/>
        </w:rPr>
        <w:fldChar w:fldCharType="separate"/>
      </w:r>
      <w:r>
        <w:rPr>
          <w:caps w:val="0"/>
        </w:rPr>
        <w:t>33</w:t>
      </w:r>
      <w:r>
        <w:rPr>
          <w:caps w:val="0"/>
        </w:rPr>
        <w:fldChar w:fldCharType="end"/>
      </w:r>
      <w:r>
        <w:rPr>
          <w:caps w:val="0"/>
        </w:rPr>
        <w:fldChar w:fldCharType="end"/>
      </w:r>
    </w:p>
    <w:p>
      <w:pPr>
        <w:pStyle w:val="23"/>
        <w:rPr>
          <w:rFonts w:asciiTheme="minorHAnsi" w:hAnsiTheme="minorHAnsi" w:eastAsiaTheme="minorEastAsia" w:cstheme="minorBidi"/>
          <w:b w:val="0"/>
          <w:bCs w:val="0"/>
          <w:caps w:val="0"/>
          <w:sz w:val="21"/>
          <w:szCs w:val="22"/>
        </w:rPr>
      </w:pPr>
      <w:r>
        <w:fldChar w:fldCharType="begin"/>
      </w:r>
      <w:r>
        <w:instrText xml:space="preserve"> HYPERLINK \l "_Toc90922383" </w:instrText>
      </w:r>
      <w:r>
        <w:fldChar w:fldCharType="separate"/>
      </w:r>
      <w:r>
        <w:rPr>
          <w:rStyle w:val="35"/>
          <w:caps w:val="0"/>
        </w:rPr>
        <w:t>8  Reservation Requirements</w:t>
      </w:r>
      <w:r>
        <w:rPr>
          <w:caps w:val="0"/>
        </w:rPr>
        <w:tab/>
      </w:r>
      <w:r>
        <w:rPr>
          <w:caps w:val="0"/>
        </w:rPr>
        <w:fldChar w:fldCharType="begin"/>
      </w:r>
      <w:r>
        <w:rPr>
          <w:caps w:val="0"/>
        </w:rPr>
        <w:instrText xml:space="preserve"> PAGEREF _Toc90922383 \h </w:instrText>
      </w:r>
      <w:r>
        <w:rPr>
          <w:caps w:val="0"/>
        </w:rPr>
        <w:fldChar w:fldCharType="separate"/>
      </w:r>
      <w:r>
        <w:rPr>
          <w:caps w:val="0"/>
        </w:rPr>
        <w:t>38</w:t>
      </w:r>
      <w:r>
        <w:rPr>
          <w:caps w:val="0"/>
        </w:rPr>
        <w:fldChar w:fldCharType="end"/>
      </w:r>
      <w:r>
        <w:rPr>
          <w:caps w:val="0"/>
        </w:rPr>
        <w:fldChar w:fldCharType="end"/>
      </w:r>
    </w:p>
    <w:p>
      <w:pPr>
        <w:pStyle w:val="23"/>
        <w:rPr>
          <w:rFonts w:asciiTheme="minorHAnsi" w:hAnsiTheme="minorHAnsi" w:eastAsiaTheme="minorEastAsia" w:cstheme="minorBidi"/>
          <w:b w:val="0"/>
          <w:bCs w:val="0"/>
          <w:caps w:val="0"/>
          <w:sz w:val="21"/>
          <w:szCs w:val="22"/>
        </w:rPr>
      </w:pPr>
      <w:r>
        <w:fldChar w:fldCharType="begin"/>
      </w:r>
      <w:r>
        <w:instrText xml:space="preserve"> HYPERLINK \l "_Toc90922384" </w:instrText>
      </w:r>
      <w:r>
        <w:fldChar w:fldCharType="separate"/>
      </w:r>
      <w:r>
        <w:rPr>
          <w:rStyle w:val="35"/>
          <w:rFonts w:hint="eastAsia" w:hAnsi="Times New Roman"/>
          <w:caps w:val="0"/>
        </w:rPr>
        <w:t>A</w:t>
      </w:r>
      <w:r>
        <w:rPr>
          <w:rStyle w:val="35"/>
          <w:rFonts w:hAnsi="Times New Roman"/>
          <w:caps w:val="0"/>
        </w:rPr>
        <w:t>ppendix A  S</w:t>
      </w:r>
      <w:r>
        <w:rPr>
          <w:rStyle w:val="35"/>
          <w:rFonts w:hint="eastAsia" w:hAnsi="Times New Roman"/>
          <w:caps w:val="0"/>
        </w:rPr>
        <w:t>eismic</w:t>
      </w:r>
      <w:r>
        <w:rPr>
          <w:rStyle w:val="35"/>
          <w:rFonts w:hAnsi="Times New Roman"/>
          <w:caps w:val="0"/>
        </w:rPr>
        <w:t xml:space="preserve"> Performance </w:t>
      </w:r>
      <w:r>
        <w:rPr>
          <w:rStyle w:val="35"/>
          <w:rFonts w:hint="eastAsia" w:hAnsi="Times New Roman"/>
          <w:caps w:val="0"/>
        </w:rPr>
        <w:t>Design</w:t>
      </w:r>
      <w:r>
        <w:rPr>
          <w:caps w:val="0"/>
        </w:rPr>
        <w:tab/>
      </w:r>
      <w:r>
        <w:rPr>
          <w:caps w:val="0"/>
        </w:rPr>
        <w:fldChar w:fldCharType="begin"/>
      </w:r>
      <w:r>
        <w:rPr>
          <w:caps w:val="0"/>
        </w:rPr>
        <w:instrText xml:space="preserve"> PAGEREF _Toc90922384 \h </w:instrText>
      </w:r>
      <w:r>
        <w:rPr>
          <w:caps w:val="0"/>
        </w:rPr>
        <w:fldChar w:fldCharType="separate"/>
      </w:r>
      <w:r>
        <w:rPr>
          <w:caps w:val="0"/>
        </w:rPr>
        <w:t>41</w:t>
      </w:r>
      <w:r>
        <w:rPr>
          <w:caps w:val="0"/>
        </w:rPr>
        <w:fldChar w:fldCharType="end"/>
      </w:r>
      <w:r>
        <w:rPr>
          <w:caps w:val="0"/>
        </w:rPr>
        <w:fldChar w:fldCharType="end"/>
      </w:r>
    </w:p>
    <w:p>
      <w:pPr>
        <w:pStyle w:val="23"/>
        <w:rPr>
          <w:rFonts w:asciiTheme="minorHAnsi" w:hAnsiTheme="minorHAnsi" w:eastAsiaTheme="minorEastAsia" w:cstheme="minorBidi"/>
          <w:b w:val="0"/>
          <w:bCs w:val="0"/>
          <w:caps w:val="0"/>
          <w:sz w:val="21"/>
          <w:szCs w:val="22"/>
        </w:rPr>
      </w:pPr>
      <w:r>
        <w:fldChar w:fldCharType="begin"/>
      </w:r>
      <w:r>
        <w:instrText xml:space="preserve"> HYPERLINK \l "_Toc90922385" </w:instrText>
      </w:r>
      <w:r>
        <w:fldChar w:fldCharType="separate"/>
      </w:r>
      <w:r>
        <w:rPr>
          <w:rStyle w:val="35"/>
          <w:rFonts w:hint="eastAsia" w:hAnsi="Times New Roman"/>
        </w:rPr>
        <w:t>E</w:t>
      </w:r>
      <w:r>
        <w:rPr>
          <w:rStyle w:val="35"/>
          <w:rFonts w:hAnsi="Times New Roman"/>
          <w:caps w:val="0"/>
        </w:rPr>
        <w:t>xplanation of</w:t>
      </w:r>
      <w:r>
        <w:rPr>
          <w:rStyle w:val="35"/>
          <w:rFonts w:hAnsi="Times New Roman"/>
        </w:rPr>
        <w:t xml:space="preserve"> w</w:t>
      </w:r>
      <w:r>
        <w:rPr>
          <w:rStyle w:val="35"/>
          <w:rFonts w:hAnsi="Times New Roman"/>
          <w:caps w:val="0"/>
        </w:rPr>
        <w:t>ording in</w:t>
      </w:r>
      <w:r>
        <w:rPr>
          <w:rStyle w:val="35"/>
          <w:rFonts w:hAnsi="Times New Roman"/>
        </w:rPr>
        <w:t xml:space="preserve"> t</w:t>
      </w:r>
      <w:r>
        <w:rPr>
          <w:rStyle w:val="35"/>
          <w:rFonts w:hAnsi="Times New Roman"/>
          <w:caps w:val="0"/>
        </w:rPr>
        <w:t>his</w:t>
      </w:r>
      <w:r>
        <w:rPr>
          <w:rStyle w:val="35"/>
          <w:rFonts w:hAnsi="Times New Roman"/>
        </w:rPr>
        <w:t xml:space="preserve"> s</w:t>
      </w:r>
      <w:r>
        <w:rPr>
          <w:rStyle w:val="35"/>
          <w:rFonts w:hAnsi="Times New Roman"/>
          <w:caps w:val="0"/>
        </w:rPr>
        <w:t>pecification</w:t>
      </w:r>
      <w:r>
        <w:tab/>
      </w:r>
      <w:r>
        <w:fldChar w:fldCharType="begin"/>
      </w:r>
      <w:r>
        <w:instrText xml:space="preserve"> PAGEREF _Toc90922385 \h </w:instrText>
      </w:r>
      <w:r>
        <w:fldChar w:fldCharType="separate"/>
      </w:r>
      <w:r>
        <w:t>45</w:t>
      </w:r>
      <w:r>
        <w:fldChar w:fldCharType="end"/>
      </w:r>
      <w:r>
        <w:fldChar w:fldCharType="end"/>
      </w:r>
    </w:p>
    <w:p>
      <w:pPr>
        <w:pStyle w:val="23"/>
        <w:rPr>
          <w:rFonts w:asciiTheme="minorHAnsi" w:hAnsiTheme="minorHAnsi" w:eastAsiaTheme="minorEastAsia" w:cstheme="minorBidi"/>
          <w:b w:val="0"/>
          <w:bCs w:val="0"/>
          <w:caps w:val="0"/>
          <w:sz w:val="21"/>
          <w:szCs w:val="22"/>
        </w:rPr>
      </w:pPr>
      <w:r>
        <w:fldChar w:fldCharType="begin"/>
      </w:r>
      <w:r>
        <w:instrText xml:space="preserve"> HYPERLINK \l "_Toc90922386" </w:instrText>
      </w:r>
      <w:r>
        <w:fldChar w:fldCharType="separate"/>
      </w:r>
      <w:r>
        <w:rPr>
          <w:rStyle w:val="35"/>
          <w:rFonts w:hint="eastAsia" w:hAnsi="Times New Roman"/>
        </w:rPr>
        <w:t>l</w:t>
      </w:r>
      <w:r>
        <w:rPr>
          <w:rStyle w:val="35"/>
          <w:rFonts w:hAnsi="Times New Roman"/>
          <w:caps w:val="0"/>
        </w:rPr>
        <w:t>ist of</w:t>
      </w:r>
      <w:r>
        <w:rPr>
          <w:rStyle w:val="35"/>
          <w:rFonts w:hint="eastAsia" w:hAnsi="Times New Roman"/>
        </w:rPr>
        <w:t xml:space="preserve"> q</w:t>
      </w:r>
      <w:r>
        <w:rPr>
          <w:rStyle w:val="35"/>
          <w:rFonts w:hAnsi="Times New Roman"/>
          <w:caps w:val="0"/>
        </w:rPr>
        <w:t>uoted</w:t>
      </w:r>
      <w:r>
        <w:rPr>
          <w:rStyle w:val="35"/>
          <w:rFonts w:hint="eastAsia" w:hAnsi="Times New Roman"/>
          <w:caps w:val="0"/>
        </w:rPr>
        <w:t xml:space="preserve"> </w:t>
      </w:r>
      <w:r>
        <w:rPr>
          <w:rStyle w:val="35"/>
          <w:rFonts w:hint="eastAsia" w:hAnsi="Times New Roman"/>
        </w:rPr>
        <w:t>s</w:t>
      </w:r>
      <w:r>
        <w:rPr>
          <w:rStyle w:val="35"/>
          <w:rFonts w:hAnsi="Times New Roman"/>
          <w:caps w:val="0"/>
        </w:rPr>
        <w:t>tandards</w:t>
      </w:r>
      <w:r>
        <w:tab/>
      </w:r>
      <w:r>
        <w:fldChar w:fldCharType="begin"/>
      </w:r>
      <w:r>
        <w:instrText xml:space="preserve"> PAGEREF _Toc90922386 \h </w:instrText>
      </w:r>
      <w:r>
        <w:fldChar w:fldCharType="separate"/>
      </w:r>
      <w:r>
        <w:t>46</w:t>
      </w:r>
      <w:r>
        <w:fldChar w:fldCharType="end"/>
      </w:r>
      <w:r>
        <w:fldChar w:fldCharType="end"/>
      </w:r>
    </w:p>
    <w:p>
      <w:pPr>
        <w:spacing w:line="380" w:lineRule="exact"/>
        <w:ind w:firstLine="480"/>
        <w:rPr>
          <w:sz w:val="24"/>
        </w:rPr>
        <w:sectPr>
          <w:type w:val="continuous"/>
          <w:pgSz w:w="11907" w:h="16840"/>
          <w:pgMar w:top="1077" w:right="1077" w:bottom="1418" w:left="1418" w:header="851" w:footer="992" w:gutter="0"/>
          <w:pgNumType w:start="1"/>
          <w:cols w:space="720" w:num="1"/>
          <w:docGrid w:linePitch="312" w:charSpace="0"/>
        </w:sectPr>
      </w:pPr>
      <w:r>
        <w:rPr>
          <w:b/>
          <w:bCs/>
          <w:lang w:val="zh-CN"/>
        </w:rPr>
        <w:fldChar w:fldCharType="end"/>
      </w:r>
    </w:p>
    <w:p>
      <w:pPr>
        <w:pStyle w:val="2"/>
        <w:numPr>
          <w:ilvl w:val="0"/>
          <w:numId w:val="0"/>
        </w:numPr>
        <w:spacing w:line="400" w:lineRule="exact"/>
        <w:rPr>
          <w:rFonts w:ascii="Times New Roman" w:hAnsi="Times New Roman"/>
          <w:color w:val="000000"/>
        </w:rPr>
      </w:pPr>
      <w:bookmarkStart w:id="5" w:name="_Toc118780425"/>
      <w:bookmarkStart w:id="6" w:name="_Toc118777943"/>
      <w:bookmarkStart w:id="7" w:name="_Toc118779286"/>
      <w:bookmarkStart w:id="8" w:name="_Toc118777709"/>
      <w:bookmarkStart w:id="9" w:name="_Toc118777642"/>
      <w:bookmarkStart w:id="10" w:name="_Toc97019158"/>
      <w:bookmarkStart w:id="11" w:name="_Toc118790238"/>
      <w:bookmarkStart w:id="12" w:name="_Toc118791268"/>
      <w:bookmarkStart w:id="13" w:name="_Toc118790880"/>
      <w:bookmarkStart w:id="14" w:name="_Toc118864909"/>
      <w:bookmarkStart w:id="15" w:name="_Toc90922366"/>
      <w:bookmarkStart w:id="16" w:name="_Toc257127742"/>
      <w:bookmarkStart w:id="17" w:name="_Toc118797666"/>
      <w:bookmarkStart w:id="18" w:name="_Toc118777905"/>
      <w:r>
        <w:rPr>
          <w:rFonts w:ascii="Times New Roman" w:hAnsi="Times New Roman"/>
          <w:color w:val="000000"/>
        </w:rPr>
        <w:t>1  总 则</w:t>
      </w:r>
      <w:bookmarkEnd w:id="5"/>
      <w:bookmarkEnd w:id="6"/>
      <w:bookmarkEnd w:id="7"/>
      <w:bookmarkEnd w:id="8"/>
      <w:bookmarkEnd w:id="9"/>
      <w:bookmarkEnd w:id="10"/>
      <w:bookmarkEnd w:id="11"/>
      <w:bookmarkEnd w:id="12"/>
      <w:bookmarkEnd w:id="13"/>
      <w:bookmarkEnd w:id="14"/>
      <w:bookmarkEnd w:id="15"/>
      <w:bookmarkEnd w:id="16"/>
      <w:bookmarkEnd w:id="17"/>
      <w:bookmarkEnd w:id="18"/>
    </w:p>
    <w:p>
      <w:pPr>
        <w:tabs>
          <w:tab w:val="right" w:pos="8400"/>
        </w:tabs>
        <w:adjustRightInd w:val="0"/>
        <w:snapToGrid w:val="0"/>
        <w:spacing w:line="360" w:lineRule="auto"/>
        <w:ind w:firstLine="482"/>
        <w:rPr>
          <w:rFonts w:hAnsi="宋体"/>
        </w:rPr>
      </w:pPr>
      <w:r>
        <w:rPr>
          <w:b/>
        </w:rPr>
        <w:t>1.0.1</w:t>
      </w:r>
      <w:r>
        <w:rPr>
          <w:rFonts w:hint="eastAsia" w:hAnsi="宋体"/>
        </w:rPr>
        <w:t>为使车辆基地上盖建筑结构的设计与施工做到安全适用、技术先进、经济合理，施工便利</w:t>
      </w:r>
      <w:r>
        <w:rPr>
          <w:rFonts w:hAnsi="宋体"/>
        </w:rPr>
        <w:t>，</w:t>
      </w:r>
      <w:r>
        <w:rPr>
          <w:rFonts w:hint="eastAsia" w:hAnsi="宋体"/>
        </w:rPr>
        <w:t>节能环保，</w:t>
      </w:r>
      <w:r>
        <w:rPr>
          <w:rFonts w:hAnsi="宋体"/>
        </w:rPr>
        <w:t>结合设计经验和工程实践，</w:t>
      </w:r>
      <w:r>
        <w:rPr>
          <w:rFonts w:hint="eastAsia" w:hAnsi="宋体"/>
        </w:rPr>
        <w:t>制定本标准。</w:t>
      </w:r>
    </w:p>
    <w:p>
      <w:pPr>
        <w:tabs>
          <w:tab w:val="right" w:pos="8400"/>
        </w:tabs>
        <w:adjustRightInd w:val="0"/>
        <w:snapToGrid w:val="0"/>
        <w:spacing w:line="360" w:lineRule="auto"/>
        <w:ind w:firstLine="482"/>
        <w:rPr>
          <w:rFonts w:hAnsi="宋体"/>
        </w:rPr>
      </w:pPr>
      <w:r>
        <w:rPr>
          <w:b/>
        </w:rPr>
        <w:t>1.0.2</w:t>
      </w:r>
      <w:r>
        <w:rPr>
          <w:rFonts w:hint="eastAsia" w:hAnsi="宋体"/>
        </w:rPr>
        <w:t>车辆基地上盖结构设计除应符合本标准的规定外，尚应符合国家及行业现行标准、规范和规程的相关规定。</w:t>
      </w:r>
    </w:p>
    <w:p>
      <w:pPr>
        <w:tabs>
          <w:tab w:val="right" w:pos="8400"/>
        </w:tabs>
        <w:adjustRightInd w:val="0"/>
        <w:snapToGrid w:val="0"/>
        <w:spacing w:line="360" w:lineRule="auto"/>
        <w:ind w:firstLine="480"/>
      </w:pPr>
      <w:r>
        <w:rPr>
          <w:rFonts w:hint="eastAsia" w:eastAsia="等线"/>
          <w:b/>
          <w:bCs/>
        </w:rPr>
        <w:t>[条文说明]</w:t>
      </w:r>
      <w:r>
        <w:rPr>
          <w:rFonts w:hint="eastAsia" w:hAnsi="宋体"/>
        </w:rPr>
        <w:t xml:space="preserve"> 本标准是对《建筑抗震设计规范》GB50011、《高层建筑混凝土结构技术规程》JGJ</w:t>
      </w:r>
      <w:r>
        <w:rPr>
          <w:rFonts w:hAnsi="宋体"/>
        </w:rPr>
        <w:t>3</w:t>
      </w:r>
      <w:r>
        <w:rPr>
          <w:rFonts w:hint="eastAsia" w:hAnsi="宋体"/>
        </w:rPr>
        <w:t>等标准、规范、和规程的补充</w:t>
      </w:r>
      <w:r>
        <w:rPr>
          <w:rFonts w:hint="eastAsia"/>
        </w:rPr>
        <w:t>，重点关注车辆基地及其上盖建筑结构设计中疑难问题的解决和相关新技术的应用，为实现车辆基地上盖使用的特殊要求提供设计依据。所涉及的结构形式、计算方法均经过深入研究和试验论证。现行标准、规范、规程有明确规定的相关问题，本</w:t>
      </w:r>
      <w:r>
        <w:t>设计标准</w:t>
      </w:r>
      <w:r>
        <w:rPr>
          <w:rFonts w:hint="eastAsia"/>
        </w:rPr>
        <w:t>一般不再赘述。</w:t>
      </w:r>
    </w:p>
    <w:p>
      <w:pPr>
        <w:tabs>
          <w:tab w:val="right" w:pos="8400"/>
        </w:tabs>
        <w:adjustRightInd w:val="0"/>
        <w:snapToGrid w:val="0"/>
        <w:spacing w:line="360" w:lineRule="auto"/>
        <w:ind w:firstLine="482"/>
        <w:rPr>
          <w:rFonts w:hAnsi="宋体"/>
        </w:rPr>
      </w:pPr>
      <w:r>
        <w:rPr>
          <w:b/>
        </w:rPr>
        <w:t>1.0.3</w:t>
      </w:r>
      <w:r>
        <w:rPr>
          <w:rFonts w:hint="eastAsia" w:hAnsi="宋体"/>
        </w:rPr>
        <w:t>车辆基地上盖建筑可根据上盖建筑结构体系及车辆基地各库、区（站）的工艺要求和结构特点，选择采用抗震、隔震及消能减震（振）等技术方法进行设计；全框支转换结构应采用结构抗震性能设计方法进行分析和论证。</w:t>
      </w:r>
    </w:p>
    <w:p>
      <w:pPr>
        <w:widowControl/>
        <w:spacing w:line="360" w:lineRule="auto"/>
        <w:ind w:firstLine="480"/>
      </w:pPr>
      <w:r>
        <w:rPr>
          <w:rFonts w:hint="eastAsia" w:eastAsia="等线"/>
          <w:b/>
          <w:bCs/>
        </w:rPr>
        <w:t>[条文说明]</w:t>
      </w:r>
      <w:r>
        <w:rPr>
          <w:rFonts w:hint="eastAsia"/>
        </w:rPr>
        <w:t>本条旨在提供多种车辆基地上盖抗震设计思路，丰富设计方法。如对于大（架）修库等跨度较大（21m左右），层高较高（14m左右），内有桥式起重机的厂房，采用传统的抗震设计方法，很难满足上盖建筑高度提升的要求，可考虑采用层间隔震的设计方法；当上盖建筑传给厂房结构的地震作用超过预留承载能力时，可考虑采用消能减震（振）的设计方法等。</w:t>
      </w:r>
    </w:p>
    <w:p>
      <w:pPr>
        <w:tabs>
          <w:tab w:val="right" w:pos="8400"/>
        </w:tabs>
        <w:adjustRightInd w:val="0"/>
        <w:snapToGrid w:val="0"/>
        <w:spacing w:line="360" w:lineRule="auto"/>
        <w:ind w:firstLine="480"/>
        <w:rPr>
          <w:rFonts w:hAnsi="宋体"/>
        </w:rPr>
      </w:pPr>
      <w:r>
        <w:rPr>
          <w:b/>
        </w:rPr>
        <w:t>1.0.4</w:t>
      </w:r>
      <w:r>
        <w:rPr>
          <w:rFonts w:hint="eastAsia" w:hAnsi="宋体"/>
        </w:rPr>
        <w:t>车辆基地上盖全框支转换结构，应具有合理的屈服机制，保证在遭遇罕遇地震时转换层以上结构具有良好的弹塑性耗能能力，转换构件具有适宜的承载能力，底部框支框架晚于转换层以上部分结构屈服，不发生影响生命安全的破坏。</w:t>
      </w:r>
    </w:p>
    <w:p>
      <w:pPr>
        <w:tabs>
          <w:tab w:val="right" w:pos="8400"/>
        </w:tabs>
        <w:adjustRightInd w:val="0"/>
        <w:snapToGrid w:val="0"/>
        <w:spacing w:line="360" w:lineRule="auto"/>
        <w:ind w:firstLine="480"/>
      </w:pPr>
      <w:r>
        <w:rPr>
          <w:rFonts w:hint="eastAsia" w:eastAsia="等线"/>
          <w:b/>
          <w:bCs/>
        </w:rPr>
        <w:t>[条文说明]</w:t>
      </w:r>
      <w:r>
        <w:rPr>
          <w:rFonts w:hint="eastAsia"/>
        </w:rPr>
        <w:t>本条为全框支剪力墙结构设计的原则，通过合理设计，使罕遇地震作用下大部分地震能量耗散在转换层以上的结构，从而减小底框的地震输入，确保转换构件满足性能设计的要求，不发生影响生命安全的破坏。同济大学、广州大学已完成了多个全框支转换结构振动台试验，包括梁式、厚板转换等，证明按上述原则设计的结构屈服机制合理，可确保在罕遇地震作用下的结构安全。</w:t>
      </w:r>
    </w:p>
    <w:p>
      <w:pPr>
        <w:tabs>
          <w:tab w:val="right" w:pos="8400"/>
        </w:tabs>
        <w:adjustRightInd w:val="0"/>
        <w:snapToGrid w:val="0"/>
        <w:spacing w:line="360" w:lineRule="auto"/>
        <w:ind w:firstLine="482"/>
        <w:rPr>
          <w:rFonts w:hAnsi="宋体"/>
        </w:rPr>
      </w:pPr>
      <w:r>
        <w:rPr>
          <w:b/>
        </w:rPr>
        <w:t>1.0.5</w:t>
      </w:r>
      <w:r>
        <w:rPr>
          <w:rFonts w:hint="eastAsia" w:hAnsi="宋体"/>
        </w:rPr>
        <w:t>本标准适用于深圳地区（含深汕特别合作区）新建、改建和扩建的车辆基地上盖建筑结构设计，其它抗震设防烈度为7度(0.1g)及6度地区的类似工程可参考应用。</w:t>
      </w:r>
    </w:p>
    <w:p>
      <w:pPr>
        <w:tabs>
          <w:tab w:val="right" w:pos="8400"/>
        </w:tabs>
        <w:adjustRightInd w:val="0"/>
        <w:snapToGrid w:val="0"/>
        <w:spacing w:line="360" w:lineRule="auto"/>
        <w:ind w:firstLine="480"/>
      </w:pPr>
      <w:r>
        <w:rPr>
          <w:rFonts w:hAnsi="宋体"/>
        </w:rPr>
        <w:br w:type="page"/>
      </w:r>
      <w:bookmarkStart w:id="19" w:name="_Toc118777643"/>
      <w:bookmarkStart w:id="20" w:name="_Toc118791269"/>
      <w:bookmarkStart w:id="21" w:name="_Toc118779287"/>
      <w:bookmarkStart w:id="22" w:name="_Toc97019159"/>
      <w:bookmarkStart w:id="23" w:name="_Toc118790239"/>
      <w:bookmarkStart w:id="24" w:name="_Toc118777710"/>
      <w:bookmarkStart w:id="25" w:name="_Toc118864910"/>
      <w:bookmarkStart w:id="26" w:name="_Toc118780426"/>
      <w:bookmarkStart w:id="27" w:name="_Toc118797667"/>
      <w:bookmarkStart w:id="28" w:name="_Toc118777944"/>
      <w:bookmarkStart w:id="29" w:name="_Toc118777906"/>
      <w:bookmarkStart w:id="30" w:name="_Toc118790881"/>
    </w:p>
    <w:p>
      <w:pPr>
        <w:pStyle w:val="2"/>
        <w:numPr>
          <w:ilvl w:val="0"/>
          <w:numId w:val="0"/>
        </w:numPr>
        <w:spacing w:line="400" w:lineRule="exact"/>
        <w:rPr>
          <w:rFonts w:ascii="Times New Roman" w:hAnsi="Times New Roman"/>
          <w:color w:val="000000"/>
        </w:rPr>
      </w:pPr>
      <w:bookmarkStart w:id="31" w:name="_Toc257127743"/>
      <w:bookmarkStart w:id="32" w:name="_Toc90922367"/>
      <w:r>
        <w:rPr>
          <w:rFonts w:ascii="Times New Roman" w:hAnsi="Times New Roman"/>
          <w:color w:val="000000"/>
        </w:rPr>
        <w:t>2  术语与符号</w:t>
      </w:r>
      <w:bookmarkEnd w:id="19"/>
      <w:bookmarkEnd w:id="20"/>
      <w:bookmarkEnd w:id="21"/>
      <w:bookmarkEnd w:id="22"/>
      <w:bookmarkEnd w:id="23"/>
      <w:bookmarkEnd w:id="24"/>
      <w:bookmarkEnd w:id="25"/>
      <w:bookmarkEnd w:id="26"/>
      <w:bookmarkEnd w:id="27"/>
      <w:bookmarkEnd w:id="28"/>
      <w:bookmarkEnd w:id="29"/>
      <w:bookmarkEnd w:id="30"/>
      <w:bookmarkEnd w:id="31"/>
      <w:bookmarkEnd w:id="32"/>
    </w:p>
    <w:p>
      <w:pPr>
        <w:ind w:firstLine="480"/>
      </w:pPr>
    </w:p>
    <w:p>
      <w:pPr>
        <w:pStyle w:val="3"/>
      </w:pPr>
      <w:bookmarkStart w:id="33" w:name="_Toc118790882"/>
      <w:bookmarkStart w:id="34" w:name="_Toc118779288"/>
      <w:bookmarkStart w:id="35" w:name="_Toc118780427"/>
      <w:bookmarkStart w:id="36" w:name="_Toc257127744"/>
      <w:bookmarkStart w:id="37" w:name="_Toc118864911"/>
      <w:bookmarkStart w:id="38" w:name="_Toc118777907"/>
      <w:bookmarkStart w:id="39" w:name="_Toc118777711"/>
      <w:bookmarkStart w:id="40" w:name="_Toc97019160"/>
      <w:bookmarkStart w:id="41" w:name="_Toc118777945"/>
      <w:bookmarkStart w:id="42" w:name="_Toc118797668"/>
      <w:bookmarkStart w:id="43" w:name="_Toc118777644"/>
      <w:bookmarkStart w:id="44" w:name="_Toc118791270"/>
      <w:bookmarkStart w:id="45" w:name="_Toc118790240"/>
      <w:bookmarkStart w:id="46" w:name="_Toc90922368"/>
      <w:r>
        <w:t>2.1  术 语</w:t>
      </w:r>
      <w:bookmarkEnd w:id="33"/>
      <w:bookmarkEnd w:id="34"/>
      <w:bookmarkEnd w:id="35"/>
      <w:bookmarkEnd w:id="36"/>
      <w:bookmarkEnd w:id="37"/>
      <w:bookmarkEnd w:id="38"/>
      <w:bookmarkEnd w:id="39"/>
      <w:bookmarkEnd w:id="40"/>
      <w:bookmarkEnd w:id="41"/>
      <w:bookmarkEnd w:id="42"/>
      <w:bookmarkEnd w:id="43"/>
      <w:bookmarkEnd w:id="44"/>
      <w:bookmarkEnd w:id="45"/>
      <w:bookmarkEnd w:id="46"/>
    </w:p>
    <w:p>
      <w:pPr>
        <w:adjustRightInd w:val="0"/>
        <w:snapToGrid w:val="0"/>
        <w:spacing w:line="360" w:lineRule="auto"/>
        <w:ind w:firstLine="482"/>
        <w:rPr>
          <w:rFonts w:hAnsi="宋体"/>
        </w:rPr>
      </w:pPr>
      <w:bookmarkStart w:id="47" w:name="_Toc392689862"/>
      <w:bookmarkStart w:id="48" w:name="_Toc392689176"/>
      <w:r>
        <w:rPr>
          <w:b/>
        </w:rPr>
        <w:t xml:space="preserve">2.1.1 </w:t>
      </w:r>
      <w:r>
        <w:rPr>
          <w:rFonts w:hint="eastAsia" w:hAnsi="宋体"/>
        </w:rPr>
        <w:t>全框支转换结构bottom-frame support</w:t>
      </w:r>
      <w:r>
        <w:rPr>
          <w:rFonts w:hAnsi="宋体"/>
        </w:rPr>
        <w:t xml:space="preserve"> transfer</w:t>
      </w:r>
      <w:r>
        <w:rPr>
          <w:rFonts w:hint="eastAsia" w:hAnsi="宋体"/>
        </w:rPr>
        <w:t xml:space="preserve"> structure</w:t>
      </w:r>
    </w:p>
    <w:p>
      <w:pPr>
        <w:adjustRightInd w:val="0"/>
        <w:snapToGrid w:val="0"/>
        <w:spacing w:line="360" w:lineRule="auto"/>
        <w:ind w:firstLine="420" w:firstLineChars="200"/>
      </w:pPr>
      <w:r>
        <w:rPr>
          <w:rFonts w:hint="eastAsia" w:hAnsi="宋体"/>
        </w:rPr>
        <w:t>转换层以下为框架及框支框架，转换层以上为其它结构形式的转换结构。包括全框支框架-核心筒结构、、全框支剪力墙结构、全框支框架-剪力墙结构等。</w:t>
      </w:r>
      <w:bookmarkEnd w:id="47"/>
      <w:bookmarkEnd w:id="48"/>
    </w:p>
    <w:p>
      <w:pPr>
        <w:adjustRightInd w:val="0"/>
        <w:snapToGrid w:val="0"/>
        <w:spacing w:line="360" w:lineRule="auto"/>
        <w:ind w:firstLine="482"/>
        <w:rPr>
          <w:rFonts w:hAnsi="宋体"/>
        </w:rPr>
      </w:pPr>
      <w:bookmarkStart w:id="49" w:name="_Toc392689177"/>
      <w:bookmarkStart w:id="50" w:name="_Toc392689863"/>
      <w:r>
        <w:rPr>
          <w:b/>
        </w:rPr>
        <w:t xml:space="preserve">2.1.2 </w:t>
      </w:r>
      <w:r>
        <w:rPr>
          <w:rFonts w:hint="eastAsia" w:hAnsi="宋体"/>
        </w:rPr>
        <w:t>全框支-剪力墙结构 bottom-frame support shear</w:t>
      </w:r>
      <w:r>
        <w:rPr>
          <w:rFonts w:hAnsi="宋体"/>
        </w:rPr>
        <w:t>-</w:t>
      </w:r>
      <w:r>
        <w:rPr>
          <w:rFonts w:hint="eastAsia" w:hAnsi="宋体"/>
        </w:rPr>
        <w:t>wall</w:t>
      </w:r>
      <w:r>
        <w:rPr>
          <w:rFonts w:hAnsi="宋体"/>
        </w:rPr>
        <w:t xml:space="preserve"> </w:t>
      </w:r>
      <w:r>
        <w:rPr>
          <w:rFonts w:hint="eastAsia" w:hAnsi="宋体"/>
        </w:rPr>
        <w:t>structure</w:t>
      </w:r>
    </w:p>
    <w:p>
      <w:pPr>
        <w:adjustRightInd w:val="0"/>
        <w:snapToGrid w:val="0"/>
        <w:spacing w:line="360" w:lineRule="auto"/>
        <w:ind w:firstLine="420" w:firstLineChars="200"/>
        <w:rPr>
          <w:rFonts w:hAnsi="宋体"/>
        </w:rPr>
      </w:pPr>
      <w:r>
        <w:rPr>
          <w:rFonts w:hint="eastAsia" w:hAnsi="宋体"/>
        </w:rPr>
        <w:t>转换层及以下为框架及框支框架，转换层以上为剪力墙结构的结构。</w:t>
      </w:r>
      <w:bookmarkEnd w:id="49"/>
      <w:bookmarkEnd w:id="50"/>
    </w:p>
    <w:p>
      <w:pPr>
        <w:adjustRightInd w:val="0"/>
        <w:snapToGrid w:val="0"/>
        <w:spacing w:line="360" w:lineRule="auto"/>
        <w:ind w:firstLine="482"/>
        <w:rPr>
          <w:rFonts w:hAnsi="宋体"/>
        </w:rPr>
      </w:pPr>
      <w:bookmarkStart w:id="51" w:name="_Toc392689178"/>
      <w:bookmarkStart w:id="52" w:name="_Toc392689864"/>
      <w:r>
        <w:rPr>
          <w:b/>
        </w:rPr>
        <w:t xml:space="preserve">2.1.3 </w:t>
      </w:r>
      <w:r>
        <w:rPr>
          <w:rFonts w:hint="eastAsia" w:hAnsi="宋体"/>
        </w:rPr>
        <w:t>车辆基地</w:t>
      </w:r>
      <w:r>
        <w:rPr>
          <w:rFonts w:hAnsi="宋体"/>
        </w:rPr>
        <w:t xml:space="preserve"> </w:t>
      </w:r>
      <w:r>
        <w:rPr>
          <w:rFonts w:hint="eastAsia" w:hAnsi="宋体"/>
        </w:rPr>
        <w:t>b</w:t>
      </w:r>
      <w:r>
        <w:rPr>
          <w:rFonts w:hAnsi="宋体"/>
        </w:rPr>
        <w:t>ase for the vehicle</w:t>
      </w:r>
    </w:p>
    <w:p>
      <w:pPr>
        <w:adjustRightInd w:val="0"/>
        <w:snapToGrid w:val="0"/>
        <w:spacing w:line="360" w:lineRule="auto"/>
        <w:ind w:firstLine="420" w:firstLineChars="200"/>
        <w:rPr>
          <w:rFonts w:hAnsi="宋体"/>
        </w:rPr>
      </w:pPr>
      <w:r>
        <w:rPr>
          <w:rFonts w:hint="eastAsia" w:hAnsi="宋体"/>
        </w:rPr>
        <w:t>地铁系统的车辆停修和后勤保障基地，通常包括车辆段（停车场）、综合维修中心、物资总库、培训中心等部分，以及相关的生活设施。工程上习惯统称为“车辆段（depot）”。</w:t>
      </w:r>
      <w:bookmarkEnd w:id="51"/>
      <w:bookmarkEnd w:id="52"/>
    </w:p>
    <w:p>
      <w:pPr>
        <w:adjustRightInd w:val="0"/>
        <w:snapToGrid w:val="0"/>
        <w:spacing w:line="360" w:lineRule="auto"/>
        <w:ind w:firstLine="480"/>
        <w:rPr>
          <w:szCs w:val="21"/>
        </w:rPr>
      </w:pPr>
      <w:r>
        <w:rPr>
          <w:rFonts w:hint="eastAsia" w:eastAsia="等线"/>
          <w:b/>
          <w:bCs/>
        </w:rPr>
        <w:t>[条文说明]</w:t>
      </w:r>
      <w:r>
        <w:rPr>
          <w:rFonts w:hint="eastAsia"/>
          <w:szCs w:val="21"/>
        </w:rPr>
        <w:t xml:space="preserve"> 根据《地铁设计规范》GB50157-2013编制说明，目前国内对地铁车辆段、停车场的名称尚不完全统一，如有些文件对承担车辆检修任务的车辆段称“车厂或车辆工场”；对承担车辆运用整备及日常维修任务的停车场称“运用段或车场”，这给工程建设和管理，特别是地铁工程设计文件的统一和规范化带来了一定的麻烦和不便。</w:t>
      </w:r>
    </w:p>
    <w:p>
      <w:pPr>
        <w:adjustRightInd w:val="0"/>
        <w:snapToGrid w:val="0"/>
        <w:spacing w:line="360" w:lineRule="auto"/>
        <w:ind w:firstLine="480"/>
        <w:rPr>
          <w:szCs w:val="21"/>
        </w:rPr>
      </w:pPr>
      <w:r>
        <w:rPr>
          <w:rFonts w:hint="eastAsia"/>
          <w:szCs w:val="21"/>
        </w:rPr>
        <w:t>关于“车辆基地”的名称，原《地下铁道设计规范》GB50157</w:t>
      </w:r>
      <w:r>
        <w:rPr>
          <w:szCs w:val="21"/>
        </w:rPr>
        <w:t>-92</w:t>
      </w:r>
      <w:r>
        <w:rPr>
          <w:rFonts w:hint="eastAsia"/>
          <w:szCs w:val="21"/>
        </w:rPr>
        <w:t>曾采用“车辆段及其他基地”，《地铁设计规范》GB50157</w:t>
      </w:r>
      <w:r>
        <w:rPr>
          <w:szCs w:val="21"/>
        </w:rPr>
        <w:t>-2003</w:t>
      </w:r>
      <w:r>
        <w:rPr>
          <w:rFonts w:hint="eastAsia"/>
          <w:szCs w:val="21"/>
        </w:rPr>
        <w:t>改用“车辆段与综合基地”，《地铁设计规范》GB50157</w:t>
      </w:r>
      <w:r>
        <w:rPr>
          <w:szCs w:val="21"/>
        </w:rPr>
        <w:t>-2013</w:t>
      </w:r>
      <w:r>
        <w:rPr>
          <w:rFonts w:hint="eastAsia"/>
          <w:szCs w:val="21"/>
        </w:rPr>
        <w:t>，根据多年来地铁工程建设实践，基于本“基地”是以车辆检修和日常维修为主体，集约车辆段（停车场）、综合维修中心、物资总库、培训中心及相关设施而形成的综合性生产单位，并</w:t>
      </w:r>
      <w:bookmarkStart w:id="53" w:name="_Hlk53822122"/>
      <w:r>
        <w:rPr>
          <w:rFonts w:hint="eastAsia"/>
          <w:szCs w:val="21"/>
        </w:rPr>
        <w:t>考虑到国内现行相关标准和规范的现实</w:t>
      </w:r>
      <w:bookmarkEnd w:id="53"/>
      <w:r>
        <w:rPr>
          <w:rFonts w:hint="eastAsia"/>
          <w:szCs w:val="21"/>
        </w:rPr>
        <w:t>，统一名称为“车辆基地”。“车辆基地”是包括上述多个单位在内的综合体总称，在工程设计中，通常可用相应的车辆段或停车场命名，必须明确设有车辆段的基地是车辆基地，仅设停车场的基地也是车辆基地，两者只是规模不同而已。</w:t>
      </w:r>
    </w:p>
    <w:p>
      <w:pPr>
        <w:adjustRightInd w:val="0"/>
        <w:snapToGrid w:val="0"/>
        <w:spacing w:line="360" w:lineRule="auto"/>
        <w:ind w:firstLine="480"/>
        <w:rPr>
          <w:rFonts w:hAnsi="宋体"/>
        </w:rPr>
      </w:pPr>
      <w:r>
        <w:rPr>
          <w:rFonts w:hint="eastAsia"/>
          <w:szCs w:val="21"/>
        </w:rPr>
        <w:t>本标准采用更为严谨的术语“车辆基地”，与国家相关标准表述保持一致。</w:t>
      </w:r>
    </w:p>
    <w:p>
      <w:pPr>
        <w:adjustRightInd w:val="0"/>
        <w:snapToGrid w:val="0"/>
        <w:spacing w:line="360" w:lineRule="auto"/>
        <w:ind w:firstLine="482"/>
        <w:rPr>
          <w:rFonts w:hAnsi="宋体"/>
        </w:rPr>
      </w:pPr>
      <w:bookmarkStart w:id="54" w:name="_Toc392689179"/>
      <w:bookmarkStart w:id="55" w:name="_Toc392689865"/>
      <w:r>
        <w:rPr>
          <w:b/>
        </w:rPr>
        <w:t xml:space="preserve">2.1.4 </w:t>
      </w:r>
      <w:r>
        <w:rPr>
          <w:rFonts w:hint="eastAsia" w:hAnsi="宋体"/>
        </w:rPr>
        <w:t>限界 gauge</w:t>
      </w:r>
    </w:p>
    <w:p>
      <w:pPr>
        <w:adjustRightInd w:val="0"/>
        <w:snapToGrid w:val="0"/>
        <w:spacing w:line="360" w:lineRule="auto"/>
        <w:ind w:firstLine="420" w:firstLineChars="200"/>
        <w:rPr>
          <w:rFonts w:hAnsi="宋体"/>
        </w:rPr>
      </w:pPr>
      <w:r>
        <w:rPr>
          <w:rFonts w:hint="eastAsia" w:hAnsi="宋体"/>
        </w:rPr>
        <w:t>限定车辆运行及轨道区周围构筑物超越的轮廓线，分车辆限界、设备限界和建筑限界。</w:t>
      </w:r>
      <w:bookmarkEnd w:id="54"/>
      <w:bookmarkEnd w:id="55"/>
    </w:p>
    <w:p>
      <w:pPr>
        <w:tabs>
          <w:tab w:val="right" w:pos="8400"/>
        </w:tabs>
        <w:adjustRightInd w:val="0"/>
        <w:snapToGrid w:val="0"/>
        <w:spacing w:line="360" w:lineRule="auto"/>
        <w:ind w:firstLine="482"/>
      </w:pPr>
      <w:r>
        <w:rPr>
          <w:b/>
        </w:rPr>
        <w:t>2.1.5</w:t>
      </w:r>
      <w:r>
        <w:rPr>
          <w:rFonts w:hint="eastAsia"/>
        </w:rPr>
        <w:t>上盖建筑superstructure</w:t>
      </w:r>
    </w:p>
    <w:p>
      <w:pPr>
        <w:adjustRightInd w:val="0"/>
        <w:snapToGrid w:val="0"/>
        <w:spacing w:line="360" w:lineRule="auto"/>
        <w:ind w:firstLine="420" w:firstLineChars="200"/>
      </w:pPr>
      <w:r>
        <w:rPr>
          <w:rFonts w:hint="eastAsia"/>
        </w:rPr>
        <w:t>利用车辆基地上部空间建造的建（构）筑物，有时也简称为“上盖”。</w:t>
      </w:r>
    </w:p>
    <w:p>
      <w:pPr>
        <w:tabs>
          <w:tab w:val="right" w:pos="8400"/>
        </w:tabs>
        <w:adjustRightInd w:val="0"/>
        <w:snapToGrid w:val="0"/>
        <w:spacing w:line="360" w:lineRule="auto"/>
        <w:ind w:firstLine="482"/>
      </w:pPr>
      <w:r>
        <w:rPr>
          <w:b/>
        </w:rPr>
        <w:t>2.1.6</w:t>
      </w:r>
      <w:r>
        <w:rPr>
          <w:rFonts w:hint="eastAsia"/>
        </w:rPr>
        <w:t>盖板 top</w:t>
      </w:r>
      <w:r>
        <w:t xml:space="preserve"> cover plan</w:t>
      </w:r>
    </w:p>
    <w:p>
      <w:pPr>
        <w:adjustRightInd w:val="0"/>
        <w:snapToGrid w:val="0"/>
        <w:spacing w:line="360" w:lineRule="auto"/>
        <w:ind w:firstLine="420" w:firstLineChars="200"/>
      </w:pPr>
      <w:r>
        <w:rPr>
          <w:rFonts w:hint="eastAsia"/>
        </w:rPr>
        <w:t>通常指车辆基地与其上部其他功能场所之间的分隔楼板，区别于白地（与车辆基地上部空间同时出让的周边其它土地），是车辆基地上方建造的、承载上盖建筑的分界面。</w:t>
      </w:r>
    </w:p>
    <w:p>
      <w:pPr>
        <w:tabs>
          <w:tab w:val="right" w:pos="8400"/>
        </w:tabs>
        <w:adjustRightInd w:val="0"/>
        <w:snapToGrid w:val="0"/>
        <w:spacing w:line="360" w:lineRule="auto"/>
        <w:ind w:firstLine="482"/>
      </w:pPr>
      <w:r>
        <w:rPr>
          <w:b/>
        </w:rPr>
        <w:t>2.1.7</w:t>
      </w:r>
      <w:r>
        <w:rPr>
          <w:rFonts w:hint="eastAsia"/>
        </w:rPr>
        <w:t>上盖地坪</w:t>
      </w:r>
      <w:r>
        <w:t>upper evacuation floor</w:t>
      </w:r>
    </w:p>
    <w:p>
      <w:pPr>
        <w:adjustRightInd w:val="0"/>
        <w:snapToGrid w:val="0"/>
        <w:spacing w:line="360" w:lineRule="auto"/>
        <w:ind w:firstLine="420" w:firstLineChars="200"/>
      </w:pPr>
      <w:r>
        <w:rPr>
          <w:rFonts w:hint="eastAsia"/>
        </w:rPr>
        <w:t>盖板上方能够满足人员疏散等要求的室外地坪。</w:t>
      </w:r>
    </w:p>
    <w:p>
      <w:pPr>
        <w:pStyle w:val="91"/>
      </w:pPr>
    </w:p>
    <w:p>
      <w:pPr>
        <w:pStyle w:val="91"/>
        <w:spacing w:line="360" w:lineRule="auto"/>
      </w:pPr>
      <w:r>
        <w:drawing>
          <wp:inline distT="0" distB="0" distL="0" distR="0">
            <wp:extent cx="5238115" cy="2566670"/>
            <wp:effectExtent l="0" t="0" r="0" b="508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5249390" cy="2572234"/>
                    </a:xfrm>
                    <a:prstGeom prst="rect">
                      <a:avLst/>
                    </a:prstGeom>
                    <a:noFill/>
                    <a:ln>
                      <a:noFill/>
                    </a:ln>
                  </pic:spPr>
                </pic:pic>
              </a:graphicData>
            </a:graphic>
          </wp:inline>
        </w:drawing>
      </w:r>
    </w:p>
    <w:p>
      <w:pPr>
        <w:pStyle w:val="91"/>
      </w:pPr>
      <w:r>
        <w:rPr>
          <w:rFonts w:hint="eastAsia"/>
        </w:rPr>
        <w:t>图2</w:t>
      </w:r>
      <w:r>
        <w:t xml:space="preserve">.1 </w:t>
      </w:r>
      <w:r>
        <w:rPr>
          <w:rFonts w:hint="eastAsia"/>
        </w:rPr>
        <w:t>车辆基地上盖剖面示意</w:t>
      </w:r>
    </w:p>
    <w:p>
      <w:pPr>
        <w:pStyle w:val="91"/>
      </w:pPr>
    </w:p>
    <w:p>
      <w:pPr>
        <w:adjustRightInd w:val="0"/>
        <w:snapToGrid w:val="0"/>
        <w:spacing w:line="360" w:lineRule="auto"/>
        <w:ind w:firstLine="422" w:firstLineChars="200"/>
      </w:pPr>
      <w:r>
        <w:rPr>
          <w:b/>
        </w:rPr>
        <w:t>2.1.8</w:t>
      </w:r>
      <w:r>
        <w:rPr>
          <w:rFonts w:hint="eastAsia"/>
        </w:rPr>
        <w:t xml:space="preserve">轨行区 </w:t>
      </w:r>
      <w:r>
        <w:t>track area</w:t>
      </w:r>
    </w:p>
    <w:p>
      <w:pPr>
        <w:adjustRightInd w:val="0"/>
        <w:snapToGrid w:val="0"/>
        <w:spacing w:line="360" w:lineRule="auto"/>
        <w:ind w:firstLine="420" w:firstLineChars="200"/>
      </w:pPr>
      <w:r>
        <w:rPr>
          <w:rFonts w:hint="eastAsia"/>
        </w:rPr>
        <w:t>列车运行轨道周围所需的区域，在这个区域内的建筑物和安装的设备均不得侵入相应的限界，相邻轨道上运行的列车之间也应确保两列车交会时的行车安全。</w:t>
      </w:r>
    </w:p>
    <w:p>
      <w:pPr>
        <w:adjustRightInd w:val="0"/>
        <w:snapToGrid w:val="0"/>
        <w:spacing w:line="360" w:lineRule="auto"/>
        <w:ind w:firstLine="420" w:firstLineChars="200"/>
      </w:pPr>
    </w:p>
    <w:p>
      <w:pPr>
        <w:pStyle w:val="3"/>
      </w:pPr>
      <w:bookmarkStart w:id="56" w:name="_Toc118777645"/>
      <w:bookmarkStart w:id="57" w:name="_Toc90922369"/>
      <w:bookmarkStart w:id="58" w:name="_Toc97019161"/>
      <w:bookmarkStart w:id="59" w:name="_Toc118777908"/>
      <w:bookmarkStart w:id="60" w:name="_Toc118791271"/>
      <w:bookmarkStart w:id="61" w:name="_Toc118777712"/>
      <w:bookmarkStart w:id="62" w:name="_Toc257127745"/>
      <w:bookmarkStart w:id="63" w:name="_Toc118790883"/>
      <w:bookmarkStart w:id="64" w:name="_Toc118777946"/>
      <w:bookmarkStart w:id="65" w:name="_Toc118864912"/>
      <w:bookmarkStart w:id="66" w:name="_Toc118779289"/>
      <w:bookmarkStart w:id="67" w:name="_Toc118797669"/>
      <w:bookmarkStart w:id="68" w:name="_Toc118780428"/>
      <w:bookmarkStart w:id="69" w:name="_Toc118790241"/>
      <w:r>
        <w:t>2.2  符 号</w:t>
      </w:r>
      <w:bookmarkEnd w:id="56"/>
      <w:bookmarkEnd w:id="57"/>
      <w:bookmarkEnd w:id="58"/>
      <w:bookmarkEnd w:id="59"/>
      <w:bookmarkEnd w:id="60"/>
      <w:bookmarkEnd w:id="61"/>
      <w:bookmarkEnd w:id="62"/>
      <w:bookmarkEnd w:id="63"/>
      <w:bookmarkEnd w:id="64"/>
      <w:bookmarkEnd w:id="65"/>
      <w:bookmarkEnd w:id="66"/>
      <w:bookmarkEnd w:id="67"/>
      <w:bookmarkEnd w:id="68"/>
      <w:bookmarkEnd w:id="69"/>
    </w:p>
    <w:p>
      <w:pPr>
        <w:tabs>
          <w:tab w:val="right" w:pos="8400"/>
        </w:tabs>
        <w:adjustRightInd w:val="0"/>
        <w:snapToGrid w:val="0"/>
        <w:spacing w:line="360" w:lineRule="auto"/>
        <w:ind w:firstLine="482"/>
      </w:pPr>
      <w:r>
        <w:rPr>
          <w:rFonts w:hint="eastAsia"/>
          <w:b/>
        </w:rPr>
        <w:t>2.2.1</w:t>
      </w:r>
      <w:r>
        <w:rPr>
          <w:rFonts w:hint="eastAsia"/>
        </w:rPr>
        <w:t>材料</w:t>
      </w:r>
      <w:r>
        <w:t>性能</w:t>
      </w:r>
    </w:p>
    <w:p>
      <w:pPr>
        <w:tabs>
          <w:tab w:val="right" w:pos="8400"/>
        </w:tabs>
        <w:adjustRightInd w:val="0"/>
        <w:snapToGrid w:val="0"/>
        <w:spacing w:line="360" w:lineRule="auto"/>
        <w:ind w:firstLine="482"/>
      </w:pPr>
      <m:oMath>
        <m:r>
          <w:rPr>
            <w:rFonts w:ascii="Cambria Math" w:hAnsi="Cambria Math"/>
          </w:rPr>
          <m:t xml:space="preserve">C40</m:t>
        </m:r>
      </m:oMath>
      <w:r>
        <w:rPr>
          <w:rFonts w:hint="eastAsia" w:ascii="宋体" w:hAnsi="宋体"/>
          <w:szCs w:val="28"/>
        </w:rPr>
        <w:t>— 立方体抗压强度标准值为4</w:t>
      </w:r>
      <w:r>
        <w:rPr>
          <w:rFonts w:ascii="宋体" w:hAnsi="宋体"/>
          <w:szCs w:val="28"/>
        </w:rPr>
        <w:t>0N/mm</w:t>
      </w:r>
      <w:r>
        <w:rPr>
          <w:rFonts w:ascii="宋体" w:hAnsi="宋体"/>
          <w:szCs w:val="28"/>
          <w:vertAlign w:val="superscript"/>
        </w:rPr>
        <w:t>2</w:t>
      </w:r>
      <w:r>
        <w:rPr>
          <w:rFonts w:hint="eastAsia" w:ascii="宋体" w:hAnsi="宋体"/>
          <w:szCs w:val="28"/>
        </w:rPr>
        <w:t>的混凝土强度等级；</w:t>
      </w:r>
    </w:p>
    <w:p>
      <w:pPr>
        <w:snapToGrid w:val="0"/>
        <w:spacing w:line="360" w:lineRule="auto"/>
        <w:ind w:firstLine="630" w:firstLineChars="300"/>
        <w:jc w:val="left"/>
        <w:rPr>
          <w:rFonts w:ascii="宋体" w:hAnsi="宋体"/>
          <w:szCs w:val="28"/>
        </w:rPr>
      </w:pPr>
      <m:oMath>
        <m:sSub>
          <m:sSubPr>
            <m:ctrlPr>
              <w:rPr>
                <w:rFonts w:ascii="Cambria Math" w:hAnsi="Cambria Math"/>
                <w:szCs w:val="28"/>
              </w:rPr>
            </m:ctrlPr>
          </m:sSubPr>
          <m:e>
            <m:r>
              <w:rPr>
                <w:rFonts w:ascii="Cambria Math" w:hAnsi="Cambria Math"/>
                <w:szCs w:val="28"/>
              </w:rPr>
              <m:t xml:space="preserve">f</m:t>
            </m:r>
          </m:e>
          <m:sub>
            <m:r>
              <w:rPr>
                <w:rFonts w:ascii="Cambria Math" w:hAnsi="Cambria Math"/>
                <w:szCs w:val="28"/>
              </w:rPr>
              <m:t xml:space="preserve">c</m:t>
            </m:r>
          </m:sub>
        </m:sSub>
      </m:oMath>
      <w:r>
        <w:rPr>
          <w:rFonts w:hint="eastAsia" w:ascii="宋体" w:hAnsi="宋体"/>
          <w:szCs w:val="28"/>
        </w:rPr>
        <w:t>— 混凝土</w:t>
      </w:r>
      <w:r>
        <w:rPr>
          <w:rFonts w:ascii="宋体" w:hAnsi="宋体"/>
          <w:szCs w:val="28"/>
        </w:rPr>
        <w:t>轴心抗压强度设计值；</w:t>
      </w:r>
    </w:p>
    <w:p>
      <w:pPr>
        <w:snapToGrid w:val="0"/>
        <w:spacing w:line="360" w:lineRule="auto"/>
        <w:ind w:firstLine="630" w:firstLineChars="300"/>
        <w:jc w:val="left"/>
        <w:rPr>
          <w:rFonts w:ascii="宋体" w:hAnsi="宋体"/>
          <w:szCs w:val="28"/>
        </w:rPr>
      </w:pPr>
      <m:oMath>
        <m:sSub>
          <m:sSubPr>
            <m:ctrlPr>
              <w:rPr>
                <w:rFonts w:ascii="Cambria Math" w:hAnsi="Cambria Math"/>
                <w:szCs w:val="28"/>
              </w:rPr>
            </m:ctrlPr>
          </m:sSubPr>
          <m:e>
            <m:r>
              <w:rPr>
                <w:rFonts w:ascii="Cambria Math" w:hAnsi="Cambria Math"/>
                <w:szCs w:val="28"/>
              </w:rPr>
              <m:t xml:space="preserve">f</m:t>
            </m:r>
          </m:e>
          <m:sub>
            <m:r>
              <w:rPr>
                <w:rFonts w:ascii="Cambria Math" w:hAnsi="Cambria Math"/>
                <w:szCs w:val="28"/>
              </w:rPr>
              <m:t xml:space="preserve">t</m:t>
            </m:r>
          </m:sub>
        </m:sSub>
      </m:oMath>
      <w:r>
        <w:rPr>
          <w:rFonts w:hint="eastAsia" w:ascii="宋体" w:hAnsi="宋体"/>
          <w:szCs w:val="28"/>
        </w:rPr>
        <w:t>— 混凝土</w:t>
      </w:r>
      <w:r>
        <w:rPr>
          <w:rFonts w:ascii="宋体" w:hAnsi="宋体"/>
          <w:szCs w:val="28"/>
        </w:rPr>
        <w:t>轴心抗</w:t>
      </w:r>
      <w:r>
        <w:rPr>
          <w:rFonts w:hint="eastAsia" w:ascii="宋体" w:hAnsi="宋体"/>
          <w:szCs w:val="28"/>
        </w:rPr>
        <w:t>拉</w:t>
      </w:r>
      <w:r>
        <w:rPr>
          <w:rFonts w:ascii="宋体" w:hAnsi="宋体"/>
          <w:szCs w:val="28"/>
        </w:rPr>
        <w:t>强度设计值；</w:t>
      </w:r>
    </w:p>
    <w:p>
      <w:pPr>
        <w:snapToGrid w:val="0"/>
        <w:spacing w:line="360" w:lineRule="auto"/>
        <w:ind w:firstLine="630" w:firstLineChars="300"/>
        <w:jc w:val="left"/>
        <w:rPr>
          <w:rFonts w:ascii="宋体" w:hAnsi="宋体"/>
          <w:szCs w:val="28"/>
        </w:rPr>
      </w:pPr>
      <m:oMath>
        <m:sSub>
          <m:sSubPr>
            <m:ctrlPr>
              <w:rPr>
                <w:rFonts w:ascii="Cambria Math" w:hAnsi="Cambria Math"/>
                <w:szCs w:val="28"/>
              </w:rPr>
            </m:ctrlPr>
          </m:sSubPr>
          <m:e>
            <m:r>
              <w:rPr>
                <w:rFonts w:ascii="Cambria Math" w:hAnsi="Cambria Math"/>
                <w:szCs w:val="28"/>
              </w:rPr>
              <m:t xml:space="preserve">f</m:t>
            </m:r>
          </m:e>
          <m:sub>
            <m:r>
              <w:rPr>
                <w:rFonts w:ascii="Cambria Math" w:hAnsi="Cambria Math"/>
                <w:szCs w:val="28"/>
              </w:rPr>
              <m:t xml:space="preserve">y</m:t>
            </m:r>
          </m:sub>
        </m:sSub>
      </m:oMath>
      <w:r>
        <w:rPr>
          <w:rFonts w:hint="eastAsia" w:ascii="宋体" w:hAnsi="宋体"/>
          <w:szCs w:val="28"/>
        </w:rPr>
        <w:t>、</w:t>
      </w:r>
      <m:oMath>
        <m:sSubSup>
          <m:sSubSupPr>
            <m:ctrlPr>
              <w:rPr>
                <w:rFonts w:ascii="Cambria Math" w:hAnsi="Cambria Math"/>
                <w:szCs w:val="28"/>
              </w:rPr>
            </m:ctrlPr>
          </m:sSubSupPr>
          <m:e>
            <m:r>
              <w:rPr>
                <w:rFonts w:ascii="Cambria Math" w:hAnsi="Cambria Math"/>
                <w:szCs w:val="28"/>
              </w:rPr>
              <m:t xml:space="preserve">f</m:t>
            </m:r>
          </m:e>
          <m:sub>
            <m:r>
              <w:rPr>
                <w:rFonts w:ascii="Cambria Math" w:hAnsi="Cambria Math"/>
                <w:szCs w:val="28"/>
              </w:rPr>
              <m:t xml:space="preserve">y</m:t>
            </m:r>
          </m:sub>
          <m:sup>
            <m:r>
              <w:rPr>
                <w:rFonts w:ascii="Cambria Math" w:hAnsi="Cambria Math"/>
                <w:szCs w:val="28"/>
              </w:rPr>
              <m:t xml:space="preserve">'</m:t>
            </m:r>
          </m:sup>
        </m:sSubSup>
      </m:oMath>
      <w:r>
        <w:rPr>
          <w:rFonts w:hint="eastAsia" w:ascii="宋体" w:hAnsi="宋体"/>
          <w:szCs w:val="28"/>
        </w:rPr>
        <w:t>— 普通钢筋抗拉</w:t>
      </w:r>
      <w:r>
        <w:rPr>
          <w:rFonts w:ascii="宋体" w:hAnsi="宋体"/>
          <w:szCs w:val="28"/>
        </w:rPr>
        <w:t>、抗</w:t>
      </w:r>
      <w:r>
        <w:rPr>
          <w:rFonts w:hint="eastAsia" w:ascii="宋体" w:hAnsi="宋体"/>
          <w:szCs w:val="28"/>
        </w:rPr>
        <w:t>压</w:t>
      </w:r>
      <w:r>
        <w:rPr>
          <w:rFonts w:ascii="宋体" w:hAnsi="宋体"/>
          <w:szCs w:val="28"/>
        </w:rPr>
        <w:t>强度设计值；</w:t>
      </w:r>
    </w:p>
    <w:p>
      <w:pPr>
        <w:snapToGrid w:val="0"/>
        <w:spacing w:line="360" w:lineRule="auto"/>
        <w:ind w:firstLine="630" w:firstLineChars="300"/>
        <w:jc w:val="left"/>
        <w:rPr>
          <w:rFonts w:ascii="宋体" w:hAnsi="宋体"/>
          <w:szCs w:val="28"/>
        </w:rPr>
      </w:pPr>
      <m:oMath>
        <m:sSub>
          <m:sSubPr>
            <m:ctrlPr>
              <w:rPr>
                <w:rFonts w:ascii="Cambria Math" w:hAnsi="Cambria Math"/>
                <w:szCs w:val="28"/>
              </w:rPr>
            </m:ctrlPr>
          </m:sSubPr>
          <m:e>
            <m:r>
              <w:rPr>
                <w:rFonts w:ascii="Cambria Math" w:hAnsi="Cambria Math"/>
                <w:szCs w:val="28"/>
              </w:rPr>
              <m:t xml:space="preserve">f</m:t>
            </m:r>
          </m:e>
          <m:sub>
            <m:r>
              <w:rPr>
                <w:rFonts w:ascii="Cambria Math" w:hAnsi="Cambria Math"/>
                <w:szCs w:val="28"/>
              </w:rPr>
              <m:t xml:space="preserve">yv</m:t>
            </m:r>
          </m:sub>
        </m:sSub>
      </m:oMath>
      <w:r>
        <w:rPr>
          <w:rFonts w:hint="eastAsia" w:ascii="宋体" w:hAnsi="宋体"/>
          <w:szCs w:val="28"/>
        </w:rPr>
        <w:t>— 横</w:t>
      </w:r>
      <w:r>
        <w:rPr>
          <w:rFonts w:ascii="宋体" w:hAnsi="宋体"/>
          <w:szCs w:val="28"/>
        </w:rPr>
        <w:t>向钢筋的抗拉强度设计值；</w:t>
      </w:r>
    </w:p>
    <w:p>
      <w:pPr>
        <w:snapToGrid w:val="0"/>
        <w:spacing w:line="360" w:lineRule="auto"/>
        <w:ind w:firstLine="660" w:firstLineChars="300"/>
        <w:jc w:val="left"/>
        <w:rPr>
          <w:rFonts w:ascii="宋体" w:hAnsi="宋体"/>
          <w:sz w:val="22"/>
          <w:szCs w:val="22"/>
        </w:rPr>
      </w:pPr>
      <m:oMath>
        <m:sSub>
          <m:sSubPr>
            <m:ctrlPr>
              <w:rPr>
                <w:rFonts w:ascii="Cambria Math" w:hAnsi="Cambria Math"/>
                <w:i/>
                <w:sz w:val="22"/>
                <w:szCs w:val="22"/>
              </w:rPr>
            </m:ctrlPr>
          </m:sSubPr>
          <m:e>
            <m:r>
              <w:rPr>
                <w:rFonts w:ascii="Cambria Math" w:hAnsi="Cambria Math"/>
                <w:sz w:val="22"/>
                <w:szCs w:val="22"/>
              </w:rPr>
              <m:t xml:space="preserve">f</m:t>
            </m:r>
          </m:e>
          <m:sub>
            <m:r>
              <w:rPr>
                <w:rFonts w:ascii="Cambria Math" w:hAnsi="Cambria Math"/>
                <w:sz w:val="22"/>
                <w:szCs w:val="22"/>
              </w:rPr>
              <m:t xml:space="preserve">a</m:t>
            </m:r>
          </m:sub>
        </m:sSub>
      </m:oMath>
      <w:r>
        <w:rPr>
          <w:rFonts w:hint="eastAsia" w:hAnsi="宋体"/>
          <w:shd w:val="clear" w:color="auto" w:fill="FFFFFF"/>
        </w:rPr>
        <w:t xml:space="preserve">— </w:t>
      </w:r>
      <w:r>
        <w:rPr>
          <w:rFonts w:hint="eastAsia" w:ascii="宋体" w:hAnsi="宋体"/>
          <w:sz w:val="22"/>
          <w:szCs w:val="22"/>
        </w:rPr>
        <w:t>型钢（钢板）抗拉强度设计值、地基承载力特征值；</w:t>
      </w:r>
    </w:p>
    <w:p>
      <w:pPr>
        <w:snapToGrid w:val="0"/>
        <w:spacing w:line="360" w:lineRule="auto"/>
        <w:ind w:firstLine="630" w:firstLineChars="300"/>
        <w:jc w:val="left"/>
        <w:rPr>
          <w:rFonts w:ascii="宋体" w:hAnsi="宋体"/>
          <w:szCs w:val="28"/>
        </w:rPr>
      </w:pPr>
      <m:oMath>
        <m:sSub>
          <m:sSubPr>
            <m:ctrlPr>
              <w:rPr>
                <w:rFonts w:ascii="Cambria Math" w:hAnsi="Cambria Math"/>
                <w:i/>
                <w:shd w:val="clear" w:color="auto" w:fill="FFFFFF"/>
              </w:rPr>
            </m:ctrlPr>
          </m:sSubPr>
          <m:e>
            <m:r>
              <w:rPr>
                <w:rFonts w:ascii="Cambria Math" w:hAnsi="Cambria Math"/>
                <w:shd w:val="clear" w:color="auto" w:fill="FFFFFF"/>
              </w:rPr>
              <m:t xml:space="preserve">f</m:t>
            </m:r>
          </m:e>
          <m:sub>
            <m:r>
              <w:rPr>
                <w:rFonts w:ascii="Cambria Math" w:hAnsi="Cambria Math"/>
                <w:shd w:val="clear" w:color="auto" w:fill="FFFFFF"/>
              </w:rPr>
              <m:t xml:space="preserve">aE</m:t>
            </m:r>
          </m:sub>
        </m:sSub>
      </m:oMath>
      <w:r>
        <w:rPr>
          <w:rFonts w:hint="eastAsia" w:hAnsi="宋体"/>
          <w:shd w:val="clear" w:color="auto" w:fill="FFFFFF"/>
        </w:rPr>
        <w:t>— 地基抗震承载力特征值。</w:t>
      </w:r>
    </w:p>
    <w:p>
      <w:pPr>
        <w:tabs>
          <w:tab w:val="right" w:pos="8400"/>
        </w:tabs>
        <w:adjustRightInd w:val="0"/>
        <w:snapToGrid w:val="0"/>
        <w:spacing w:line="360" w:lineRule="auto"/>
        <w:ind w:firstLine="482"/>
      </w:pPr>
      <w:r>
        <w:rPr>
          <w:b/>
          <w:bCs/>
        </w:rPr>
        <w:t>2.2.2</w:t>
      </w:r>
      <w:r>
        <w:rPr>
          <w:rFonts w:hint="eastAsia"/>
        </w:rPr>
        <w:t>作用</w:t>
      </w:r>
      <w:r>
        <w:t>和作用效应</w:t>
      </w:r>
    </w:p>
    <w:p>
      <w:pPr>
        <w:snapToGrid w:val="0"/>
        <w:spacing w:line="360" w:lineRule="auto"/>
        <w:ind w:firstLine="630" w:firstLineChars="300"/>
        <w:jc w:val="left"/>
        <w:rPr>
          <w:rFonts w:ascii="宋体" w:hAnsi="宋体"/>
          <w:szCs w:val="28"/>
        </w:rPr>
      </w:pPr>
      <w:r>
        <w:rPr>
          <w:rFonts w:hint="eastAsia" w:ascii="宋体" w:hAnsi="宋体"/>
          <w:szCs w:val="28"/>
        </w:rPr>
        <w:t>N— 轴向力</w:t>
      </w:r>
      <w:r>
        <w:rPr>
          <w:rFonts w:ascii="宋体" w:hAnsi="宋体"/>
          <w:szCs w:val="28"/>
        </w:rPr>
        <w:t>设计值；</w:t>
      </w:r>
    </w:p>
    <w:p>
      <w:pPr>
        <w:snapToGrid w:val="0"/>
        <w:spacing w:line="360" w:lineRule="auto"/>
        <w:ind w:firstLine="630" w:firstLineChars="300"/>
        <w:jc w:val="left"/>
      </w:pPr>
      <w:r>
        <w:rPr>
          <w:rFonts w:ascii="宋体" w:hAnsi="宋体"/>
          <w:szCs w:val="28"/>
        </w:rPr>
        <w:t>M— 弯矩</w:t>
      </w:r>
      <w:r>
        <w:rPr>
          <w:rFonts w:hint="eastAsia" w:ascii="宋体" w:hAnsi="宋体"/>
          <w:szCs w:val="28"/>
        </w:rPr>
        <w:t>设计</w:t>
      </w:r>
      <w:r>
        <w:rPr>
          <w:rFonts w:ascii="宋体" w:hAnsi="宋体"/>
          <w:szCs w:val="28"/>
        </w:rPr>
        <w:t>值；</w:t>
      </w:r>
    </w:p>
    <w:p>
      <w:pPr>
        <w:snapToGrid w:val="0"/>
        <w:spacing w:line="360" w:lineRule="auto"/>
        <w:ind w:firstLine="630" w:firstLineChars="300"/>
        <w:jc w:val="left"/>
        <w:rPr>
          <w:rFonts w:ascii="宋体" w:hAnsi="宋体"/>
          <w:szCs w:val="28"/>
        </w:rPr>
      </w:pPr>
      <w:r>
        <w:rPr>
          <w:rFonts w:hint="eastAsia" w:ascii="宋体" w:hAnsi="宋体"/>
          <w:szCs w:val="28"/>
        </w:rPr>
        <w:t>V</w:t>
      </w:r>
      <w:r>
        <w:rPr>
          <w:rFonts w:ascii="宋体" w:hAnsi="宋体"/>
          <w:szCs w:val="28"/>
        </w:rPr>
        <w:t xml:space="preserve">— </w:t>
      </w:r>
      <w:r>
        <w:rPr>
          <w:rFonts w:hint="eastAsia" w:ascii="宋体" w:hAnsi="宋体"/>
          <w:szCs w:val="28"/>
        </w:rPr>
        <w:t>剪力设计值；</w:t>
      </w:r>
    </w:p>
    <w:p>
      <w:pPr>
        <w:snapToGrid w:val="0"/>
        <w:spacing w:line="360" w:lineRule="auto"/>
        <w:ind w:firstLine="630" w:firstLineChars="300"/>
        <w:jc w:val="left"/>
        <w:rPr>
          <w:rFonts w:ascii="宋体" w:hAnsi="宋体"/>
          <w:sz w:val="22"/>
          <w:szCs w:val="22"/>
        </w:rPr>
      </w:pPr>
      <m:oMath>
        <m:sSub>
          <m:sSubPr>
            <m:ctrlPr>
              <w:rPr>
                <w:rFonts w:ascii="Cambria Math" w:hAnsi="Cambria Math"/>
                <w:i/>
              </w:rPr>
            </m:ctrlPr>
          </m:sSubPr>
          <m:e>
            <m:r>
              <w:rPr>
                <w:rFonts w:ascii="Cambria Math" w:hAnsi="Cambria Math"/>
              </w:rPr>
              <m:t xml:space="preserve">V</m:t>
            </m:r>
          </m:e>
          <m:sub>
            <m:r>
              <w:rPr>
                <w:rFonts w:ascii="Cambria Math" w:hAnsi="Cambria Math"/>
              </w:rPr>
              <m:t xml:space="preserve">x</m:t>
            </m:r>
          </m:sub>
        </m:sSub>
        <m:r>
          <w:rPr>
            <w:rFonts w:ascii="Cambria Math" w:hAnsi="Cambria Math" w:hint="eastAsia"/>
            <w:sz w:val="22"/>
            <w:szCs w:val="22"/>
          </w:rPr>
          <m:t xml:space="preserve">、</m:t>
        </m:r>
        <m:sSub>
          <m:sSubPr>
            <m:ctrlPr>
              <w:rPr>
                <w:rFonts w:ascii="Cambria Math" w:hAnsi="Cambria Math"/>
                <w:i/>
              </w:rPr>
            </m:ctrlPr>
          </m:sSubPr>
          <m:e>
            <m:r>
              <w:rPr>
                <w:rFonts w:ascii="Cambria Math" w:hAnsi="Cambria Math"/>
              </w:rPr>
              <m:t xml:space="preserve">V</m:t>
            </m:r>
          </m:e>
          <m:sub>
            <m:r>
              <w:rPr>
                <w:rFonts w:ascii="Cambria Math" w:hAnsi="Cambria Math"/>
              </w:rPr>
              <m:t xml:space="preserve">y</m:t>
            </m:r>
          </m:sub>
        </m:sSub>
      </m:oMath>
      <w:r>
        <w:rPr>
          <w:rFonts w:hint="eastAsia" w:ascii="宋体" w:hAnsi="宋体"/>
          <w:sz w:val="22"/>
          <w:szCs w:val="22"/>
        </w:rPr>
        <w:t>— 分别为x向、y向板带斜截面剪力；</w:t>
      </w:r>
    </w:p>
    <w:p>
      <w:pPr>
        <w:snapToGrid w:val="0"/>
        <w:spacing w:line="360" w:lineRule="auto"/>
        <w:ind w:firstLine="630" w:firstLineChars="300"/>
        <w:jc w:val="left"/>
        <w:rPr>
          <w:rFonts w:hAnsi="宋体"/>
        </w:rPr>
      </w:pPr>
      <m:oMath>
        <m:sSub>
          <m:sSubPr>
            <m:ctrlPr>
              <w:rPr>
                <w:rFonts w:ascii="Cambria Math" w:hAnsi="Cambria Math"/>
                <w:i/>
              </w:rPr>
            </m:ctrlPr>
          </m:sSubPr>
          <m:e>
            <m:r>
              <w:rPr>
                <w:rFonts w:ascii="Cambria Math" w:hAnsi="Cambria Math"/>
              </w:rPr>
              <m:t xml:space="preserve">V</m:t>
            </m:r>
          </m:e>
          <m:sub>
            <m:r>
              <w:rPr>
                <w:rFonts w:ascii="Cambria Math" w:hAnsi="Cambria Math"/>
              </w:rPr>
              <m:t xml:space="preserve">j</m:t>
            </m:r>
          </m:sub>
        </m:sSub>
      </m:oMath>
      <w:r>
        <w:rPr>
          <w:rFonts w:hint="eastAsia" w:hAnsi="宋体"/>
        </w:rPr>
        <w:t xml:space="preserve"> </w:t>
      </w:r>
      <w:r>
        <w:rPr>
          <w:rFonts w:hAnsi="宋体"/>
        </w:rPr>
        <w:t xml:space="preserve"> — </w:t>
      </w:r>
      <w:r>
        <w:rPr>
          <w:rFonts w:hint="eastAsia" w:hAnsi="宋体"/>
        </w:rPr>
        <w:t>板柱节点核芯区组合的剪力设计值；</w:t>
      </w:r>
    </w:p>
    <w:p>
      <w:pPr>
        <w:snapToGrid w:val="0"/>
        <w:spacing w:line="360" w:lineRule="auto"/>
        <w:ind w:firstLine="630" w:firstLineChars="300"/>
        <w:jc w:val="left"/>
        <w:rPr>
          <w:rFonts w:ascii="宋体" w:hAnsi="宋体"/>
          <w:szCs w:val="28"/>
        </w:rPr>
      </w:pPr>
      <m:oMath>
        <m:sSub>
          <m:sSubPr>
            <m:ctrlPr>
              <w:rPr>
                <w:rFonts w:ascii="Cambria Math" w:hAnsi="Cambria Math"/>
                <w:i/>
              </w:rPr>
            </m:ctrlPr>
          </m:sSubPr>
          <m:e>
            <m:r>
              <w:rPr>
                <w:rFonts w:ascii="Cambria Math" w:hAnsi="Cambria Math"/>
              </w:rPr>
              <m:t xml:space="preserve">V</m:t>
            </m:r>
          </m:e>
          <m:sub>
            <m:r>
              <w:rPr>
                <w:rFonts w:ascii="Cambria Math" w:hAnsi="Cambria Math"/>
              </w:rPr>
              <m:t xml:space="preserve">wj</m:t>
            </m:r>
          </m:sub>
        </m:sSub>
      </m:oMath>
      <w:r>
        <w:rPr>
          <w:rFonts w:hAnsi="宋体"/>
        </w:rPr>
        <w:t xml:space="preserve">— </w:t>
      </w:r>
      <w:r>
        <w:rPr>
          <w:rFonts w:hint="eastAsia" w:hAnsi="宋体"/>
        </w:rPr>
        <w:t>剪力墙水平施工缝处剪力设计值；</w:t>
      </w:r>
    </w:p>
    <w:p>
      <w:pPr>
        <w:snapToGrid w:val="0"/>
        <w:spacing w:line="360" w:lineRule="auto"/>
        <w:ind w:firstLine="630" w:firstLineChars="300"/>
        <w:jc w:val="left"/>
        <w:rPr>
          <w:rFonts w:ascii="宋体" w:hAnsi="宋体"/>
          <w:szCs w:val="28"/>
        </w:rPr>
      </w:pPr>
      <m:oMath>
        <m:sSub>
          <m:sSubPr>
            <m:ctrlPr>
              <w:rPr>
                <w:rFonts w:ascii="Cambria Math" w:hAnsi="Cambria Math"/>
                <w:szCs w:val="28"/>
              </w:rPr>
            </m:ctrlPr>
          </m:sSubPr>
          <m:e>
            <m:r>
              <w:rPr>
                <w:rFonts w:ascii="Cambria Math" w:hAnsi="Cambria Math"/>
                <w:szCs w:val="28"/>
              </w:rPr>
              <m:t xml:space="preserve">F</m:t>
            </m:r>
          </m:e>
          <m:sub>
            <m:r>
              <w:rPr>
                <w:rFonts w:ascii="Cambria Math" w:hAnsi="Cambria Math"/>
                <w:szCs w:val="28"/>
              </w:rPr>
              <m:t xml:space="preserve">l</m:t>
            </m:r>
          </m:sub>
        </m:sSub>
      </m:oMath>
      <w:r>
        <w:rPr>
          <w:rFonts w:hint="eastAsia" w:ascii="宋体" w:hAnsi="宋体"/>
          <w:szCs w:val="28"/>
        </w:rPr>
        <w:t>— 局部</w:t>
      </w:r>
      <w:r>
        <w:rPr>
          <w:rFonts w:ascii="宋体" w:hAnsi="宋体"/>
          <w:szCs w:val="28"/>
        </w:rPr>
        <w:t>荷载设计值或集中反力设计值；</w:t>
      </w:r>
    </w:p>
    <w:p>
      <w:pPr>
        <w:snapToGrid w:val="0"/>
        <w:spacing w:line="360" w:lineRule="auto"/>
        <w:ind w:firstLine="660" w:firstLineChars="300"/>
        <w:jc w:val="left"/>
        <w:rPr>
          <w:rFonts w:ascii="宋体" w:hAnsi="宋体"/>
          <w:sz w:val="22"/>
          <w:szCs w:val="22"/>
        </w:rPr>
      </w:pPr>
      <m:oMath>
        <m:sSub>
          <m:sSubPr>
            <m:ctrlPr>
              <w:rPr>
                <w:rFonts w:ascii="Cambria Math" w:hAnsi="Cambria Math"/>
                <w:i/>
                <w:sz w:val="22"/>
                <w:szCs w:val="22"/>
              </w:rPr>
            </m:ctrlPr>
          </m:sSubPr>
          <m:e>
            <m:r>
              <w:rPr>
                <w:rFonts w:ascii="Cambria Math" w:hAnsi="Cambria Math"/>
                <w:sz w:val="22"/>
                <w:szCs w:val="22"/>
              </w:rPr>
              <m:t xml:space="preserve">τ</m:t>
            </m:r>
          </m:e>
          <m:sub>
            <m:r>
              <w:rPr>
                <w:rFonts w:ascii="Cambria Math" w:hAnsi="Cambria Math"/>
                <w:sz w:val="22"/>
                <w:szCs w:val="22"/>
              </w:rPr>
              <m:t xml:space="preserve">xz</m:t>
            </m:r>
          </m:sub>
        </m:sSub>
      </m:oMath>
      <w:r>
        <w:rPr>
          <w:rFonts w:hint="eastAsia" w:ascii="宋体" w:hAnsi="宋体"/>
          <w:szCs w:val="28"/>
        </w:rPr>
        <w:t xml:space="preserve">— </w:t>
      </w:r>
      <w:r>
        <w:rPr>
          <w:rFonts w:hint="eastAsia" w:ascii="宋体" w:hAnsi="宋体"/>
          <w:sz w:val="22"/>
          <w:szCs w:val="22"/>
        </w:rPr>
        <w:t>在z轴方向，作用于单元</w:t>
      </w:r>
      <w:r>
        <w:rPr>
          <w:rFonts w:ascii="宋体" w:hAnsi="宋体"/>
          <w:sz w:val="22"/>
          <w:szCs w:val="22"/>
        </w:rPr>
        <w:t>x</w:t>
      </w:r>
      <w:r>
        <w:rPr>
          <w:rFonts w:hint="eastAsia" w:ascii="宋体" w:hAnsi="宋体"/>
          <w:sz w:val="22"/>
          <w:szCs w:val="22"/>
        </w:rPr>
        <w:t>面上的剪应力；</w:t>
      </w:r>
    </w:p>
    <w:p>
      <w:pPr>
        <w:snapToGrid w:val="0"/>
        <w:spacing w:line="360" w:lineRule="auto"/>
        <w:ind w:firstLine="660" w:firstLineChars="300"/>
        <w:jc w:val="left"/>
        <w:rPr>
          <w:rFonts w:ascii="宋体" w:hAnsi="宋体"/>
          <w:sz w:val="22"/>
          <w:szCs w:val="22"/>
        </w:rPr>
      </w:pPr>
      <m:oMath>
        <m:sSub>
          <m:sSubPr>
            <m:ctrlPr>
              <w:rPr>
                <w:rFonts w:ascii="Cambria Math" w:hAnsi="Cambria Math"/>
                <w:i/>
                <w:sz w:val="22"/>
                <w:szCs w:val="22"/>
              </w:rPr>
            </m:ctrlPr>
          </m:sSubPr>
          <m:e>
            <m:r>
              <w:rPr>
                <w:rFonts w:ascii="Cambria Math" w:hAnsi="Cambria Math"/>
                <w:sz w:val="22"/>
                <w:szCs w:val="22"/>
              </w:rPr>
              <m:t xml:space="preserve">τ</m:t>
            </m:r>
          </m:e>
          <m:sub>
            <m:r>
              <w:rPr>
                <w:rFonts w:ascii="Cambria Math" w:hAnsi="Cambria Math"/>
                <w:sz w:val="22"/>
                <w:szCs w:val="22"/>
              </w:rPr>
              <m:t xml:space="preserve">yz</m:t>
            </m:r>
          </m:sub>
        </m:sSub>
      </m:oMath>
      <w:r>
        <w:rPr>
          <w:rFonts w:hint="eastAsia" w:ascii="宋体" w:hAnsi="宋体"/>
          <w:szCs w:val="28"/>
        </w:rPr>
        <w:t xml:space="preserve">— </w:t>
      </w:r>
      <w:r>
        <w:rPr>
          <w:rFonts w:hint="eastAsia" w:ascii="宋体" w:hAnsi="宋体"/>
          <w:sz w:val="22"/>
          <w:szCs w:val="22"/>
        </w:rPr>
        <w:t>在z轴方向，作用于单元y面上的剪应力；</w:t>
      </w:r>
    </w:p>
    <w:p>
      <w:pPr>
        <w:snapToGrid w:val="0"/>
        <w:spacing w:line="360" w:lineRule="auto"/>
        <w:ind w:firstLine="630" w:firstLineChars="300"/>
        <w:jc w:val="center"/>
        <w:rPr>
          <w:rFonts w:ascii="宋体" w:hAnsi="宋体"/>
          <w:sz w:val="22"/>
          <w:szCs w:val="22"/>
        </w:rPr>
      </w:pPr>
      <w:r>
        <w:drawing>
          <wp:inline distT="0" distB="0" distL="0" distR="0">
            <wp:extent cx="3421380" cy="2221230"/>
            <wp:effectExtent l="0" t="0" r="762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3441804" cy="2235100"/>
                    </a:xfrm>
                    <a:prstGeom prst="rect">
                      <a:avLst/>
                    </a:prstGeom>
                    <a:noFill/>
                    <a:ln>
                      <a:noFill/>
                    </a:ln>
                  </pic:spPr>
                </pic:pic>
              </a:graphicData>
            </a:graphic>
          </wp:inline>
        </w:drawing>
      </w:r>
    </w:p>
    <w:p>
      <w:pPr>
        <w:pStyle w:val="91"/>
      </w:pPr>
      <w:r>
        <w:rPr>
          <w:rFonts w:hint="eastAsia"/>
        </w:rPr>
        <w:t>图2</w:t>
      </w:r>
      <w:r>
        <w:t xml:space="preserve">.2.2 </w:t>
      </w:r>
      <w:r>
        <w:rPr>
          <w:rFonts w:hint="eastAsia"/>
        </w:rPr>
        <w:t>单元体空间应力</w:t>
      </w:r>
      <w:r>
        <w:rPr>
          <w:rFonts w:hint="eastAsia"/>
          <w:szCs w:val="18"/>
        </w:rPr>
        <w:t>示意图</w:t>
      </w:r>
    </w:p>
    <w:p>
      <w:pPr>
        <w:snapToGrid w:val="0"/>
        <w:spacing w:line="360" w:lineRule="auto"/>
        <w:ind w:firstLine="630" w:firstLineChars="300"/>
        <w:jc w:val="left"/>
        <w:rPr>
          <w:rFonts w:ascii="宋体" w:hAnsi="宋体"/>
          <w:szCs w:val="28"/>
        </w:rPr>
      </w:pPr>
      <m:oMath>
        <m:sSub>
          <m:sSubPr>
            <m:ctrlPr>
              <w:rPr>
                <w:rFonts w:ascii="Cambria Math" w:hAnsi="Cambria Math"/>
                <w:i/>
              </w:rPr>
            </m:ctrlPr>
          </m:sSubPr>
          <m:e>
            <m:r>
              <w:rPr>
                <w:rFonts w:ascii="Cambria Math" w:hAnsi="Cambria Math"/>
              </w:rPr>
              <m:t xml:space="preserve">τ</m:t>
            </m:r>
          </m:e>
          <m:sub>
            <m:r>
              <w:rPr>
                <w:rFonts w:ascii="Cambria Math" w:hAnsi="Cambria Math"/>
              </w:rPr>
              <m:t xml:space="preserve">0</m:t>
            </m:r>
          </m:sub>
        </m:sSub>
      </m:oMath>
      <w:r>
        <w:rPr>
          <w:rFonts w:hAnsi="宋体"/>
        </w:rPr>
        <w:t xml:space="preserve">— </w:t>
      </w:r>
      <w:r>
        <w:rPr>
          <w:rFonts w:hint="eastAsia" w:hAnsi="宋体"/>
        </w:rPr>
        <w:t>厚板斜截面、受冲切截面主剪应力设计值；</w:t>
      </w:r>
    </w:p>
    <w:p>
      <w:pPr>
        <w:snapToGrid w:val="0"/>
        <w:spacing w:line="360" w:lineRule="auto"/>
        <w:ind w:firstLine="630" w:firstLineChars="300"/>
        <w:jc w:val="left"/>
        <w:rPr>
          <w:rFonts w:ascii="宋体" w:hAnsi="宋体"/>
          <w:szCs w:val="28"/>
        </w:rPr>
      </w:pPr>
      <m:oMath>
        <m:r>
          <m:rPr>
            <m:sty m:val="p"/>
          </m:rPr>
          <w:rPr>
            <w:rFonts w:ascii="Cambria Math" w:hAnsi="Cambria Math"/>
            <w:szCs w:val="28"/>
          </w:rPr>
          <m:t xml:space="preserve">τ</m:t>
        </m:r>
      </m:oMath>
      <w:r>
        <w:rPr>
          <w:rFonts w:hint="eastAsia" w:ascii="宋体" w:hAnsi="宋体"/>
          <w:szCs w:val="28"/>
        </w:rPr>
        <w:t>— 混凝土</w:t>
      </w:r>
      <w:r>
        <w:rPr>
          <w:rFonts w:ascii="宋体" w:hAnsi="宋体"/>
          <w:szCs w:val="28"/>
        </w:rPr>
        <w:t>的剪应力</w:t>
      </w:r>
      <w:r>
        <w:rPr>
          <w:rFonts w:hint="eastAsia" w:ascii="宋体" w:hAnsi="宋体"/>
          <w:szCs w:val="28"/>
        </w:rPr>
        <w:t>。</w:t>
      </w:r>
    </w:p>
    <w:p>
      <w:pPr>
        <w:tabs>
          <w:tab w:val="right" w:pos="8400"/>
        </w:tabs>
        <w:adjustRightInd w:val="0"/>
        <w:snapToGrid w:val="0"/>
        <w:spacing w:line="360" w:lineRule="auto"/>
        <w:ind w:firstLine="482"/>
      </w:pPr>
      <w:r>
        <w:rPr>
          <w:b/>
          <w:bCs/>
        </w:rPr>
        <w:t>2.2.3</w:t>
      </w:r>
      <w:r>
        <w:rPr>
          <w:rFonts w:hint="eastAsia"/>
        </w:rPr>
        <w:t>几何</w:t>
      </w:r>
      <w:r>
        <w:t>参</w:t>
      </w:r>
      <w:r>
        <w:rPr>
          <w:rFonts w:hint="eastAsia"/>
        </w:rPr>
        <w:t>数</w:t>
      </w:r>
    </w:p>
    <w:p>
      <w:pPr>
        <w:snapToGrid w:val="0"/>
        <w:spacing w:line="360" w:lineRule="auto"/>
        <w:ind w:firstLine="630" w:firstLineChars="300"/>
        <w:jc w:val="left"/>
        <w:rPr>
          <w:rFonts w:ascii="宋体" w:hAnsi="宋体"/>
          <w:szCs w:val="28"/>
        </w:rPr>
      </w:pPr>
      <m:oMath>
        <m:sSubSup>
          <m:sSubSupPr>
            <m:ctrlPr>
              <w:rPr>
                <w:rFonts w:ascii="Cambria Math" w:hAnsi="Cambria Math"/>
                <w:i/>
              </w:rPr>
            </m:ctrlPr>
          </m:sSubSupPr>
          <m:e>
            <m:r>
              <w:rPr>
                <w:rFonts w:ascii="Cambria Math" w:hAnsi="Cambria Math"/>
              </w:rPr>
              <m:t xml:space="preserve">a</m:t>
            </m:r>
          </m:e>
          <m:sub>
            <m:r>
              <w:rPr>
                <w:rFonts w:ascii="Cambria Math" w:hAnsi="Cambria Math"/>
              </w:rPr>
              <m:t xml:space="preserve">s</m:t>
            </m:r>
          </m:sub>
          <m:sup>
            <m:r>
              <w:rPr>
                <w:rFonts w:ascii="Cambria Math" w:hAnsi="Cambria Math"/>
              </w:rPr>
              <m:t xml:space="preserve">'</m:t>
            </m:r>
          </m:sup>
        </m:sSubSup>
      </m:oMath>
      <w:r>
        <w:rPr>
          <w:rFonts w:hAnsi="宋体"/>
        </w:rPr>
        <w:t xml:space="preserve">— </w:t>
      </w:r>
      <w:r>
        <w:rPr>
          <w:rFonts w:hint="eastAsia" w:hAnsi="宋体"/>
        </w:rPr>
        <w:t>板受压钢筋合力点至受压边缘的距离；</w:t>
      </w:r>
    </w:p>
    <w:p>
      <w:pPr>
        <w:snapToGrid w:val="0"/>
        <w:spacing w:line="360" w:lineRule="auto"/>
        <w:ind w:firstLine="630" w:firstLineChars="300"/>
        <w:jc w:val="left"/>
        <w:rPr>
          <w:rFonts w:ascii="宋体" w:hAnsi="宋体"/>
          <w:szCs w:val="28"/>
        </w:rPr>
      </w:pPr>
      <w:r>
        <w:rPr>
          <w:rFonts w:hint="eastAsia" w:ascii="宋体" w:hAnsi="宋体"/>
          <w:szCs w:val="28"/>
        </w:rPr>
        <w:t>b— 矩形</w:t>
      </w:r>
      <w:r>
        <w:rPr>
          <w:rFonts w:ascii="宋体" w:hAnsi="宋体"/>
          <w:szCs w:val="28"/>
        </w:rPr>
        <w:t>截面宽度，</w:t>
      </w:r>
      <w:r>
        <w:rPr>
          <w:rFonts w:hint="eastAsia" w:ascii="宋体" w:hAnsi="宋体"/>
          <w:szCs w:val="28"/>
        </w:rPr>
        <w:t>T形</w:t>
      </w:r>
      <w:r>
        <w:rPr>
          <w:rFonts w:ascii="宋体" w:hAnsi="宋体"/>
          <w:szCs w:val="28"/>
        </w:rPr>
        <w:t>、</w:t>
      </w:r>
      <w:r>
        <w:rPr>
          <w:rFonts w:hint="eastAsia" w:ascii="宋体" w:hAnsi="宋体"/>
          <w:szCs w:val="28"/>
        </w:rPr>
        <w:t>I形</w:t>
      </w:r>
      <w:r>
        <w:rPr>
          <w:rFonts w:ascii="宋体" w:hAnsi="宋体"/>
          <w:szCs w:val="28"/>
        </w:rPr>
        <w:t>截面的腹板宽度；</w:t>
      </w:r>
    </w:p>
    <w:p>
      <w:pPr>
        <w:snapToGrid w:val="0"/>
        <w:spacing w:line="360" w:lineRule="auto"/>
        <w:ind w:firstLine="630" w:firstLineChars="300"/>
        <w:jc w:val="left"/>
        <w:rPr>
          <w:rFonts w:ascii="宋体" w:hAnsi="宋体"/>
          <w:szCs w:val="28"/>
        </w:rPr>
      </w:pPr>
      <m:oMath>
        <m:sSub>
          <m:sSubPr>
            <m:ctrlPr>
              <w:rPr>
                <w:rFonts w:ascii="Cambria Math" w:hAnsi="Cambria Math"/>
                <w:i/>
              </w:rPr>
            </m:ctrlPr>
          </m:sSubPr>
          <m:e>
            <m:r>
              <w:rPr>
                <w:rFonts w:ascii="Cambria Math" w:hAnsi="Cambria Math"/>
              </w:rPr>
              <m:t xml:space="preserve">b</m:t>
            </m:r>
          </m:e>
          <m:sub>
            <m:r>
              <w:rPr>
                <w:rFonts w:ascii="Cambria Math" w:hAnsi="Cambria Math"/>
              </w:rPr>
              <m:t xml:space="preserve">w</m:t>
            </m:r>
          </m:sub>
        </m:sSub>
      </m:oMath>
      <w:r>
        <w:rPr>
          <w:rFonts w:hint="eastAsia" w:hAnsi="宋体"/>
        </w:rPr>
        <w:t xml:space="preserve"> </w:t>
      </w:r>
      <w:r>
        <w:rPr>
          <w:rFonts w:hAnsi="宋体"/>
        </w:rPr>
        <w:t xml:space="preserve">— </w:t>
      </w:r>
      <w:r>
        <w:rPr>
          <w:rFonts w:hint="eastAsia" w:hAnsi="宋体"/>
        </w:rPr>
        <w:t>墙肢截面厚度；</w:t>
      </w:r>
    </w:p>
    <w:p>
      <w:pPr>
        <w:snapToGrid w:val="0"/>
        <w:spacing w:line="360" w:lineRule="auto"/>
        <w:ind w:firstLine="630" w:firstLineChars="300"/>
        <w:jc w:val="left"/>
        <w:rPr>
          <w:rFonts w:ascii="宋体" w:hAnsi="宋体"/>
          <w:szCs w:val="28"/>
        </w:rPr>
      </w:pPr>
      <w:r>
        <w:rPr>
          <w:rFonts w:ascii="宋体" w:hAnsi="宋体"/>
          <w:szCs w:val="28"/>
        </w:rPr>
        <w:t xml:space="preserve">h— </w:t>
      </w:r>
      <w:r>
        <w:rPr>
          <w:rFonts w:hint="eastAsia" w:ascii="宋体" w:hAnsi="宋体"/>
          <w:szCs w:val="28"/>
        </w:rPr>
        <w:t>截面</w:t>
      </w:r>
      <w:r>
        <w:rPr>
          <w:rFonts w:ascii="宋体" w:hAnsi="宋体"/>
          <w:szCs w:val="28"/>
        </w:rPr>
        <w:t>高度；</w:t>
      </w:r>
    </w:p>
    <w:p>
      <w:pPr>
        <w:snapToGrid w:val="0"/>
        <w:spacing w:line="360" w:lineRule="auto"/>
        <w:ind w:firstLine="630" w:firstLineChars="300"/>
        <w:jc w:val="left"/>
        <w:rPr>
          <w:rFonts w:ascii="宋体" w:hAnsi="宋体"/>
          <w:szCs w:val="28"/>
        </w:rPr>
      </w:pPr>
      <m:oMath>
        <m:sSub>
          <m:sSubPr>
            <m:ctrlPr>
              <w:rPr>
                <w:rFonts w:ascii="Cambria Math" w:hAnsi="Cambria Math"/>
                <w:szCs w:val="28"/>
              </w:rPr>
            </m:ctrlPr>
          </m:sSubPr>
          <m:e>
            <m:r>
              <w:rPr>
                <w:rFonts w:ascii="Cambria Math" w:hAnsi="Cambria Math"/>
                <w:szCs w:val="28"/>
              </w:rPr>
              <m:t xml:space="preserve">h</m:t>
            </m:r>
          </m:e>
          <m:sub>
            <m:r>
              <w:rPr>
                <w:rFonts w:ascii="Cambria Math" w:hAnsi="Cambria Math"/>
                <w:szCs w:val="28"/>
              </w:rPr>
              <m:t xml:space="preserve">0</m:t>
            </m:r>
          </m:sub>
        </m:sSub>
      </m:oMath>
      <w:r>
        <w:rPr>
          <w:rFonts w:hint="eastAsia" w:ascii="宋体" w:hAnsi="宋体"/>
          <w:szCs w:val="28"/>
        </w:rPr>
        <w:t>— 截面</w:t>
      </w:r>
      <w:r>
        <w:rPr>
          <w:rFonts w:ascii="宋体" w:hAnsi="宋体"/>
          <w:szCs w:val="28"/>
        </w:rPr>
        <w:t>有效高度；</w:t>
      </w:r>
    </w:p>
    <w:p>
      <w:pPr>
        <w:snapToGrid w:val="0"/>
        <w:spacing w:line="360" w:lineRule="auto"/>
        <w:ind w:firstLine="630" w:firstLineChars="300"/>
        <w:jc w:val="left"/>
        <w:rPr>
          <w:rFonts w:hAnsi="宋体"/>
        </w:rPr>
      </w:pPr>
      <m:oMath>
        <m:sSub>
          <m:sSubPr>
            <m:ctrlPr>
              <w:rPr>
                <w:rFonts w:ascii="Cambria Math" w:hAnsi="Cambria Math"/>
                <w:i/>
              </w:rPr>
            </m:ctrlPr>
          </m:sSubPr>
          <m:e>
            <m:r>
              <w:rPr>
                <w:rFonts w:ascii="Cambria Math" w:hAnsi="Cambria Math"/>
              </w:rPr>
              <m:t xml:space="preserve">h</m:t>
            </m:r>
          </m:e>
          <m:sub>
            <m:r>
              <w:rPr>
                <w:rFonts w:ascii="Cambria Math" w:hAnsi="Cambria Math"/>
              </w:rPr>
              <m:t xml:space="preserve">c</m:t>
            </m:r>
          </m:sub>
        </m:sSub>
      </m:oMath>
      <w:r>
        <w:rPr>
          <w:rFonts w:hint="eastAsia" w:hAnsi="宋体"/>
        </w:rPr>
        <w:t xml:space="preserve"> </w:t>
      </w:r>
      <w:r>
        <w:rPr>
          <w:rFonts w:hAnsi="宋体"/>
        </w:rPr>
        <w:t xml:space="preserve">— </w:t>
      </w:r>
      <w:r>
        <w:rPr>
          <w:rFonts w:hint="eastAsia" w:hAnsi="宋体"/>
        </w:rPr>
        <w:t>框支柱截面高度；</w:t>
      </w:r>
    </w:p>
    <w:p>
      <w:pPr>
        <w:snapToGrid w:val="0"/>
        <w:spacing w:line="360" w:lineRule="auto"/>
        <w:ind w:firstLine="630" w:firstLineChars="300"/>
        <w:jc w:val="left"/>
        <w:rPr>
          <w:rFonts w:ascii="宋体" w:hAnsi="宋体"/>
          <w:szCs w:val="28"/>
        </w:rPr>
      </w:pPr>
      <m:oMath>
        <m:sSub>
          <m:sSubPr>
            <m:ctrlPr>
              <w:rPr>
                <w:rFonts w:ascii="Cambria Math" w:hAnsi="Cambria Math"/>
                <w:i/>
              </w:rPr>
            </m:ctrlPr>
          </m:sSubPr>
          <m:e>
            <m:r>
              <w:rPr>
                <w:rFonts w:ascii="Cambria Math" w:hAnsi="Cambria Math"/>
              </w:rPr>
              <m:t xml:space="preserve">h</m:t>
            </m:r>
          </m:e>
          <m:sub>
            <m:r>
              <w:rPr>
                <w:rFonts w:ascii="Cambria Math" w:hAnsi="Cambria Math"/>
              </w:rPr>
              <m:t xml:space="preserve">s</m:t>
            </m:r>
          </m:sub>
        </m:sSub>
        <m:r>
          <m:rPr>
            <m:sty m:val="p"/>
          </m:rPr>
          <w:rPr>
            <w:rFonts w:ascii="Cambria Math" w:hAnsi="Cambria Math" w:hint="eastAsia"/>
          </w:rPr>
          <m:t xml:space="preserve">、</m:t>
        </m:r>
        <m:sSub>
          <m:sSubPr>
            <m:ctrlPr>
              <w:rPr>
                <w:rFonts w:ascii="Cambria Math" w:hAnsi="Cambria Math"/>
                <w:i/>
              </w:rPr>
            </m:ctrlPr>
          </m:sSubPr>
          <m:e>
            <m:r>
              <w:rPr>
                <w:rFonts w:ascii="Cambria Math" w:hAnsi="Cambria Math"/>
              </w:rPr>
              <m:t xml:space="preserve">h</m:t>
            </m:r>
          </m:e>
          <m:sub>
            <m:r>
              <w:rPr>
                <w:rFonts w:ascii="Cambria Math" w:hAnsi="Cambria Math"/>
              </w:rPr>
              <m:t xml:space="preserve">s0</m:t>
            </m:r>
          </m:sub>
        </m:sSub>
      </m:oMath>
      <w:r>
        <w:rPr>
          <w:rFonts w:hAnsi="宋体"/>
        </w:rPr>
        <w:t xml:space="preserve">— </w:t>
      </w:r>
      <w:r>
        <w:rPr>
          <w:rFonts w:hint="eastAsia" w:hAnsi="宋体"/>
        </w:rPr>
        <w:t>厚板截面的板厚</w:t>
      </w:r>
      <w:r>
        <w:rPr>
          <w:rFonts w:hAnsi="宋体"/>
        </w:rPr>
        <w:t>及</w:t>
      </w:r>
      <w:r>
        <w:rPr>
          <w:rFonts w:hint="eastAsia" w:hAnsi="宋体"/>
        </w:rPr>
        <w:t>有效高度；</w:t>
      </w:r>
    </w:p>
    <w:p>
      <w:pPr>
        <w:snapToGrid w:val="0"/>
        <w:spacing w:line="360" w:lineRule="auto"/>
        <w:ind w:firstLine="630" w:firstLineChars="300"/>
        <w:jc w:val="left"/>
        <w:rPr>
          <w:rFonts w:ascii="宋体" w:hAnsi="宋体"/>
          <w:szCs w:val="28"/>
        </w:rPr>
      </w:pPr>
      <m:oMath>
        <m:sSub>
          <m:sSubPr>
            <m:ctrlPr>
              <w:rPr>
                <w:rFonts w:ascii="Cambria Math" w:hAnsi="Cambria Math"/>
                <w:szCs w:val="28"/>
              </w:rPr>
            </m:ctrlPr>
          </m:sSubPr>
          <m:e>
            <m:r>
              <w:rPr>
                <w:rFonts w:ascii="Cambria Math" w:hAnsi="Cambria Math"/>
                <w:szCs w:val="28"/>
              </w:rPr>
              <m:t xml:space="preserve">l</m:t>
            </m:r>
          </m:e>
          <m:sub>
            <m:r>
              <w:rPr>
                <w:rFonts w:ascii="Cambria Math" w:hAnsi="Cambria Math"/>
                <w:szCs w:val="28"/>
              </w:rPr>
              <m:t xml:space="preserve">ab</m:t>
            </m:r>
          </m:sub>
        </m:sSub>
      </m:oMath>
      <w:r>
        <w:rPr>
          <w:rFonts w:hint="eastAsia" w:ascii="宋体" w:hAnsi="宋体"/>
          <w:szCs w:val="28"/>
        </w:rPr>
        <w:t>、</w:t>
      </w:r>
      <m:oMath>
        <m:sSub>
          <m:sSubPr>
            <m:ctrlPr>
              <w:rPr>
                <w:rFonts w:ascii="Cambria Math" w:hAnsi="Cambria Math"/>
                <w:szCs w:val="28"/>
              </w:rPr>
            </m:ctrlPr>
          </m:sSubPr>
          <m:e>
            <m:r>
              <w:rPr>
                <w:rFonts w:ascii="Cambria Math" w:hAnsi="Cambria Math"/>
                <w:szCs w:val="28"/>
              </w:rPr>
              <m:t xml:space="preserve">l</m:t>
            </m:r>
          </m:e>
          <m:sub>
            <m:r>
              <w:rPr>
                <w:rFonts w:ascii="Cambria Math" w:hAnsi="Cambria Math"/>
                <w:szCs w:val="28"/>
              </w:rPr>
              <m:t xml:space="preserve">a</m:t>
            </m:r>
          </m:sub>
        </m:sSub>
      </m:oMath>
      <w:r>
        <w:rPr>
          <w:rFonts w:hint="eastAsia" w:ascii="宋体" w:hAnsi="宋体"/>
          <w:szCs w:val="28"/>
        </w:rPr>
        <w:t>— 纵向受拉</w:t>
      </w:r>
      <w:r>
        <w:rPr>
          <w:rFonts w:ascii="宋体" w:hAnsi="宋体"/>
          <w:szCs w:val="28"/>
        </w:rPr>
        <w:t>钢筋的基本锚固长度、</w:t>
      </w:r>
      <w:r>
        <w:rPr>
          <w:rFonts w:hint="eastAsia" w:ascii="宋体" w:hAnsi="宋体"/>
          <w:szCs w:val="28"/>
        </w:rPr>
        <w:t>最小</w:t>
      </w:r>
      <w:r>
        <w:rPr>
          <w:rFonts w:ascii="宋体" w:hAnsi="宋体"/>
          <w:szCs w:val="28"/>
        </w:rPr>
        <w:t>锚固长度；</w:t>
      </w:r>
    </w:p>
    <w:p>
      <w:pPr>
        <w:snapToGrid w:val="0"/>
        <w:spacing w:line="360" w:lineRule="auto"/>
        <w:ind w:firstLine="630" w:firstLineChars="300"/>
        <w:jc w:val="left"/>
        <w:rPr>
          <w:rFonts w:ascii="宋体" w:hAnsi="宋体"/>
          <w:szCs w:val="28"/>
        </w:rPr>
      </w:pPr>
      <m:oMath>
        <m:sSub>
          <m:sSubPr>
            <m:ctrlPr>
              <w:rPr>
                <w:rFonts w:ascii="Cambria Math" w:hAnsi="Cambria Math"/>
                <w:szCs w:val="28"/>
              </w:rPr>
            </m:ctrlPr>
          </m:sSubPr>
          <m:e>
            <m:r>
              <w:rPr>
                <w:rFonts w:ascii="Cambria Math" w:hAnsi="Cambria Math"/>
                <w:szCs w:val="28"/>
              </w:rPr>
              <m:t xml:space="preserve">l</m:t>
            </m:r>
          </m:e>
          <m:sub>
            <m:r>
              <w:rPr>
                <w:rFonts w:ascii="Cambria Math" w:hAnsi="Cambria Math"/>
                <w:szCs w:val="28"/>
              </w:rPr>
              <m:t xml:space="preserve">abE</m:t>
            </m:r>
          </m:sub>
        </m:sSub>
      </m:oMath>
      <w:r>
        <w:rPr>
          <w:rFonts w:hint="eastAsia" w:ascii="宋体" w:hAnsi="宋体"/>
          <w:szCs w:val="28"/>
        </w:rPr>
        <w:t>、</w:t>
      </w:r>
      <m:oMath>
        <m:sSub>
          <m:sSubPr>
            <m:ctrlPr>
              <w:rPr>
                <w:rFonts w:ascii="Cambria Math" w:hAnsi="Cambria Math"/>
                <w:szCs w:val="28"/>
              </w:rPr>
            </m:ctrlPr>
          </m:sSubPr>
          <m:e>
            <m:r>
              <w:rPr>
                <w:rFonts w:ascii="Cambria Math" w:hAnsi="Cambria Math"/>
                <w:szCs w:val="28"/>
              </w:rPr>
              <m:t xml:space="preserve">l</m:t>
            </m:r>
          </m:e>
          <m:sub>
            <m:r>
              <w:rPr>
                <w:rFonts w:ascii="Cambria Math" w:hAnsi="Cambria Math"/>
                <w:szCs w:val="28"/>
              </w:rPr>
              <m:t xml:space="preserve">aE</m:t>
            </m:r>
          </m:sub>
        </m:sSub>
      </m:oMath>
      <w:r>
        <w:rPr>
          <w:rFonts w:hint="eastAsia" w:ascii="宋体" w:hAnsi="宋体"/>
          <w:szCs w:val="28"/>
        </w:rPr>
        <w:t>— 抗震设计时纵向受拉钢筋</w:t>
      </w:r>
      <w:r>
        <w:rPr>
          <w:rFonts w:ascii="宋体" w:hAnsi="宋体"/>
          <w:szCs w:val="28"/>
        </w:rPr>
        <w:t>的基本锚固长度、</w:t>
      </w:r>
      <w:r>
        <w:rPr>
          <w:rFonts w:hint="eastAsia" w:ascii="宋体" w:hAnsi="宋体"/>
          <w:szCs w:val="28"/>
        </w:rPr>
        <w:t>最小</w:t>
      </w:r>
      <w:r>
        <w:rPr>
          <w:rFonts w:ascii="宋体" w:hAnsi="宋体"/>
          <w:szCs w:val="28"/>
        </w:rPr>
        <w:t>锚固长度；</w:t>
      </w:r>
    </w:p>
    <w:p>
      <w:pPr>
        <w:snapToGrid w:val="0"/>
        <w:spacing w:line="360" w:lineRule="auto"/>
        <w:ind w:firstLine="630" w:firstLineChars="300"/>
        <w:jc w:val="left"/>
        <w:rPr>
          <w:rFonts w:ascii="宋体" w:hAnsi="宋体"/>
          <w:szCs w:val="28"/>
        </w:rPr>
      </w:pPr>
      <m:oMath>
        <m:sSub>
          <m:sSubPr>
            <m:ctrlPr>
              <w:rPr>
                <w:rFonts w:ascii="Cambria Math" w:hAnsi="Cambria Math"/>
                <w:szCs w:val="28"/>
              </w:rPr>
            </m:ctrlPr>
          </m:sSubPr>
          <m:e>
            <m:r>
              <w:rPr>
                <w:rFonts w:ascii="Cambria Math" w:hAnsi="Cambria Math"/>
                <w:szCs w:val="28"/>
              </w:rPr>
              <m:t xml:space="preserve">l</m:t>
            </m:r>
          </m:e>
          <m:sub>
            <m:r>
              <w:rPr>
                <w:rFonts w:ascii="Cambria Math" w:hAnsi="Cambria Math"/>
                <w:szCs w:val="28"/>
              </w:rPr>
              <m:t xml:space="preserve">0</m:t>
            </m:r>
          </m:sub>
        </m:sSub>
      </m:oMath>
      <w:r>
        <w:rPr>
          <w:rFonts w:hint="eastAsia" w:ascii="宋体" w:hAnsi="宋体"/>
          <w:szCs w:val="28"/>
        </w:rPr>
        <w:t>、</w:t>
      </w:r>
      <m:oMath>
        <m:sSub>
          <m:sSubPr>
            <m:ctrlPr>
              <w:rPr>
                <w:rFonts w:ascii="Cambria Math" w:hAnsi="Cambria Math"/>
                <w:i/>
              </w:rPr>
            </m:ctrlPr>
          </m:sSubPr>
          <m:e>
            <m:r>
              <w:rPr>
                <w:rFonts w:ascii="Cambria Math" w:hAnsi="Cambria Math"/>
              </w:rPr>
              <m:t xml:space="preserve">l</m:t>
            </m:r>
          </m:e>
          <m:sub>
            <m:r>
              <w:rPr>
                <w:rFonts w:ascii="Cambria Math" w:hAnsi="Cambria Math"/>
              </w:rPr>
              <m:t xml:space="preserve">n</m:t>
            </m:r>
          </m:sub>
        </m:sSub>
      </m:oMath>
      <w:r>
        <w:rPr>
          <w:rFonts w:hint="eastAsia" w:ascii="宋体" w:hAnsi="宋体"/>
          <w:szCs w:val="28"/>
        </w:rPr>
        <w:t>— 计算</w:t>
      </w:r>
      <w:r>
        <w:rPr>
          <w:rFonts w:ascii="宋体" w:hAnsi="宋体"/>
          <w:szCs w:val="28"/>
        </w:rPr>
        <w:t>跨度或计算长度</w:t>
      </w:r>
      <w:r>
        <w:rPr>
          <w:rFonts w:hint="eastAsia" w:ascii="宋体" w:hAnsi="宋体"/>
          <w:szCs w:val="28"/>
        </w:rPr>
        <w:t>、</w:t>
      </w:r>
      <w:r>
        <w:rPr>
          <w:rFonts w:hint="eastAsia" w:hAnsi="宋体"/>
        </w:rPr>
        <w:t>净跨</w:t>
      </w:r>
      <w:r>
        <w:rPr>
          <w:rFonts w:ascii="宋体" w:hAnsi="宋体"/>
          <w:szCs w:val="28"/>
        </w:rPr>
        <w:t>；</w:t>
      </w:r>
    </w:p>
    <w:p>
      <w:pPr>
        <w:snapToGrid w:val="0"/>
        <w:spacing w:line="360" w:lineRule="auto"/>
        <w:ind w:firstLine="630" w:firstLineChars="300"/>
        <w:jc w:val="left"/>
        <w:rPr>
          <w:rFonts w:ascii="宋体" w:hAnsi="宋体"/>
          <w:szCs w:val="28"/>
        </w:rPr>
      </w:pPr>
      <w:r>
        <w:rPr>
          <w:rFonts w:ascii="宋体" w:hAnsi="宋体"/>
          <w:szCs w:val="28"/>
        </w:rPr>
        <w:t xml:space="preserve">s— </w:t>
      </w:r>
      <w:r>
        <w:rPr>
          <w:rFonts w:hint="eastAsia" w:ascii="宋体" w:hAnsi="宋体"/>
          <w:szCs w:val="28"/>
        </w:rPr>
        <w:t>沿</w:t>
      </w:r>
      <w:r>
        <w:rPr>
          <w:rFonts w:ascii="宋体" w:hAnsi="宋体"/>
          <w:szCs w:val="28"/>
        </w:rPr>
        <w:t>构件轴线方向上横向钢筋的间距、螺旋筋的</w:t>
      </w:r>
      <w:r>
        <w:rPr>
          <w:rFonts w:hint="eastAsia" w:ascii="宋体" w:hAnsi="宋体"/>
          <w:szCs w:val="28"/>
        </w:rPr>
        <w:t>间距</w:t>
      </w:r>
      <w:r>
        <w:rPr>
          <w:rFonts w:ascii="宋体" w:hAnsi="宋体"/>
          <w:szCs w:val="28"/>
        </w:rPr>
        <w:t>或</w:t>
      </w:r>
      <w:r>
        <w:rPr>
          <w:rFonts w:hint="eastAsia" w:ascii="宋体" w:hAnsi="宋体"/>
          <w:szCs w:val="28"/>
        </w:rPr>
        <w:t>箍筋</w:t>
      </w:r>
      <w:r>
        <w:rPr>
          <w:rFonts w:ascii="宋体" w:hAnsi="宋体"/>
          <w:szCs w:val="28"/>
        </w:rPr>
        <w:t>的间距；</w:t>
      </w:r>
    </w:p>
    <w:p>
      <w:pPr>
        <w:snapToGrid w:val="0"/>
        <w:spacing w:line="360" w:lineRule="auto"/>
        <w:ind w:firstLine="630" w:firstLineChars="300"/>
        <w:jc w:val="left"/>
        <w:rPr>
          <w:rFonts w:ascii="宋体" w:hAnsi="宋体"/>
          <w:szCs w:val="28"/>
        </w:rPr>
      </w:pPr>
      <w:r>
        <w:rPr>
          <w:rFonts w:hint="eastAsia" w:ascii="宋体" w:hAnsi="宋体"/>
          <w:szCs w:val="28"/>
        </w:rPr>
        <w:t>A— 构件</w:t>
      </w:r>
      <w:r>
        <w:rPr>
          <w:rFonts w:ascii="宋体" w:hAnsi="宋体"/>
          <w:szCs w:val="28"/>
        </w:rPr>
        <w:t>截面面积；</w:t>
      </w:r>
    </w:p>
    <w:p>
      <w:pPr>
        <w:snapToGrid w:val="0"/>
        <w:spacing w:line="360" w:lineRule="auto"/>
        <w:ind w:firstLine="630" w:firstLineChars="300"/>
        <w:jc w:val="left"/>
        <w:rPr>
          <w:rFonts w:hAnsi="宋体"/>
        </w:rPr>
      </w:pPr>
      <m:oMath>
        <m:sSub>
          <m:sSubPr>
            <m:ctrlPr>
              <w:rPr>
                <w:rFonts w:ascii="Cambria Math" w:hAnsi="Cambria Math"/>
                <w:i/>
              </w:rPr>
            </m:ctrlPr>
          </m:sSubPr>
          <m:e>
            <m:r>
              <w:rPr>
                <w:rFonts w:ascii="Cambria Math" w:hAnsi="Cambria Math"/>
              </w:rPr>
              <m:t xml:space="preserve">A</m:t>
            </m:r>
          </m:e>
          <m:sub>
            <m:r>
              <w:rPr>
                <w:rFonts w:ascii="Cambria Math" w:hAnsi="Cambria Math"/>
              </w:rPr>
              <m:t xml:space="preserve">j</m:t>
            </m:r>
          </m:sub>
        </m:sSub>
      </m:oMath>
      <w:r>
        <w:rPr>
          <w:rFonts w:hAnsi="宋体"/>
        </w:rPr>
        <w:t xml:space="preserve">— </w:t>
      </w:r>
      <w:r>
        <w:rPr>
          <w:rFonts w:hint="eastAsia" w:hAnsi="宋体"/>
        </w:rPr>
        <w:t>节点核芯区有效截面面积；</w:t>
      </w:r>
    </w:p>
    <w:p>
      <w:pPr>
        <w:snapToGrid w:val="0"/>
        <w:spacing w:line="360" w:lineRule="auto"/>
        <w:ind w:firstLine="630" w:firstLineChars="300"/>
        <w:jc w:val="left"/>
        <w:rPr>
          <w:rFonts w:hAnsi="宋体"/>
        </w:rPr>
      </w:pPr>
      <m:oMath>
        <m:sSub>
          <m:sSubPr>
            <m:ctrlPr>
              <w:rPr>
                <w:rFonts w:ascii="Cambria Math" w:hAnsi="Cambria Math"/>
                <w:i/>
              </w:rPr>
            </m:ctrlPr>
          </m:sSubPr>
          <m:e>
            <m:r>
              <w:rPr>
                <w:rFonts w:ascii="Cambria Math" w:hAnsi="Cambria Math"/>
              </w:rPr>
              <m:t xml:space="preserve">A</m:t>
            </m:r>
          </m:e>
          <m:sub>
            <m:r>
              <w:rPr>
                <w:rFonts w:ascii="Cambria Math" w:hAnsi="Cambria Math"/>
              </w:rPr>
              <m:t xml:space="preserve">svj</m:t>
            </m:r>
          </m:sub>
        </m:sSub>
      </m:oMath>
      <w:r>
        <w:rPr>
          <w:rFonts w:hAnsi="宋体"/>
        </w:rPr>
        <w:t xml:space="preserve">— </w:t>
      </w:r>
      <w:r>
        <w:rPr>
          <w:rFonts w:hint="eastAsia" w:hAnsi="宋体"/>
        </w:rPr>
        <w:t>核芯区有效验算宽度范围内同一截面验算方向箍筋的总截面面积；</w:t>
      </w:r>
    </w:p>
    <w:p>
      <w:pPr>
        <w:snapToGrid w:val="0"/>
        <w:spacing w:line="360" w:lineRule="auto"/>
        <w:ind w:firstLine="630" w:firstLineChars="300"/>
        <w:jc w:val="left"/>
        <w:rPr>
          <w:rFonts w:ascii="宋体" w:hAnsi="宋体"/>
          <w:szCs w:val="28"/>
        </w:rPr>
      </w:pPr>
      <m:oMath>
        <m:sSub>
          <m:sSubPr>
            <m:ctrlPr>
              <w:rPr>
                <w:rFonts w:ascii="Cambria Math" w:hAnsi="Cambria Math"/>
                <w:i/>
              </w:rPr>
            </m:ctrlPr>
          </m:sSubPr>
          <m:e>
            <m:r>
              <w:rPr>
                <w:rFonts w:ascii="Cambria Math" w:hAnsi="Cambria Math"/>
              </w:rPr>
              <m:t xml:space="preserve">A</m:t>
            </m:r>
          </m:e>
          <m:sub>
            <m:r>
              <w:rPr>
                <w:rFonts w:ascii="Cambria Math" w:hAnsi="Cambria Math"/>
              </w:rPr>
              <m:t xml:space="preserve">sh</m:t>
            </m:r>
          </m:sub>
        </m:sSub>
      </m:oMath>
      <w:r>
        <w:rPr>
          <w:rFonts w:hAnsi="宋体"/>
        </w:rPr>
        <w:t xml:space="preserve">— </w:t>
      </w:r>
      <w:r>
        <w:rPr>
          <w:rFonts w:hint="eastAsia" w:hAnsi="宋体"/>
        </w:rPr>
        <w:t>单根圆形箍筋的截面面积；</w:t>
      </w:r>
    </w:p>
    <w:p>
      <w:pPr>
        <w:snapToGrid w:val="0"/>
        <w:spacing w:line="360" w:lineRule="auto"/>
        <w:ind w:firstLine="630" w:firstLineChars="300"/>
        <w:jc w:val="left"/>
        <w:rPr>
          <w:rFonts w:ascii="宋体" w:hAnsi="宋体"/>
          <w:szCs w:val="28"/>
        </w:rPr>
      </w:pPr>
      <m:oMath>
        <m:sSub>
          <m:sSubPr>
            <m:ctrlPr>
              <w:rPr>
                <w:rFonts w:ascii="Cambria Math" w:hAnsi="Cambria Math"/>
                <w:szCs w:val="28"/>
              </w:rPr>
            </m:ctrlPr>
          </m:sSubPr>
          <m:e>
            <m:r>
              <w:rPr>
                <w:rFonts w:ascii="Cambria Math" w:hAnsi="Cambria Math"/>
                <w:szCs w:val="28"/>
              </w:rPr>
              <m:t xml:space="preserve">A</m:t>
            </m:r>
          </m:e>
          <m:sub>
            <m:r>
              <w:rPr>
                <w:rFonts w:ascii="Cambria Math" w:hAnsi="Cambria Math"/>
                <w:szCs w:val="28"/>
              </w:rPr>
              <m:t xml:space="preserve">S</m:t>
            </m:r>
          </m:sub>
        </m:sSub>
      </m:oMath>
      <w:r>
        <w:rPr>
          <w:rFonts w:hint="eastAsia" w:ascii="宋体" w:hAnsi="宋体"/>
          <w:szCs w:val="28"/>
        </w:rPr>
        <w:t>、</w:t>
      </w:r>
      <m:oMath>
        <m:sSubSup>
          <m:sSubSupPr>
            <m:ctrlPr>
              <w:rPr>
                <w:rFonts w:ascii="Cambria Math" w:hAnsi="Cambria Math"/>
                <w:szCs w:val="28"/>
              </w:rPr>
            </m:ctrlPr>
          </m:sSubSupPr>
          <m:e>
            <m:r>
              <w:rPr>
                <w:rFonts w:ascii="Cambria Math" w:hAnsi="Cambria Math"/>
                <w:szCs w:val="28"/>
              </w:rPr>
              <m:t xml:space="preserve">A</m:t>
            </m:r>
          </m:e>
          <m:sub>
            <m:r>
              <w:rPr>
                <w:rFonts w:ascii="Cambria Math" w:hAnsi="Cambria Math"/>
                <w:szCs w:val="28"/>
              </w:rPr>
              <m:t xml:space="preserve">s</m:t>
            </m:r>
          </m:sub>
          <m:sup>
            <m:r>
              <w:rPr>
                <w:rFonts w:ascii="Cambria Math" w:hAnsi="Cambria Math"/>
                <w:szCs w:val="28"/>
              </w:rPr>
              <m:t xml:space="preserve">'</m:t>
            </m:r>
          </m:sup>
        </m:sSubSup>
      </m:oMath>
      <w:r>
        <w:rPr>
          <w:rFonts w:hint="eastAsia" w:ascii="宋体" w:hAnsi="宋体"/>
          <w:szCs w:val="28"/>
        </w:rPr>
        <w:t>— 受</w:t>
      </w:r>
      <w:r>
        <w:rPr>
          <w:rFonts w:ascii="宋体" w:hAnsi="宋体"/>
          <w:szCs w:val="28"/>
        </w:rPr>
        <w:t>拉区、受压区纵向普通钢筋的截面面积；</w:t>
      </w:r>
    </w:p>
    <w:p>
      <w:pPr>
        <w:snapToGrid w:val="0"/>
        <w:spacing w:line="360" w:lineRule="auto"/>
        <w:ind w:firstLine="660" w:firstLineChars="300"/>
        <w:jc w:val="left"/>
        <w:rPr>
          <w:rFonts w:ascii="宋体" w:hAnsi="宋体"/>
          <w:sz w:val="22"/>
          <w:szCs w:val="22"/>
        </w:rPr>
      </w:pPr>
      <m:oMath>
        <m:sSub>
          <m:sSubPr>
            <m:ctrlPr>
              <w:rPr>
                <w:rFonts w:ascii="Cambria Math" w:hAnsi="Cambria Math"/>
                <w:i/>
                <w:sz w:val="22"/>
                <w:szCs w:val="22"/>
              </w:rPr>
            </m:ctrlPr>
          </m:sSubPr>
          <m:e>
            <m:r>
              <w:rPr>
                <w:rFonts w:ascii="Cambria Math" w:hAnsi="Cambria Math"/>
                <w:sz w:val="22"/>
                <w:szCs w:val="22"/>
              </w:rPr>
              <m:t xml:space="preserve">t</m:t>
            </m:r>
          </m:e>
          <m:sub>
            <m:r>
              <w:rPr>
                <w:rFonts w:ascii="Cambria Math" w:hAnsi="Cambria Math"/>
                <w:sz w:val="22"/>
                <w:szCs w:val="22"/>
              </w:rPr>
              <m:t xml:space="preserve">w</m:t>
            </m:r>
          </m:sub>
        </m:sSub>
      </m:oMath>
      <w:r>
        <w:rPr>
          <w:rFonts w:hint="eastAsia" w:ascii="宋体" w:hAnsi="宋体"/>
          <w:sz w:val="22"/>
          <w:szCs w:val="22"/>
        </w:rPr>
        <w:t>— 型钢腹板厚度；</w:t>
      </w:r>
    </w:p>
    <w:p>
      <w:pPr>
        <w:snapToGrid w:val="0"/>
        <w:spacing w:line="360" w:lineRule="auto"/>
        <w:ind w:firstLine="660" w:firstLineChars="300"/>
        <w:jc w:val="left"/>
        <w:rPr>
          <w:rFonts w:ascii="宋体" w:hAnsi="宋体"/>
          <w:sz w:val="22"/>
          <w:szCs w:val="22"/>
        </w:rPr>
      </w:pPr>
      <m:oMath>
        <m:sSub>
          <m:sSubPr>
            <m:ctrlPr>
              <w:rPr>
                <w:rFonts w:ascii="Cambria Math" w:hAnsi="Cambria Math"/>
                <w:i/>
                <w:sz w:val="22"/>
                <w:szCs w:val="22"/>
              </w:rPr>
            </m:ctrlPr>
          </m:sSubPr>
          <m:e>
            <m:r>
              <w:rPr>
                <w:rFonts w:ascii="Cambria Math" w:hAnsi="Cambria Math"/>
                <w:sz w:val="22"/>
                <w:szCs w:val="22"/>
              </w:rPr>
              <m:t xml:space="preserve">h</m:t>
            </m:r>
          </m:e>
          <m:sub>
            <m:r>
              <w:rPr>
                <w:rFonts w:ascii="Cambria Math" w:hAnsi="Cambria Math"/>
                <w:sz w:val="22"/>
                <w:szCs w:val="22"/>
              </w:rPr>
              <m:t xml:space="preserve">w</m:t>
            </m:r>
          </m:sub>
        </m:sSub>
      </m:oMath>
      <w:r>
        <w:rPr>
          <w:rFonts w:hint="eastAsia" w:ascii="宋体" w:hAnsi="宋体"/>
          <w:sz w:val="22"/>
          <w:szCs w:val="22"/>
        </w:rPr>
        <w:t>— 型钢腹板高度；</w:t>
      </w:r>
    </w:p>
    <w:p>
      <w:pPr>
        <w:snapToGrid w:val="0"/>
        <w:spacing w:line="360" w:lineRule="auto"/>
        <w:ind w:firstLine="630" w:firstLineChars="300"/>
        <w:jc w:val="left"/>
        <w:rPr>
          <w:rFonts w:ascii="宋体" w:hAnsi="宋体"/>
          <w:szCs w:val="28"/>
        </w:rPr>
      </w:pPr>
      <m:oMath>
        <m:sSub>
          <m:sSubPr>
            <m:ctrlPr>
              <w:rPr>
                <w:rFonts w:ascii="Cambria Math" w:hAnsi="Cambria Math"/>
                <w:i/>
              </w:rPr>
            </m:ctrlPr>
          </m:sSubPr>
          <m:e>
            <m:r>
              <w:rPr>
                <w:rFonts w:ascii="Cambria Math" w:hAnsi="Cambria Math"/>
              </w:rPr>
              <m:t xml:space="preserve">u</m:t>
            </m:r>
          </m:e>
          <m:sub>
            <m:r>
              <w:rPr>
                <w:rFonts w:ascii="Cambria Math" w:hAnsi="Cambria Math"/>
              </w:rPr>
              <m:t xml:space="preserve">m</m:t>
            </m:r>
          </m:sub>
        </m:sSub>
      </m:oMath>
      <w:r>
        <w:rPr>
          <w:rFonts w:hint="eastAsia" w:hAnsi="宋体"/>
        </w:rPr>
        <w:t xml:space="preserve"> </w:t>
      </w:r>
      <w:r>
        <w:rPr>
          <w:rFonts w:hAnsi="宋体"/>
        </w:rPr>
        <w:t xml:space="preserve"> — </w:t>
      </w:r>
      <w:r>
        <w:rPr>
          <w:rFonts w:hint="eastAsia" w:hAnsi="宋体"/>
        </w:rPr>
        <w:t>临界截面的周长，取距离局部荷载或集中反力作用面积周边</w:t>
      </w:r>
      <m:oMath>
        <m:sSub>
          <m:sSubPr>
            <m:ctrlPr>
              <w:rPr>
                <w:rFonts w:ascii="Cambria Math" w:hAnsi="Cambria Math"/>
                <w:i/>
              </w:rPr>
            </m:ctrlPr>
          </m:sSubPr>
          <m:e>
            <m:r>
              <w:rPr>
                <w:rFonts w:ascii="Cambria Math" w:hAnsi="Cambria Math"/>
              </w:rPr>
              <m:t xml:space="preserve">h</m:t>
            </m:r>
          </m:e>
          <m:sub>
            <m:r>
              <w:rPr>
                <w:rFonts w:ascii="Cambria Math" w:hAnsi="Cambria Math"/>
              </w:rPr>
              <m:t xml:space="preserve">0</m:t>
            </m:r>
          </m:sub>
        </m:sSub>
      </m:oMath>
      <w:r>
        <w:rPr>
          <w:rFonts w:hint="eastAsia" w:hAnsi="宋体"/>
        </w:rPr>
        <w:t>/</w:t>
      </w:r>
      <w:r>
        <w:rPr>
          <w:rFonts w:hAnsi="宋体"/>
        </w:rPr>
        <w:t>2</w:t>
      </w:r>
      <w:r>
        <w:rPr>
          <w:rFonts w:hint="eastAsia" w:hAnsi="宋体"/>
        </w:rPr>
        <w:t>处。</w:t>
      </w:r>
    </w:p>
    <w:p>
      <w:pPr>
        <w:tabs>
          <w:tab w:val="right" w:pos="8400"/>
        </w:tabs>
        <w:adjustRightInd w:val="0"/>
        <w:snapToGrid w:val="0"/>
        <w:spacing w:line="360" w:lineRule="auto"/>
        <w:ind w:firstLine="482"/>
      </w:pPr>
      <w:r>
        <w:rPr>
          <w:b/>
          <w:bCs/>
        </w:rPr>
        <w:t>2.2.4</w:t>
      </w:r>
      <w:r>
        <w:rPr>
          <w:rFonts w:hint="eastAsia"/>
        </w:rPr>
        <w:t>计算</w:t>
      </w:r>
      <w:r>
        <w:t>系数及其他</w:t>
      </w:r>
    </w:p>
    <w:p>
      <w:pPr>
        <w:tabs>
          <w:tab w:val="right" w:pos="8400"/>
        </w:tabs>
        <w:adjustRightInd w:val="0"/>
        <w:snapToGrid w:val="0"/>
        <w:spacing w:line="360" w:lineRule="auto"/>
        <w:ind w:firstLine="482"/>
        <w:rPr>
          <w:rFonts w:ascii="宋体" w:hAnsi="宋体"/>
          <w:sz w:val="22"/>
          <w:szCs w:val="22"/>
        </w:rPr>
      </w:pPr>
      <m:oMath>
        <m:sSub>
          <m:sSubPr>
            <m:ctrlPr>
              <w:rPr>
                <w:rFonts w:ascii="Cambria Math" w:hAnsi="Cambria Math"/>
                <w:i/>
                <w:sz w:val="22"/>
                <w:szCs w:val="22"/>
              </w:rPr>
            </m:ctrlPr>
          </m:sSubPr>
          <m:e>
            <m:r>
              <w:rPr>
                <w:rFonts w:ascii="Cambria Math" w:hAnsi="Cambria Math"/>
                <w:sz w:val="22"/>
                <w:szCs w:val="22"/>
              </w:rPr>
              <m:t xml:space="preserve">β</m:t>
            </m:r>
          </m:e>
          <m:sub>
            <m:r>
              <w:rPr>
                <w:rFonts w:ascii="Cambria Math" w:hAnsi="Cambria Math"/>
                <w:sz w:val="22"/>
                <w:szCs w:val="22"/>
              </w:rPr>
              <m:t xml:space="preserve">c</m:t>
            </m:r>
          </m:sub>
        </m:sSub>
      </m:oMath>
      <w:r>
        <w:rPr>
          <w:rFonts w:hint="eastAsia" w:ascii="宋体" w:hAnsi="宋体"/>
          <w:sz w:val="22"/>
          <w:szCs w:val="22"/>
        </w:rPr>
        <w:t>— 混凝土强度影响系数；</w:t>
      </w:r>
    </w:p>
    <w:p>
      <w:pPr>
        <w:tabs>
          <w:tab w:val="right" w:pos="8400"/>
        </w:tabs>
        <w:adjustRightInd w:val="0"/>
        <w:snapToGrid w:val="0"/>
        <w:spacing w:line="360" w:lineRule="auto"/>
        <w:ind w:firstLine="482"/>
        <w:rPr>
          <w:rFonts w:ascii="宋体" w:hAnsi="宋体"/>
          <w:sz w:val="22"/>
          <w:szCs w:val="22"/>
        </w:rPr>
      </w:pPr>
      <m:oMath>
        <m:sSub>
          <m:sSubPr>
            <m:ctrlPr>
              <w:rPr>
                <w:rFonts w:ascii="Cambria Math" w:hAnsi="Cambria Math"/>
                <w:i/>
                <w:sz w:val="22"/>
                <w:szCs w:val="22"/>
              </w:rPr>
            </m:ctrlPr>
          </m:sSubPr>
          <m:e>
            <m:r>
              <w:rPr>
                <w:rFonts w:ascii="Cambria Math" w:hAnsi="Cambria Math"/>
                <w:sz w:val="22"/>
                <w:szCs w:val="22"/>
              </w:rPr>
              <m:t xml:space="preserve">β</m:t>
            </m:r>
          </m:e>
          <m:sub>
            <m:r>
              <w:rPr>
                <w:rFonts w:ascii="Cambria Math" w:hAnsi="Cambria Math"/>
                <w:sz w:val="22"/>
                <w:szCs w:val="22"/>
              </w:rPr>
              <m:t xml:space="preserve">h</m:t>
            </m:r>
          </m:sub>
        </m:sSub>
      </m:oMath>
      <w:r>
        <w:rPr>
          <w:rFonts w:hint="eastAsia" w:ascii="宋体" w:hAnsi="宋体"/>
          <w:sz w:val="22"/>
          <w:szCs w:val="22"/>
        </w:rPr>
        <w:t>— 截面高度影响系数；</w:t>
      </w:r>
    </w:p>
    <w:p>
      <w:pPr>
        <w:tabs>
          <w:tab w:val="right" w:pos="8400"/>
        </w:tabs>
        <w:adjustRightInd w:val="0"/>
        <w:snapToGrid w:val="0"/>
        <w:spacing w:line="360" w:lineRule="auto"/>
        <w:ind w:firstLine="482"/>
        <w:rPr>
          <w:rFonts w:hAnsi="宋体"/>
        </w:rPr>
      </w:pPr>
      <m:oMath>
        <m:sSub>
          <m:sSubPr>
            <m:ctrlPr>
              <w:rPr>
                <w:rFonts w:ascii="Cambria Math" w:hAnsi="Cambria Math"/>
                <w:i/>
              </w:rPr>
            </m:ctrlPr>
          </m:sSubPr>
          <m:e>
            <m:r>
              <w:rPr>
                <w:rFonts w:ascii="Cambria Math" w:hAnsi="Cambria Math"/>
              </w:rPr>
              <m:t xml:space="preserve">γ</m:t>
            </m:r>
          </m:e>
          <m:sub>
            <m:r>
              <w:rPr>
                <w:rFonts w:ascii="Cambria Math" w:hAnsi="Cambria Math"/>
              </w:rPr>
              <m:t xml:space="preserve">RE</m:t>
            </m:r>
          </m:sub>
        </m:sSub>
      </m:oMath>
      <w:r>
        <w:rPr>
          <w:rFonts w:hAnsi="宋体"/>
        </w:rPr>
        <w:t xml:space="preserve">— </w:t>
      </w:r>
      <w:r>
        <w:rPr>
          <w:rFonts w:hint="eastAsia" w:hAnsi="宋体"/>
        </w:rPr>
        <w:t>承载力抗震调整系数；</w:t>
      </w:r>
    </w:p>
    <w:p>
      <w:pPr>
        <w:tabs>
          <w:tab w:val="right" w:pos="8400"/>
        </w:tabs>
        <w:adjustRightInd w:val="0"/>
        <w:snapToGrid w:val="0"/>
        <w:spacing w:line="360" w:lineRule="auto"/>
        <w:ind w:firstLine="482"/>
        <w:rPr>
          <w:rFonts w:hAnsi="宋体"/>
        </w:rPr>
      </w:pPr>
      <m:oMath>
        <m:r>
          <w:rPr>
            <w:rFonts w:ascii="Cambria Math" w:hAnsi="Cambria Math"/>
          </w:rPr>
          <m:t xml:space="preserve">η</m:t>
        </m:r>
      </m:oMath>
      <w:r>
        <w:rPr>
          <w:rFonts w:hint="eastAsia" w:hAnsi="宋体"/>
        </w:rPr>
        <w:t xml:space="preserve"> </w:t>
      </w:r>
      <w:r>
        <w:rPr>
          <w:rFonts w:hAnsi="宋体"/>
        </w:rPr>
        <w:t xml:space="preserve"> </w:t>
      </w:r>
      <w:r>
        <w:rPr>
          <w:rFonts w:hint="eastAsia" w:hAnsi="宋体"/>
        </w:rPr>
        <w:t xml:space="preserve"> </w:t>
      </w:r>
      <w:r>
        <w:rPr>
          <w:rFonts w:hAnsi="宋体"/>
        </w:rPr>
        <w:t xml:space="preserve">— </w:t>
      </w:r>
      <w:r>
        <w:rPr>
          <w:rFonts w:hint="eastAsia" w:hAnsi="宋体"/>
        </w:rPr>
        <w:t>冲切承载力调整系数；</w:t>
      </w:r>
    </w:p>
    <w:p>
      <w:pPr>
        <w:tabs>
          <w:tab w:val="right" w:pos="8400"/>
        </w:tabs>
        <w:adjustRightInd w:val="0"/>
        <w:snapToGrid w:val="0"/>
        <w:spacing w:line="360" w:lineRule="auto"/>
        <w:ind w:firstLine="482"/>
        <w:rPr>
          <w:rFonts w:hAnsi="宋体"/>
        </w:rPr>
      </w:pPr>
      <m:oMath>
        <m:sSub>
          <m:sSubPr>
            <m:ctrlPr>
              <w:rPr>
                <w:rFonts w:ascii="Cambria Math" w:hAnsi="Cambria Math"/>
                <w:i/>
              </w:rPr>
            </m:ctrlPr>
          </m:sSubPr>
          <m:e>
            <m:r>
              <w:rPr>
                <w:rFonts w:ascii="Cambria Math" w:hAnsi="Cambria Math"/>
              </w:rPr>
              <m:t xml:space="preserve">u</m:t>
            </m:r>
          </m:e>
          <m:sub>
            <m:r>
              <w:rPr>
                <w:rFonts w:ascii="Cambria Math" w:hAnsi="Cambria Math"/>
              </w:rPr>
              <m:t xml:space="preserve">m</m:t>
            </m:r>
          </m:sub>
        </m:sSub>
      </m:oMath>
      <w:r>
        <w:rPr>
          <w:rFonts w:hint="eastAsia" w:hAnsi="宋体"/>
        </w:rPr>
        <w:t xml:space="preserve"> </w:t>
      </w:r>
      <w:r>
        <w:rPr>
          <w:rFonts w:hAnsi="宋体"/>
        </w:rPr>
        <w:t xml:space="preserve"> — </w:t>
      </w:r>
      <w:r>
        <w:rPr>
          <w:rFonts w:hint="eastAsia" w:hAnsi="宋体"/>
        </w:rPr>
        <w:t>临界截面的周长；</w:t>
      </w:r>
    </w:p>
    <w:p>
      <w:pPr>
        <w:snapToGrid w:val="0"/>
        <w:spacing w:line="360" w:lineRule="auto"/>
        <w:ind w:firstLine="420" w:firstLineChars="200"/>
        <w:rPr>
          <w:rStyle w:val="58"/>
        </w:rPr>
      </w:pPr>
      <w:r>
        <w:rPr>
          <w:rFonts w:hAnsi="宋体"/>
        </w:rPr>
        <w:t xml:space="preserve">γ— </w:t>
      </w:r>
      <w:r>
        <w:rPr>
          <w:rStyle w:val="58"/>
        </w:rPr>
        <w:t>荷载分项系数</w:t>
      </w:r>
      <w:r>
        <w:rPr>
          <w:rStyle w:val="58"/>
          <w:rFonts w:hint="eastAsia"/>
        </w:rPr>
        <w:t>、作用调整系数；</w:t>
      </w:r>
    </w:p>
    <w:p>
      <w:pPr>
        <w:tabs>
          <w:tab w:val="right" w:pos="8400"/>
        </w:tabs>
        <w:adjustRightInd w:val="0"/>
        <w:snapToGrid w:val="0"/>
        <w:spacing w:line="360" w:lineRule="auto"/>
        <w:ind w:firstLine="482"/>
        <w:rPr>
          <w:rStyle w:val="58"/>
          <w:rFonts w:ascii="Times New Roman" w:hAnsi="Times New Roman"/>
        </w:rPr>
      </w:pPr>
      <m:oMath>
        <m:sSub>
          <m:sSubPr>
            <m:ctrlPr>
              <w:rPr>
                <w:rFonts w:ascii="Cambria Math" w:hAnsi="Cambria Math"/>
                <w:szCs w:val="21"/>
              </w:rPr>
            </m:ctrlPr>
          </m:sSubPr>
          <m:e>
            <m:r>
              <m:rPr>
                <m:sty m:val="p"/>
              </m:rPr>
              <w:rPr>
                <w:rFonts w:ascii="Cambria Math" w:hAnsi="Cambria Math"/>
                <w:szCs w:val="21"/>
              </w:rPr>
              <m:t xml:space="preserve">γ</m:t>
            </m:r>
          </m:e>
          <m:sub>
            <m:r>
              <w:rPr>
                <w:rFonts w:ascii="Cambria Math" w:hAnsi="Cambria Math"/>
                <w:szCs w:val="21"/>
              </w:rPr>
              <m:t xml:space="preserve">w</m:t>
            </m:r>
          </m:sub>
        </m:sSub>
      </m:oMath>
      <w:r>
        <w:rPr>
          <w:rFonts w:hAnsi="宋体"/>
        </w:rPr>
        <w:t xml:space="preserve">— </w:t>
      </w:r>
      <w:r>
        <w:rPr>
          <w:rStyle w:val="58"/>
          <w:rFonts w:ascii="Times New Roman" w:hAnsi="Times New Roman"/>
        </w:rPr>
        <w:t>风荷载分项系数</w:t>
      </w:r>
      <w:r>
        <w:rPr>
          <w:rStyle w:val="58"/>
          <w:rFonts w:hint="eastAsia" w:ascii="Times New Roman" w:hAnsi="Times New Roman"/>
        </w:rPr>
        <w:t>；</w:t>
      </w:r>
    </w:p>
    <w:p>
      <w:pPr>
        <w:tabs>
          <w:tab w:val="right" w:pos="8400"/>
        </w:tabs>
        <w:adjustRightInd w:val="0"/>
        <w:snapToGrid w:val="0"/>
        <w:spacing w:line="360" w:lineRule="auto"/>
        <w:ind w:firstLine="482"/>
        <w:rPr>
          <w:rFonts w:hAnsi="宋体"/>
        </w:rPr>
      </w:pPr>
      <m:oMath>
        <m:sSub>
          <m:sSubPr>
            <m:ctrlPr>
              <w:rPr>
                <w:rFonts w:ascii="Cambria Math" w:hAnsi="Cambria Math"/>
                <w:i/>
              </w:rPr>
            </m:ctrlPr>
          </m:sSubPr>
          <m:e>
            <m:r>
              <w:rPr>
                <w:rFonts w:ascii="Cambria Math" w:hAnsi="Cambria Math"/>
              </w:rPr>
              <m:t xml:space="preserve">γ</m:t>
            </m:r>
          </m:e>
          <m:sub>
            <m:r>
              <w:rPr>
                <w:rFonts w:ascii="Cambria Math" w:hAnsi="Cambria Math"/>
              </w:rPr>
              <m:t xml:space="preserve">e2</m:t>
            </m:r>
          </m:sub>
        </m:sSub>
      </m:oMath>
      <w:r>
        <w:rPr>
          <w:rFonts w:ascii="宋体" w:hAnsi="宋体"/>
          <w:szCs w:val="28"/>
        </w:rPr>
        <w:t xml:space="preserve">— </w:t>
      </w:r>
      <w:r>
        <w:rPr>
          <w:rFonts w:hint="eastAsia" w:hAnsi="宋体"/>
        </w:rPr>
        <w:t>转换层下部结构与上部结构的等效侧向刚度比；</w:t>
      </w:r>
    </w:p>
    <w:p>
      <w:pPr>
        <w:tabs>
          <w:tab w:val="right" w:pos="8400"/>
        </w:tabs>
        <w:adjustRightInd w:val="0"/>
        <w:snapToGrid w:val="0"/>
        <w:spacing w:line="360" w:lineRule="auto"/>
        <w:ind w:firstLine="482"/>
      </w:pPr>
      <m:oMath>
        <m:sSub>
          <m:sSubPr>
            <m:ctrlPr>
              <w:rPr>
                <w:rFonts w:ascii="Cambria Math" w:hAnsi="Cambria Math"/>
                <w:i/>
              </w:rPr>
            </m:ctrlPr>
          </m:sSubPr>
          <m:e>
            <m:r>
              <w:rPr>
                <w:rFonts w:ascii="Cambria Math" w:hAnsi="Cambria Math"/>
              </w:rPr>
              <m:t xml:space="preserve">γ</m:t>
            </m:r>
          </m:e>
          <m:sub>
            <m:r>
              <w:rPr>
                <w:rFonts w:ascii="Cambria Math" w:hAnsi="Cambria Math"/>
              </w:rPr>
              <m:t xml:space="preserve">Wc</m:t>
            </m:r>
          </m:sub>
        </m:sSub>
      </m:oMath>
      <w:r>
        <w:rPr>
          <w:rFonts w:ascii="宋体" w:hAnsi="宋体"/>
          <w:szCs w:val="28"/>
        </w:rPr>
        <w:t xml:space="preserve">— </w:t>
      </w:r>
      <w:r>
        <w:rPr>
          <w:rFonts w:hint="eastAsia" w:ascii="宋体" w:hAnsi="宋体"/>
          <w:szCs w:val="28"/>
        </w:rPr>
        <w:t>以</w:t>
      </w:r>
      <w:r>
        <w:rPr>
          <w:rFonts w:hint="eastAsia"/>
        </w:rPr>
        <w:t>设计工作年限为重现期的基本风压调整系数；</w:t>
      </w:r>
    </w:p>
    <w:p>
      <w:pPr>
        <w:tabs>
          <w:tab w:val="right" w:pos="8400"/>
        </w:tabs>
        <w:adjustRightInd w:val="0"/>
        <w:snapToGrid w:val="0"/>
        <w:spacing w:line="360" w:lineRule="auto"/>
        <w:ind w:firstLine="482"/>
      </w:pPr>
      <m:oMath>
        <m:sSub>
          <m:sSubPr>
            <m:ctrlPr>
              <w:rPr>
                <w:rFonts w:ascii="Cambria Math" w:hAnsi="Cambria Math"/>
                <w:i/>
              </w:rPr>
            </m:ctrlPr>
          </m:sSubPr>
          <m:e>
            <m:r>
              <w:rPr>
                <w:rFonts w:ascii="Cambria Math" w:hAnsi="Cambria Math"/>
              </w:rPr>
              <m:t xml:space="preserve">γ</m:t>
            </m:r>
          </m:e>
          <m:sub>
            <m:r>
              <w:rPr>
                <w:rFonts w:ascii="Cambria Math" w:hAnsi="Cambria Math"/>
              </w:rPr>
              <m:t xml:space="preserve">Lc</m:t>
            </m:r>
          </m:sub>
        </m:sSub>
        <m:r>
          <m:rPr>
            <m:sty m:val="p"/>
          </m:rPr>
          <w:rPr>
            <w:rFonts w:ascii="Cambria Math" w:hAnsi="Cambria Math"/>
            <w:szCs w:val="28"/>
          </w:rPr>
          <m:t xml:space="preserve">— </m:t>
        </m:r>
      </m:oMath>
      <w:r>
        <w:rPr>
          <w:rFonts w:hint="eastAsia"/>
        </w:rPr>
        <w:t>楼面和屋面活荷载考虑设计工作年限的调整系数；</w:t>
      </w:r>
    </w:p>
    <w:p>
      <w:pPr>
        <w:tabs>
          <w:tab w:val="right" w:pos="8400"/>
        </w:tabs>
        <w:adjustRightInd w:val="0"/>
        <w:snapToGrid w:val="0"/>
        <w:spacing w:line="360" w:lineRule="auto"/>
        <w:ind w:firstLine="482"/>
      </w:pPr>
      <m:oMath>
        <m:sSub>
          <m:sSubPr>
            <m:ctrlPr>
              <w:rPr>
                <w:rFonts w:ascii="Cambria Math" w:hAnsi="Cambria Math"/>
                <w:i/>
              </w:rPr>
            </m:ctrlPr>
          </m:sSubPr>
          <m:e>
            <m:r>
              <w:rPr>
                <w:rFonts w:ascii="Cambria Math" w:hAnsi="Cambria Math"/>
              </w:rPr>
              <m:t xml:space="preserve">γ</m:t>
            </m:r>
          </m:e>
          <m:sub>
            <m:r>
              <w:rPr>
                <w:rFonts w:ascii="Cambria Math" w:hAnsi="Cambria Math"/>
              </w:rPr>
              <m:t xml:space="preserve">Fc</m:t>
            </m:r>
          </m:sub>
        </m:sSub>
      </m:oMath>
      <w:r>
        <w:rPr>
          <w:rFonts w:ascii="宋体" w:hAnsi="宋体"/>
          <w:szCs w:val="28"/>
        </w:rPr>
        <w:t xml:space="preserve">— </w:t>
      </w:r>
      <w:r>
        <w:rPr>
          <w:rFonts w:hint="eastAsia" w:ascii="宋体" w:hAnsi="宋体"/>
          <w:szCs w:val="28"/>
        </w:rPr>
        <w:t>以</w:t>
      </w:r>
      <w:r>
        <w:rPr>
          <w:rFonts w:hint="eastAsia"/>
        </w:rPr>
        <w:t>设计工作年限为重现期的多遇地震调整系数；</w:t>
      </w:r>
    </w:p>
    <w:p>
      <w:pPr>
        <w:tabs>
          <w:tab w:val="right" w:pos="8400"/>
        </w:tabs>
        <w:adjustRightInd w:val="0"/>
        <w:snapToGrid w:val="0"/>
        <w:spacing w:line="360" w:lineRule="auto"/>
        <w:ind w:firstLine="482"/>
        <w:rPr>
          <w:rFonts w:hAnsi="宋体"/>
        </w:rPr>
      </w:pPr>
      <m:oMath>
        <m:sSub>
          <m:sSubPr>
            <m:ctrlPr>
              <w:rPr>
                <w:rFonts w:ascii="Cambria Math" w:hAnsi="Cambria Math"/>
                <w:i/>
              </w:rPr>
            </m:ctrlPr>
          </m:sSubPr>
          <m:e>
            <m:r>
              <w:rPr>
                <w:rFonts w:ascii="Cambria Math" w:hAnsi="Cambria Math"/>
              </w:rPr>
              <m:t xml:space="preserve">γ</m:t>
            </m:r>
          </m:e>
          <m:sub>
            <m:r>
              <w:rPr>
                <w:rFonts w:ascii="Cambria Math" w:hAnsi="Cambria Math"/>
              </w:rPr>
              <m:t xml:space="preserve">Rc</m:t>
            </m:r>
          </m:sub>
        </m:sSub>
        <m:r>
          <m:rPr>
            <m:sty m:val="p"/>
          </m:rPr>
          <w:rPr>
            <w:rFonts w:ascii="Cambria Math" w:hAnsi="Cambria Math"/>
            <w:szCs w:val="28"/>
          </w:rPr>
          <m:t xml:space="preserve">— </m:t>
        </m:r>
      </m:oMath>
      <w:r>
        <w:rPr>
          <w:rFonts w:hint="eastAsia" w:ascii="宋体" w:hAnsi="宋体"/>
          <w:szCs w:val="28"/>
        </w:rPr>
        <w:t>以</w:t>
      </w:r>
      <w:r>
        <w:rPr>
          <w:rFonts w:hint="eastAsia"/>
        </w:rPr>
        <w:t>设计工作年限为重现期的罕遇地震调整系数；</w:t>
      </w:r>
      <w:r>
        <w:rPr>
          <w:rFonts w:hAnsi="宋体"/>
        </w:rPr>
        <w:t xml:space="preserve"> </w:t>
      </w:r>
    </w:p>
    <w:p>
      <w:pPr>
        <w:tabs>
          <w:tab w:val="right" w:pos="8400"/>
        </w:tabs>
        <w:adjustRightInd w:val="0"/>
        <w:snapToGrid w:val="0"/>
        <w:spacing w:line="360" w:lineRule="auto"/>
        <w:ind w:firstLine="482"/>
        <w:rPr>
          <w:rFonts w:hAnsi="宋体"/>
        </w:rPr>
      </w:pPr>
      <m:oMath>
        <m:sSub>
          <m:sSubPr>
            <m:ctrlPr>
              <w:rPr>
                <w:rFonts w:ascii="Cambria Math" w:hAnsi="Cambria Math"/>
                <w:i/>
              </w:rPr>
            </m:ctrlPr>
          </m:sSubPr>
          <m:e>
            <m:r>
              <w:rPr>
                <w:rFonts w:ascii="Cambria Math" w:hAnsi="Cambria Math"/>
              </w:rPr>
              <m:t xml:space="preserve">η</m:t>
            </m:r>
          </m:e>
          <m:sub>
            <m:r>
              <w:rPr>
                <w:rFonts w:ascii="Cambria Math" w:hAnsi="Cambria Math"/>
              </w:rPr>
              <m:t xml:space="preserve">j</m:t>
            </m:r>
          </m:sub>
        </m:sSub>
      </m:oMath>
      <w:r>
        <w:rPr>
          <w:rFonts w:hAnsi="宋体"/>
        </w:rPr>
        <w:t xml:space="preserve">— </w:t>
      </w:r>
      <w:r>
        <w:rPr>
          <w:rFonts w:hint="eastAsia" w:hAnsi="宋体"/>
        </w:rPr>
        <w:t>厚板约束影响系数；</w:t>
      </w:r>
    </w:p>
    <w:p>
      <w:pPr>
        <w:tabs>
          <w:tab w:val="right" w:pos="8400"/>
        </w:tabs>
        <w:adjustRightInd w:val="0"/>
        <w:snapToGrid w:val="0"/>
        <w:spacing w:line="360" w:lineRule="auto"/>
        <w:ind w:firstLine="482"/>
        <w:rPr>
          <w:rFonts w:hAnsi="宋体"/>
          <w:shd w:val="clear" w:color="auto" w:fill="FFFFFF"/>
        </w:rPr>
      </w:pPr>
      <m:oMath>
        <m:sSub>
          <m:sSubPr>
            <m:ctrlPr>
              <w:rPr>
                <w:rFonts w:ascii="Cambria Math" w:hAnsi="Cambria Math"/>
                <w:i/>
                <w:shd w:val="clear" w:color="auto" w:fill="FFFFFF"/>
              </w:rPr>
            </m:ctrlPr>
          </m:sSubPr>
          <m:e>
            <m:r>
              <w:rPr>
                <w:rFonts w:ascii="Cambria Math" w:hAnsi="Cambria Math"/>
                <w:shd w:val="clear" w:color="auto" w:fill="FFFFFF"/>
              </w:rPr>
              <m:t xml:space="preserve">ζ</m:t>
            </m:r>
          </m:e>
          <m:sub>
            <m:r>
              <w:rPr>
                <w:rFonts w:ascii="Cambria Math" w:hAnsi="Cambria Math"/>
                <w:shd w:val="clear" w:color="auto" w:fill="FFFFFF"/>
              </w:rPr>
              <m:t xml:space="preserve">a</m:t>
            </m:r>
          </m:sub>
        </m:sSub>
      </m:oMath>
      <w:r>
        <w:rPr>
          <w:rFonts w:hint="eastAsia" w:hAnsi="宋体"/>
          <w:shd w:val="clear" w:color="auto" w:fill="FFFFFF"/>
        </w:rPr>
        <w:t>— 地基抗震承载力调整系数；</w:t>
      </w:r>
    </w:p>
    <w:p>
      <w:pPr>
        <w:tabs>
          <w:tab w:val="right" w:pos="8400"/>
        </w:tabs>
        <w:adjustRightInd w:val="0"/>
        <w:snapToGrid w:val="0"/>
        <w:spacing w:line="360" w:lineRule="auto"/>
        <w:ind w:firstLine="482"/>
      </w:pPr>
      <m:oMath>
        <m:sSub>
          <m:sSubPr>
            <m:ctrlPr>
              <w:rPr>
                <w:rFonts w:ascii="Cambria Math" w:hAnsi="Cambria Math"/>
                <w:i/>
                <w:shd w:val="clear" w:color="auto" w:fill="FFFFFF"/>
              </w:rPr>
            </m:ctrlPr>
          </m:sSubPr>
          <m:e>
            <m:r>
              <w:rPr>
                <w:rFonts w:ascii="Cambria Math" w:hAnsi="Cambria Math"/>
                <w:shd w:val="clear" w:color="auto" w:fill="FFFFFF"/>
              </w:rPr>
              <m:t xml:space="preserve">K</m:t>
            </m:r>
          </m:e>
          <m:sub>
            <m:r>
              <w:rPr>
                <w:rFonts w:ascii="Cambria Math" w:hAnsi="Cambria Math"/>
                <w:shd w:val="clear" w:color="auto" w:fill="FFFFFF"/>
              </w:rPr>
              <m:t xml:space="preserve">s</m:t>
            </m:r>
          </m:sub>
        </m:sSub>
      </m:oMath>
      <w:r>
        <w:rPr>
          <w:rFonts w:hAnsi="宋体"/>
          <w:shd w:val="clear" w:color="auto" w:fill="FFFFFF"/>
        </w:rPr>
        <w:t xml:space="preserve">— </w:t>
      </w:r>
      <w:r>
        <w:rPr>
          <w:rFonts w:hint="eastAsia" w:hAnsi="宋体"/>
          <w:shd w:val="clear" w:color="auto" w:fill="FFFFFF"/>
        </w:rPr>
        <w:t>抗滑移稳定安全系数。</w:t>
      </w:r>
    </w:p>
    <w:p>
      <w:pPr>
        <w:pStyle w:val="2"/>
        <w:numPr>
          <w:ilvl w:val="0"/>
          <w:numId w:val="0"/>
        </w:numPr>
        <w:spacing w:line="400" w:lineRule="exact"/>
        <w:rPr>
          <w:rFonts w:ascii="Times New Roman" w:hAnsi="Times New Roman"/>
          <w:color w:val="000000"/>
        </w:rPr>
      </w:pPr>
      <w:bookmarkStart w:id="70" w:name="_Toc118790242"/>
      <w:bookmarkStart w:id="71" w:name="_Toc118791272"/>
      <w:bookmarkStart w:id="72" w:name="_Toc118777909"/>
      <w:bookmarkStart w:id="73" w:name="_Toc118777947"/>
      <w:bookmarkStart w:id="74" w:name="_Toc118864913"/>
      <w:bookmarkStart w:id="75" w:name="_Toc118797670"/>
      <w:bookmarkStart w:id="76" w:name="_Toc118790884"/>
      <w:bookmarkStart w:id="77" w:name="_Toc118779290"/>
      <w:bookmarkStart w:id="78" w:name="_Toc118777646"/>
      <w:bookmarkStart w:id="79" w:name="_Toc118780429"/>
      <w:bookmarkStart w:id="80" w:name="_Toc118777713"/>
      <w:bookmarkStart w:id="81" w:name="_Toc97019162"/>
      <w:r>
        <w:rPr>
          <w:rFonts w:ascii="Times New Roman" w:hAnsi="Times New Roman"/>
          <w:color w:val="000000"/>
        </w:rPr>
        <w:br w:type="page"/>
      </w:r>
      <w:bookmarkStart w:id="82" w:name="_Toc257127746"/>
      <w:bookmarkStart w:id="83" w:name="_Toc90922370"/>
      <w:r>
        <w:rPr>
          <w:rFonts w:ascii="Times New Roman" w:hAnsi="Times New Roman"/>
          <w:color w:val="000000"/>
        </w:rPr>
        <w:t xml:space="preserve">3  </w:t>
      </w:r>
      <w:r>
        <w:rPr>
          <w:rFonts w:hint="eastAsia" w:ascii="Times New Roman" w:hAnsi="Times New Roman"/>
          <w:color w:val="000000"/>
        </w:rPr>
        <w:t>基本规定</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Start w:id="84" w:name="_Toc118864914"/>
      <w:bookmarkStart w:id="85" w:name="_Toc118777910"/>
      <w:bookmarkStart w:id="86" w:name="_Toc118780430"/>
      <w:bookmarkStart w:id="87" w:name="_Toc118777647"/>
      <w:bookmarkStart w:id="88" w:name="_Toc118790885"/>
      <w:bookmarkStart w:id="89" w:name="_Toc97019163"/>
      <w:bookmarkStart w:id="90" w:name="_Toc118779291"/>
      <w:bookmarkStart w:id="91" w:name="_Toc118797671"/>
      <w:bookmarkStart w:id="92" w:name="_Toc118790243"/>
      <w:bookmarkStart w:id="93" w:name="_Toc118777714"/>
      <w:bookmarkStart w:id="94" w:name="_Toc118791273"/>
      <w:bookmarkStart w:id="95" w:name="_Toc118777948"/>
    </w:p>
    <w:p>
      <w:pPr>
        <w:tabs>
          <w:tab w:val="right" w:pos="8400"/>
        </w:tabs>
        <w:adjustRightInd w:val="0"/>
        <w:snapToGrid w:val="0"/>
        <w:spacing w:line="360" w:lineRule="auto"/>
        <w:ind w:firstLine="482"/>
      </w:pPr>
      <w:r>
        <w:rPr>
          <w:b/>
          <w:bCs/>
        </w:rPr>
        <w:t>3.0.1</w:t>
      </w:r>
      <w:r>
        <w:t>车辆基地</w:t>
      </w:r>
      <w:r>
        <w:rPr>
          <w:rFonts w:hint="eastAsia"/>
        </w:rPr>
        <w:t>与</w:t>
      </w:r>
      <w:r>
        <w:t>上盖建筑</w:t>
      </w:r>
      <w:r>
        <w:rPr>
          <w:rFonts w:hint="eastAsia"/>
        </w:rPr>
        <w:t>宜统一规划，优先采用</w:t>
      </w:r>
      <w:r>
        <w:t>一体化设计</w:t>
      </w:r>
      <w:r>
        <w:rPr>
          <w:rFonts w:hint="eastAsia"/>
        </w:rPr>
        <w:t>。分期开发时，车辆基地布置宜为上盖建筑功能布局提供灵活性；上盖建筑布局宜为车辆基地空间提供自然采光和自然通风的条件；上盖建筑结构</w:t>
      </w:r>
      <w:r>
        <w:t>设计时，</w:t>
      </w:r>
      <w:r>
        <w:rPr>
          <w:rFonts w:hint="eastAsia"/>
        </w:rPr>
        <w:t>应对盖下结构的承载力和变形能力进行复核</w:t>
      </w:r>
      <w:r>
        <w:t>，</w:t>
      </w:r>
      <w:r>
        <w:rPr>
          <w:rFonts w:hint="eastAsia"/>
        </w:rPr>
        <w:t>保证盖下及整体结构安全。</w:t>
      </w:r>
    </w:p>
    <w:p>
      <w:pPr>
        <w:tabs>
          <w:tab w:val="right" w:pos="8400"/>
        </w:tabs>
        <w:adjustRightInd w:val="0"/>
        <w:snapToGrid w:val="0"/>
        <w:spacing w:line="360" w:lineRule="auto"/>
        <w:ind w:firstLine="480"/>
      </w:pPr>
      <w:r>
        <w:rPr>
          <w:rFonts w:hint="eastAsia" w:eastAsia="等线"/>
          <w:b/>
          <w:bCs/>
        </w:rPr>
        <w:t>[条文说明]</w:t>
      </w:r>
      <w:r>
        <w:rPr>
          <w:rFonts w:hint="eastAsia"/>
        </w:rPr>
        <w:t xml:space="preserve"> 根据工程实践，上盖建筑开发相对车辆基地建设通常滞后若干年，有时候开发主体并不一致，一体化设计在操作上具有一定的难度，但并非没有可能。一体化设计对项目经济性影响主要体现在预留工作的确定性上，因此分期开发的项目应特别关注上盖建筑的设计预留工作，提高综合效益。</w:t>
      </w:r>
    </w:p>
    <w:p>
      <w:pPr>
        <w:tabs>
          <w:tab w:val="right" w:pos="8400"/>
        </w:tabs>
        <w:adjustRightInd w:val="0"/>
        <w:snapToGrid w:val="0"/>
        <w:spacing w:line="360" w:lineRule="auto"/>
        <w:ind w:firstLine="480"/>
      </w:pPr>
      <w:r>
        <w:t>从节能及</w:t>
      </w:r>
      <w:r>
        <w:rPr>
          <w:rFonts w:hint="eastAsia"/>
        </w:rPr>
        <w:t>生产人员健康</w:t>
      </w:r>
      <w:r>
        <w:t>考虑，车辆基地内检修库的双周月检库、定修、临修、大</w:t>
      </w:r>
      <w:r>
        <w:rPr>
          <w:rFonts w:hint="eastAsia"/>
        </w:rPr>
        <w:t>修、</w:t>
      </w:r>
      <w:r>
        <w:t>架修等检修位置，静调和转向架位置，消防车道位置，可以开设采光井，以提供自然采光和自然通风的条件。</w:t>
      </w:r>
    </w:p>
    <w:p>
      <w:pPr>
        <w:tabs>
          <w:tab w:val="right" w:pos="8400"/>
        </w:tabs>
        <w:adjustRightInd w:val="0"/>
        <w:snapToGrid w:val="0"/>
        <w:spacing w:line="360" w:lineRule="auto"/>
        <w:ind w:firstLine="480"/>
      </w:pPr>
      <w:r>
        <w:rPr>
          <w:rFonts w:hint="eastAsia"/>
        </w:rPr>
        <w:t>在已建车辆基地上盖进行建筑结构设计时，应根据竣工图对盖下结构的承载力和变形能力进行复核，保证盖下及整体结构安全。</w:t>
      </w:r>
    </w:p>
    <w:p>
      <w:pPr>
        <w:tabs>
          <w:tab w:val="right" w:pos="8400"/>
        </w:tabs>
        <w:adjustRightInd w:val="0"/>
        <w:snapToGrid w:val="0"/>
        <w:spacing w:line="360" w:lineRule="auto"/>
        <w:ind w:firstLine="482"/>
      </w:pPr>
      <w:r>
        <w:rPr>
          <w:rFonts w:hint="eastAsia"/>
          <w:b/>
          <w:bCs/>
        </w:rPr>
        <w:t>3.</w:t>
      </w:r>
      <w:r>
        <w:rPr>
          <w:b/>
          <w:bCs/>
        </w:rPr>
        <w:t>0</w:t>
      </w:r>
      <w:r>
        <w:rPr>
          <w:rFonts w:hint="eastAsia"/>
          <w:b/>
          <w:bCs/>
        </w:rPr>
        <w:t>.</w:t>
      </w:r>
      <w:r>
        <w:rPr>
          <w:b/>
          <w:bCs/>
        </w:rPr>
        <w:t>2</w:t>
      </w:r>
      <w:r>
        <w:t xml:space="preserve"> </w:t>
      </w:r>
      <w:r>
        <w:rPr>
          <w:rFonts w:hint="eastAsia"/>
        </w:rPr>
        <w:t>车辆基地、上盖空间应在满足盖板上下自身安全、功能定位和运营的基础上，合理布局，互不干扰，相对独立；土建工程和机电设备布置应满足车辆基地的相关限界要求。</w:t>
      </w:r>
    </w:p>
    <w:p>
      <w:pPr>
        <w:tabs>
          <w:tab w:val="right" w:pos="8400"/>
        </w:tabs>
        <w:adjustRightInd w:val="0"/>
        <w:snapToGrid w:val="0"/>
        <w:spacing w:line="360" w:lineRule="auto"/>
        <w:ind w:firstLine="480"/>
      </w:pPr>
      <w:r>
        <w:rPr>
          <w:rFonts w:hint="eastAsia" w:eastAsia="等线"/>
          <w:b/>
          <w:bCs/>
        </w:rPr>
        <w:t>[条文说明]</w:t>
      </w:r>
      <w:r>
        <w:rPr>
          <w:rFonts w:hint="eastAsia"/>
        </w:rPr>
        <w:t xml:space="preserve"> 作为带上盖开发车辆基地的设计原则，《地铁设计规范》GB</w:t>
      </w:r>
      <w:r>
        <w:t>50157-2013</w:t>
      </w:r>
      <w:r>
        <w:rPr>
          <w:rFonts w:hint="eastAsia"/>
        </w:rPr>
        <w:t>有如下具体规定：</w:t>
      </w:r>
    </w:p>
    <w:p>
      <w:pPr>
        <w:tabs>
          <w:tab w:val="right" w:pos="8400"/>
        </w:tabs>
        <w:adjustRightInd w:val="0"/>
        <w:snapToGrid w:val="0"/>
        <w:spacing w:line="360" w:lineRule="auto"/>
        <w:ind w:firstLine="480"/>
      </w:pPr>
      <w:r>
        <w:rPr>
          <w:rFonts w:hint="eastAsia"/>
        </w:rPr>
        <w:t xml:space="preserve">1 </w:t>
      </w:r>
      <w:r>
        <w:t xml:space="preserve"> </w:t>
      </w:r>
      <w:r>
        <w:rPr>
          <w:rFonts w:hint="eastAsia"/>
        </w:rPr>
        <w:t>车辆基地物业开发，首先应明确开发内容、性质和规模，避免其盲目性，造成废弃工程；</w:t>
      </w:r>
    </w:p>
    <w:p>
      <w:pPr>
        <w:tabs>
          <w:tab w:val="right" w:pos="8400"/>
        </w:tabs>
        <w:adjustRightInd w:val="0"/>
        <w:snapToGrid w:val="0"/>
        <w:spacing w:line="360" w:lineRule="auto"/>
        <w:ind w:firstLine="480"/>
      </w:pPr>
      <w:r>
        <w:rPr>
          <w:rFonts w:hint="eastAsia"/>
        </w:rPr>
        <w:t xml:space="preserve">2 </w:t>
      </w:r>
      <w:r>
        <w:t xml:space="preserve"> </w:t>
      </w:r>
      <w:r>
        <w:rPr>
          <w:rFonts w:hint="eastAsia"/>
        </w:rPr>
        <w:t>总平面布置应在保证车辆基地的规模和功能的基础上，对站场布置、房屋建筑、供电、通风与空调、给排水及消防环境保护等设备、设施和物业开发的内容进行统一规划，避免相互干扰；</w:t>
      </w:r>
    </w:p>
    <w:p>
      <w:pPr>
        <w:tabs>
          <w:tab w:val="right" w:pos="8400"/>
        </w:tabs>
        <w:adjustRightInd w:val="0"/>
        <w:snapToGrid w:val="0"/>
        <w:spacing w:line="360" w:lineRule="auto"/>
        <w:ind w:firstLine="480"/>
      </w:pPr>
      <w:r>
        <w:rPr>
          <w:rFonts w:hint="eastAsia"/>
        </w:rPr>
        <w:t xml:space="preserve">3 </w:t>
      </w:r>
      <w:r>
        <w:t xml:space="preserve"> </w:t>
      </w:r>
      <w:r>
        <w:rPr>
          <w:rFonts w:hint="eastAsia"/>
        </w:rPr>
        <w:t>综合考虑车辆基地与物业开发之间内、外道路的合理衔接，并明确车辆基地和物业开发工程接口划分；</w:t>
      </w:r>
    </w:p>
    <w:p>
      <w:pPr>
        <w:tabs>
          <w:tab w:val="right" w:pos="8400"/>
        </w:tabs>
        <w:adjustRightInd w:val="0"/>
        <w:snapToGrid w:val="0"/>
        <w:spacing w:line="360" w:lineRule="auto"/>
        <w:ind w:firstLine="480"/>
      </w:pPr>
      <w:r>
        <w:rPr>
          <w:rFonts w:hint="eastAsia"/>
        </w:rPr>
        <w:t xml:space="preserve">4 </w:t>
      </w:r>
      <w:r>
        <w:t xml:space="preserve"> </w:t>
      </w:r>
      <w:r>
        <w:rPr>
          <w:rFonts w:hint="eastAsia"/>
        </w:rPr>
        <w:t>做好相关市政配套设施的规划；</w:t>
      </w:r>
    </w:p>
    <w:p>
      <w:pPr>
        <w:tabs>
          <w:tab w:val="right" w:pos="8400"/>
        </w:tabs>
        <w:adjustRightInd w:val="0"/>
        <w:snapToGrid w:val="0"/>
        <w:spacing w:line="360" w:lineRule="auto"/>
        <w:ind w:firstLine="480"/>
      </w:pPr>
      <w:r>
        <w:rPr>
          <w:rFonts w:hint="eastAsia"/>
        </w:rPr>
        <w:t xml:space="preserve">5 </w:t>
      </w:r>
      <w:r>
        <w:t xml:space="preserve"> </w:t>
      </w:r>
      <w:r>
        <w:rPr>
          <w:rFonts w:hint="eastAsia"/>
        </w:rPr>
        <w:t>按设计阶段做好投资估算、概算及资金来源和筹措，并进行技术经济比较和经济、社会效应分析；</w:t>
      </w:r>
    </w:p>
    <w:p>
      <w:pPr>
        <w:tabs>
          <w:tab w:val="right" w:pos="8400"/>
        </w:tabs>
        <w:adjustRightInd w:val="0"/>
        <w:snapToGrid w:val="0"/>
        <w:spacing w:line="360" w:lineRule="auto"/>
        <w:ind w:firstLine="480"/>
      </w:pPr>
      <w:r>
        <w:rPr>
          <w:rFonts w:hint="eastAsia"/>
        </w:rPr>
        <w:t>根据上盖开发的工程实践，为提高车辆基地上盖建筑开发的品质，本标准建议上盖建筑和车辆基地设计应共同遵守此原则。</w:t>
      </w:r>
    </w:p>
    <w:p>
      <w:pPr>
        <w:tabs>
          <w:tab w:val="right" w:pos="8400"/>
        </w:tabs>
        <w:adjustRightInd w:val="0"/>
        <w:snapToGrid w:val="0"/>
        <w:spacing w:line="360" w:lineRule="auto"/>
        <w:ind w:firstLine="482"/>
      </w:pPr>
      <w:r>
        <w:rPr>
          <w:rFonts w:hint="eastAsia"/>
          <w:b/>
          <w:bCs/>
        </w:rPr>
        <w:t>3.</w:t>
      </w:r>
      <w:r>
        <w:rPr>
          <w:b/>
          <w:bCs/>
        </w:rPr>
        <w:t>0</w:t>
      </w:r>
      <w:r>
        <w:rPr>
          <w:rFonts w:hint="eastAsia"/>
          <w:b/>
          <w:bCs/>
        </w:rPr>
        <w:t>.</w:t>
      </w:r>
      <w:r>
        <w:rPr>
          <w:b/>
          <w:bCs/>
        </w:rPr>
        <w:t>3</w:t>
      </w:r>
      <w:r>
        <w:rPr>
          <w:rFonts w:hint="eastAsia"/>
        </w:rPr>
        <w:t>车辆基地上盖建筑可根据实际开发过程分段确定设计工作年限，车辆基地的设计工作年限不得低于上盖建筑设计工作年限与分期开发滞后年限之和。</w:t>
      </w:r>
    </w:p>
    <w:p>
      <w:pPr>
        <w:spacing w:line="360" w:lineRule="auto"/>
        <w:ind w:firstLine="480"/>
      </w:pPr>
      <w:r>
        <w:rPr>
          <w:rFonts w:hint="eastAsia" w:eastAsia="等线"/>
          <w:b/>
          <w:bCs/>
        </w:rPr>
        <w:t>[条文说明]</w:t>
      </w:r>
      <w:r>
        <w:rPr>
          <w:rFonts w:eastAsia="等线"/>
          <w:b/>
          <w:bCs/>
        </w:rPr>
        <w:t xml:space="preserve"> </w:t>
      </w:r>
      <w:r>
        <w:rPr>
          <w:rFonts w:hint="eastAsia"/>
        </w:rPr>
        <w:t>结构可靠性与结构的设计工作年限长短有关，是结构安全可靠、经济合理、技术先进、确保质量、可持续发展的基本要求，对于车辆基地上盖建筑这类具有一定不确定性、分期开发、建设的建筑，有必要结合具体开发过程，分段采用不同的设计工作年限，即车辆基地设计工作年限适当延长，上盖建筑设计工作年限不需另外延长。当分期开发滞后年限超出预留设计工作年限时，应按《建筑抗震鉴定标准》GB50023等相关标准对车辆基地结构可继续工作年限进行鉴定，必要时应采取如加固、减震等可靠措施，确保车辆基地的工作年限可以满足上盖建筑的设计工作年限要求。</w:t>
      </w:r>
    </w:p>
    <w:p>
      <w:pPr>
        <w:spacing w:line="360" w:lineRule="auto"/>
        <w:ind w:firstLine="482"/>
      </w:pPr>
      <w:r>
        <w:rPr>
          <w:rFonts w:hint="eastAsia"/>
          <w:b/>
          <w:bCs/>
        </w:rPr>
        <w:t>3.</w:t>
      </w:r>
      <w:r>
        <w:rPr>
          <w:b/>
          <w:bCs/>
        </w:rPr>
        <w:t>0</w:t>
      </w:r>
      <w:r>
        <w:rPr>
          <w:rFonts w:hint="eastAsia"/>
          <w:b/>
          <w:bCs/>
        </w:rPr>
        <w:t>.</w:t>
      </w:r>
      <w:r>
        <w:rPr>
          <w:b/>
          <w:bCs/>
        </w:rPr>
        <w:t>4</w:t>
      </w:r>
      <w:r>
        <w:rPr>
          <w:rFonts w:hint="eastAsia"/>
        </w:rPr>
        <w:t>车辆基地设计应考虑车辆基地运营产生的振动和噪声对上盖建筑的影响，采取有效的减振降噪方案；当车辆基地的减振降噪措施不能满足上盖建筑使用要求时，上盖建筑设计应根据实际条件采取隔振、隔声屏障等阻断传播途径的措施，或其他减振降噪措施。</w:t>
      </w:r>
    </w:p>
    <w:p>
      <w:pPr>
        <w:spacing w:line="360" w:lineRule="auto"/>
        <w:ind w:firstLine="480"/>
      </w:pPr>
      <w:r>
        <w:rPr>
          <w:rFonts w:hint="eastAsia" w:eastAsia="等线"/>
          <w:b/>
          <w:bCs/>
        </w:rPr>
        <w:t>[条文说明]</w:t>
      </w:r>
      <w:r>
        <w:rPr>
          <w:rFonts w:hint="eastAsia"/>
        </w:rPr>
        <w:t>噪声与振动控制对上盖建筑开发有重要影响，涉及环保、建筑、城市规划、新型材料等多个领域配合，需要上盖和车辆基地设计共同解决。目前我国还没有具体的轨道交通减振降噪的国家标准与设计规范，一般依据《地铁设计规范》GB</w:t>
      </w:r>
      <w:r>
        <w:t>50157</w:t>
      </w:r>
      <w:r>
        <w:rPr>
          <w:rFonts w:hint="eastAsia"/>
        </w:rPr>
        <w:t>、《声环境质量标准》GB3096、《城市轨道交通引起建筑物振动与二次辐射噪声限值及其测量方法标准》JGJ</w:t>
      </w:r>
      <w:r>
        <w:t>/T170</w:t>
      </w:r>
      <w:r>
        <w:rPr>
          <w:rFonts w:hint="eastAsia"/>
        </w:rPr>
        <w:t>等相关规范设计。</w:t>
      </w:r>
    </w:p>
    <w:p>
      <w:pPr>
        <w:spacing w:line="360" w:lineRule="auto"/>
        <w:ind w:firstLine="480"/>
      </w:pPr>
      <w:r>
        <w:rPr>
          <w:rFonts w:hint="eastAsia"/>
        </w:rPr>
        <w:t>在国内外地铁工程中应用比较普遍，对控制和减缓地铁列车噪声、振动具有明显效果的减振降噪措施主要有：金属弹簧浮置减振道床、橡胶浮置板减振道床、轨道减振器、各种弹性扣件以及各种形式的声屏障等。</w:t>
      </w:r>
    </w:p>
    <w:p>
      <w:pPr>
        <w:spacing w:line="360" w:lineRule="auto"/>
        <w:ind w:firstLine="480"/>
      </w:pPr>
      <w:r>
        <w:rPr>
          <w:rFonts w:hint="eastAsia"/>
        </w:rPr>
        <w:t>当上述措施不能完全满足上盖声环境质量要求时，应从车辆、轨道结构、振动噪音传播、结构分离等多角度出发，进一步采取隔声、隔振措施，实现减振降噪。对于隔震方案，宜和地铁振动的减振措施综合考虑，可采用既隔地震作用，也隔车辆振动作用的复合型隔震（振）技术，实现“震振双控”。</w:t>
      </w:r>
    </w:p>
    <w:p>
      <w:pPr>
        <w:spacing w:line="360" w:lineRule="auto"/>
        <w:ind w:firstLine="482"/>
      </w:pPr>
      <w:r>
        <w:rPr>
          <w:b/>
          <w:bCs/>
        </w:rPr>
        <w:t>3.0.5</w:t>
      </w:r>
      <w:r>
        <w:rPr>
          <w:rFonts w:hint="eastAsia"/>
        </w:rPr>
        <w:t>车辆基地盖板防水等级宜取一级，采用防水混凝土，抗渗等级不应低于P</w:t>
      </w:r>
      <w:r>
        <w:t>6</w:t>
      </w:r>
      <w:r>
        <w:rPr>
          <w:rFonts w:hint="eastAsia"/>
        </w:rPr>
        <w:t>。如上盖建筑为近期开发，可按临时防水设计，防水等级可取二级。</w:t>
      </w:r>
    </w:p>
    <w:p>
      <w:pPr>
        <w:spacing w:line="360" w:lineRule="auto"/>
        <w:ind w:firstLine="482"/>
      </w:pPr>
      <w:r>
        <w:rPr>
          <w:rFonts w:hint="eastAsia"/>
          <w:b/>
          <w:bCs/>
        </w:rPr>
        <w:t>[条文说明]</w:t>
      </w:r>
      <w:r>
        <w:rPr>
          <w:rFonts w:hint="eastAsia"/>
        </w:rPr>
        <w:t xml:space="preserve"> 当上盖建筑与车辆基地分期实施时，盖板作为临时屋面，需确保防水的完整性和连续性，以免因漏水等原因对盖板下部车辆基地的使用造成影响，故盖板上需要根据下部建筑的使用要求设置临时或永久性的防水层及保护层。虽然分期实施时可能铲除盖板保温层和防水层等建筑做法，但为保障车辆基地正常运营，有必要对屋面防水提出较高的要求。</w:t>
      </w:r>
    </w:p>
    <w:p>
      <w:pPr>
        <w:spacing w:line="360" w:lineRule="auto"/>
        <w:ind w:firstLine="480"/>
      </w:pPr>
      <w:r>
        <w:t>上盖建筑内有水用房、商业配套设施，如厕所、茶水间、暖通机房、消防泵房、隔油池、污水池、餐饮商铺的厨房等不应贴邻车辆基地的变电所、配电间等重要电气机房正上方设置。目的是</w:t>
      </w:r>
      <w:r>
        <w:rPr>
          <w:rFonts w:hint="eastAsia"/>
        </w:rPr>
        <w:t>为了防止上盖建筑内相关有水设备用房因漏水影响下方车辆基地变电所、配电间等重要电气机房的安全使用，造成运营事故。</w:t>
      </w:r>
    </w:p>
    <w:p>
      <w:pPr>
        <w:spacing w:line="360" w:lineRule="auto"/>
        <w:ind w:firstLine="480"/>
      </w:pPr>
      <w:r>
        <w:rPr>
          <w:rFonts w:hint="eastAsia"/>
        </w:rPr>
        <w:t>由于车辆基地盖板面积较大，宜采取结构找坡的方式进行有组织排水。</w:t>
      </w:r>
    </w:p>
    <w:p>
      <w:pPr>
        <w:spacing w:line="360" w:lineRule="auto"/>
        <w:ind w:firstLine="480"/>
      </w:pPr>
      <w:r>
        <w:rPr>
          <w:rFonts w:hint="eastAsia"/>
        </w:rPr>
        <w:t>“近期”可考虑为五年，年限自屋面完成防水之日算起。</w:t>
      </w:r>
    </w:p>
    <w:p>
      <w:pPr>
        <w:spacing w:line="360" w:lineRule="auto"/>
        <w:ind w:firstLine="482"/>
      </w:pPr>
      <w:r>
        <w:rPr>
          <w:b/>
          <w:bCs/>
        </w:rPr>
        <w:t>3.0.6</w:t>
      </w:r>
      <w:r>
        <w:rPr>
          <w:rFonts w:hint="eastAsia"/>
        </w:rPr>
        <w:t>车辆基地与上盖机动车、人行出入口应合理布局，相互避让，其数量、宽度、坡度应满足各自消防及疏散要求。各出入口与城市道路系统衔接的引道可共用。</w:t>
      </w:r>
    </w:p>
    <w:p>
      <w:pPr>
        <w:spacing w:line="360" w:lineRule="auto"/>
        <w:ind w:firstLine="480"/>
      </w:pPr>
      <w:r>
        <w:rPr>
          <w:rFonts w:hint="eastAsia" w:eastAsia="等线"/>
          <w:b/>
          <w:bCs/>
        </w:rPr>
        <w:t>[条文说明]</w:t>
      </w:r>
      <w:r>
        <w:rPr>
          <w:rFonts w:hint="eastAsia"/>
        </w:rPr>
        <w:t xml:space="preserve"> “各出入口与城市道路系统衔接的引道可共用”系参考上海市标准《城市轨道交通上盖建筑设计标准》DG/</w:t>
      </w:r>
      <w:r>
        <w:t>TJ 08-2263-2018</w:t>
      </w:r>
      <w:r>
        <w:rPr>
          <w:rFonts w:hint="eastAsia"/>
        </w:rPr>
        <w:t>的相关要求。</w:t>
      </w:r>
    </w:p>
    <w:p>
      <w:pPr>
        <w:spacing w:line="360" w:lineRule="auto"/>
        <w:ind w:firstLine="482"/>
      </w:pPr>
      <w:bookmarkStart w:id="96" w:name="_Hlk91513340"/>
      <w:r>
        <w:rPr>
          <w:b/>
          <w:bCs/>
        </w:rPr>
        <w:t>3.0.7</w:t>
      </w:r>
      <w:r>
        <w:rPr>
          <w:rFonts w:hint="eastAsia"/>
        </w:rPr>
        <w:t>作为室外安全疏散的盖板、上盖地坪宜设置两组不少于双车道的通往城市道路的机动车匝道，并宜有两组匝道满足消防车通行要求，坡度不宜超过</w:t>
      </w:r>
      <w:r>
        <w:t>8%</w:t>
      </w:r>
      <w:r>
        <w:rPr>
          <w:rFonts w:hint="eastAsia"/>
        </w:rPr>
        <w:t>；机动车出入口之间，以及与车辆基地出入口之间的距离不应小于</w:t>
      </w:r>
      <w:r>
        <w:t>15</w:t>
      </w:r>
      <w:r>
        <w:rPr>
          <w:rFonts w:hint="eastAsia"/>
        </w:rPr>
        <w:t>米。机动车出入匝道宜作为盖下及上盖结构的一部分，参与结构的计算分析。</w:t>
      </w:r>
    </w:p>
    <w:bookmarkEnd w:id="96"/>
    <w:p>
      <w:pPr>
        <w:spacing w:line="360" w:lineRule="auto"/>
        <w:ind w:firstLine="482"/>
      </w:pPr>
      <w:r>
        <w:rPr>
          <w:rFonts w:hint="eastAsia" w:eastAsia="等线"/>
          <w:b/>
          <w:bCs/>
        </w:rPr>
        <w:t>[条文说明]</w:t>
      </w:r>
      <w:r>
        <w:rPr>
          <w:rFonts w:eastAsia="等线"/>
          <w:b/>
          <w:bCs/>
        </w:rPr>
        <w:t xml:space="preserve"> </w:t>
      </w:r>
      <w:r>
        <w:rPr>
          <w:rFonts w:hint="eastAsia" w:ascii="宋体" w:hAnsi="宋体"/>
        </w:rPr>
        <w:t>上盖板的</w:t>
      </w:r>
      <w:r>
        <w:rPr>
          <w:rFonts w:hint="eastAsia"/>
        </w:rPr>
        <w:t>匝道如作为消防通道的一部分时，应满足消防通道的相关要求。上盖板匝道通常要作为盖板出让的交地条件，宜作为整体结构的一部分，参与结构的计算分析。</w:t>
      </w:r>
    </w:p>
    <w:p>
      <w:pPr>
        <w:spacing w:line="360" w:lineRule="auto"/>
        <w:ind w:firstLine="482"/>
        <w:rPr>
          <w:color w:val="FF0000"/>
        </w:rPr>
      </w:pPr>
      <w:r>
        <w:rPr>
          <w:b/>
          <w:bCs/>
        </w:rPr>
        <w:t>3.0.8</w:t>
      </w:r>
      <w:r>
        <w:rPr>
          <w:rFonts w:hint="eastAsia"/>
        </w:rPr>
        <w:t>盖板、上盖地坪应考虑上盖建筑和周边人群经地铁出行的双向需求，合理设置直达城市地面的人员专用垂直交通设施。垂直交通设计可采用坡道、楼梯、垂直电梯、扶梯等设施，并满足无障碍通行的要求。自动扶梯和电梯不应作为安全疏散设施。</w:t>
      </w:r>
    </w:p>
    <w:p>
      <w:pPr>
        <w:spacing w:line="360" w:lineRule="auto"/>
        <w:ind w:firstLine="482"/>
      </w:pPr>
      <w:r>
        <w:rPr>
          <w:b/>
          <w:bCs/>
        </w:rPr>
        <w:t>3.0.9</w:t>
      </w:r>
      <w:r>
        <w:t>盖板、上盖</w:t>
      </w:r>
      <w:r>
        <w:rPr>
          <w:rFonts w:hint="eastAsia"/>
        </w:rPr>
        <w:t>地坪与</w:t>
      </w:r>
      <w:r>
        <w:t>车辆基地相邻临空部位应设置</w:t>
      </w:r>
      <w:r>
        <w:rPr>
          <w:rFonts w:hint="eastAsia"/>
        </w:rPr>
        <w:t>防止</w:t>
      </w:r>
      <w:r>
        <w:t>车辆或人员坠入</w:t>
      </w:r>
      <w:r>
        <w:rPr>
          <w:rFonts w:hint="eastAsia"/>
        </w:rPr>
        <w:t>或</w:t>
      </w:r>
      <w:r>
        <w:t>攀爬等安全防护措施；相邻轨行区临空部位还应设置防高空抛物措施</w:t>
      </w:r>
      <w:r>
        <w:rPr>
          <w:rFonts w:hint="eastAsia"/>
        </w:rPr>
        <w:t>。对</w:t>
      </w:r>
      <w:r>
        <w:t>车辆可到达的区域</w:t>
      </w:r>
      <w:r>
        <w:rPr>
          <w:rFonts w:hint="eastAsia"/>
        </w:rPr>
        <w:t>护栏</w:t>
      </w:r>
      <w:r>
        <w:t>，应</w:t>
      </w:r>
      <w:r>
        <w:rPr>
          <w:rFonts w:hint="eastAsia"/>
        </w:rPr>
        <w:t>符合《</w:t>
      </w:r>
      <w:r>
        <w:t>公路桥涵设计通用规范》</w:t>
      </w:r>
      <w:r>
        <w:rPr>
          <w:rFonts w:hint="eastAsia"/>
        </w:rPr>
        <w:t>JTG</w:t>
      </w:r>
      <w:r>
        <w:t xml:space="preserve"> D60</w:t>
      </w:r>
      <w:r>
        <w:rPr>
          <w:rFonts w:hint="eastAsia"/>
        </w:rPr>
        <w:t>的</w:t>
      </w:r>
      <w:r>
        <w:t>相关</w:t>
      </w:r>
      <w:r>
        <w:rPr>
          <w:rFonts w:hint="eastAsia"/>
        </w:rPr>
        <w:t>规定</w:t>
      </w:r>
      <w:r>
        <w:t>。</w:t>
      </w:r>
    </w:p>
    <w:p>
      <w:pPr>
        <w:spacing w:line="360" w:lineRule="auto"/>
        <w:ind w:firstLine="480"/>
      </w:pPr>
      <w:r>
        <w:rPr>
          <w:rFonts w:hint="eastAsia" w:eastAsia="等线"/>
          <w:b/>
          <w:bCs/>
        </w:rPr>
        <w:t>[条文说明]</w:t>
      </w:r>
      <w:r>
        <w:rPr>
          <w:rFonts w:eastAsia="等线"/>
          <w:b/>
          <w:bCs/>
        </w:rPr>
        <w:t xml:space="preserve"> </w:t>
      </w:r>
      <w:r>
        <w:t>条文中所述措施主要确保车辆基地的运营安全。安全防护措施的设置应满足国家</w:t>
      </w:r>
      <w:r>
        <w:rPr>
          <w:rFonts w:hint="eastAsia"/>
        </w:rPr>
        <w:t>、广东省</w:t>
      </w:r>
      <w:r>
        <w:t>相关规范</w:t>
      </w:r>
      <w:r>
        <w:rPr>
          <w:rFonts w:hint="eastAsia"/>
        </w:rPr>
        <w:t>及地铁集团运营管理</w:t>
      </w:r>
      <w:r>
        <w:t>要求。</w:t>
      </w:r>
      <w:r>
        <w:rPr>
          <w:rFonts w:hint="eastAsia"/>
        </w:rPr>
        <w:t>为</w:t>
      </w:r>
      <w:r>
        <w:t>杜绝汽车冲出盖上车库或</w:t>
      </w:r>
      <w:r>
        <w:rPr>
          <w:rFonts w:hint="eastAsia"/>
        </w:rPr>
        <w:t>上盖</w:t>
      </w:r>
      <w:r>
        <w:t>地坪，造成</w:t>
      </w:r>
      <w:r>
        <w:rPr>
          <w:rFonts w:hint="eastAsia"/>
        </w:rPr>
        <w:t>次</w:t>
      </w:r>
      <w:r>
        <w:t>生灾害，要求汽车所能抵达的区域，应</w:t>
      </w:r>
      <w:r>
        <w:rPr>
          <w:rFonts w:hint="eastAsia"/>
        </w:rPr>
        <w:t>按照《</w:t>
      </w:r>
      <w:r>
        <w:t>公路桥涵设计通用规范》</w:t>
      </w:r>
      <w:r>
        <w:rPr>
          <w:rFonts w:hint="eastAsia"/>
        </w:rPr>
        <w:t>JTG</w:t>
      </w:r>
      <w:r>
        <w:t xml:space="preserve"> D60</w:t>
      </w:r>
      <w:r>
        <w:rPr>
          <w:rFonts w:hint="eastAsia"/>
        </w:rPr>
        <w:t>有关</w:t>
      </w:r>
      <w:r>
        <w:t>汽车护栏的设计要求进行护栏设计。</w:t>
      </w:r>
    </w:p>
    <w:p>
      <w:pPr>
        <w:tabs>
          <w:tab w:val="right" w:pos="8400"/>
        </w:tabs>
        <w:adjustRightInd w:val="0"/>
        <w:snapToGrid w:val="0"/>
        <w:spacing w:line="360" w:lineRule="auto"/>
        <w:ind w:firstLine="482"/>
      </w:pPr>
      <w:r>
        <w:rPr>
          <w:rFonts w:hint="eastAsia"/>
          <w:b/>
          <w:bCs/>
        </w:rPr>
        <w:t>3.</w:t>
      </w:r>
      <w:r>
        <w:rPr>
          <w:b/>
          <w:bCs/>
        </w:rPr>
        <w:t>0</w:t>
      </w:r>
      <w:r>
        <w:rPr>
          <w:rFonts w:hint="eastAsia"/>
          <w:b/>
          <w:bCs/>
        </w:rPr>
        <w:t>.</w:t>
      </w:r>
      <w:r>
        <w:rPr>
          <w:b/>
          <w:bCs/>
        </w:rPr>
        <w:t>10</w:t>
      </w:r>
      <w:r>
        <w:rPr>
          <w:rFonts w:hint="eastAsia"/>
        </w:rPr>
        <w:t>上盖建筑的人民防空工程建设应在区域规划中总体平衡，报深圳市人民政府人民防空主管部门备案，且符合《人民防空地下室设计规范》GB50038的规定。</w:t>
      </w:r>
    </w:p>
    <w:p>
      <w:pPr>
        <w:tabs>
          <w:tab w:val="right" w:pos="8400"/>
        </w:tabs>
        <w:adjustRightInd w:val="0"/>
        <w:snapToGrid w:val="0"/>
        <w:spacing w:line="360" w:lineRule="auto"/>
        <w:ind w:firstLine="480"/>
      </w:pPr>
      <w:r>
        <w:rPr>
          <w:rFonts w:hint="eastAsia" w:eastAsia="等线"/>
          <w:b/>
          <w:bCs/>
        </w:rPr>
        <w:t>[条文说明]</w:t>
      </w:r>
      <w:r>
        <w:rPr>
          <w:rFonts w:hint="eastAsia"/>
        </w:rPr>
        <w:t>按照《人民防空法》和国家的有关规定，结合新建民用建筑应该修建一定数量的防空地下室。由于车辆基地通常建于地面，不带地下室，属于由于结构条件限制不宜修建防空地下室的情形，国家允许将应修建防空地下室的资金用于在居住小区内，易地建设单建掘开式人防工程。具体要求按深圳市人民政府人民防空主管部门（深圳市人民政府应急管理办公室民防委员会）相关规定执行。</w:t>
      </w:r>
    </w:p>
    <w:p>
      <w:pPr>
        <w:pStyle w:val="2"/>
        <w:numPr>
          <w:ilvl w:val="0"/>
          <w:numId w:val="0"/>
        </w:numPr>
        <w:spacing w:line="400" w:lineRule="exact"/>
      </w:pPr>
      <w:bookmarkStart w:id="97" w:name="_Toc90922371"/>
      <w:bookmarkStart w:id="98" w:name="_Hlk54182107"/>
      <w:r>
        <w:rPr>
          <w:color w:val="000000"/>
        </w:rPr>
        <w:t xml:space="preserve">4  </w:t>
      </w:r>
      <w:r>
        <w:rPr>
          <w:rFonts w:hint="eastAsia"/>
          <w:color w:val="000000"/>
        </w:rPr>
        <w:t>结构设计基本规定</w:t>
      </w:r>
      <w:bookmarkEnd w:id="97"/>
    </w:p>
    <w:p>
      <w:pPr>
        <w:pStyle w:val="3"/>
      </w:pPr>
      <w:bookmarkStart w:id="99" w:name="_Toc90922372"/>
      <w:r>
        <w:t xml:space="preserve">4.1  </w:t>
      </w:r>
      <w:bookmarkStart w:id="100" w:name="_Hlk40801899"/>
      <w:r>
        <w:rPr>
          <w:rFonts w:hint="eastAsia"/>
        </w:rPr>
        <w:t>一般规定</w:t>
      </w:r>
      <w:bookmarkEnd w:id="99"/>
    </w:p>
    <w:p>
      <w:pPr>
        <w:spacing w:line="360" w:lineRule="auto"/>
        <w:ind w:firstLine="482"/>
        <w:rPr>
          <w:rFonts w:hAnsi="宋体"/>
        </w:rPr>
      </w:pPr>
      <w:r>
        <w:rPr>
          <w:b/>
          <w:bCs/>
        </w:rPr>
        <w:t>4.1.1</w:t>
      </w:r>
      <w:r>
        <w:rPr>
          <w:rFonts w:hint="eastAsia" w:hAnsi="宋体"/>
        </w:rPr>
        <w:t>车辆基地上盖建筑的设计宜综合考虑建设成本、施工难易、工期以及预留等因素，落地竖向构件应考虑限界的影响，可采用全框支转换等结构体系。</w:t>
      </w:r>
    </w:p>
    <w:p>
      <w:pPr>
        <w:widowControl/>
        <w:snapToGrid w:val="0"/>
        <w:spacing w:line="360" w:lineRule="auto"/>
        <w:ind w:firstLine="480"/>
        <w:rPr>
          <w:rFonts w:hAnsi="宋体"/>
          <w:szCs w:val="21"/>
        </w:rPr>
      </w:pPr>
      <w:r>
        <w:rPr>
          <w:rFonts w:hint="eastAsia" w:eastAsia="等线"/>
          <w:b/>
          <w:bCs/>
        </w:rPr>
        <w:t>[条文说明]</w:t>
      </w:r>
      <w:r>
        <w:rPr>
          <w:rFonts w:hint="eastAsia" w:hAnsi="宋体"/>
          <w:szCs w:val="21"/>
        </w:rPr>
        <w:t>上盖建筑的结构方案可选择抗震和隔震结构设计</w:t>
      </w:r>
      <w:r>
        <w:rPr>
          <w:rFonts w:hint="eastAsia" w:hAnsi="宋体"/>
          <w:bCs/>
          <w:szCs w:val="21"/>
        </w:rPr>
        <w:t>方案</w:t>
      </w:r>
      <w:bookmarkStart w:id="101" w:name="_Hlk58802063"/>
      <w:r>
        <w:rPr>
          <w:rFonts w:hint="eastAsia" w:hAnsi="宋体"/>
          <w:bCs/>
          <w:szCs w:val="21"/>
        </w:rPr>
        <w:t>，重点解决车辆基地上盖结构严重的竖向不规则问题，</w:t>
      </w:r>
      <w:r>
        <w:rPr>
          <w:rFonts w:hint="eastAsia" w:hAnsi="宋体"/>
          <w:szCs w:val="21"/>
        </w:rPr>
        <w:t>具体设计中宜综合相关条件及需求，对抗震和隔震方案进行比选。</w:t>
      </w:r>
      <w:bookmarkEnd w:id="101"/>
    </w:p>
    <w:p>
      <w:pPr>
        <w:adjustRightInd w:val="0"/>
        <w:snapToGrid w:val="0"/>
        <w:spacing w:line="360" w:lineRule="auto"/>
        <w:ind w:firstLine="420" w:firstLineChars="200"/>
        <w:textAlignment w:val="baseline"/>
        <w:rPr>
          <w:rFonts w:hAnsi="宋体"/>
          <w:szCs w:val="21"/>
        </w:rPr>
      </w:pPr>
      <w:r>
        <w:rPr>
          <w:rFonts w:hint="eastAsia" w:hAnsi="宋体"/>
          <w:szCs w:val="21"/>
        </w:rPr>
        <w:t>根据车辆基地的使用要求及结构特点，采用全框支转换结构体系对盖下结构布置及使用影响最小，同时</w:t>
      </w:r>
      <w:r>
        <w:rPr>
          <w:rFonts w:hAnsi="宋体"/>
          <w:szCs w:val="21"/>
        </w:rPr>
        <w:t>又能满足上盖建筑在规划、功能</w:t>
      </w:r>
      <w:r>
        <w:rPr>
          <w:rFonts w:hint="eastAsia" w:hAnsi="宋体"/>
          <w:szCs w:val="21"/>
        </w:rPr>
        <w:t>等</w:t>
      </w:r>
      <w:r>
        <w:rPr>
          <w:rFonts w:hAnsi="宋体"/>
          <w:szCs w:val="21"/>
        </w:rPr>
        <w:t>方面的需求</w:t>
      </w:r>
      <w:r>
        <w:rPr>
          <w:rFonts w:hint="eastAsia" w:hAnsi="宋体"/>
          <w:szCs w:val="21"/>
        </w:rPr>
        <w:t>，是一种较为合适的抗震结构体系。</w:t>
      </w:r>
    </w:p>
    <w:p>
      <w:pPr>
        <w:snapToGrid w:val="0"/>
        <w:spacing w:line="360" w:lineRule="auto"/>
        <w:ind w:firstLine="482"/>
        <w:rPr>
          <w:rFonts w:hAnsi="宋体"/>
        </w:rPr>
      </w:pPr>
      <w:r>
        <w:rPr>
          <w:b/>
        </w:rPr>
        <w:t>4.1.2</w:t>
      </w:r>
      <w:r>
        <w:rPr>
          <w:rFonts w:hint="eastAsia" w:hAnsi="宋体"/>
        </w:rPr>
        <w:t>全框支转换结构应通过大震弹塑性时程分析对预设的性能目标进行验证，并对屈服机制进行论证。</w:t>
      </w:r>
    </w:p>
    <w:p>
      <w:pPr>
        <w:adjustRightInd w:val="0"/>
        <w:snapToGrid w:val="0"/>
        <w:spacing w:line="360" w:lineRule="auto"/>
        <w:ind w:firstLine="480"/>
        <w:rPr>
          <w:rFonts w:hAnsi="宋体"/>
          <w:szCs w:val="21"/>
        </w:rPr>
      </w:pPr>
      <w:r>
        <w:rPr>
          <w:rFonts w:hint="eastAsia" w:eastAsia="等线"/>
          <w:b/>
          <w:bCs/>
        </w:rPr>
        <w:t>[条文说明]</w:t>
      </w:r>
      <w:r>
        <w:rPr>
          <w:rFonts w:hint="eastAsia" w:hAnsi="宋体"/>
          <w:szCs w:val="21"/>
        </w:rPr>
        <w:t>全框支转换结构属于抗震规范、高层混凝土结构规程和高层钢结构规程未列入的结构形式，存在较多《超限高层建筑工程抗震设防审查技术要点》（建质[</w:t>
      </w:r>
      <w:r>
        <w:rPr>
          <w:rFonts w:hAnsi="宋体"/>
          <w:szCs w:val="21"/>
        </w:rPr>
        <w:t>2015]67</w:t>
      </w:r>
      <w:r>
        <w:rPr>
          <w:rFonts w:hint="eastAsia" w:hAnsi="宋体"/>
          <w:szCs w:val="21"/>
        </w:rPr>
        <w:t>号）所列的不规则项，按常规的弹性设计方法无法反映弹塑性结构的屈服机制。本条是全框支转换结构设计的基本要求。</w:t>
      </w:r>
    </w:p>
    <w:p>
      <w:pPr>
        <w:spacing w:line="360" w:lineRule="auto"/>
        <w:ind w:firstLine="482"/>
      </w:pPr>
      <w:r>
        <w:rPr>
          <w:b/>
          <w:bCs/>
        </w:rPr>
        <w:t>4.1.3</w:t>
      </w:r>
      <w:r>
        <w:rPr>
          <w:rFonts w:hint="eastAsia"/>
        </w:rPr>
        <w:t>车辆基地应按《建筑工程抗震设防分类标准》GB50223确定其抗震设防类别，且不应低于上盖建筑的</w:t>
      </w:r>
      <w:r>
        <w:t>抗震设防类别</w:t>
      </w:r>
      <w:r>
        <w:rPr>
          <w:rFonts w:hint="eastAsia"/>
        </w:rPr>
        <w:t>。</w:t>
      </w:r>
    </w:p>
    <w:p>
      <w:pPr>
        <w:spacing w:line="360" w:lineRule="auto"/>
        <w:ind w:firstLine="480"/>
      </w:pPr>
      <w:r>
        <w:rPr>
          <w:rFonts w:hint="eastAsia" w:eastAsia="等线"/>
          <w:b/>
          <w:bCs/>
        </w:rPr>
        <w:t>[条文说明]</w:t>
      </w:r>
      <w:r>
        <w:rPr>
          <w:rFonts w:hint="eastAsia"/>
        </w:rPr>
        <w:t xml:space="preserve"> 车辆基地的主要厂房停车库、列检库等抗震设防类别多为标准设防类，其中含控制中心、变电所、通信信号用房的结构单元为重点设防类。当上盖建筑设防类别为重点设防时（如学校、幼儿园等），车辆基地相关区域设防标准需要相应提高。由于上盖开发相对滞后，车辆基地设计阶段应对上盖业态分布有所考虑，明确上盖可能开发的区域，做好设计预留。</w:t>
      </w:r>
    </w:p>
    <w:p>
      <w:pPr>
        <w:spacing w:line="360" w:lineRule="auto"/>
        <w:ind w:firstLine="482"/>
      </w:pPr>
      <w:r>
        <w:rPr>
          <w:b/>
          <w:bCs/>
        </w:rPr>
        <w:t>4.1.4</w:t>
      </w:r>
      <w:r>
        <w:rPr>
          <w:rFonts w:hint="eastAsia"/>
        </w:rPr>
        <w:t>车辆基地设计采用的材料强度及延性要求应与上盖开发要求相匹配，满足</w:t>
      </w:r>
      <w:bookmarkStart w:id="102" w:name="_Hlk90887454"/>
      <w:r>
        <w:rPr>
          <w:rFonts w:hint="eastAsia"/>
        </w:rPr>
        <w:t>《建筑抗震设计规范》</w:t>
      </w:r>
      <w:bookmarkEnd w:id="102"/>
      <w:r>
        <w:rPr>
          <w:rFonts w:hint="eastAsia" w:hAnsi="宋体"/>
          <w:szCs w:val="21"/>
        </w:rPr>
        <w:t>GB50011和《高层建筑混凝土结构技术规程》</w:t>
      </w:r>
      <w:r>
        <w:rPr>
          <w:rFonts w:hint="eastAsia"/>
        </w:rPr>
        <w:t>JGJ3的有关规定。</w:t>
      </w:r>
    </w:p>
    <w:p>
      <w:pPr>
        <w:adjustRightInd w:val="0"/>
        <w:snapToGrid w:val="0"/>
        <w:spacing w:line="360" w:lineRule="auto"/>
        <w:ind w:firstLine="482"/>
        <w:rPr>
          <w:rFonts w:hAnsi="宋体"/>
          <w:szCs w:val="21"/>
        </w:rPr>
      </w:pPr>
      <w:r>
        <w:rPr>
          <w:b/>
          <w:bCs/>
          <w:szCs w:val="32"/>
        </w:rPr>
        <w:t>4.1.5</w:t>
      </w:r>
      <w:r>
        <w:rPr>
          <w:rFonts w:hint="eastAsia" w:hAnsi="宋体"/>
          <w:szCs w:val="21"/>
        </w:rPr>
        <w:t>车辆基地上盖建筑结构适用高度宜符合《建筑抗震设计规范》GB50011和《高层建筑混凝土结构技术规程》JGJ3的相关规定，全框支转换结构可按部分框支剪力墙结构或上盖建筑的结构类型确定。</w:t>
      </w:r>
    </w:p>
    <w:p>
      <w:pPr>
        <w:adjustRightInd w:val="0"/>
        <w:snapToGrid w:val="0"/>
        <w:spacing w:line="360" w:lineRule="auto"/>
        <w:ind w:firstLine="480"/>
        <w:rPr>
          <w:rFonts w:hAnsi="宋体"/>
          <w:szCs w:val="21"/>
        </w:rPr>
      </w:pPr>
      <w:r>
        <w:rPr>
          <w:rFonts w:hint="eastAsia" w:eastAsia="等线"/>
          <w:b/>
          <w:bCs/>
        </w:rPr>
        <w:t>[条文说明]</w:t>
      </w:r>
      <w:r>
        <w:rPr>
          <w:rFonts w:eastAsia="等线"/>
          <w:b/>
          <w:bCs/>
        </w:rPr>
        <w:t xml:space="preserve"> </w:t>
      </w:r>
      <w:r>
        <w:rPr>
          <w:rFonts w:hint="eastAsia" w:hAnsi="宋体"/>
          <w:szCs w:val="21"/>
        </w:rPr>
        <w:t>建筑高度（含盖下）从室外地面开始计算。关于钢筋混凝土结构的适用高度，本标准参照《建筑抗震设计规范》GB50011和《高层建筑混凝土结构技术规程》JGJ3执行，全框支结构的适用高度参照上盖建筑的结构类型执行。主要原因如下：</w:t>
      </w:r>
    </w:p>
    <w:p>
      <w:pPr>
        <w:tabs>
          <w:tab w:val="right" w:pos="8400"/>
        </w:tabs>
        <w:adjustRightInd w:val="0"/>
        <w:snapToGrid w:val="0"/>
        <w:spacing w:line="360" w:lineRule="auto"/>
        <w:ind w:firstLine="480"/>
        <w:rPr>
          <w:rFonts w:hAnsi="宋体"/>
          <w:szCs w:val="21"/>
        </w:rPr>
      </w:pPr>
      <w:r>
        <w:rPr>
          <w:rFonts w:hint="eastAsia" w:hAnsi="宋体"/>
          <w:szCs w:val="21"/>
        </w:rPr>
        <w:t>1</w:t>
      </w:r>
      <w:r>
        <w:rPr>
          <w:rFonts w:hAnsi="宋体"/>
          <w:szCs w:val="21"/>
        </w:rPr>
        <w:t xml:space="preserve">  </w:t>
      </w:r>
      <w:r>
        <w:rPr>
          <w:rFonts w:hint="eastAsia" w:hAnsi="宋体"/>
          <w:szCs w:val="21"/>
        </w:rPr>
        <w:t>现行</w:t>
      </w:r>
      <w:bookmarkStart w:id="103" w:name="_Hlk90887640"/>
      <w:r>
        <w:rPr>
          <w:rFonts w:hint="eastAsia" w:hAnsi="宋体"/>
          <w:szCs w:val="21"/>
        </w:rPr>
        <w:t>《建筑抗震设计规范》</w:t>
      </w:r>
      <w:bookmarkEnd w:id="103"/>
      <w:r>
        <w:rPr>
          <w:rFonts w:hint="eastAsia" w:hAnsi="宋体"/>
          <w:szCs w:val="21"/>
        </w:rPr>
        <w:t>GB50011解释为“从安全和经济诸方面综合考虑”。对比GBJ</w:t>
      </w:r>
      <w:r>
        <w:rPr>
          <w:rFonts w:hAnsi="宋体"/>
          <w:szCs w:val="21"/>
        </w:rPr>
        <w:t>89</w:t>
      </w:r>
      <w:r>
        <w:rPr>
          <w:rFonts w:hint="eastAsia" w:hAnsi="宋体"/>
          <w:szCs w:val="21"/>
        </w:rPr>
        <w:t>、GB50011（2</w:t>
      </w:r>
      <w:r>
        <w:rPr>
          <w:rFonts w:hAnsi="宋体"/>
          <w:szCs w:val="21"/>
        </w:rPr>
        <w:t>001</w:t>
      </w:r>
      <w:r>
        <w:rPr>
          <w:rFonts w:hint="eastAsia" w:hAnsi="宋体"/>
          <w:szCs w:val="21"/>
        </w:rPr>
        <w:t>、2</w:t>
      </w:r>
      <w:r>
        <w:rPr>
          <w:rFonts w:hAnsi="宋体"/>
          <w:szCs w:val="21"/>
        </w:rPr>
        <w:t>010</w:t>
      </w:r>
      <w:r>
        <w:rPr>
          <w:rFonts w:hint="eastAsia" w:hAnsi="宋体"/>
          <w:szCs w:val="21"/>
        </w:rPr>
        <w:t>）等的相关规定，对现浇钢筋混凝土房屋适用的最大高度除板柱-抗震墙结构在2</w:t>
      </w:r>
      <w:r>
        <w:rPr>
          <w:rFonts w:hAnsi="宋体"/>
          <w:szCs w:val="21"/>
        </w:rPr>
        <w:t>001</w:t>
      </w:r>
      <w:r>
        <w:rPr>
          <w:rFonts w:hint="eastAsia" w:hAnsi="宋体"/>
          <w:szCs w:val="21"/>
        </w:rPr>
        <w:t>版规范有过较大调整，其它各类结构调整微小。而我们国家的经济发展与3</w:t>
      </w:r>
      <w:r>
        <w:rPr>
          <w:rFonts w:hAnsi="宋体"/>
          <w:szCs w:val="21"/>
        </w:rPr>
        <w:t>0</w:t>
      </w:r>
      <w:r>
        <w:rPr>
          <w:rFonts w:hint="eastAsia" w:hAnsi="宋体"/>
          <w:szCs w:val="21"/>
        </w:rPr>
        <w:t>年前已不可同日而语。</w:t>
      </w:r>
    </w:p>
    <w:p>
      <w:pPr>
        <w:tabs>
          <w:tab w:val="right" w:pos="8400"/>
        </w:tabs>
        <w:adjustRightInd w:val="0"/>
        <w:snapToGrid w:val="0"/>
        <w:spacing w:line="360" w:lineRule="auto"/>
        <w:ind w:firstLine="480"/>
        <w:rPr>
          <w:rFonts w:hAnsi="宋体"/>
          <w:szCs w:val="21"/>
        </w:rPr>
      </w:pPr>
      <w:r>
        <w:rPr>
          <w:rFonts w:hAnsi="宋体"/>
          <w:szCs w:val="21"/>
        </w:rPr>
        <w:t xml:space="preserve">2 </w:t>
      </w:r>
      <w:r>
        <w:rPr>
          <w:rFonts w:hint="eastAsia" w:hAnsi="宋体"/>
          <w:szCs w:val="21"/>
        </w:rPr>
        <w:t xml:space="preserve"> 2</w:t>
      </w:r>
      <w:r>
        <w:rPr>
          <w:rFonts w:hAnsi="宋体"/>
          <w:szCs w:val="21"/>
        </w:rPr>
        <w:t>002</w:t>
      </w:r>
      <w:r>
        <w:rPr>
          <w:rFonts w:hint="eastAsia" w:hAnsi="宋体"/>
          <w:szCs w:val="21"/>
        </w:rPr>
        <w:t>、2</w:t>
      </w:r>
      <w:r>
        <w:rPr>
          <w:rFonts w:hAnsi="宋体"/>
          <w:szCs w:val="21"/>
        </w:rPr>
        <w:t>010</w:t>
      </w:r>
      <w:r>
        <w:rPr>
          <w:rFonts w:hint="eastAsia" w:hAnsi="宋体"/>
          <w:szCs w:val="21"/>
        </w:rPr>
        <w:t>、2</w:t>
      </w:r>
      <w:r>
        <w:rPr>
          <w:rFonts w:hAnsi="宋体"/>
          <w:szCs w:val="21"/>
        </w:rPr>
        <w:t>015</w:t>
      </w:r>
      <w:r>
        <w:rPr>
          <w:rFonts w:hint="eastAsia" w:hAnsi="宋体"/>
          <w:szCs w:val="21"/>
        </w:rPr>
        <w:t>年先后颁布了《超限高层建筑工程抗震设防管理规定》（建设部令1</w:t>
      </w:r>
      <w:r>
        <w:rPr>
          <w:rFonts w:hAnsi="宋体"/>
          <w:szCs w:val="21"/>
        </w:rPr>
        <w:t>11</w:t>
      </w:r>
      <w:r>
        <w:rPr>
          <w:rFonts w:hint="eastAsia" w:hAnsi="宋体"/>
          <w:szCs w:val="21"/>
        </w:rPr>
        <w:t>号），《超限高层建筑工程抗震设防审查技术要点》（建质[2</w:t>
      </w:r>
      <w:r>
        <w:rPr>
          <w:rFonts w:hAnsi="宋体"/>
          <w:szCs w:val="21"/>
        </w:rPr>
        <w:t>010]109</w:t>
      </w:r>
      <w:r>
        <w:rPr>
          <w:rFonts w:hint="eastAsia" w:hAnsi="宋体"/>
          <w:szCs w:val="21"/>
        </w:rPr>
        <w:t>号）、（建质[2</w:t>
      </w:r>
      <w:r>
        <w:rPr>
          <w:rFonts w:hAnsi="宋体"/>
          <w:szCs w:val="21"/>
        </w:rPr>
        <w:t>015]67</w:t>
      </w:r>
      <w:r>
        <w:rPr>
          <w:rFonts w:hint="eastAsia" w:hAnsi="宋体"/>
          <w:szCs w:val="21"/>
        </w:rPr>
        <w:t>号）等设计规定和指导意见，在工程实践中广泛执行。适用高度在高层建筑结构超限判断中处于最重要地位，只要结构高度超过《建筑抗震设计规范》GB50011的相关规定，就需专门研究，进行专项审查，在工程实践中已形成完善的设计、审查流程，确保结构安全。</w:t>
      </w:r>
    </w:p>
    <w:p>
      <w:pPr>
        <w:tabs>
          <w:tab w:val="right" w:pos="8400"/>
        </w:tabs>
        <w:adjustRightInd w:val="0"/>
        <w:snapToGrid w:val="0"/>
        <w:spacing w:line="360" w:lineRule="auto"/>
        <w:ind w:firstLine="480"/>
        <w:rPr>
          <w:rFonts w:hAnsi="宋体"/>
          <w:szCs w:val="21"/>
        </w:rPr>
      </w:pPr>
      <w:r>
        <w:rPr>
          <w:rFonts w:hint="eastAsia" w:hAnsi="宋体"/>
          <w:szCs w:val="21"/>
        </w:rPr>
        <w:t xml:space="preserve">3 </w:t>
      </w:r>
      <w:r>
        <w:rPr>
          <w:rFonts w:hAnsi="宋体"/>
          <w:szCs w:val="21"/>
        </w:rPr>
        <w:t xml:space="preserve"> </w:t>
      </w:r>
      <w:r>
        <w:rPr>
          <w:rFonts w:hint="eastAsia" w:hAnsi="宋体"/>
          <w:szCs w:val="21"/>
        </w:rPr>
        <w:t>随着我国工程技术的发展，经济实力的增强，结构设计、试验水平有了长足的进步。以剪力墙住宅发展为例，二十一世纪初期住宅多采用剪力墙结构或部分框支剪力墙结构，高度一般在1</w:t>
      </w:r>
      <w:r>
        <w:rPr>
          <w:rFonts w:hAnsi="宋体"/>
          <w:szCs w:val="21"/>
        </w:rPr>
        <w:t>00m</w:t>
      </w:r>
      <w:r>
        <w:rPr>
          <w:rFonts w:hint="eastAsia" w:hAnsi="宋体"/>
          <w:szCs w:val="21"/>
        </w:rPr>
        <w:t>左右，经过二十年的发展，现如今更多采用部分框支剪力墙结构的住宅高度在1</w:t>
      </w:r>
      <w:r>
        <w:rPr>
          <w:rFonts w:hAnsi="宋体"/>
          <w:szCs w:val="21"/>
        </w:rPr>
        <w:t>50m~180m</w:t>
      </w:r>
      <w:r>
        <w:rPr>
          <w:rFonts w:hint="eastAsia" w:hAnsi="宋体"/>
          <w:szCs w:val="21"/>
        </w:rPr>
        <w:t>左右，甚至更高。</w:t>
      </w:r>
    </w:p>
    <w:p>
      <w:pPr>
        <w:tabs>
          <w:tab w:val="right" w:pos="8400"/>
        </w:tabs>
        <w:adjustRightInd w:val="0"/>
        <w:snapToGrid w:val="0"/>
        <w:spacing w:line="360" w:lineRule="auto"/>
        <w:ind w:firstLine="480"/>
        <w:rPr>
          <w:rFonts w:hAnsi="宋体"/>
          <w:szCs w:val="21"/>
        </w:rPr>
      </w:pPr>
      <w:r>
        <w:rPr>
          <w:rFonts w:hint="eastAsia" w:hAnsi="宋体"/>
          <w:szCs w:val="21"/>
        </w:rPr>
        <w:t xml:space="preserve">4 </w:t>
      </w:r>
      <w:r>
        <w:rPr>
          <w:rFonts w:hAnsi="宋体"/>
          <w:szCs w:val="21"/>
        </w:rPr>
        <w:t xml:space="preserve"> </w:t>
      </w:r>
      <w:r>
        <w:rPr>
          <w:rFonts w:hint="eastAsia" w:hAnsi="宋体"/>
          <w:szCs w:val="21"/>
        </w:rPr>
        <w:t>对于车辆基地特有的全框支结构，除在转换层位置有内力、刚度突变外，其上部结构地震响应符合各自结构类型的特点。通常在保证下部结构侧向刚度（如保证除框架结构外的转换层的弹性层间位移角不超过1/2000等），按性能化设计方法，提高关键构件承载力后，可参考上盖结构类型确定结构适用高度。</w:t>
      </w:r>
    </w:p>
    <w:p>
      <w:pPr>
        <w:tabs>
          <w:tab w:val="right" w:pos="8400"/>
        </w:tabs>
        <w:adjustRightInd w:val="0"/>
        <w:snapToGrid w:val="0"/>
        <w:spacing w:line="360" w:lineRule="auto"/>
        <w:ind w:firstLine="480"/>
        <w:rPr>
          <w:rFonts w:hAnsi="宋体"/>
          <w:szCs w:val="21"/>
        </w:rPr>
      </w:pPr>
      <w:r>
        <w:rPr>
          <w:rFonts w:hint="eastAsia" w:hAnsi="宋体"/>
          <w:szCs w:val="21"/>
        </w:rPr>
        <w:t xml:space="preserve">5 </w:t>
      </w:r>
      <w:r>
        <w:rPr>
          <w:rFonts w:hAnsi="宋体"/>
          <w:szCs w:val="21"/>
        </w:rPr>
        <w:t xml:space="preserve"> </w:t>
      </w:r>
      <w:r>
        <w:rPr>
          <w:rFonts w:hint="eastAsia" w:hAnsi="宋体"/>
          <w:szCs w:val="21"/>
        </w:rPr>
        <w:t>本标准提出适用高度主要是便于设计人确定结构高度的合理性，是现阶段建设或研究证明比较适宜实施的高度；通常由于竖向布置严重不规则，这类结构实施中均需进行抗震超限审查，高度一般不是控制结构超限的最主要因素。</w:t>
      </w:r>
    </w:p>
    <w:p>
      <w:pPr>
        <w:snapToGrid w:val="0"/>
        <w:spacing w:line="360" w:lineRule="auto"/>
        <w:ind w:firstLine="482"/>
        <w:rPr>
          <w:rFonts w:hAnsi="宋体"/>
        </w:rPr>
      </w:pPr>
      <w:r>
        <w:rPr>
          <w:rFonts w:hAnsi="宋体"/>
          <w:b/>
        </w:rPr>
        <w:t>4</w:t>
      </w:r>
      <w:r>
        <w:rPr>
          <w:rFonts w:hint="eastAsia" w:hAnsi="宋体"/>
          <w:b/>
        </w:rPr>
        <w:t>.</w:t>
      </w:r>
      <w:r>
        <w:rPr>
          <w:rFonts w:hAnsi="宋体"/>
          <w:b/>
        </w:rPr>
        <w:t>1.6</w:t>
      </w:r>
      <w:r>
        <w:rPr>
          <w:rFonts w:hint="eastAsia" w:hAnsi="宋体"/>
          <w:bCs/>
        </w:rPr>
        <w:t>车辆基地</w:t>
      </w:r>
      <w:r>
        <w:rPr>
          <w:rFonts w:hint="eastAsia" w:hAnsi="宋体"/>
        </w:rPr>
        <w:t>上盖建筑结构的抗震等级可</w:t>
      </w:r>
      <w:r>
        <w:rPr>
          <w:rFonts w:hint="eastAsia" w:hAnsi="宋体"/>
          <w:szCs w:val="21"/>
        </w:rPr>
        <w:t>根据上盖结构类型确定，框支框架的抗震等级不应低于部分框支剪力墙结构中框支框架的抗震等级。</w:t>
      </w:r>
      <w:r>
        <w:rPr>
          <w:rFonts w:hint="eastAsia" w:hAnsi="宋体"/>
        </w:rPr>
        <w:t>当塔楼相关范围相邻楼层竖向构件抗震等级级差超过一级时，应设置过渡层调整，使级差不超过一级，过渡层不宜少于两层。</w:t>
      </w:r>
    </w:p>
    <w:p>
      <w:pPr>
        <w:spacing w:line="360" w:lineRule="auto"/>
        <w:ind w:firstLine="480"/>
        <w:rPr>
          <w:rFonts w:hAnsi="宋体"/>
          <w:szCs w:val="21"/>
        </w:rPr>
      </w:pPr>
      <w:r>
        <w:rPr>
          <w:rFonts w:hint="eastAsia" w:eastAsia="等线"/>
          <w:b/>
          <w:bCs/>
        </w:rPr>
        <w:t>[条文说明]</w:t>
      </w:r>
      <w:r>
        <w:rPr>
          <w:rFonts w:hint="eastAsia"/>
          <w:szCs w:val="21"/>
        </w:rPr>
        <w:t>当因局部提高下部结构竖向构件抗震等级导致塔楼相关范围相邻楼层竖向构件抗震等级级差超过一级时，为避免结构沿竖向刚度或抗侧力承载力变化过大，导致薄弱层的变形和构件应力过于集中，造成严重震害，应设置过渡层调整。</w:t>
      </w:r>
    </w:p>
    <w:p>
      <w:pPr>
        <w:snapToGrid w:val="0"/>
        <w:spacing w:line="360" w:lineRule="auto"/>
        <w:ind w:firstLine="482"/>
        <w:rPr>
          <w:rFonts w:hAnsi="宋体"/>
          <w:szCs w:val="21"/>
        </w:rPr>
      </w:pPr>
      <w:r>
        <w:rPr>
          <w:rFonts w:hAnsi="宋体"/>
          <w:b/>
        </w:rPr>
        <w:t>4</w:t>
      </w:r>
      <w:r>
        <w:rPr>
          <w:rFonts w:hint="eastAsia" w:hAnsi="宋体"/>
          <w:b/>
        </w:rPr>
        <w:t>.</w:t>
      </w:r>
      <w:r>
        <w:rPr>
          <w:rFonts w:hAnsi="宋体"/>
          <w:b/>
        </w:rPr>
        <w:t>1.7</w:t>
      </w:r>
      <w:r>
        <w:rPr>
          <w:rFonts w:hint="eastAsia" w:hAnsi="宋体"/>
          <w:szCs w:val="21"/>
        </w:rPr>
        <w:t xml:space="preserve"> 全框支剪力墙结构，其剪力墙底部加强部位的范围，应符合下列规定：</w:t>
      </w:r>
    </w:p>
    <w:p>
      <w:pPr>
        <w:snapToGrid w:val="0"/>
        <w:spacing w:line="360" w:lineRule="auto"/>
        <w:ind w:firstLine="482"/>
        <w:rPr>
          <w:rFonts w:hAnsi="宋体"/>
        </w:rPr>
      </w:pPr>
      <w:r>
        <w:rPr>
          <w:rFonts w:hAnsi="宋体"/>
          <w:szCs w:val="21"/>
        </w:rPr>
        <w:t xml:space="preserve">1  </w:t>
      </w:r>
      <w:r>
        <w:rPr>
          <w:rFonts w:hint="eastAsia" w:hAnsi="宋体"/>
          <w:szCs w:val="21"/>
        </w:rPr>
        <w:t>底部加强部位的高度可从转换层板顶算起</w:t>
      </w:r>
      <w:r>
        <w:rPr>
          <w:rFonts w:hint="eastAsia" w:hAnsi="宋体"/>
        </w:rPr>
        <w:t>；</w:t>
      </w:r>
    </w:p>
    <w:p>
      <w:pPr>
        <w:snapToGrid w:val="0"/>
        <w:spacing w:line="360" w:lineRule="auto"/>
        <w:ind w:firstLine="482"/>
        <w:rPr>
          <w:rFonts w:hAnsi="宋体"/>
        </w:rPr>
      </w:pPr>
      <w:r>
        <w:rPr>
          <w:rFonts w:hAnsi="宋体"/>
        </w:rPr>
        <w:t xml:space="preserve">2  </w:t>
      </w:r>
      <w:r>
        <w:rPr>
          <w:rFonts w:hint="eastAsia" w:hAnsi="宋体"/>
        </w:rPr>
        <w:t>底部加强部位的高度可取至转换层以上两层且不宜小于被转换墙体总高度的</w:t>
      </w:r>
      <w:r>
        <w:rPr>
          <w:rFonts w:hAnsi="宋体"/>
        </w:rPr>
        <w:t>1/10</w:t>
      </w:r>
      <w:r>
        <w:rPr>
          <w:rFonts w:hint="eastAsia" w:hAnsi="宋体"/>
          <w:szCs w:val="21"/>
        </w:rPr>
        <w:t>。</w:t>
      </w:r>
    </w:p>
    <w:p>
      <w:pPr>
        <w:tabs>
          <w:tab w:val="right" w:pos="8400"/>
        </w:tabs>
        <w:adjustRightInd w:val="0"/>
        <w:snapToGrid w:val="0"/>
        <w:spacing w:line="360" w:lineRule="auto"/>
        <w:ind w:firstLine="482"/>
        <w:rPr>
          <w:rFonts w:hAnsi="宋体"/>
        </w:rPr>
      </w:pPr>
      <w:r>
        <w:rPr>
          <w:b/>
          <w:bCs/>
        </w:rPr>
        <w:t>4.1.8</w:t>
      </w:r>
      <w:r>
        <w:rPr>
          <w:rFonts w:hint="eastAsia" w:hAnsi="宋体"/>
        </w:rPr>
        <w:t>车辆基地结构的岩土勘察应根据上盖建筑规模、特征、场地、地基复杂程度等，按《高层建筑岩土工程勘察标准》JGJ</w:t>
      </w:r>
      <w:r>
        <w:rPr>
          <w:rFonts w:hAnsi="宋体"/>
        </w:rPr>
        <w:t>/T72</w:t>
      </w:r>
      <w:r>
        <w:rPr>
          <w:rFonts w:hint="eastAsia" w:hAnsi="宋体"/>
        </w:rPr>
        <w:t>的相关要求进行勘察，适当增加控制性勘探点的数量，为基础设计提供建议和相关技术参数。</w:t>
      </w:r>
    </w:p>
    <w:p>
      <w:pPr>
        <w:spacing w:line="360" w:lineRule="auto"/>
        <w:ind w:firstLine="480"/>
        <w:jc w:val="left"/>
      </w:pPr>
      <w:r>
        <w:rPr>
          <w:rFonts w:hint="eastAsia" w:eastAsia="等线"/>
          <w:b/>
          <w:bCs/>
        </w:rPr>
        <w:t>[条文说明]</w:t>
      </w:r>
      <w:r>
        <w:rPr>
          <w:rFonts w:hint="eastAsia"/>
        </w:rPr>
        <w:t>鉴于</w:t>
      </w:r>
      <w:r>
        <w:t>大部分上盖</w:t>
      </w:r>
      <w:r>
        <w:rPr>
          <w:rFonts w:hint="eastAsia"/>
        </w:rPr>
        <w:t>建筑</w:t>
      </w:r>
      <w:r>
        <w:t>属于高层建筑</w:t>
      </w:r>
      <w:r>
        <w:rPr>
          <w:rFonts w:hint="eastAsia"/>
        </w:rPr>
        <w:t>且总平面布置具有一定的不确定性，</w:t>
      </w:r>
      <w:r>
        <w:t>车辆基地</w:t>
      </w:r>
      <w:r>
        <w:rPr>
          <w:rFonts w:hint="eastAsia"/>
        </w:rPr>
        <w:t>岩土勘察应根据项目整体情况制定勘察方案，钻孔的数量和深度等应满足上盖设计不确定性需求及</w:t>
      </w:r>
      <w:r>
        <w:t>《</w:t>
      </w:r>
      <w:r>
        <w:rPr>
          <w:rFonts w:hint="eastAsia"/>
        </w:rPr>
        <w:t>高层建筑岩土工程勘察标准》JGJ/T72的相关要求。</w:t>
      </w:r>
    </w:p>
    <w:p>
      <w:pPr>
        <w:spacing w:line="360" w:lineRule="auto"/>
        <w:ind w:firstLine="482"/>
      </w:pPr>
      <w:r>
        <w:rPr>
          <w:b/>
          <w:bCs/>
        </w:rPr>
        <w:t>4.1.9</w:t>
      </w:r>
      <w:r>
        <w:rPr>
          <w:rFonts w:hint="eastAsia"/>
        </w:rPr>
        <w:t>车辆基地结构的耐久性设计应根据设计工作年限，区分构件的使用、环境等条件，按《混凝土结构耐久性设计标准》GB50476的相关要求，采取有针对性的防护措施。当缺少可靠工程经验时，可按设计工作年限1</w:t>
      </w:r>
      <w:r>
        <w:t>00</w:t>
      </w:r>
      <w:r>
        <w:rPr>
          <w:rFonts w:hint="eastAsia"/>
        </w:rPr>
        <w:t>年进行结构耐久性设计。</w:t>
      </w:r>
    </w:p>
    <w:p>
      <w:pPr>
        <w:spacing w:line="360" w:lineRule="auto"/>
        <w:ind w:firstLine="480"/>
      </w:pPr>
      <w:r>
        <w:rPr>
          <w:rFonts w:hint="eastAsia" w:eastAsia="等线"/>
          <w:b/>
          <w:bCs/>
        </w:rPr>
        <w:t>[条文说明]</w:t>
      </w:r>
      <w:r>
        <w:rPr>
          <w:rFonts w:hint="eastAsia"/>
        </w:rPr>
        <w:t xml:space="preserve"> 拟开发上盖车辆基地多为开敞结构，与一般民用建筑的室内环境有较大差别，外围构件通常处于日晒雨淋，干湿交替的状态，环境影响较为复杂，其结构耐久性需要单独考虑。如美国ACI设计规范要求室外淋雨环境的梁柱外侧钢筋（箍筋或分布筋）保护层最小设计厚度为5</w:t>
      </w:r>
      <w:r>
        <w:t>0mm</w:t>
      </w:r>
      <w:r>
        <w:rPr>
          <w:rFonts w:hint="eastAsia"/>
        </w:rPr>
        <w:t>（钢筋直径不大于1</w:t>
      </w:r>
      <w:r>
        <w:t>6mm</w:t>
      </w:r>
      <w:r>
        <w:rPr>
          <w:rFonts w:hint="eastAsia"/>
        </w:rPr>
        <w:t>时3</w:t>
      </w:r>
      <w:r>
        <w:t>8mm</w:t>
      </w:r>
      <w:r>
        <w:rPr>
          <w:rFonts w:hint="eastAsia"/>
        </w:rPr>
        <w:t>），英国BS</w:t>
      </w:r>
      <w:r>
        <w:t>8110</w:t>
      </w:r>
      <w:r>
        <w:rPr>
          <w:rFonts w:hint="eastAsia"/>
        </w:rPr>
        <w:t>设计标准（6</w:t>
      </w:r>
      <w:r>
        <w:t>0</w:t>
      </w:r>
      <w:r>
        <w:rPr>
          <w:rFonts w:hint="eastAsia"/>
        </w:rPr>
        <w:t>年设计工作年限）为4</w:t>
      </w:r>
      <w:r>
        <w:t>0mm</w:t>
      </w:r>
      <w:r>
        <w:rPr>
          <w:rFonts w:hint="eastAsia"/>
        </w:rPr>
        <w:t>（C40）或3</w:t>
      </w:r>
      <w:r>
        <w:t>0mm</w:t>
      </w:r>
      <w:r>
        <w:rPr>
          <w:rFonts w:hint="eastAsia"/>
        </w:rPr>
        <w:t>（C45）。</w:t>
      </w:r>
    </w:p>
    <w:p>
      <w:pPr>
        <w:spacing w:line="360" w:lineRule="auto"/>
        <w:ind w:firstLine="480"/>
      </w:pPr>
      <w:r>
        <w:rPr>
          <w:rFonts w:hint="eastAsia"/>
        </w:rPr>
        <w:t>当车辆基地与上盖分阶段开发时，车辆基地屋面具有屋面和未来临时施工作业面等不同的使用、环境条件，其耐久性设计需要同时满足每种环境作用要求。</w:t>
      </w:r>
    </w:p>
    <w:p>
      <w:pPr>
        <w:spacing w:line="360" w:lineRule="auto"/>
        <w:ind w:firstLine="482"/>
      </w:pPr>
      <w:r>
        <w:rPr>
          <w:b/>
          <w:bCs/>
        </w:rPr>
        <w:t>4.1.10</w:t>
      </w:r>
      <w:r>
        <w:t>车辆基地盖</w:t>
      </w:r>
      <w:r>
        <w:rPr>
          <w:rFonts w:hint="eastAsia"/>
        </w:rPr>
        <w:t>板及承重构件的</w:t>
      </w:r>
      <w:r>
        <w:t>耐火极限不低于</w:t>
      </w:r>
      <w:r>
        <w:rPr>
          <w:rFonts w:hint="eastAsia"/>
        </w:rPr>
        <w:t>3.00h，盖板梁、板底部钢筋及梁侧面钢筋的混凝土</w:t>
      </w:r>
      <w:r>
        <w:t>保护层</w:t>
      </w:r>
      <w:r>
        <w:rPr>
          <w:rFonts w:hint="eastAsia"/>
        </w:rPr>
        <w:t>厚度不宜</w:t>
      </w:r>
      <w:r>
        <w:t>小于</w:t>
      </w:r>
      <w:r>
        <w:rPr>
          <w:rFonts w:hint="eastAsia"/>
        </w:rPr>
        <w:t>45mm。</w:t>
      </w:r>
    </w:p>
    <w:p>
      <w:pPr>
        <w:spacing w:line="360" w:lineRule="auto"/>
        <w:ind w:firstLine="480"/>
      </w:pPr>
      <w:r>
        <w:rPr>
          <w:rFonts w:hint="eastAsia" w:eastAsia="等线"/>
          <w:b/>
          <w:bCs/>
        </w:rPr>
        <w:t>[条文说明]</w:t>
      </w:r>
      <w:r>
        <w:rPr>
          <w:rFonts w:hint="eastAsia"/>
        </w:rPr>
        <w:t>根据《建筑设计防火规范》GB50016的相关要求，上盖民用建筑的火灾危险性与车辆基地有较大差别，一般需独立建造。当将二者空间组合在同一座建筑内时，需在水平与竖向采取防火分隔措施分隔，并使各自的疏散设施相互独立，互不连通。《地铁设计防火标准》GB51298为了确保上盖建筑的安全及车辆基地在火灾时能保持较高的耐火性能，要求车辆基地的顶盖（即本标准的盖板）和车辆基地内建筑的承重结构的耐火极限至少要达到3</w:t>
      </w:r>
      <w:r>
        <w:t>.0h</w:t>
      </w:r>
      <w:r>
        <w:rPr>
          <w:rFonts w:hint="eastAsia"/>
        </w:rPr>
        <w:t>，其它功能区间建筑楼板的耐火极限可根据耐火等级确定。</w:t>
      </w:r>
    </w:p>
    <w:p>
      <w:pPr>
        <w:spacing w:line="360" w:lineRule="auto"/>
        <w:ind w:firstLine="480"/>
      </w:pPr>
      <w:r>
        <w:t>盖下单体</w:t>
      </w:r>
      <w:r>
        <w:rPr>
          <w:rFonts w:hint="eastAsia"/>
        </w:rPr>
        <w:t>建筑具体</w:t>
      </w:r>
      <w:r>
        <w:t>功能及</w:t>
      </w:r>
      <w:r>
        <w:rPr>
          <w:rFonts w:hint="eastAsia"/>
        </w:rPr>
        <w:t>耐火</w:t>
      </w:r>
      <w:r>
        <w:t>等级</w:t>
      </w:r>
      <w:r>
        <w:rPr>
          <w:rFonts w:hint="eastAsia"/>
        </w:rPr>
        <w:t>可参考表</w:t>
      </w:r>
      <w:r>
        <w:t>1</w:t>
      </w:r>
    </w:p>
    <w:p>
      <w:pPr>
        <w:spacing w:line="360" w:lineRule="auto"/>
        <w:ind w:firstLine="480"/>
      </w:pPr>
    </w:p>
    <w:p>
      <w:pPr>
        <w:pStyle w:val="80"/>
        <w:ind w:firstLine="480"/>
      </w:pPr>
      <w:r>
        <w:rPr>
          <w:rFonts w:hint="eastAsia"/>
        </w:rPr>
        <w:t>表1  盖下单体建筑功能及耐火等级</w:t>
      </w:r>
    </w:p>
    <w:tbl>
      <w:tblPr>
        <w:tblStyle w:val="37"/>
        <w:tblW w:w="6939" w:type="dxa"/>
        <w:jc w:val="center"/>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
      <w:tblGrid>
        <w:gridCol w:w="1191"/>
        <w:gridCol w:w="3666"/>
        <w:gridCol w:w="1266"/>
        <w:gridCol w:w="81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Ex>
        <w:trPr>
          <w:trHeight w:val="23" w:hRule="atLeast"/>
          <w:tblHeader/>
          <w:jc w:val="center"/>
        </w:trPr>
        <w:tc>
          <w:tcPr>
            <w:tcW w:w="1191" w:type="dxa"/>
            <w:shd w:val="clear" w:color="auto" w:fill="FFFFFF"/>
            <w:vAlign w:val="center"/>
          </w:tcPr>
          <w:p>
            <w:pPr>
              <w:pStyle w:val="79"/>
            </w:pPr>
            <w:r>
              <w:rPr>
                <w:rFonts w:hint="eastAsia"/>
              </w:rPr>
              <w:t>建筑物名称</w:t>
            </w:r>
          </w:p>
        </w:tc>
        <w:tc>
          <w:tcPr>
            <w:tcW w:w="3666" w:type="dxa"/>
            <w:shd w:val="clear" w:color="auto" w:fill="FFFFFF"/>
            <w:vAlign w:val="center"/>
          </w:tcPr>
          <w:p>
            <w:pPr>
              <w:pStyle w:val="79"/>
            </w:pPr>
            <w:r>
              <w:rPr>
                <w:rFonts w:hint="eastAsia"/>
              </w:rPr>
              <w:t>主要功能</w:t>
            </w:r>
          </w:p>
        </w:tc>
        <w:tc>
          <w:tcPr>
            <w:tcW w:w="1266" w:type="dxa"/>
            <w:shd w:val="clear" w:color="auto" w:fill="FFFFFF"/>
            <w:vAlign w:val="center"/>
          </w:tcPr>
          <w:p>
            <w:pPr>
              <w:pStyle w:val="79"/>
            </w:pPr>
            <w:r>
              <w:rPr>
                <w:rFonts w:hint="eastAsia"/>
              </w:rPr>
              <w:t>火灾危险性类别</w:t>
            </w:r>
          </w:p>
        </w:tc>
        <w:tc>
          <w:tcPr>
            <w:tcW w:w="816" w:type="dxa"/>
            <w:shd w:val="clear" w:color="auto" w:fill="FFFFFF"/>
            <w:vAlign w:val="center"/>
          </w:tcPr>
          <w:p>
            <w:pPr>
              <w:pStyle w:val="79"/>
            </w:pPr>
            <w:r>
              <w:rPr>
                <w:rFonts w:hint="eastAsia"/>
              </w:rPr>
              <w:t>耐火等级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1191" w:type="dxa"/>
            <w:shd w:val="clear" w:color="auto" w:fill="FFFFFF"/>
            <w:vAlign w:val="center"/>
          </w:tcPr>
          <w:p>
            <w:pPr>
              <w:pStyle w:val="79"/>
            </w:pPr>
            <w:r>
              <w:rPr>
                <w:rFonts w:hint="eastAsia"/>
              </w:rPr>
              <w:t>检修库</w:t>
            </w:r>
          </w:p>
        </w:tc>
        <w:tc>
          <w:tcPr>
            <w:tcW w:w="3666" w:type="dxa"/>
            <w:shd w:val="clear" w:color="auto" w:fill="FFFFFF"/>
            <w:vAlign w:val="center"/>
          </w:tcPr>
          <w:p>
            <w:pPr>
              <w:pStyle w:val="79"/>
            </w:pPr>
            <w:r>
              <w:rPr>
                <w:rFonts w:hint="eastAsia"/>
              </w:rPr>
              <w:t>临修、定修、大架修、静调和转向架、辅助检修区等</w:t>
            </w:r>
          </w:p>
        </w:tc>
        <w:tc>
          <w:tcPr>
            <w:tcW w:w="1266" w:type="dxa"/>
            <w:shd w:val="clear" w:color="auto" w:fill="FFFFFF"/>
            <w:vAlign w:val="center"/>
          </w:tcPr>
          <w:p>
            <w:pPr>
              <w:pStyle w:val="79"/>
            </w:pPr>
            <w:r>
              <w:rPr>
                <w:rFonts w:hint="eastAsia"/>
              </w:rPr>
              <w:t>丁类</w:t>
            </w:r>
          </w:p>
        </w:tc>
        <w:tc>
          <w:tcPr>
            <w:tcW w:w="816" w:type="dxa"/>
            <w:shd w:val="clear" w:color="auto" w:fill="FFFFFF"/>
            <w:vAlign w:val="center"/>
          </w:tcPr>
          <w:p>
            <w:pPr>
              <w:pStyle w:val="79"/>
            </w:pPr>
            <w:r>
              <w:rPr>
                <w:rFonts w:hint="eastAsia"/>
              </w:rPr>
              <w:t>一级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1191" w:type="dxa"/>
            <w:shd w:val="clear" w:color="auto" w:fill="FFFFFF"/>
            <w:vAlign w:val="center"/>
          </w:tcPr>
          <w:p>
            <w:pPr>
              <w:pStyle w:val="79"/>
            </w:pPr>
            <w:r>
              <w:rPr>
                <w:rFonts w:hint="eastAsia"/>
              </w:rPr>
              <w:t>运用库</w:t>
            </w:r>
          </w:p>
        </w:tc>
        <w:tc>
          <w:tcPr>
            <w:tcW w:w="3666" w:type="dxa"/>
            <w:shd w:val="clear" w:color="auto" w:fill="FFFFFF"/>
            <w:vAlign w:val="center"/>
          </w:tcPr>
          <w:p>
            <w:pPr>
              <w:pStyle w:val="79"/>
            </w:pPr>
            <w:r>
              <w:rPr>
                <w:rFonts w:hint="eastAsia"/>
              </w:rPr>
              <w:t>停车列检、周月检库等</w:t>
            </w:r>
          </w:p>
        </w:tc>
        <w:tc>
          <w:tcPr>
            <w:tcW w:w="1266" w:type="dxa"/>
            <w:shd w:val="clear" w:color="auto" w:fill="FFFFFF"/>
            <w:vAlign w:val="center"/>
          </w:tcPr>
          <w:p>
            <w:pPr>
              <w:pStyle w:val="79"/>
            </w:pPr>
            <w:r>
              <w:rPr>
                <w:rFonts w:hint="eastAsia"/>
              </w:rPr>
              <w:t>戊类</w:t>
            </w:r>
          </w:p>
        </w:tc>
        <w:tc>
          <w:tcPr>
            <w:tcW w:w="816" w:type="dxa"/>
            <w:shd w:val="clear" w:color="auto" w:fill="FFFFFF"/>
            <w:vAlign w:val="center"/>
          </w:tcPr>
          <w:p>
            <w:pPr>
              <w:pStyle w:val="79"/>
            </w:pPr>
            <w:r>
              <w:rPr>
                <w:rFonts w:hint="eastAsia"/>
              </w:rPr>
              <w:t>一级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1191" w:type="dxa"/>
            <w:shd w:val="clear" w:color="auto" w:fill="FFFFFF"/>
            <w:vAlign w:val="center"/>
          </w:tcPr>
          <w:p>
            <w:pPr>
              <w:pStyle w:val="79"/>
            </w:pPr>
            <w:r>
              <w:rPr>
                <w:rFonts w:hint="eastAsia"/>
              </w:rPr>
              <w:t>调机车库</w:t>
            </w:r>
          </w:p>
        </w:tc>
        <w:tc>
          <w:tcPr>
            <w:tcW w:w="3666" w:type="dxa"/>
            <w:shd w:val="clear" w:color="auto" w:fill="FFFFFF"/>
            <w:vAlign w:val="center"/>
          </w:tcPr>
          <w:p>
            <w:pPr>
              <w:pStyle w:val="79"/>
            </w:pPr>
            <w:r>
              <w:rPr>
                <w:rFonts w:hint="eastAsia"/>
              </w:rPr>
              <w:t>调机、轨道车及工程车的检修</w:t>
            </w:r>
          </w:p>
        </w:tc>
        <w:tc>
          <w:tcPr>
            <w:tcW w:w="1266" w:type="dxa"/>
            <w:shd w:val="clear" w:color="auto" w:fill="FFFFFF"/>
            <w:vAlign w:val="center"/>
          </w:tcPr>
          <w:p>
            <w:pPr>
              <w:pStyle w:val="79"/>
            </w:pPr>
            <w:r>
              <w:rPr>
                <w:rFonts w:hint="eastAsia"/>
              </w:rPr>
              <w:t>丁类</w:t>
            </w:r>
          </w:p>
        </w:tc>
        <w:tc>
          <w:tcPr>
            <w:tcW w:w="816" w:type="dxa"/>
            <w:shd w:val="clear" w:color="auto" w:fill="FFFFFF"/>
            <w:vAlign w:val="center"/>
          </w:tcPr>
          <w:p>
            <w:pPr>
              <w:pStyle w:val="79"/>
            </w:pPr>
            <w:r>
              <w:rPr>
                <w:rFonts w:hint="eastAsia"/>
              </w:rPr>
              <w:t>一级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1191" w:type="dxa"/>
            <w:vMerge w:val="restart"/>
            <w:shd w:val="clear" w:color="auto" w:fill="FFFFFF"/>
            <w:vAlign w:val="center"/>
          </w:tcPr>
          <w:p>
            <w:pPr>
              <w:pStyle w:val="79"/>
            </w:pPr>
            <w:r>
              <w:rPr>
                <w:rFonts w:hint="eastAsia"/>
              </w:rPr>
              <w:t>物资库</w:t>
            </w:r>
          </w:p>
        </w:tc>
        <w:tc>
          <w:tcPr>
            <w:tcW w:w="3666" w:type="dxa"/>
            <w:shd w:val="clear" w:color="auto" w:fill="FFFFFF"/>
            <w:vAlign w:val="center"/>
          </w:tcPr>
          <w:p>
            <w:pPr>
              <w:pStyle w:val="79"/>
            </w:pPr>
            <w:r>
              <w:rPr>
                <w:rFonts w:hint="eastAsia"/>
              </w:rPr>
              <w:t>机械仪器表存放、立体仓储区</w:t>
            </w:r>
          </w:p>
        </w:tc>
        <w:tc>
          <w:tcPr>
            <w:tcW w:w="1266" w:type="dxa"/>
            <w:shd w:val="clear" w:color="auto" w:fill="FFFFFF"/>
            <w:vAlign w:val="center"/>
          </w:tcPr>
          <w:p>
            <w:pPr>
              <w:pStyle w:val="79"/>
            </w:pPr>
            <w:r>
              <w:rPr>
                <w:rFonts w:hint="eastAsia"/>
              </w:rPr>
              <w:t>丁类</w:t>
            </w:r>
          </w:p>
        </w:tc>
        <w:tc>
          <w:tcPr>
            <w:tcW w:w="816" w:type="dxa"/>
            <w:shd w:val="clear" w:color="auto" w:fill="FFFFFF"/>
            <w:vAlign w:val="center"/>
          </w:tcPr>
          <w:p>
            <w:pPr>
              <w:pStyle w:val="79"/>
            </w:pPr>
            <w:r>
              <w:rPr>
                <w:rFonts w:hint="eastAsia"/>
              </w:rPr>
              <w:t>一级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1191" w:type="dxa"/>
            <w:vMerge w:val="continue"/>
            <w:shd w:val="clear" w:color="auto" w:fill="FFFFFF"/>
            <w:vAlign w:val="center"/>
          </w:tcPr>
          <w:p>
            <w:pPr>
              <w:pStyle w:val="79"/>
            </w:pPr>
          </w:p>
        </w:tc>
        <w:tc>
          <w:tcPr>
            <w:tcW w:w="3666" w:type="dxa"/>
            <w:shd w:val="clear" w:color="auto" w:fill="FFFFFF"/>
            <w:vAlign w:val="center"/>
          </w:tcPr>
          <w:p>
            <w:pPr>
              <w:pStyle w:val="79"/>
            </w:pPr>
            <w:r>
              <w:rPr>
                <w:rFonts w:hint="eastAsia"/>
              </w:rPr>
              <w:t>大件存放区</w:t>
            </w:r>
          </w:p>
        </w:tc>
        <w:tc>
          <w:tcPr>
            <w:tcW w:w="1266" w:type="dxa"/>
            <w:shd w:val="clear" w:color="auto" w:fill="FFFFFF"/>
            <w:vAlign w:val="center"/>
          </w:tcPr>
          <w:p>
            <w:pPr>
              <w:pStyle w:val="79"/>
            </w:pPr>
            <w:r>
              <w:rPr>
                <w:rFonts w:hint="eastAsia"/>
              </w:rPr>
              <w:t>戊类</w:t>
            </w:r>
          </w:p>
        </w:tc>
        <w:tc>
          <w:tcPr>
            <w:tcW w:w="816" w:type="dxa"/>
            <w:shd w:val="clear" w:color="auto" w:fill="FFFFFF"/>
            <w:vAlign w:val="center"/>
          </w:tcPr>
          <w:p>
            <w:pPr>
              <w:pStyle w:val="79"/>
            </w:pPr>
            <w:r>
              <w:rPr>
                <w:rFonts w:hint="eastAsia"/>
              </w:rPr>
              <w:t>一级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1191" w:type="dxa"/>
            <w:shd w:val="clear" w:color="auto" w:fill="FFFFFF"/>
            <w:vAlign w:val="center"/>
          </w:tcPr>
          <w:p>
            <w:pPr>
              <w:pStyle w:val="79"/>
            </w:pPr>
            <w:r>
              <w:rPr>
                <w:rFonts w:hint="eastAsia"/>
              </w:rPr>
              <w:t>综合维修</w:t>
            </w:r>
          </w:p>
        </w:tc>
        <w:tc>
          <w:tcPr>
            <w:tcW w:w="3666" w:type="dxa"/>
            <w:shd w:val="clear" w:color="auto" w:fill="FFFFFF"/>
            <w:vAlign w:val="center"/>
          </w:tcPr>
          <w:p>
            <w:pPr>
              <w:pStyle w:val="79"/>
            </w:pPr>
            <w:r>
              <w:rPr>
                <w:rFonts w:hint="eastAsia"/>
              </w:rPr>
              <w:t>综合维修中心、工区</w:t>
            </w:r>
          </w:p>
        </w:tc>
        <w:tc>
          <w:tcPr>
            <w:tcW w:w="1266" w:type="dxa"/>
            <w:shd w:val="clear" w:color="auto" w:fill="FFFFFF"/>
            <w:vAlign w:val="center"/>
          </w:tcPr>
          <w:p>
            <w:pPr>
              <w:pStyle w:val="79"/>
            </w:pPr>
            <w:r>
              <w:rPr>
                <w:rFonts w:hint="eastAsia"/>
              </w:rPr>
              <w:t>丁类</w:t>
            </w:r>
          </w:p>
        </w:tc>
        <w:tc>
          <w:tcPr>
            <w:tcW w:w="816" w:type="dxa"/>
            <w:shd w:val="clear" w:color="auto" w:fill="FFFFFF"/>
            <w:vAlign w:val="center"/>
          </w:tcPr>
          <w:p>
            <w:pPr>
              <w:pStyle w:val="79"/>
            </w:pPr>
            <w:r>
              <w:rPr>
                <w:rFonts w:hint="eastAsia"/>
              </w:rPr>
              <w:t>一级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1191" w:type="dxa"/>
            <w:shd w:val="clear" w:color="auto" w:fill="FFFFFF"/>
            <w:vAlign w:val="center"/>
          </w:tcPr>
          <w:p>
            <w:pPr>
              <w:pStyle w:val="79"/>
            </w:pPr>
            <w:r>
              <w:rPr>
                <w:rFonts w:hint="eastAsia"/>
              </w:rPr>
              <w:t>镟轮库</w:t>
            </w:r>
          </w:p>
        </w:tc>
        <w:tc>
          <w:tcPr>
            <w:tcW w:w="3666" w:type="dxa"/>
            <w:shd w:val="clear" w:color="auto" w:fill="FFFFFF"/>
            <w:vAlign w:val="center"/>
          </w:tcPr>
          <w:p>
            <w:pPr>
              <w:pStyle w:val="79"/>
            </w:pPr>
            <w:r>
              <w:rPr>
                <w:rFonts w:hint="eastAsia"/>
              </w:rPr>
              <w:t>镟轮</w:t>
            </w:r>
          </w:p>
        </w:tc>
        <w:tc>
          <w:tcPr>
            <w:tcW w:w="1266" w:type="dxa"/>
            <w:shd w:val="clear" w:color="auto" w:fill="FFFFFF"/>
            <w:vAlign w:val="center"/>
          </w:tcPr>
          <w:p>
            <w:pPr>
              <w:pStyle w:val="79"/>
            </w:pPr>
            <w:r>
              <w:rPr>
                <w:rFonts w:hint="eastAsia"/>
              </w:rPr>
              <w:t>丁类</w:t>
            </w:r>
          </w:p>
        </w:tc>
        <w:tc>
          <w:tcPr>
            <w:tcW w:w="816" w:type="dxa"/>
            <w:shd w:val="clear" w:color="auto" w:fill="FFFFFF"/>
            <w:vAlign w:val="center"/>
          </w:tcPr>
          <w:p>
            <w:pPr>
              <w:pStyle w:val="79"/>
            </w:pPr>
            <w:r>
              <w:rPr>
                <w:rFonts w:hint="eastAsia"/>
              </w:rPr>
              <w:t>一级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1191" w:type="dxa"/>
            <w:shd w:val="clear" w:color="auto" w:fill="FFFFFF"/>
            <w:vAlign w:val="center"/>
          </w:tcPr>
          <w:p>
            <w:pPr>
              <w:pStyle w:val="79"/>
            </w:pPr>
            <w:r>
              <w:rPr>
                <w:rFonts w:hint="eastAsia"/>
              </w:rPr>
              <w:t>吹扫库/清扫库</w:t>
            </w:r>
          </w:p>
        </w:tc>
        <w:tc>
          <w:tcPr>
            <w:tcW w:w="3666" w:type="dxa"/>
            <w:shd w:val="clear" w:color="auto" w:fill="FFFFFF"/>
            <w:vAlign w:val="center"/>
          </w:tcPr>
          <w:p>
            <w:pPr>
              <w:pStyle w:val="79"/>
            </w:pPr>
            <w:r>
              <w:rPr>
                <w:rFonts w:hint="eastAsia"/>
              </w:rPr>
              <w:t>车辆吹扫/清扫</w:t>
            </w:r>
          </w:p>
        </w:tc>
        <w:tc>
          <w:tcPr>
            <w:tcW w:w="1266" w:type="dxa"/>
            <w:shd w:val="clear" w:color="auto" w:fill="FFFFFF"/>
            <w:vAlign w:val="center"/>
          </w:tcPr>
          <w:p>
            <w:pPr>
              <w:pStyle w:val="79"/>
            </w:pPr>
            <w:r>
              <w:rPr>
                <w:rFonts w:hint="eastAsia"/>
              </w:rPr>
              <w:t>戊类</w:t>
            </w:r>
          </w:p>
        </w:tc>
        <w:tc>
          <w:tcPr>
            <w:tcW w:w="816" w:type="dxa"/>
            <w:shd w:val="clear" w:color="auto" w:fill="FFFFFF"/>
            <w:vAlign w:val="center"/>
          </w:tcPr>
          <w:p>
            <w:pPr>
              <w:pStyle w:val="79"/>
            </w:pPr>
            <w:r>
              <w:rPr>
                <w:rFonts w:hint="eastAsia"/>
              </w:rPr>
              <w:t>一级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1191" w:type="dxa"/>
            <w:shd w:val="clear" w:color="auto" w:fill="FFFFFF"/>
            <w:vAlign w:val="center"/>
          </w:tcPr>
          <w:p>
            <w:pPr>
              <w:pStyle w:val="79"/>
            </w:pPr>
            <w:r>
              <w:rPr>
                <w:rFonts w:hint="eastAsia"/>
              </w:rPr>
              <w:t>洗车库</w:t>
            </w:r>
          </w:p>
        </w:tc>
        <w:tc>
          <w:tcPr>
            <w:tcW w:w="3666" w:type="dxa"/>
            <w:shd w:val="clear" w:color="auto" w:fill="FFFFFF"/>
            <w:vAlign w:val="center"/>
          </w:tcPr>
          <w:p>
            <w:pPr>
              <w:pStyle w:val="79"/>
            </w:pPr>
            <w:r>
              <w:rPr>
                <w:rFonts w:hint="eastAsia"/>
              </w:rPr>
              <w:t>洗车</w:t>
            </w:r>
          </w:p>
        </w:tc>
        <w:tc>
          <w:tcPr>
            <w:tcW w:w="1266" w:type="dxa"/>
            <w:shd w:val="clear" w:color="auto" w:fill="FFFFFF"/>
            <w:vAlign w:val="center"/>
          </w:tcPr>
          <w:p>
            <w:pPr>
              <w:pStyle w:val="79"/>
            </w:pPr>
            <w:r>
              <w:rPr>
                <w:rFonts w:hint="eastAsia"/>
              </w:rPr>
              <w:t>戊类</w:t>
            </w:r>
          </w:p>
        </w:tc>
        <w:tc>
          <w:tcPr>
            <w:tcW w:w="816" w:type="dxa"/>
            <w:shd w:val="clear" w:color="auto" w:fill="FFFFFF"/>
            <w:vAlign w:val="center"/>
          </w:tcPr>
          <w:p>
            <w:pPr>
              <w:pStyle w:val="79"/>
            </w:pPr>
            <w:r>
              <w:rPr>
                <w:rFonts w:hint="eastAsia"/>
              </w:rPr>
              <w:t>一级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1191" w:type="dxa"/>
            <w:shd w:val="clear" w:color="auto" w:fill="FFFFFF"/>
            <w:vAlign w:val="center"/>
          </w:tcPr>
          <w:p>
            <w:pPr>
              <w:pStyle w:val="79"/>
            </w:pPr>
            <w:r>
              <w:rPr>
                <w:rFonts w:hint="eastAsia"/>
              </w:rPr>
              <w:t>工程车库</w:t>
            </w:r>
          </w:p>
          <w:p>
            <w:pPr>
              <w:pStyle w:val="79"/>
            </w:pPr>
            <w:r>
              <w:rPr>
                <w:rFonts w:hint="eastAsia"/>
              </w:rPr>
              <w:t>（电力牵引）</w:t>
            </w:r>
          </w:p>
        </w:tc>
        <w:tc>
          <w:tcPr>
            <w:tcW w:w="3666" w:type="dxa"/>
            <w:shd w:val="clear" w:color="auto" w:fill="FFFFFF"/>
            <w:vAlign w:val="center"/>
          </w:tcPr>
          <w:p>
            <w:pPr>
              <w:pStyle w:val="79"/>
            </w:pPr>
            <w:r>
              <w:rPr>
                <w:rFonts w:hint="eastAsia"/>
              </w:rPr>
              <w:t>工程车停放、检修</w:t>
            </w:r>
          </w:p>
        </w:tc>
        <w:tc>
          <w:tcPr>
            <w:tcW w:w="1266" w:type="dxa"/>
            <w:shd w:val="clear" w:color="auto" w:fill="FFFFFF"/>
            <w:vAlign w:val="center"/>
          </w:tcPr>
          <w:p>
            <w:pPr>
              <w:pStyle w:val="79"/>
            </w:pPr>
            <w:r>
              <w:rPr>
                <w:rFonts w:hint="eastAsia"/>
              </w:rPr>
              <w:t>丁类</w:t>
            </w:r>
          </w:p>
        </w:tc>
        <w:tc>
          <w:tcPr>
            <w:tcW w:w="816" w:type="dxa"/>
            <w:shd w:val="clear" w:color="auto" w:fill="FFFFFF"/>
            <w:vAlign w:val="center"/>
          </w:tcPr>
          <w:p>
            <w:pPr>
              <w:pStyle w:val="79"/>
            </w:pPr>
            <w:r>
              <w:rPr>
                <w:rFonts w:hint="eastAsia"/>
              </w:rPr>
              <w:t>一级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1191" w:type="dxa"/>
            <w:shd w:val="clear" w:color="auto" w:fill="FFFFFF"/>
            <w:vAlign w:val="center"/>
          </w:tcPr>
          <w:p>
            <w:pPr>
              <w:pStyle w:val="79"/>
            </w:pPr>
            <w:r>
              <w:rPr>
                <w:rFonts w:hint="eastAsia"/>
              </w:rPr>
              <w:t>牵引降压所</w:t>
            </w:r>
          </w:p>
        </w:tc>
        <w:tc>
          <w:tcPr>
            <w:tcW w:w="3666" w:type="dxa"/>
            <w:shd w:val="clear" w:color="auto" w:fill="FFFFFF"/>
            <w:vAlign w:val="center"/>
          </w:tcPr>
          <w:p>
            <w:pPr>
              <w:pStyle w:val="79"/>
            </w:pPr>
            <w:r>
              <w:rPr>
                <w:rFonts w:hint="eastAsia"/>
              </w:rPr>
              <w:t>牵引供电及变配电</w:t>
            </w:r>
          </w:p>
        </w:tc>
        <w:tc>
          <w:tcPr>
            <w:tcW w:w="1266" w:type="dxa"/>
            <w:shd w:val="clear" w:color="auto" w:fill="FFFFFF"/>
            <w:vAlign w:val="center"/>
          </w:tcPr>
          <w:p>
            <w:pPr>
              <w:pStyle w:val="79"/>
            </w:pPr>
            <w:r>
              <w:rPr>
                <w:rFonts w:hint="eastAsia"/>
              </w:rPr>
              <w:t>丁类</w:t>
            </w:r>
          </w:p>
        </w:tc>
        <w:tc>
          <w:tcPr>
            <w:tcW w:w="816" w:type="dxa"/>
            <w:shd w:val="clear" w:color="auto" w:fill="FFFFFF"/>
            <w:vAlign w:val="center"/>
          </w:tcPr>
          <w:p>
            <w:pPr>
              <w:pStyle w:val="79"/>
            </w:pPr>
            <w:r>
              <w:rPr>
                <w:rFonts w:hint="eastAsia"/>
              </w:rPr>
              <w:t>一级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1191" w:type="dxa"/>
            <w:shd w:val="clear" w:color="auto" w:fill="FFFFFF"/>
            <w:vAlign w:val="center"/>
          </w:tcPr>
          <w:p>
            <w:pPr>
              <w:pStyle w:val="79"/>
            </w:pPr>
            <w:r>
              <w:rPr>
                <w:rFonts w:hint="eastAsia"/>
              </w:rPr>
              <w:t>试车线用房</w:t>
            </w:r>
          </w:p>
        </w:tc>
        <w:tc>
          <w:tcPr>
            <w:tcW w:w="3666" w:type="dxa"/>
            <w:shd w:val="clear" w:color="auto" w:fill="FFFFFF"/>
            <w:vAlign w:val="center"/>
          </w:tcPr>
          <w:p>
            <w:pPr>
              <w:pStyle w:val="79"/>
            </w:pPr>
            <w:r>
              <w:rPr>
                <w:rFonts w:hint="eastAsia"/>
              </w:rPr>
              <w:t>列车调试配套用房</w:t>
            </w:r>
          </w:p>
        </w:tc>
        <w:tc>
          <w:tcPr>
            <w:tcW w:w="1266" w:type="dxa"/>
            <w:shd w:val="clear" w:color="auto" w:fill="FFFFFF"/>
            <w:vAlign w:val="center"/>
          </w:tcPr>
          <w:p>
            <w:pPr>
              <w:pStyle w:val="79"/>
            </w:pPr>
            <w:r>
              <w:rPr>
                <w:rFonts w:hint="eastAsia"/>
              </w:rPr>
              <w:t>戊类</w:t>
            </w:r>
          </w:p>
        </w:tc>
        <w:tc>
          <w:tcPr>
            <w:tcW w:w="816" w:type="dxa"/>
            <w:shd w:val="clear" w:color="auto" w:fill="FFFFFF"/>
            <w:vAlign w:val="center"/>
          </w:tcPr>
          <w:p>
            <w:pPr>
              <w:pStyle w:val="79"/>
            </w:pPr>
            <w:r>
              <w:rPr>
                <w:rFonts w:hint="eastAsia"/>
              </w:rPr>
              <w:t>一级</w:t>
            </w:r>
          </w:p>
        </w:tc>
      </w:tr>
    </w:tbl>
    <w:p>
      <w:pPr>
        <w:pStyle w:val="53"/>
        <w:ind w:firstLine="480"/>
      </w:pPr>
      <w:r>
        <w:rPr>
          <w:rFonts w:hint="eastAsia"/>
        </w:rPr>
        <w:t>注：杂品库、劳保用房等丙类及以上库房不应设置在盖下；物资库内存放物均为难燃或不燃物品，同时满足可燃包装重量不大于存放物品本身重量的1/4或可燃包装体积不大于存放物品体积的1/2；表中未涉及的其余生产用房的火灾危险性分类按《建筑设计防火规范》GB50016的第3.1.1条执行</w:t>
      </w:r>
    </w:p>
    <w:p>
      <w:pPr>
        <w:spacing w:line="360" w:lineRule="auto"/>
        <w:ind w:firstLine="480"/>
      </w:pPr>
      <w:r>
        <w:rPr>
          <w:rFonts w:hint="eastAsia"/>
        </w:rPr>
        <w:t>提高钢筋混凝土构件的耐火极限通常采用以下方法：1）增加钢筋混凝土构件截面尺寸；2）增加钢筋混凝土构件的钢筋保护层厚度。根据《建筑设计防火规范》GB50016条文附录，可以确定：</w:t>
      </w:r>
    </w:p>
    <w:p>
      <w:pPr>
        <w:spacing w:line="360" w:lineRule="auto"/>
        <w:ind w:firstLine="480"/>
      </w:pPr>
      <w:r>
        <w:rPr>
          <w:rFonts w:hint="eastAsia"/>
        </w:rPr>
        <w:t>1</w:t>
      </w:r>
      <w:r>
        <w:t>80mm</w:t>
      </w:r>
      <w:r>
        <w:rPr>
          <w:rFonts w:hint="eastAsia"/>
        </w:rPr>
        <w:t>厚钢筋混凝土实体承重墙耐火极限可达3</w:t>
      </w:r>
      <w:r>
        <w:t>.5h</w:t>
      </w:r>
      <w:r>
        <w:rPr>
          <w:rFonts w:hint="eastAsia"/>
        </w:rPr>
        <w:t>，截面3</w:t>
      </w:r>
      <w:r>
        <w:t>00x300</w:t>
      </w:r>
      <w:r>
        <w:rPr>
          <w:rFonts w:hint="eastAsia"/>
        </w:rPr>
        <w:t>的钢筋混凝土柱耐火极限可达3</w:t>
      </w:r>
      <w:r>
        <w:t>.0h</w:t>
      </w:r>
      <w:r>
        <w:rPr>
          <w:rFonts w:hint="eastAsia"/>
        </w:rPr>
        <w:t>，说明竖向承重构件在截面足够的情况下，可不考虑混凝土保护层厚度的影响；</w:t>
      </w:r>
    </w:p>
    <w:p>
      <w:pPr>
        <w:spacing w:line="360" w:lineRule="auto"/>
        <w:ind w:firstLine="480"/>
        <w:rPr>
          <w:color w:val="FF0000"/>
        </w:rPr>
      </w:pPr>
      <w:r>
        <w:rPr>
          <w:rFonts w:hint="eastAsia"/>
        </w:rPr>
        <w:t>对于简支的钢筋混凝土梁，混凝土保护层厚度4</w:t>
      </w:r>
      <w:r>
        <w:t>0mm</w:t>
      </w:r>
      <w:r>
        <w:rPr>
          <w:rFonts w:hint="eastAsia"/>
        </w:rPr>
        <w:t>和5</w:t>
      </w:r>
      <w:r>
        <w:t>0mm</w:t>
      </w:r>
      <w:r>
        <w:rPr>
          <w:rFonts w:hint="eastAsia"/>
        </w:rPr>
        <w:t>对应的耐火极限分别为2</w:t>
      </w:r>
      <w:r>
        <w:t>.9h</w:t>
      </w:r>
      <w:r>
        <w:rPr>
          <w:rFonts w:hint="eastAsia"/>
        </w:rPr>
        <w:t>和3</w:t>
      </w:r>
      <w:r>
        <w:t>.5h</w:t>
      </w:r>
      <w:r>
        <w:rPr>
          <w:rFonts w:hint="eastAsia"/>
        </w:rPr>
        <w:t>，本标准偏于安全地取4</w:t>
      </w:r>
      <w:r>
        <w:t>5mm</w:t>
      </w:r>
      <w:r>
        <w:rPr>
          <w:rFonts w:hint="eastAsia"/>
        </w:rPr>
        <w:t>作为耐火极限3</w:t>
      </w:r>
      <w:r>
        <w:t>.0h</w:t>
      </w:r>
      <w:r>
        <w:rPr>
          <w:rFonts w:hint="eastAsia"/>
        </w:rPr>
        <w:t>的钢筋混凝土梁保护层厚度限值；</w:t>
      </w:r>
    </w:p>
    <w:p>
      <w:pPr>
        <w:spacing w:line="360" w:lineRule="auto"/>
        <w:ind w:firstLine="480"/>
      </w:pPr>
      <w:r>
        <w:rPr>
          <w:rFonts w:hint="eastAsia"/>
        </w:rPr>
        <w:t>对于现浇的整体式梁板，截面厚度不小于1</w:t>
      </w:r>
      <w:r>
        <w:t>20mm</w:t>
      </w:r>
      <w:r>
        <w:rPr>
          <w:rFonts w:hint="eastAsia"/>
        </w:rPr>
        <w:t>，混凝土保护层厚度1</w:t>
      </w:r>
      <w:r>
        <w:t>0mm</w:t>
      </w:r>
      <w:r>
        <w:rPr>
          <w:rFonts w:hint="eastAsia"/>
        </w:rPr>
        <w:t>和2</w:t>
      </w:r>
      <w:r>
        <w:t>0mm</w:t>
      </w:r>
      <w:r>
        <w:rPr>
          <w:rFonts w:hint="eastAsia"/>
        </w:rPr>
        <w:t>对应的耐火极限分别为2</w:t>
      </w:r>
      <w:r>
        <w:t>.50h</w:t>
      </w:r>
      <w:r>
        <w:rPr>
          <w:rFonts w:hint="eastAsia"/>
        </w:rPr>
        <w:t>和2</w:t>
      </w:r>
      <w:r>
        <w:t>.65h</w:t>
      </w:r>
      <w:r>
        <w:rPr>
          <w:rFonts w:hint="eastAsia"/>
        </w:rPr>
        <w:t>，本标准根据深圳地铁相关工程实践，偏于安全地取4</w:t>
      </w:r>
      <w:r>
        <w:t>5mm</w:t>
      </w:r>
      <w:r>
        <w:rPr>
          <w:rFonts w:hint="eastAsia"/>
        </w:rPr>
        <w:t>作为耐火极限3</w:t>
      </w:r>
      <w:r>
        <w:t>.0h</w:t>
      </w:r>
      <w:r>
        <w:rPr>
          <w:rFonts w:hint="eastAsia"/>
        </w:rPr>
        <w:t>的钢筋混凝土板保护层厚度限值，当有可靠工程依据时，可适当减小楼板的混凝土保护层厚度。</w:t>
      </w:r>
    </w:p>
    <w:p>
      <w:pPr>
        <w:spacing w:line="360" w:lineRule="auto"/>
        <w:ind w:firstLine="480"/>
      </w:pPr>
      <w:r>
        <w:rPr>
          <w:rFonts w:hint="eastAsia"/>
        </w:rPr>
        <w:t>本条文主要目的是帮助上盖设计单位在进行设计预留或对盖下结构复核时，对下部结构构件的基本要求有一个了解，保证上盖开发后车辆基地结构仍满足结构安全的要求。</w:t>
      </w:r>
    </w:p>
    <w:bookmarkEnd w:id="0"/>
    <w:bookmarkEnd w:id="98"/>
    <w:p>
      <w:pPr>
        <w:pStyle w:val="3"/>
      </w:pPr>
      <w:bookmarkStart w:id="104" w:name="_Toc90922373"/>
      <w:r>
        <w:t xml:space="preserve">4.2  </w:t>
      </w:r>
      <w:r>
        <w:rPr>
          <w:rFonts w:hint="eastAsia"/>
        </w:rPr>
        <w:t>结构布置</w:t>
      </w:r>
      <w:bookmarkEnd w:id="104"/>
    </w:p>
    <w:p>
      <w:pPr>
        <w:adjustRightInd w:val="0"/>
        <w:snapToGrid w:val="0"/>
        <w:spacing w:line="360" w:lineRule="auto"/>
        <w:ind w:firstLine="482"/>
        <w:rPr>
          <w:rFonts w:hAnsi="宋体"/>
          <w:szCs w:val="21"/>
        </w:rPr>
      </w:pPr>
      <w:r>
        <w:rPr>
          <w:b/>
          <w:bCs/>
        </w:rPr>
        <w:t>4.2.1</w:t>
      </w:r>
      <w:r>
        <w:rPr>
          <w:rFonts w:hint="eastAsia" w:hAnsi="宋体"/>
          <w:szCs w:val="21"/>
        </w:rPr>
        <w:t>上盖建筑的</w:t>
      </w:r>
      <w:r>
        <w:rPr>
          <w:sz w:val="20"/>
          <w:szCs w:val="20"/>
        </w:rPr>
        <w:t>柱网、承</w:t>
      </w:r>
      <w:r>
        <w:rPr>
          <w:rFonts w:hint="eastAsia"/>
          <w:sz w:val="20"/>
          <w:szCs w:val="20"/>
        </w:rPr>
        <w:t>重</w:t>
      </w:r>
      <w:r>
        <w:rPr>
          <w:sz w:val="20"/>
          <w:szCs w:val="20"/>
        </w:rPr>
        <w:t>墙体</w:t>
      </w:r>
      <w:r>
        <w:rPr>
          <w:rFonts w:hint="eastAsia"/>
          <w:sz w:val="20"/>
          <w:szCs w:val="20"/>
        </w:rPr>
        <w:t>等</w:t>
      </w:r>
      <w:r>
        <w:rPr>
          <w:rFonts w:hint="eastAsia" w:hAnsi="宋体"/>
          <w:szCs w:val="21"/>
        </w:rPr>
        <w:t>结构抗侧力构件宜沿车辆基地柱网的两个主轴方向正交布置，上盖建筑直接落地的竖向构件布置应满足</w:t>
      </w:r>
      <w:r>
        <w:t>车辆基地的</w:t>
      </w:r>
      <w:r>
        <w:rPr>
          <w:rFonts w:hint="eastAsia"/>
        </w:rPr>
        <w:t>限界要求。</w:t>
      </w:r>
    </w:p>
    <w:p>
      <w:pPr>
        <w:widowControl/>
        <w:snapToGrid w:val="0"/>
        <w:spacing w:line="360" w:lineRule="auto"/>
        <w:ind w:firstLine="480"/>
        <w:rPr>
          <w:rFonts w:hAnsi="宋体"/>
          <w:szCs w:val="21"/>
        </w:rPr>
      </w:pPr>
      <w:r>
        <w:rPr>
          <w:rFonts w:hint="eastAsia" w:eastAsia="等线"/>
          <w:b/>
          <w:bCs/>
        </w:rPr>
        <w:t>[条文说明]</w:t>
      </w:r>
      <w:r>
        <w:rPr>
          <w:rFonts w:hint="eastAsia" w:hAnsi="宋体"/>
          <w:szCs w:val="21"/>
        </w:rPr>
        <w:t>对于常规采用梁式转换的上盖，当柱网与车辆基地斜交布置，会导致较多超过3次的结构转换，转换梁之间支承关系欠清晰，地震力传递复杂，施工困难。</w:t>
      </w:r>
    </w:p>
    <w:p>
      <w:pPr>
        <w:spacing w:line="360" w:lineRule="auto"/>
        <w:ind w:firstLine="480"/>
      </w:pPr>
      <w:r>
        <w:t>车辆基地是城市轨道交通车辆停放和检修的主要场所，上盖建筑的结构体系设计应以车辆基地的安全使用为前提条件。独立设置的结构柱、承重墙、高层建筑核心筒等盖板或上盖地坪上部结构不应伸入轨行区车辆安全行驶的限界范围内，不得影响车辆基地的使用功能和火灾工况下消防设施的正常使用。</w:t>
      </w:r>
      <w:r>
        <w:rPr>
          <w:rFonts w:hint="eastAsia"/>
        </w:rPr>
        <w:t>出入段线、试车线和咽喉区柱网应符合国家标准《地铁设计规范》GB 50157和行业标准《地铁限界标准》CJJ/T 96的有关规定。</w:t>
      </w:r>
    </w:p>
    <w:p>
      <w:pPr>
        <w:adjustRightInd w:val="0"/>
        <w:snapToGrid w:val="0"/>
        <w:spacing w:line="360" w:lineRule="auto"/>
        <w:ind w:firstLine="482"/>
        <w:rPr>
          <w:rFonts w:hAnsi="宋体"/>
        </w:rPr>
      </w:pPr>
      <w:r>
        <w:rPr>
          <w:b/>
          <w:kern w:val="0"/>
          <w:szCs w:val="21"/>
        </w:rPr>
        <w:t>4.2.2</w:t>
      </w:r>
      <w:r>
        <w:rPr>
          <w:rFonts w:hint="eastAsia" w:hAnsi="宋体"/>
        </w:rPr>
        <w:t>当车辆基地及其上盖建筑共同形成多塔结构时，各塔楼结构单元宜简单、规则，尽量减少</w:t>
      </w:r>
      <w:r>
        <w:rPr>
          <w:rFonts w:hint="eastAsia" w:hAnsi="宋体"/>
          <w:szCs w:val="21"/>
        </w:rPr>
        <w:t>《建筑抗震设计规范》</w:t>
      </w:r>
      <w:r>
        <w:rPr>
          <w:rFonts w:hint="eastAsia" w:hAnsi="宋体"/>
        </w:rPr>
        <w:t>GB50011和</w:t>
      </w:r>
      <w:r>
        <w:rPr>
          <w:rFonts w:hint="eastAsia" w:hAnsi="宋体"/>
          <w:szCs w:val="21"/>
        </w:rPr>
        <w:t>《高层建筑混凝土结构技术规程》</w:t>
      </w:r>
      <w:r>
        <w:rPr>
          <w:rFonts w:hint="eastAsia" w:hAnsi="宋体"/>
        </w:rPr>
        <w:t>JGJ3所列扭转、凹凸、楼板局部不连续等不规则项目，塔楼布置相对裙房宜对称、均匀。当塔楼偏置无法避免时，应采取有效措施，加强弱侧边跨结构，提高底盘整体的抗扭刚度。</w:t>
      </w:r>
    </w:p>
    <w:p>
      <w:pPr>
        <w:widowControl/>
        <w:snapToGrid w:val="0"/>
        <w:spacing w:line="360" w:lineRule="auto"/>
        <w:ind w:firstLine="480"/>
        <w:rPr>
          <w:rFonts w:hAnsi="宋体"/>
          <w:szCs w:val="21"/>
        </w:rPr>
      </w:pPr>
      <w:r>
        <w:rPr>
          <w:rFonts w:hint="eastAsia" w:eastAsia="等线"/>
          <w:b/>
          <w:bCs/>
        </w:rPr>
        <w:t>[条文说明]</w:t>
      </w:r>
      <w:r>
        <w:rPr>
          <w:rFonts w:hint="eastAsia" w:eastAsia="等线"/>
        </w:rPr>
        <w:t>车辆基地</w:t>
      </w:r>
      <w:r>
        <w:rPr>
          <w:rFonts w:hint="eastAsia" w:hAnsi="宋体"/>
          <w:szCs w:val="21"/>
        </w:rPr>
        <w:t>上盖建筑一般以车辆基地为大底盘，形成多塔结构，属于复杂高层建筑，其竖向布置存在较多不规则项目，减少平面不规则项目可以降低结构的复杂程度，提高项目的经济性及可靠性。</w:t>
      </w:r>
    </w:p>
    <w:p>
      <w:pPr>
        <w:widowControl/>
        <w:snapToGrid w:val="0"/>
        <w:spacing w:line="360" w:lineRule="auto"/>
        <w:ind w:firstLine="480"/>
        <w:rPr>
          <w:rFonts w:hAnsi="宋体"/>
          <w:szCs w:val="21"/>
        </w:rPr>
      </w:pPr>
      <w:r>
        <w:rPr>
          <w:rFonts w:hint="eastAsia" w:hAnsi="宋体"/>
          <w:szCs w:val="21"/>
        </w:rPr>
        <w:t>这里的“塔楼偏置”是指《超限高层建筑工程抗震设防审查技术要点》（建质[2</w:t>
      </w:r>
      <w:r>
        <w:rPr>
          <w:rFonts w:hAnsi="宋体"/>
          <w:szCs w:val="21"/>
        </w:rPr>
        <w:t>015]67</w:t>
      </w:r>
      <w:r>
        <w:rPr>
          <w:rFonts w:hint="eastAsia" w:hAnsi="宋体"/>
          <w:szCs w:val="21"/>
        </w:rPr>
        <w:t>号）表3</w:t>
      </w:r>
      <w:r>
        <w:rPr>
          <w:rFonts w:hAnsi="宋体"/>
          <w:szCs w:val="21"/>
        </w:rPr>
        <w:t>a</w:t>
      </w:r>
      <w:r>
        <w:rPr>
          <w:rFonts w:hint="eastAsia" w:hAnsi="宋体"/>
          <w:szCs w:val="21"/>
        </w:rPr>
        <w:t>所列不规则项目“单塔或多塔与大底盘的质心偏心距大于底盘相应边长2</w:t>
      </w:r>
      <w:r>
        <w:rPr>
          <w:rFonts w:hAnsi="宋体"/>
          <w:szCs w:val="21"/>
        </w:rPr>
        <w:t>0%”</w:t>
      </w:r>
      <w:r>
        <w:rPr>
          <w:rFonts w:hint="eastAsia" w:hAnsi="宋体"/>
          <w:szCs w:val="21"/>
        </w:rPr>
        <w:t>，在车辆基地的咽喉区设计中表现得比较突出，设计中需特别留意，采取有效措施，并加以充分论证。</w:t>
      </w:r>
    </w:p>
    <w:p>
      <w:pPr>
        <w:snapToGrid w:val="0"/>
        <w:spacing w:line="360" w:lineRule="auto"/>
        <w:ind w:firstLine="482"/>
        <w:rPr>
          <w:rFonts w:hAnsi="宋体"/>
        </w:rPr>
      </w:pPr>
      <w:r>
        <w:rPr>
          <w:rFonts w:hAnsi="宋体"/>
          <w:b/>
        </w:rPr>
        <w:t>4</w:t>
      </w:r>
      <w:r>
        <w:rPr>
          <w:rFonts w:hint="eastAsia" w:hAnsi="宋体"/>
          <w:b/>
        </w:rPr>
        <w:t>.</w:t>
      </w:r>
      <w:r>
        <w:rPr>
          <w:rFonts w:hAnsi="宋体"/>
          <w:b/>
        </w:rPr>
        <w:t>2.3</w:t>
      </w:r>
      <w:r>
        <w:rPr>
          <w:rFonts w:hint="eastAsia" w:hAnsi="宋体"/>
        </w:rPr>
        <w:t>车辆</w:t>
      </w:r>
      <w:r>
        <w:rPr>
          <w:rFonts w:hAnsi="宋体"/>
        </w:rPr>
        <w:t>基地盖体</w:t>
      </w:r>
      <w:r>
        <w:rPr>
          <w:rFonts w:hint="eastAsia" w:hAnsi="宋体"/>
        </w:rPr>
        <w:t>超长时应进行温度应力分析，在考虑了温度应力对结构的不利影响，并采用有效的构造、施工措施减小温度和混凝土收缩对结构影响的条件下，结构伸缩缝间距可控制在2</w:t>
      </w:r>
      <w:r>
        <w:rPr>
          <w:rFonts w:hAnsi="宋体"/>
        </w:rPr>
        <w:t>00</w:t>
      </w:r>
      <w:r>
        <w:rPr>
          <w:rFonts w:hint="eastAsia" w:hAnsi="宋体"/>
        </w:rPr>
        <w:t>米左右，不宜超过2</w:t>
      </w:r>
      <w:r>
        <w:rPr>
          <w:rFonts w:hAnsi="宋体"/>
        </w:rPr>
        <w:t>50</w:t>
      </w:r>
      <w:r>
        <w:rPr>
          <w:rFonts w:hint="eastAsia" w:hAnsi="宋体"/>
        </w:rPr>
        <w:t>米。</w:t>
      </w:r>
    </w:p>
    <w:p>
      <w:pPr>
        <w:widowControl/>
        <w:snapToGrid w:val="0"/>
        <w:spacing w:line="360" w:lineRule="auto"/>
        <w:ind w:firstLine="480"/>
        <w:rPr>
          <w:rFonts w:hAnsi="宋体"/>
          <w:szCs w:val="21"/>
        </w:rPr>
      </w:pPr>
      <w:r>
        <w:rPr>
          <w:rFonts w:hint="eastAsia" w:eastAsia="等线"/>
          <w:b/>
          <w:bCs/>
        </w:rPr>
        <w:t>[条文说明]</w:t>
      </w:r>
      <w:r>
        <w:rPr>
          <w:rFonts w:hint="eastAsia" w:hAnsi="宋体"/>
          <w:szCs w:val="21"/>
        </w:rPr>
        <w:t xml:space="preserve"> 减少车辆基地的结构伸缩缝可以</w:t>
      </w:r>
      <w:r>
        <w:rPr>
          <w:rFonts w:hAnsi="宋体"/>
          <w:szCs w:val="21"/>
        </w:rPr>
        <w:t>增加车辆</w:t>
      </w:r>
      <w:r>
        <w:rPr>
          <w:rFonts w:hint="eastAsia" w:hAnsi="宋体"/>
          <w:szCs w:val="21"/>
        </w:rPr>
        <w:t>基地平面整体性和盖下结构的侧向刚度。同时为上盖建筑灵活布置预留空间，是解决车辆基地屋面防水和防火最有效的手段。</w:t>
      </w:r>
    </w:p>
    <w:p>
      <w:pPr>
        <w:widowControl/>
        <w:snapToGrid w:val="0"/>
        <w:spacing w:line="360" w:lineRule="auto"/>
        <w:ind w:firstLine="480"/>
        <w:rPr>
          <w:rFonts w:hAnsi="宋体"/>
          <w:szCs w:val="21"/>
        </w:rPr>
      </w:pPr>
      <w:r>
        <w:rPr>
          <w:rFonts w:hint="eastAsia" w:hAnsi="宋体"/>
          <w:szCs w:val="21"/>
        </w:rPr>
        <w:t>根据《广州地铁十三五新线超长盖板设计标准专题研究报告》的研究成果，综合上盖建筑使用，车辆基地防火、防水要求，抗震设计及经济性等多项因素，建议结构伸缩缝以200m左右为限。对于上盖塔楼高度相差悬殊，布置不均匀、不对称的区域，允许减小结构伸缩缝间距，使每个塔楼形成一个独立的结构单元。同时，对结构伸缩缝间距加大后引起的结构问题应进行针对性的加强。</w:t>
      </w:r>
    </w:p>
    <w:p>
      <w:pPr>
        <w:spacing w:line="360" w:lineRule="auto"/>
        <w:ind w:firstLine="482"/>
        <w:rPr>
          <w:rFonts w:hAnsi="宋体"/>
        </w:rPr>
      </w:pPr>
      <w:r>
        <w:rPr>
          <w:b/>
          <w:kern w:val="0"/>
          <w:szCs w:val="21"/>
        </w:rPr>
        <w:t>4.2.4</w:t>
      </w:r>
      <w:r>
        <w:rPr>
          <w:rFonts w:hAnsi="宋体"/>
        </w:rPr>
        <w:t>上盖建筑与车辆基地竖向构件</w:t>
      </w:r>
      <w:r>
        <w:rPr>
          <w:rFonts w:hint="eastAsia" w:hAnsi="宋体"/>
        </w:rPr>
        <w:t>宜</w:t>
      </w:r>
      <w:r>
        <w:rPr>
          <w:rFonts w:hAnsi="宋体"/>
        </w:rPr>
        <w:t>上、下连续贯通；当上部</w:t>
      </w:r>
      <w:r>
        <w:rPr>
          <w:rFonts w:hint="eastAsia" w:hAnsi="宋体"/>
        </w:rPr>
        <w:t>竖</w:t>
      </w:r>
      <w:r>
        <w:rPr>
          <w:rFonts w:hAnsi="宋体"/>
        </w:rPr>
        <w:t>向构件无法贯通落地时，可</w:t>
      </w:r>
      <w:r>
        <w:rPr>
          <w:rFonts w:hint="eastAsia" w:hAnsi="宋体"/>
        </w:rPr>
        <w:t>利用盖板</w:t>
      </w:r>
      <w:r>
        <w:rPr>
          <w:rFonts w:hAnsi="宋体"/>
        </w:rPr>
        <w:t>或上盖</w:t>
      </w:r>
      <w:r>
        <w:rPr>
          <w:rFonts w:hint="eastAsia" w:hAnsi="宋体"/>
        </w:rPr>
        <w:t>地坪</w:t>
      </w:r>
      <w:r>
        <w:rPr>
          <w:rFonts w:hAnsi="宋体"/>
        </w:rPr>
        <w:t>设置结构转换层</w:t>
      </w:r>
      <w:r>
        <w:rPr>
          <w:rFonts w:hint="eastAsia" w:hAnsi="宋体"/>
        </w:rPr>
        <w:t>。转换层不宜设置在上盖地坪的上层塔楼内。转换构件宜采用梁式转换，也可采用厚板转换或其它转换体系，电梯间剪力墙筒体的尺寸及布置宜与盖下柱网布置相适配。</w:t>
      </w:r>
      <w:r>
        <w:rPr>
          <w:rFonts w:hint="eastAsia"/>
        </w:rPr>
        <w:t>上盖建筑的电梯基坑底面标高不宜低于盖板框架梁底。</w:t>
      </w:r>
    </w:p>
    <w:p>
      <w:pPr>
        <w:widowControl/>
        <w:snapToGrid w:val="0"/>
        <w:spacing w:line="360" w:lineRule="auto"/>
        <w:ind w:firstLine="480"/>
        <w:rPr>
          <w:rFonts w:hAnsi="宋体"/>
          <w:szCs w:val="21"/>
        </w:rPr>
      </w:pPr>
      <w:r>
        <w:rPr>
          <w:rFonts w:hint="eastAsia" w:eastAsia="等线"/>
          <w:b/>
          <w:bCs/>
        </w:rPr>
        <w:t>[条文说明]</w:t>
      </w:r>
      <w:r>
        <w:rPr>
          <w:rFonts w:hint="eastAsia" w:ascii="宋体" w:hAnsi="宋体"/>
        </w:rPr>
        <w:t>部分框支</w:t>
      </w:r>
      <w:r>
        <w:rPr>
          <w:rFonts w:hint="eastAsia" w:hAnsi="宋体"/>
          <w:szCs w:val="21"/>
        </w:rPr>
        <w:t>剪力墙结构在车辆基地上盖建筑设计中仍较多使用，当上盖建筑设计条件明确时，应尽量保证有较多的楼电梯间或核心筒剪力墙落地，形成部分框支剪力墙结构。</w:t>
      </w:r>
    </w:p>
    <w:p>
      <w:pPr>
        <w:widowControl/>
        <w:snapToGrid w:val="0"/>
        <w:spacing w:line="360" w:lineRule="auto"/>
        <w:ind w:firstLine="480"/>
        <w:rPr>
          <w:rFonts w:hAnsi="宋体"/>
          <w:szCs w:val="21"/>
        </w:rPr>
      </w:pPr>
      <w:r>
        <w:rPr>
          <w:rFonts w:hint="eastAsia" w:hAnsi="宋体"/>
          <w:szCs w:val="21"/>
        </w:rPr>
        <w:t>当转换层设置在上盖地坪的上层塔楼时，存在立面收进，框支底盘偏小、高振型对结构内力影响更为突出等抗震不利条件，当无法避免时，应充分论证，采取更加有效的抗震措施。</w:t>
      </w:r>
    </w:p>
    <w:p>
      <w:pPr>
        <w:widowControl/>
        <w:snapToGrid w:val="0"/>
        <w:spacing w:line="360" w:lineRule="auto"/>
        <w:ind w:firstLine="480"/>
        <w:rPr>
          <w:rFonts w:hAnsi="宋体"/>
          <w:szCs w:val="21"/>
        </w:rPr>
      </w:pPr>
      <w:r>
        <w:rPr>
          <w:rFonts w:hint="eastAsia" w:hAnsi="宋体"/>
          <w:szCs w:val="21"/>
        </w:rPr>
        <w:t>对于全框支剪力墙的结构布置，通过对昂鹅、塘朗等车辆基地上盖研究发现，昂鹅车辆基地运用库标准柱网为12m × 8m，塘朗车辆基地列检库标准柱网为13.3m × 6m，研究住宅户型核心筒尺寸约为12.65m × 8.9m，如果可以调整车辆基地柱网尺寸或核心筒尺寸，比较容易实现核心筒剪力墙的直接转换，避免诸如核心筒等重要剪力墙二次转换、框支柱中柱上方设置门洞等不利结构布置，使转换层传力更直接，受力更合理。</w:t>
      </w:r>
    </w:p>
    <w:p>
      <w:pPr>
        <w:snapToGrid w:val="0"/>
        <w:spacing w:line="360" w:lineRule="auto"/>
        <w:ind w:firstLine="482"/>
        <w:rPr>
          <w:rFonts w:hAnsi="宋体"/>
          <w:szCs w:val="21"/>
        </w:rPr>
      </w:pPr>
      <w:bookmarkStart w:id="105" w:name="_Hlk86922678"/>
      <w:r>
        <w:rPr>
          <w:b/>
          <w:bCs/>
          <w:szCs w:val="32"/>
        </w:rPr>
        <w:t>4.2.5</w:t>
      </w:r>
      <w:r>
        <w:rPr>
          <w:rFonts w:hint="eastAsia" w:hAnsi="宋体"/>
          <w:szCs w:val="21"/>
        </w:rPr>
        <w:t>抗震设计时，车辆基地及上盖高层建筑相邻楼层的侧向刚度比可采用JGJ3规定的方法进行计算和判别，车辆基地与其相邻上层结构的侧向刚度比值不宜小于0</w:t>
      </w:r>
      <w:r>
        <w:rPr>
          <w:rFonts w:hAnsi="宋体"/>
          <w:szCs w:val="21"/>
        </w:rPr>
        <w:t>.35</w:t>
      </w:r>
      <w:r>
        <w:rPr>
          <w:rFonts w:hint="eastAsia" w:hAnsi="宋体"/>
          <w:szCs w:val="21"/>
        </w:rPr>
        <w:t>。</w:t>
      </w:r>
    </w:p>
    <w:p>
      <w:pPr>
        <w:snapToGrid w:val="0"/>
        <w:spacing w:line="360" w:lineRule="auto"/>
        <w:ind w:firstLine="480"/>
        <w:jc w:val="left"/>
      </w:pPr>
      <w:r>
        <w:rPr>
          <w:rFonts w:hint="eastAsia" w:eastAsia="等线"/>
          <w:b/>
          <w:bCs/>
        </w:rPr>
        <w:t>[条文说明]</w:t>
      </w:r>
      <w:bookmarkEnd w:id="105"/>
      <w:r>
        <w:rPr>
          <w:rFonts w:hint="eastAsia"/>
        </w:rPr>
        <w:t>刚度的分布影响结构层间弹性位移分布，在以小震设计为主的线弹性设计中，将刚度比控制在相对规则的范围内，可以简化抗震设计。对于车辆基地上盖建筑这类复杂高层建筑，首、二层刚度突变无法避免，存在明显的软弱层，按</w:t>
      </w:r>
      <w:r>
        <w:rPr>
          <w:rFonts w:hint="eastAsia" w:hAnsi="宋体"/>
          <w:szCs w:val="21"/>
        </w:rPr>
        <w:t>《高层建筑混凝土结构技术规程》</w:t>
      </w:r>
      <w:r>
        <w:rPr>
          <w:rFonts w:hint="eastAsia"/>
        </w:rPr>
        <w:t>JGJ</w:t>
      </w:r>
      <w:r>
        <w:t>3</w:t>
      </w:r>
      <w:r>
        <w:rPr>
          <w:rFonts w:hint="eastAsia"/>
        </w:rPr>
        <w:t>相关规定，结构薄弱层在地震作用标准值作用下的剪力应乘以1</w:t>
      </w:r>
      <w:r>
        <w:t>.25</w:t>
      </w:r>
      <w:r>
        <w:rPr>
          <w:rFonts w:hint="eastAsia"/>
        </w:rPr>
        <w:t>的增大系数。车辆基地上盖建筑结构设计表明，按此放大系数进行小震设计很难实现预期的性能目标，按</w:t>
      </w:r>
      <w:r>
        <w:rPr>
          <w:rFonts w:hint="eastAsia" w:hAnsi="宋体"/>
          <w:szCs w:val="21"/>
        </w:rPr>
        <w:t>《建筑抗震设计规范》</w:t>
      </w:r>
      <w:r>
        <w:rPr>
          <w:rFonts w:hint="eastAsia"/>
        </w:rPr>
        <w:t>GB50011和</w:t>
      </w:r>
      <w:r>
        <w:rPr>
          <w:rFonts w:hint="eastAsia" w:hAnsi="宋体"/>
          <w:szCs w:val="21"/>
        </w:rPr>
        <w:t>《高层建筑混凝土结构技术规程》</w:t>
      </w:r>
      <w:r>
        <w:rPr>
          <w:rFonts w:hint="eastAsia"/>
        </w:rPr>
        <w:t>JGJ3严格控制车辆基地与其相邻上层结构的侧向刚度比意义不是很大。</w:t>
      </w:r>
    </w:p>
    <w:p>
      <w:pPr>
        <w:snapToGrid w:val="0"/>
        <w:spacing w:line="360" w:lineRule="auto"/>
        <w:ind w:firstLine="480"/>
        <w:jc w:val="left"/>
      </w:pPr>
      <w:r>
        <w:rPr>
          <w:rFonts w:hint="eastAsia"/>
        </w:rPr>
        <w:t>本标准保留侧向刚度比限值要求是为了与</w:t>
      </w:r>
      <w:r>
        <w:rPr>
          <w:rFonts w:hint="eastAsia" w:hAnsi="宋体"/>
          <w:szCs w:val="21"/>
        </w:rPr>
        <w:t>《建筑抗震设计规范》</w:t>
      </w:r>
      <w:r>
        <w:rPr>
          <w:rFonts w:hint="eastAsia"/>
        </w:rPr>
        <w:t>GB50011、</w:t>
      </w:r>
      <w:r>
        <w:rPr>
          <w:rFonts w:hint="eastAsia" w:hAnsi="宋体"/>
          <w:szCs w:val="21"/>
        </w:rPr>
        <w:t>《高层建筑混凝土结构技术规程》</w:t>
      </w:r>
      <w:r>
        <w:rPr>
          <w:rFonts w:hint="eastAsia"/>
        </w:rPr>
        <w:t>JGJ3及超限高层建筑工程抗震设防审查接轨。深圳、广州已完成的多个车辆基地上盖项目的超限审查或预审表明，在裙房层间弹性位移角不超过1</w:t>
      </w:r>
      <w:r>
        <w:t>/2000</w:t>
      </w:r>
      <w:r>
        <w:rPr>
          <w:rFonts w:hint="eastAsia"/>
        </w:rPr>
        <w:t>，弹塑性位移角不超过1</w:t>
      </w:r>
      <w:r>
        <w:t>/200</w:t>
      </w:r>
      <w:r>
        <w:rPr>
          <w:rFonts w:hint="eastAsia"/>
        </w:rPr>
        <w:t>的条件下，各项目首、二层侧向刚度比均不小于0</w:t>
      </w:r>
      <w:r>
        <w:t>.35</w:t>
      </w:r>
      <w:r>
        <w:rPr>
          <w:rFonts w:hint="eastAsia"/>
        </w:rPr>
        <w:t>，同时可以满足上盖开发强度提升的要求。为避免出现更加严重的刚度不规则方案，有必要对首、二层刚度比限值适当约束，本标准建议取值0</w:t>
      </w:r>
      <w:r>
        <w:t>.35</w:t>
      </w:r>
      <w:r>
        <w:rPr>
          <w:rFonts w:hint="eastAsia"/>
        </w:rPr>
        <w:t>。</w:t>
      </w:r>
    </w:p>
    <w:p>
      <w:pPr>
        <w:snapToGrid w:val="0"/>
        <w:spacing w:line="360" w:lineRule="auto"/>
        <w:ind w:firstLine="482"/>
        <w:rPr>
          <w:rFonts w:hAnsi="宋体"/>
        </w:rPr>
      </w:pPr>
      <w:bookmarkStart w:id="106" w:name="_Hlk86922791"/>
      <w:r>
        <w:rPr>
          <w:b/>
          <w:bCs/>
          <w:szCs w:val="32"/>
        </w:rPr>
        <w:t>4.2.6</w:t>
      </w:r>
      <w:r>
        <w:rPr>
          <w:rFonts w:hint="eastAsia" w:hAnsi="宋体"/>
        </w:rPr>
        <w:t>当车辆基地楼层既是薄弱层又是软弱层时，其楼层受剪承载力不宜小于相邻上一楼层的</w:t>
      </w:r>
      <w:r>
        <w:rPr>
          <w:rFonts w:hAnsi="宋体"/>
        </w:rPr>
        <w:t>40</w:t>
      </w:r>
      <w:r>
        <w:rPr>
          <w:rFonts w:hint="eastAsia" w:hAnsi="宋体"/>
        </w:rPr>
        <w:t>%。</w:t>
      </w:r>
    </w:p>
    <w:p>
      <w:pPr>
        <w:widowControl/>
        <w:snapToGrid w:val="0"/>
        <w:spacing w:line="360" w:lineRule="auto"/>
        <w:ind w:firstLine="480"/>
        <w:rPr>
          <w:rFonts w:hAnsi="宋体"/>
          <w:szCs w:val="21"/>
        </w:rPr>
      </w:pPr>
      <w:r>
        <w:rPr>
          <w:rFonts w:hint="eastAsia" w:eastAsia="等线"/>
          <w:b/>
          <w:bCs/>
        </w:rPr>
        <w:t>[条文说明]</w:t>
      </w:r>
      <w:r>
        <w:rPr>
          <w:rFonts w:hint="eastAsia" w:hAnsi="宋体"/>
          <w:szCs w:val="21"/>
        </w:rPr>
        <w:t>车辆基地首层较高，计算高度通常大于相邻上层层高的1</w:t>
      </w:r>
      <w:r>
        <w:rPr>
          <w:rFonts w:hAnsi="宋体"/>
          <w:szCs w:val="21"/>
        </w:rPr>
        <w:t>.5</w:t>
      </w:r>
      <w:r>
        <w:rPr>
          <w:rFonts w:hint="eastAsia" w:hAnsi="宋体"/>
          <w:szCs w:val="21"/>
        </w:rPr>
        <w:t>倍，易出现侧向刚度不规则。当结构在二层转换时，框支柱的配筋通常会直接延伸至首层，易出现受剪承载力小于相邻上一楼层的6</w:t>
      </w:r>
      <w:r>
        <w:rPr>
          <w:rFonts w:hAnsi="宋体"/>
          <w:szCs w:val="21"/>
        </w:rPr>
        <w:t>5%</w:t>
      </w:r>
      <w:r>
        <w:rPr>
          <w:rFonts w:hint="eastAsia" w:hAnsi="宋体"/>
          <w:szCs w:val="21"/>
        </w:rPr>
        <w:t>的情形，导致软弱层和薄弱层出现在同一楼层，对结构抗震很不利。</w:t>
      </w:r>
    </w:p>
    <w:p>
      <w:pPr>
        <w:widowControl/>
        <w:snapToGrid w:val="0"/>
        <w:spacing w:line="360" w:lineRule="auto"/>
        <w:ind w:firstLine="420" w:firstLineChars="200"/>
        <w:rPr>
          <w:rFonts w:hAnsi="宋体"/>
          <w:szCs w:val="21"/>
        </w:rPr>
      </w:pPr>
      <w:r>
        <w:rPr>
          <w:rFonts w:hint="eastAsia" w:hAnsi="宋体"/>
          <w:szCs w:val="21"/>
        </w:rPr>
        <w:t>由于薄弱层是根据楼层受剪承载力来判断的，而规范提供的判别相邻楼层的抗剪承载力之比，仅反映了相邻楼层抗剪能力的相对强弱，并不能直接反映结构抗剪最薄弱的楼层位置。魏琏在《中国建筑结构抗震设计方法发展若干问题分析》中指出，薄弱层可通过楼层屈服强度系数来进行判断，重点验算该系数最小的楼层（部位）和相对较小的楼层，一般不超过2～3处，进行弹塑性位移验算。屈服强度系数可由按实际配筋计算的楼层剪力与按照大震等效弹性计算出楼层剪力相比得到。从设计实践可以发现，按照现行规范的小震设计方法，经过各种计算放大及构造加强措施等设计的车辆基地全框支结构，其底层及转换层的屈强系数均大于1</w:t>
      </w:r>
      <w:r>
        <w:rPr>
          <w:rFonts w:hAnsi="宋体"/>
          <w:szCs w:val="21"/>
        </w:rPr>
        <w:t>.5</w:t>
      </w:r>
      <w:r>
        <w:rPr>
          <w:rFonts w:hint="eastAsia" w:hAnsi="宋体"/>
          <w:szCs w:val="21"/>
        </w:rPr>
        <w:t>，且大于转换层以上的各楼层，并非最薄弱楼层。近年广州大学、同济大学所做多个全框支剪力墙结构振动台试验证明，当将裙房弹塑性位移角不超过1</w:t>
      </w:r>
      <w:r>
        <w:rPr>
          <w:rFonts w:hAnsi="宋体"/>
          <w:szCs w:val="21"/>
        </w:rPr>
        <w:t>/200</w:t>
      </w:r>
      <w:r>
        <w:rPr>
          <w:rFonts w:hint="eastAsia" w:hAnsi="宋体"/>
          <w:szCs w:val="21"/>
        </w:rPr>
        <w:t>时，以“底部框支框架晚于转换层以上部分结构屈服”为屈服机制的全框支转换结构不会发生底框薄弱层破坏。</w:t>
      </w:r>
    </w:p>
    <w:p>
      <w:pPr>
        <w:snapToGrid w:val="0"/>
        <w:spacing w:line="360" w:lineRule="auto"/>
        <w:ind w:firstLine="480"/>
        <w:jc w:val="left"/>
      </w:pPr>
      <w:r>
        <w:rPr>
          <w:rFonts w:hint="eastAsia"/>
        </w:rPr>
        <w:t>为了与</w:t>
      </w:r>
      <w:r>
        <w:rPr>
          <w:rFonts w:hint="eastAsia" w:hAnsi="宋体"/>
          <w:szCs w:val="21"/>
        </w:rPr>
        <w:t>《建筑抗震设计规范》</w:t>
      </w:r>
      <w:r>
        <w:rPr>
          <w:rFonts w:hint="eastAsia"/>
        </w:rPr>
        <w:t>GB50011、《</w:t>
      </w:r>
      <w:r>
        <w:rPr>
          <w:rFonts w:hint="eastAsia" w:hAnsi="宋体"/>
          <w:szCs w:val="21"/>
        </w:rPr>
        <w:t>高层建筑混凝土结构技术规程》</w:t>
      </w:r>
      <w:r>
        <w:rPr>
          <w:rFonts w:hint="eastAsia"/>
        </w:rPr>
        <w:t>JGJ3及超限高层建筑工程抗震设防审查接轨，本标准保留薄弱层受剪承载力限值要求。深圳、广州已完成的多个车辆基地上盖项目的超限审查或预审表明，在裙房层间弹性位移角不超过1</w:t>
      </w:r>
      <w:r>
        <w:t>/2000</w:t>
      </w:r>
      <w:r>
        <w:rPr>
          <w:rFonts w:hint="eastAsia"/>
        </w:rPr>
        <w:t>，弹塑性位移角不超过1</w:t>
      </w:r>
      <w:r>
        <w:t>/200</w:t>
      </w:r>
      <w:r>
        <w:rPr>
          <w:rFonts w:hint="eastAsia"/>
        </w:rPr>
        <w:t>的条件下，各项目首层受剪承载力一般不小于相邻上一楼层的4</w:t>
      </w:r>
      <w:r>
        <w:t>0%</w:t>
      </w:r>
      <w:r>
        <w:rPr>
          <w:rFonts w:hint="eastAsia"/>
        </w:rPr>
        <w:t>，同时可以满足上盖开发强度提升的要求。为避免出现更加严重的薄弱层方案，有必要对首层与相邻上一楼层受剪承载力比值加以约束，本标准建议取值4</w:t>
      </w:r>
      <w:r>
        <w:t>0%</w:t>
      </w:r>
      <w:r>
        <w:rPr>
          <w:rFonts w:hint="eastAsia"/>
        </w:rPr>
        <w:t>。</w:t>
      </w:r>
    </w:p>
    <w:p>
      <w:pPr>
        <w:snapToGrid w:val="0"/>
        <w:spacing w:line="360" w:lineRule="auto"/>
        <w:ind w:firstLine="482"/>
        <w:rPr>
          <w:rFonts w:hAnsi="宋体"/>
        </w:rPr>
      </w:pPr>
      <w:r>
        <w:rPr>
          <w:b/>
          <w:bCs/>
          <w:szCs w:val="32"/>
        </w:rPr>
        <w:t>4.2.7</w:t>
      </w:r>
      <w:r>
        <w:rPr>
          <w:rFonts w:hint="eastAsia" w:hAnsi="宋体"/>
        </w:rPr>
        <w:t>软弱层和薄弱层在同一楼层时，薄弱层地震剪力宜根据</w:t>
      </w:r>
      <w:r>
        <w:rPr>
          <w:rFonts w:hAnsi="宋体"/>
        </w:rPr>
        <w:t>性能目标</w:t>
      </w:r>
      <w:r>
        <w:rPr>
          <w:rFonts w:hint="eastAsia" w:hAnsi="宋体"/>
        </w:rPr>
        <w:t>要求</w:t>
      </w:r>
      <w:r>
        <w:rPr>
          <w:rFonts w:hAnsi="宋体"/>
        </w:rPr>
        <w:t>乘以相应的放大系数</w:t>
      </w:r>
      <w:r>
        <w:rPr>
          <w:rFonts w:hint="eastAsia" w:hAnsi="宋体"/>
        </w:rPr>
        <w:t>。</w:t>
      </w:r>
    </w:p>
    <w:p>
      <w:pPr>
        <w:adjustRightInd w:val="0"/>
        <w:snapToGrid w:val="0"/>
        <w:spacing w:line="360" w:lineRule="auto"/>
        <w:ind w:firstLine="482"/>
        <w:rPr>
          <w:rFonts w:hAnsi="宋体"/>
          <w:szCs w:val="21"/>
        </w:rPr>
      </w:pPr>
      <w:r>
        <w:rPr>
          <w:rFonts w:hint="eastAsia" w:eastAsia="等线"/>
          <w:b/>
          <w:bCs/>
        </w:rPr>
        <w:t>[条文说明]</w:t>
      </w:r>
      <w:r>
        <w:rPr>
          <w:rFonts w:hint="eastAsia" w:hAnsi="宋体"/>
          <w:szCs w:val="21"/>
        </w:rPr>
        <w:t>车辆基地首层极易出现软弱层与薄弱层同层的情况，按《高层建筑混凝土结构技术规程》JGJ3规定的薄弱层地震剪力放大系数偏小，按《建筑抗震设计规范》GB50011的设计原则，需要乘以更大的放大系数。由于</w:t>
      </w:r>
      <w:r>
        <w:rPr>
          <w:rFonts w:hAnsi="宋体"/>
          <w:szCs w:val="21"/>
        </w:rPr>
        <w:t>这类结构需要进行性能设计，而采用中震弹性或中震不屈服设计</w:t>
      </w:r>
      <w:r>
        <w:rPr>
          <w:rFonts w:hint="eastAsia" w:hAnsi="宋体"/>
          <w:szCs w:val="21"/>
        </w:rPr>
        <w:t>时，</w:t>
      </w:r>
      <w:r>
        <w:rPr>
          <w:rFonts w:hAnsi="宋体"/>
          <w:szCs w:val="21"/>
        </w:rPr>
        <w:t>材料强度</w:t>
      </w:r>
      <w:r>
        <w:rPr>
          <w:rFonts w:hint="eastAsia" w:hAnsi="宋体"/>
          <w:szCs w:val="21"/>
        </w:rPr>
        <w:t>取值、荷载分项系数取值均</w:t>
      </w:r>
      <w:r>
        <w:rPr>
          <w:rFonts w:hAnsi="宋体"/>
          <w:szCs w:val="21"/>
        </w:rPr>
        <w:t>有所不同，</w:t>
      </w:r>
      <w:r>
        <w:rPr>
          <w:rFonts w:hint="eastAsia" w:hAnsi="宋体"/>
          <w:szCs w:val="21"/>
        </w:rPr>
        <w:t>因此</w:t>
      </w:r>
      <w:r>
        <w:rPr>
          <w:rFonts w:hAnsi="宋体"/>
          <w:szCs w:val="21"/>
        </w:rPr>
        <w:t>需采用不同的地震作用放大系数。</w:t>
      </w:r>
      <w:r>
        <w:rPr>
          <w:rFonts w:hint="eastAsia" w:hAnsi="宋体"/>
          <w:szCs w:val="21"/>
        </w:rPr>
        <w:t>此外</w:t>
      </w:r>
      <w:r>
        <w:rPr>
          <w:rFonts w:hAnsi="宋体"/>
          <w:szCs w:val="21"/>
        </w:rPr>
        <w:t>，</w:t>
      </w:r>
      <w:r>
        <w:rPr>
          <w:rFonts w:hint="eastAsia" w:hAnsi="宋体"/>
          <w:szCs w:val="21"/>
        </w:rPr>
        <w:t>《建筑抗震设计规范》GB50011</w:t>
      </w:r>
      <w:r>
        <w:rPr>
          <w:rFonts w:hAnsi="宋体"/>
          <w:szCs w:val="21"/>
        </w:rPr>
        <w:t>和</w:t>
      </w:r>
      <w:r>
        <w:rPr>
          <w:rFonts w:hint="eastAsia" w:hAnsi="宋体"/>
          <w:szCs w:val="21"/>
        </w:rPr>
        <w:t>《高层建筑混凝土结构技术规程》</w:t>
      </w:r>
      <w:r>
        <w:rPr>
          <w:rFonts w:hAnsi="宋体"/>
          <w:szCs w:val="21"/>
        </w:rPr>
        <w:t>JGJ3</w:t>
      </w:r>
      <w:r>
        <w:rPr>
          <w:rFonts w:hint="eastAsia" w:hAnsi="宋体"/>
          <w:szCs w:val="21"/>
        </w:rPr>
        <w:t>通过</w:t>
      </w:r>
      <w:r>
        <w:rPr>
          <w:rFonts w:hAnsi="宋体"/>
          <w:szCs w:val="21"/>
        </w:rPr>
        <w:t>“</w:t>
      </w:r>
      <w:r>
        <w:rPr>
          <w:rFonts w:hint="eastAsia" w:hAnsi="宋体"/>
          <w:szCs w:val="21"/>
        </w:rPr>
        <w:t>强剪弱弯</w:t>
      </w:r>
      <w:r>
        <w:rPr>
          <w:rFonts w:hAnsi="宋体"/>
          <w:szCs w:val="21"/>
        </w:rPr>
        <w:t>”</w:t>
      </w:r>
      <w:r>
        <w:rPr>
          <w:rFonts w:hint="eastAsia" w:hAnsi="宋体"/>
          <w:szCs w:val="21"/>
        </w:rPr>
        <w:t>、</w:t>
      </w:r>
      <w:r>
        <w:rPr>
          <w:rFonts w:hAnsi="宋体"/>
          <w:szCs w:val="21"/>
        </w:rPr>
        <w:t>“</w:t>
      </w:r>
      <w:r>
        <w:rPr>
          <w:rFonts w:hint="eastAsia" w:hAnsi="宋体"/>
          <w:szCs w:val="21"/>
        </w:rPr>
        <w:t>强柱弱梁</w:t>
      </w:r>
      <w:r>
        <w:rPr>
          <w:rFonts w:hAnsi="宋体"/>
          <w:szCs w:val="21"/>
        </w:rPr>
        <w:t>”</w:t>
      </w:r>
      <w:r>
        <w:rPr>
          <w:rFonts w:hint="eastAsia" w:hAnsi="宋体"/>
          <w:szCs w:val="21"/>
        </w:rPr>
        <w:t>内力调整及</w:t>
      </w:r>
      <w:r>
        <w:rPr>
          <w:rFonts w:hAnsi="宋体"/>
          <w:szCs w:val="21"/>
        </w:rPr>
        <w:t>抗震构造</w:t>
      </w:r>
      <w:r>
        <w:rPr>
          <w:rFonts w:hint="eastAsia" w:hAnsi="宋体"/>
          <w:szCs w:val="21"/>
        </w:rPr>
        <w:t>加强</w:t>
      </w:r>
      <w:r>
        <w:rPr>
          <w:rFonts w:hAnsi="宋体"/>
          <w:szCs w:val="21"/>
        </w:rPr>
        <w:t>措施</w:t>
      </w:r>
      <w:r>
        <w:rPr>
          <w:rFonts w:hint="eastAsia" w:hAnsi="宋体"/>
          <w:szCs w:val="21"/>
        </w:rPr>
        <w:t>已</w:t>
      </w:r>
      <w:r>
        <w:rPr>
          <w:rFonts w:hAnsi="宋体"/>
          <w:szCs w:val="21"/>
        </w:rPr>
        <w:t>使</w:t>
      </w:r>
      <w:r>
        <w:rPr>
          <w:rFonts w:hint="eastAsia" w:hAnsi="宋体"/>
          <w:szCs w:val="21"/>
        </w:rPr>
        <w:t>框架（</w:t>
      </w:r>
      <w:r>
        <w:rPr>
          <w:rFonts w:hAnsi="宋体"/>
          <w:szCs w:val="21"/>
        </w:rPr>
        <w:t>框支</w:t>
      </w:r>
      <w:r>
        <w:rPr>
          <w:rFonts w:hint="eastAsia" w:hAnsi="宋体"/>
          <w:szCs w:val="21"/>
        </w:rPr>
        <w:t>）柱</w:t>
      </w:r>
      <w:r>
        <w:rPr>
          <w:rFonts w:hAnsi="宋体"/>
          <w:szCs w:val="21"/>
        </w:rPr>
        <w:t>承载力超强，但是</w:t>
      </w:r>
      <w:r>
        <w:rPr>
          <w:rFonts w:hint="eastAsia" w:hAnsi="宋体"/>
          <w:szCs w:val="21"/>
        </w:rPr>
        <w:t>框架</w:t>
      </w:r>
      <w:r>
        <w:rPr>
          <w:rFonts w:hAnsi="宋体"/>
          <w:szCs w:val="21"/>
        </w:rPr>
        <w:t>梁的抗弯能力</w:t>
      </w:r>
      <w:r>
        <w:rPr>
          <w:rFonts w:hint="eastAsia" w:hAnsi="宋体"/>
          <w:szCs w:val="21"/>
        </w:rPr>
        <w:t>没有</w:t>
      </w:r>
      <w:r>
        <w:rPr>
          <w:rFonts w:hAnsi="宋体"/>
          <w:szCs w:val="21"/>
        </w:rPr>
        <w:t>调整，</w:t>
      </w:r>
      <w:r>
        <w:rPr>
          <w:rFonts w:hint="eastAsia" w:hAnsi="宋体"/>
          <w:szCs w:val="21"/>
        </w:rPr>
        <w:t>一般</w:t>
      </w:r>
      <w:r>
        <w:rPr>
          <w:rFonts w:hAnsi="宋体"/>
          <w:szCs w:val="21"/>
        </w:rPr>
        <w:t>的地震作用放大系数</w:t>
      </w:r>
      <w:r>
        <w:rPr>
          <w:rFonts w:hint="eastAsia" w:hAnsi="宋体"/>
          <w:szCs w:val="21"/>
        </w:rPr>
        <w:t>对</w:t>
      </w:r>
      <w:r>
        <w:rPr>
          <w:rFonts w:hAnsi="宋体"/>
          <w:szCs w:val="21"/>
        </w:rPr>
        <w:t>柱配筋无影响，对梁</w:t>
      </w:r>
      <w:r>
        <w:rPr>
          <w:rFonts w:hint="eastAsia" w:hAnsi="宋体"/>
          <w:szCs w:val="21"/>
        </w:rPr>
        <w:t>受弯</w:t>
      </w:r>
      <w:r>
        <w:rPr>
          <w:rFonts w:hAnsi="宋体"/>
          <w:szCs w:val="21"/>
        </w:rPr>
        <w:t>配筋</w:t>
      </w:r>
      <w:r>
        <w:rPr>
          <w:rFonts w:hint="eastAsia" w:hAnsi="宋体"/>
          <w:szCs w:val="21"/>
        </w:rPr>
        <w:t>来说</w:t>
      </w:r>
      <w:r>
        <w:rPr>
          <w:rFonts w:hAnsi="宋体"/>
          <w:szCs w:val="21"/>
        </w:rPr>
        <w:t>又不足，需要将内力放大到与中震作用相当，才能满足性能设计的要求。</w:t>
      </w:r>
      <w:r>
        <w:rPr>
          <w:rFonts w:hint="eastAsia" w:hAnsi="宋体"/>
          <w:szCs w:val="21"/>
        </w:rPr>
        <w:t>本条可作为方案设计阶段控制构件截面的一个参考条件。</w:t>
      </w:r>
      <w:bookmarkEnd w:id="106"/>
      <w:bookmarkStart w:id="107" w:name="_Hlk86922998"/>
    </w:p>
    <w:p>
      <w:pPr>
        <w:adjustRightInd w:val="0"/>
        <w:snapToGrid w:val="0"/>
        <w:spacing w:line="360" w:lineRule="auto"/>
        <w:ind w:firstLine="482"/>
        <w:rPr>
          <w:rFonts w:hAnsi="宋体"/>
          <w:szCs w:val="21"/>
        </w:rPr>
      </w:pPr>
      <w:r>
        <w:rPr>
          <w:rFonts w:hAnsi="宋体"/>
          <w:b/>
        </w:rPr>
        <w:t>4</w:t>
      </w:r>
      <w:r>
        <w:rPr>
          <w:rFonts w:hint="eastAsia" w:hAnsi="宋体"/>
          <w:b/>
        </w:rPr>
        <w:t>.</w:t>
      </w:r>
      <w:r>
        <w:rPr>
          <w:rFonts w:hAnsi="宋体"/>
          <w:b/>
        </w:rPr>
        <w:t>2.8</w:t>
      </w:r>
      <w:r>
        <w:rPr>
          <w:rFonts w:hint="eastAsia" w:hAnsi="宋体"/>
        </w:rPr>
        <w:t>车辆基地上盖全框支托墙转换层上、下结构等效侧向刚度比宜以单塔计算结果为准，</w:t>
      </w:r>
      <w:r>
        <w:rPr>
          <w:rFonts w:hint="eastAsia" w:hAnsi="宋体"/>
          <w:szCs w:val="21"/>
        </w:rPr>
        <w:t>宜采用图</w:t>
      </w:r>
      <w:r>
        <w:rPr>
          <w:rFonts w:hAnsi="宋体"/>
          <w:szCs w:val="21"/>
        </w:rPr>
        <w:t>4.2.8</w:t>
      </w:r>
      <w:r>
        <w:rPr>
          <w:rFonts w:hint="eastAsia" w:hAnsi="宋体"/>
          <w:szCs w:val="21"/>
        </w:rPr>
        <w:t>所示的计算模型按下列公式计算转换层下部结构与上部结构的等效侧向刚度比</w:t>
      </w:r>
      <m:oMath>
        <m:sSub>
          <m:sSubPr>
            <m:ctrlPr>
              <w:rPr>
                <w:rFonts w:ascii="Cambria Math" w:hAnsi="Cambria Math"/>
                <w:i/>
              </w:rPr>
            </m:ctrlPr>
          </m:sSubPr>
          <m:e>
            <m:r>
              <w:rPr>
                <w:rFonts w:ascii="Cambria Math" w:hAnsi="Cambria Math"/>
              </w:rPr>
              <m:t xml:space="preserve">γ</m:t>
            </m:r>
          </m:e>
          <m:sub>
            <m:r>
              <w:rPr>
                <w:rFonts w:ascii="Cambria Math" w:hAnsi="Cambria Math"/>
              </w:rPr>
              <m:t xml:space="preserve">e2</m:t>
            </m:r>
          </m:sub>
        </m:sSub>
      </m:oMath>
      <w:r>
        <w:rPr>
          <w:rFonts w:hint="eastAsia" w:hAnsi="宋体"/>
          <w:szCs w:val="21"/>
        </w:rPr>
        <w:t>。</w:t>
      </w:r>
      <m:oMath>
        <m:sSub>
          <m:sSubPr>
            <m:ctrlPr>
              <w:rPr>
                <w:rFonts w:ascii="Cambria Math" w:hAnsi="Cambria Math"/>
                <w:i/>
              </w:rPr>
            </m:ctrlPr>
          </m:sSubPr>
          <m:e>
            <m:r>
              <w:rPr>
                <w:rFonts w:ascii="Cambria Math" w:hAnsi="Cambria Math"/>
              </w:rPr>
              <m:t xml:space="preserve">γ</m:t>
            </m:r>
          </m:e>
          <m:sub>
            <m:r>
              <w:rPr>
                <w:rFonts w:ascii="Cambria Math" w:hAnsi="Cambria Math"/>
              </w:rPr>
              <m:t xml:space="preserve">e2</m:t>
            </m:r>
          </m:sub>
        </m:sSub>
      </m:oMath>
      <w:r>
        <w:rPr>
          <w:rFonts w:hint="eastAsia" w:hAnsi="宋体"/>
          <w:szCs w:val="21"/>
        </w:rPr>
        <w:t>宜接近1，不应小于0.</w:t>
      </w:r>
      <w:r>
        <w:rPr>
          <w:rFonts w:hAnsi="宋体"/>
          <w:szCs w:val="21"/>
        </w:rPr>
        <w:t>8</w:t>
      </w:r>
      <w:r>
        <w:rPr>
          <w:rFonts w:hint="eastAsia" w:hAnsi="宋体"/>
          <w:szCs w:val="21"/>
        </w:rPr>
        <w:t>。</w:t>
      </w:r>
    </w:p>
    <w:p>
      <w:pPr>
        <w:snapToGrid w:val="0"/>
        <w:spacing w:line="360" w:lineRule="auto"/>
        <w:ind w:left="482" w:firstLine="480"/>
        <w:jc w:val="center"/>
      </w:pPr>
      <m:oMath>
        <m:sSub>
          <m:sSubPr>
            <m:ctrlPr>
              <w:rPr>
                <w:rFonts w:ascii="Cambria Math" w:hAnsi="Cambria Math"/>
                <w:i/>
              </w:rPr>
            </m:ctrlPr>
          </m:sSubPr>
          <m:e>
            <m:r>
              <w:rPr>
                <w:rFonts w:ascii="Cambria Math" w:hAnsi="Cambria Math"/>
              </w:rPr>
              <m:t xml:space="preserve">γ</m:t>
            </m:r>
          </m:e>
          <m:sub>
            <m:r>
              <w:rPr>
                <w:rFonts w:ascii="Cambria Math" w:hAnsi="Cambria Math"/>
              </w:rPr>
              <m:t xml:space="preserve">e2</m:t>
            </m:r>
          </m:sub>
        </m:sSub>
        <m:r>
          <w:rPr>
            <w:rFonts w:ascii="Cambria Math" w:hAnsi="Cambria Math"/>
          </w:rPr>
          <m:t xml:space="preserve">=</m:t>
        </m:r>
        <m:f>
          <m:fPr>
            <m:ctrlPr>
              <w:rPr>
                <w:rFonts w:ascii="Cambria Math" w:hAnsi="Cambria Math"/>
                <w:i/>
              </w:rPr>
            </m:ctrlPr>
          </m:fPr>
          <m:num>
            <m:sSub>
              <m:sSubPr>
                <m:ctrlPr>
                  <w:rPr>
                    <w:rFonts w:ascii="Cambria Math" w:hAnsi="Cambria Math"/>
                    <w:i/>
                  </w:rPr>
                </m:ctrlPr>
              </m:sSubPr>
              <m:e>
                <m:r>
                  <w:rPr>
                    <w:rFonts w:ascii="Cambria Math" w:hAnsi="Cambria Math"/>
                  </w:rPr>
                  <m:t xml:space="preserve">∆</m:t>
                </m:r>
              </m:e>
              <m:sub>
                <m:r>
                  <w:rPr>
                    <w:rFonts w:ascii="Cambria Math" w:hAnsi="Cambria Math"/>
                  </w:rPr>
                  <m:t xml:space="preserve">2</m:t>
                </m:r>
              </m:sub>
            </m:sSub>
            <m:sSub>
              <m:sSubPr>
                <m:ctrlPr>
                  <w:rPr>
                    <w:rFonts w:ascii="Cambria Math" w:hAnsi="Cambria Math"/>
                    <w:i/>
                  </w:rPr>
                </m:ctrlPr>
              </m:sSubPr>
              <m:e>
                <m:r>
                  <w:rPr>
                    <w:rFonts w:ascii="Cambria Math" w:hAnsi="Cambria Math"/>
                  </w:rPr>
                  <m:t xml:space="preserve">H</m:t>
                </m:r>
              </m:e>
              <m:sub>
                <m:r>
                  <w:rPr>
                    <w:rFonts w:ascii="Cambria Math" w:hAnsi="Cambria Math"/>
                  </w:rPr>
                  <m:t xml:space="preserve">1</m:t>
                </m:r>
              </m:sub>
            </m:sSub>
          </m:num>
          <m:den>
            <m:sSub>
              <m:sSubPr>
                <m:ctrlPr>
                  <w:rPr>
                    <w:rFonts w:ascii="Cambria Math" w:hAnsi="Cambria Math"/>
                    <w:i/>
                  </w:rPr>
                </m:ctrlPr>
              </m:sSubPr>
              <m:e>
                <m:r>
                  <w:rPr>
                    <w:rFonts w:ascii="Cambria Math" w:hAnsi="Cambria Math"/>
                  </w:rPr>
                  <m:t xml:space="preserve">∆</m:t>
                </m:r>
              </m:e>
              <m:sub>
                <m:r>
                  <w:rPr>
                    <w:rFonts w:ascii="Cambria Math" w:hAnsi="Cambria Math"/>
                  </w:rPr>
                  <m:t xml:space="preserve">1</m:t>
                </m:r>
              </m:sub>
            </m:sSub>
            <m:sSub>
              <m:sSubPr>
                <m:ctrlPr>
                  <w:rPr>
                    <w:rFonts w:ascii="Cambria Math" w:hAnsi="Cambria Math"/>
                    <w:i/>
                  </w:rPr>
                </m:ctrlPr>
              </m:sSubPr>
              <m:e>
                <m:r>
                  <w:rPr>
                    <w:rFonts w:ascii="Cambria Math" w:hAnsi="Cambria Math"/>
                  </w:rPr>
                  <m:t xml:space="preserve">H</m:t>
                </m:r>
              </m:e>
              <m:sub>
                <m:r>
                  <w:rPr>
                    <w:rFonts w:ascii="Cambria Math" w:hAnsi="Cambria Math"/>
                  </w:rPr>
                  <m:t xml:space="preserve">2</m:t>
                </m:r>
              </m:sub>
            </m:sSub>
          </m:den>
        </m:f>
      </m:oMath>
      <w:r>
        <w:rPr>
          <w:rFonts w:hint="eastAsia"/>
        </w:rPr>
        <w:t xml:space="preserve"> </w:t>
      </w:r>
      <w:r>
        <w:t xml:space="preserve">     </w:t>
      </w:r>
      <w:r>
        <w:rPr>
          <w:rFonts w:hint="eastAsia"/>
        </w:rPr>
        <w:t>（4</w:t>
      </w:r>
      <w:r>
        <w:t>.2.8</w:t>
      </w:r>
      <w:r>
        <w:rPr>
          <w:rFonts w:hint="eastAsia"/>
        </w:rPr>
        <w:t>）</w:t>
      </w:r>
    </w:p>
    <w:p>
      <w:pPr>
        <w:adjustRightInd w:val="0"/>
        <w:snapToGrid w:val="0"/>
        <w:spacing w:line="288" w:lineRule="auto"/>
        <w:ind w:firstLine="480"/>
        <w:jc w:val="left"/>
        <w:rPr>
          <w:rFonts w:hAnsi="宋体"/>
        </w:rPr>
      </w:pPr>
      <w:r>
        <w:rPr>
          <w:rFonts w:hint="eastAsia" w:hAnsi="宋体"/>
        </w:rPr>
        <w:t>式中</w:t>
      </w:r>
      <m:oMath>
        <m:sSub>
          <m:sSubPr>
            <m:ctrlPr>
              <w:rPr>
                <w:rFonts w:ascii="Cambria Math" w:hAnsi="Cambria Math"/>
                <w:i/>
              </w:rPr>
            </m:ctrlPr>
          </m:sSubPr>
          <m:e>
            <m:r>
              <w:rPr>
                <w:rFonts w:ascii="Cambria Math" w:hAnsi="Cambria Math"/>
              </w:rPr>
              <m:t xml:space="preserve">γ</m:t>
            </m:r>
          </m:e>
          <m:sub>
            <m:r>
              <w:rPr>
                <w:rFonts w:ascii="Cambria Math" w:hAnsi="Cambria Math"/>
              </w:rPr>
              <m:t xml:space="preserve">e2</m:t>
            </m:r>
          </m:sub>
        </m:sSub>
      </m:oMath>
      <w:r>
        <w:rPr>
          <w:rFonts w:ascii="宋体" w:hAnsi="宋体"/>
          <w:szCs w:val="28"/>
        </w:rPr>
        <w:t>——</w:t>
      </w:r>
      <w:r>
        <w:rPr>
          <w:rFonts w:hint="eastAsia" w:hAnsi="宋体"/>
        </w:rPr>
        <w:t>转换层下部结构与上部结构的等效侧向刚度比；</w:t>
      </w:r>
    </w:p>
    <w:p>
      <w:pPr>
        <w:adjustRightInd w:val="0"/>
        <w:snapToGrid w:val="0"/>
        <w:spacing w:line="288" w:lineRule="auto"/>
        <w:ind w:firstLine="480"/>
        <w:jc w:val="left"/>
        <w:rPr>
          <w:rFonts w:hAnsi="宋体"/>
        </w:rPr>
      </w:pPr>
      <w:r>
        <w:rPr>
          <w:rFonts w:hint="eastAsia" w:hAnsi="宋体"/>
        </w:rPr>
        <w:t xml:space="preserve"> </w:t>
      </w:r>
      <w:r>
        <w:rPr>
          <w:rFonts w:hAnsi="宋体"/>
        </w:rPr>
        <w:t xml:space="preserve">   </w:t>
      </w:r>
      <m:oMath>
        <m:sSub>
          <m:sSubPr>
            <m:ctrlPr>
              <w:rPr>
                <w:rFonts w:ascii="Cambria Math" w:hAnsi="Cambria Math"/>
                <w:i/>
              </w:rPr>
            </m:ctrlPr>
          </m:sSubPr>
          <m:e>
            <m:r>
              <w:rPr>
                <w:rFonts w:ascii="Cambria Math" w:hAnsi="Cambria Math"/>
              </w:rPr>
              <m:t xml:space="preserve">H</m:t>
            </m:r>
          </m:e>
          <m:sub>
            <m:r>
              <w:rPr>
                <w:rFonts w:ascii="Cambria Math" w:hAnsi="Cambria Math"/>
              </w:rPr>
              <m:t xml:space="preserve">1</m:t>
            </m:r>
          </m:sub>
        </m:sSub>
      </m:oMath>
      <w:r>
        <w:rPr>
          <w:rFonts w:ascii="宋体" w:hAnsi="宋体"/>
          <w:szCs w:val="28"/>
        </w:rPr>
        <w:t>——</w:t>
      </w:r>
      <w:r>
        <w:rPr>
          <w:rFonts w:hint="eastAsia" w:hAnsi="宋体"/>
        </w:rPr>
        <w:t>转换层及其下部结构（</w:t>
      </w:r>
      <w:r>
        <w:rPr>
          <w:rFonts w:hAnsi="宋体"/>
        </w:rPr>
        <w:t>计算模型1</w:t>
      </w:r>
      <w:r>
        <w:rPr>
          <w:rFonts w:hint="eastAsia" w:hAnsi="宋体"/>
        </w:rPr>
        <w:t>）</w:t>
      </w:r>
      <w:r>
        <w:rPr>
          <w:rFonts w:hAnsi="宋体"/>
        </w:rPr>
        <w:t>的高度</w:t>
      </w:r>
      <w:r>
        <w:rPr>
          <w:rFonts w:hint="eastAsia" w:hAnsi="宋体"/>
        </w:rPr>
        <w:t>；</w:t>
      </w:r>
    </w:p>
    <w:p>
      <w:pPr>
        <w:adjustRightInd w:val="0"/>
        <w:snapToGrid w:val="0"/>
        <w:spacing w:line="288" w:lineRule="auto"/>
        <w:ind w:firstLine="480"/>
        <w:jc w:val="left"/>
        <w:rPr>
          <w:rFonts w:hAnsi="宋体"/>
        </w:rPr>
      </w:pPr>
      <w:r>
        <w:rPr>
          <w:rFonts w:hint="eastAsia" w:hAnsi="宋体"/>
        </w:rPr>
        <w:t xml:space="preserve"> </w:t>
      </w:r>
      <w:r>
        <w:rPr>
          <w:rFonts w:hAnsi="宋体"/>
        </w:rPr>
        <w:t xml:space="preserve">   </w:t>
      </w:r>
      <m:oMath>
        <m:sSub>
          <m:sSubPr>
            <m:ctrlPr>
              <w:rPr>
                <w:rFonts w:ascii="Cambria Math" w:hAnsi="Cambria Math"/>
                <w:i/>
              </w:rPr>
            </m:ctrlPr>
          </m:sSubPr>
          <m:e>
            <m:r>
              <w:rPr>
                <w:rFonts w:ascii="Cambria Math" w:hAnsi="Cambria Math"/>
              </w:rPr>
              <m:t xml:space="preserve">∆</m:t>
            </m:r>
          </m:e>
          <m:sub>
            <m:r>
              <w:rPr>
                <w:rFonts w:ascii="Cambria Math" w:hAnsi="Cambria Math"/>
              </w:rPr>
              <m:t xml:space="preserve">1</m:t>
            </m:r>
          </m:sub>
        </m:sSub>
      </m:oMath>
      <w:r>
        <w:rPr>
          <w:rFonts w:ascii="宋体" w:hAnsi="宋体"/>
          <w:szCs w:val="28"/>
        </w:rPr>
        <w:t>——</w:t>
      </w:r>
      <w:r>
        <w:rPr>
          <w:rFonts w:hint="eastAsia" w:hAnsi="宋体"/>
        </w:rPr>
        <w:t>转换层及其下部结构（</w:t>
      </w:r>
      <w:r>
        <w:rPr>
          <w:rFonts w:hAnsi="宋体"/>
        </w:rPr>
        <w:t>计算模型1</w:t>
      </w:r>
      <w:r>
        <w:rPr>
          <w:rFonts w:hint="eastAsia" w:hAnsi="宋体"/>
        </w:rPr>
        <w:t>）</w:t>
      </w:r>
      <w:r>
        <w:rPr>
          <w:rFonts w:hAnsi="宋体"/>
        </w:rPr>
        <w:t>的顶部在单位</w:t>
      </w:r>
      <w:r>
        <w:rPr>
          <w:rFonts w:hint="eastAsia" w:hAnsi="宋体"/>
        </w:rPr>
        <w:t>水平力作用下的侧向位移；</w:t>
      </w:r>
    </w:p>
    <w:p>
      <w:pPr>
        <w:adjustRightInd w:val="0"/>
        <w:snapToGrid w:val="0"/>
        <w:spacing w:line="288" w:lineRule="auto"/>
        <w:ind w:firstLine="480"/>
        <w:jc w:val="left"/>
        <w:rPr>
          <w:rFonts w:hAnsi="宋体"/>
        </w:rPr>
      </w:pPr>
      <w:r>
        <w:rPr>
          <w:rFonts w:hAnsi="宋体"/>
        </w:rPr>
        <w:t xml:space="preserve">    </w:t>
      </w:r>
      <m:oMath>
        <m:sSub>
          <m:sSubPr>
            <m:ctrlPr>
              <w:rPr>
                <w:rFonts w:ascii="Cambria Math" w:hAnsi="Cambria Math"/>
                <w:i/>
              </w:rPr>
            </m:ctrlPr>
          </m:sSubPr>
          <m:e>
            <m:r>
              <w:rPr>
                <w:rFonts w:ascii="Cambria Math" w:hAnsi="Cambria Math"/>
              </w:rPr>
              <m:t xml:space="preserve">H</m:t>
            </m:r>
          </m:e>
          <m:sub>
            <m:r>
              <w:rPr>
                <w:rFonts w:ascii="Cambria Math" w:hAnsi="Cambria Math"/>
              </w:rPr>
              <m:t xml:space="preserve">2</m:t>
            </m:r>
          </m:sub>
        </m:sSub>
      </m:oMath>
      <w:r>
        <w:rPr>
          <w:rFonts w:ascii="宋体" w:hAnsi="宋体"/>
          <w:szCs w:val="28"/>
        </w:rPr>
        <w:t>——</w:t>
      </w:r>
      <w:r>
        <w:rPr>
          <w:rFonts w:hint="eastAsia" w:hAnsi="宋体"/>
        </w:rPr>
        <w:t>转换层上部若干层结构（</w:t>
      </w:r>
      <w:r>
        <w:rPr>
          <w:rFonts w:hAnsi="宋体"/>
        </w:rPr>
        <w:t>计算模型2</w:t>
      </w:r>
      <w:r>
        <w:rPr>
          <w:rFonts w:hint="eastAsia" w:hAnsi="宋体"/>
        </w:rPr>
        <w:t>）</w:t>
      </w:r>
      <w:r>
        <w:rPr>
          <w:rFonts w:hAnsi="宋体"/>
        </w:rPr>
        <w:t>的高度，其</w:t>
      </w:r>
      <w:r>
        <w:rPr>
          <w:rFonts w:hint="eastAsia" w:hAnsi="宋体"/>
        </w:rPr>
        <w:t>值应等于或接近计算模型</w:t>
      </w:r>
      <w:r>
        <w:rPr>
          <w:rFonts w:hAnsi="宋体"/>
        </w:rPr>
        <w:t>1的高度</w:t>
      </w:r>
      <m:oMath>
        <m:sSub>
          <m:sSubPr>
            <m:ctrlPr>
              <w:rPr>
                <w:rFonts w:ascii="Cambria Math" w:hAnsi="Cambria Math"/>
                <w:i/>
              </w:rPr>
            </m:ctrlPr>
          </m:sSubPr>
          <m:e>
            <m:r>
              <w:rPr>
                <w:rFonts w:ascii="Cambria Math" w:hAnsi="Cambria Math"/>
              </w:rPr>
              <m:t xml:space="preserve">H</m:t>
            </m:r>
          </m:e>
          <m:sub>
            <m:r>
              <w:rPr>
                <w:rFonts w:ascii="Cambria Math" w:hAnsi="Cambria Math"/>
              </w:rPr>
              <m:t xml:space="preserve">1</m:t>
            </m:r>
          </m:sub>
        </m:sSub>
      </m:oMath>
      <w:r>
        <w:rPr>
          <w:rFonts w:hint="eastAsia" w:hAnsi="宋体"/>
        </w:rPr>
        <w:t>，</w:t>
      </w:r>
      <w:r>
        <w:rPr>
          <w:rFonts w:hAnsi="宋体"/>
        </w:rPr>
        <w:t>且不大于</w:t>
      </w:r>
      <m:oMath>
        <m:sSub>
          <m:sSubPr>
            <m:ctrlPr>
              <w:rPr>
                <w:rFonts w:ascii="Cambria Math" w:hAnsi="Cambria Math"/>
                <w:i/>
              </w:rPr>
            </m:ctrlPr>
          </m:sSubPr>
          <m:e>
            <m:r>
              <w:rPr>
                <w:rFonts w:ascii="Cambria Math" w:hAnsi="Cambria Math"/>
              </w:rPr>
              <m:t xml:space="preserve">H</m:t>
            </m:r>
          </m:e>
          <m:sub>
            <m:r>
              <w:rPr>
                <w:rFonts w:ascii="Cambria Math" w:hAnsi="Cambria Math"/>
              </w:rPr>
              <m:t xml:space="preserve">1</m:t>
            </m:r>
          </m:sub>
        </m:sSub>
      </m:oMath>
      <w:r>
        <w:rPr>
          <w:rFonts w:hint="eastAsia" w:hAnsi="宋体"/>
        </w:rPr>
        <w:t>；</w:t>
      </w:r>
    </w:p>
    <w:p>
      <w:pPr>
        <w:adjustRightInd w:val="0"/>
        <w:snapToGrid w:val="0"/>
        <w:spacing w:line="288" w:lineRule="auto"/>
        <w:ind w:firstLine="480"/>
        <w:jc w:val="left"/>
        <w:rPr>
          <w:rFonts w:hAnsi="宋体"/>
        </w:rPr>
      </w:pPr>
      <w:r>
        <w:rPr>
          <w:rFonts w:hAnsi="宋体"/>
        </w:rPr>
        <w:t xml:space="preserve">    </w:t>
      </w:r>
      <m:oMath>
        <m:sSub>
          <m:sSubPr>
            <m:ctrlPr>
              <w:rPr>
                <w:rFonts w:ascii="Cambria Math" w:hAnsi="Cambria Math"/>
                <w:i/>
              </w:rPr>
            </m:ctrlPr>
          </m:sSubPr>
          <m:e>
            <m:r>
              <w:rPr>
                <w:rFonts w:ascii="Cambria Math" w:hAnsi="Cambria Math"/>
              </w:rPr>
              <m:t xml:space="preserve">∆</m:t>
            </m:r>
          </m:e>
          <m:sub>
            <m:r>
              <w:rPr>
                <w:rFonts w:ascii="Cambria Math" w:hAnsi="Cambria Math"/>
              </w:rPr>
              <m:t xml:space="preserve">2</m:t>
            </m:r>
          </m:sub>
        </m:sSub>
      </m:oMath>
      <w:r>
        <w:rPr>
          <w:rFonts w:ascii="宋体" w:hAnsi="宋体"/>
          <w:szCs w:val="28"/>
        </w:rPr>
        <w:t>——</w:t>
      </w:r>
      <w:r>
        <w:rPr>
          <w:rFonts w:hint="eastAsia" w:hAnsi="宋体"/>
        </w:rPr>
        <w:t>转换层上部若干层结构（</w:t>
      </w:r>
      <w:r>
        <w:rPr>
          <w:rFonts w:hAnsi="宋体"/>
        </w:rPr>
        <w:t>计算模型2</w:t>
      </w:r>
      <w:r>
        <w:rPr>
          <w:rFonts w:hint="eastAsia" w:hAnsi="宋体"/>
        </w:rPr>
        <w:t>）</w:t>
      </w:r>
      <w:r>
        <w:rPr>
          <w:rFonts w:hAnsi="宋体"/>
        </w:rPr>
        <w:t>的顶部在单</w:t>
      </w:r>
      <w:r>
        <w:rPr>
          <w:rFonts w:hint="eastAsia" w:hAnsi="宋体"/>
        </w:rPr>
        <w:t>位水平力作用下的侧向位移。</w:t>
      </w:r>
    </w:p>
    <w:tbl>
      <w:tblPr>
        <w:tblStyle w:val="37"/>
        <w:tblW w:w="8306" w:type="dxa"/>
        <w:jc w:val="center"/>
        <w:tblInd w:w="0" w:type="dxa"/>
        <w:tblLayout w:type="fixed"/>
        <w:tblCellMar>
          <w:top w:w="0" w:type="dxa"/>
          <w:left w:w="108" w:type="dxa"/>
          <w:bottom w:w="0" w:type="dxa"/>
          <w:right w:w="108" w:type="dxa"/>
        </w:tblCellMar>
      </w:tblPr>
      <w:tblGrid>
        <w:gridCol w:w="8306"/>
      </w:tblGrid>
      <w:tr>
        <w:tblPrEx>
          <w:tblLayout w:type="fixed"/>
          <w:tblCellMar>
            <w:top w:w="0" w:type="dxa"/>
            <w:left w:w="108" w:type="dxa"/>
            <w:bottom w:w="0" w:type="dxa"/>
            <w:right w:w="108" w:type="dxa"/>
          </w:tblCellMar>
        </w:tblPrEx>
        <w:trPr>
          <w:jc w:val="center"/>
        </w:trPr>
        <w:tc>
          <w:tcPr>
            <w:tcW w:w="8306" w:type="dxa"/>
            <w:vAlign w:val="center"/>
          </w:tcPr>
          <w:p>
            <w:pPr>
              <w:spacing w:line="480" w:lineRule="auto"/>
              <w:jc w:val="center"/>
            </w:pPr>
            <w:r>
              <w:drawing>
                <wp:inline distT="0" distB="0" distL="0" distR="0">
                  <wp:extent cx="4702810" cy="2174240"/>
                  <wp:effectExtent l="0" t="0" r="254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5"/>
                          <a:stretch>
                            <a:fillRect/>
                          </a:stretch>
                        </pic:blipFill>
                        <pic:spPr>
                          <a:xfrm>
                            <a:off x="0" y="0"/>
                            <a:ext cx="4706685" cy="2175978"/>
                          </a:xfrm>
                          <a:prstGeom prst="rect">
                            <a:avLst/>
                          </a:prstGeom>
                        </pic:spPr>
                      </pic:pic>
                    </a:graphicData>
                  </a:graphic>
                </wp:inline>
              </w:drawing>
            </w:r>
          </w:p>
        </w:tc>
      </w:tr>
      <w:tr>
        <w:tblPrEx>
          <w:tblLayout w:type="fixed"/>
          <w:tblCellMar>
            <w:top w:w="0" w:type="dxa"/>
            <w:left w:w="108" w:type="dxa"/>
            <w:bottom w:w="0" w:type="dxa"/>
            <w:right w:w="108" w:type="dxa"/>
          </w:tblCellMar>
        </w:tblPrEx>
        <w:trPr>
          <w:jc w:val="center"/>
        </w:trPr>
        <w:tc>
          <w:tcPr>
            <w:tcW w:w="8306" w:type="dxa"/>
            <w:vAlign w:val="center"/>
          </w:tcPr>
          <w:p>
            <w:pPr>
              <w:pStyle w:val="91"/>
            </w:pPr>
            <w:r>
              <w:rPr>
                <w:rFonts w:hint="eastAsia"/>
              </w:rPr>
              <w:t>图</w:t>
            </w:r>
            <w:r>
              <w:t xml:space="preserve">4.2.8 </w:t>
            </w:r>
            <w:r>
              <w:rPr>
                <w:rFonts w:hint="eastAsia"/>
              </w:rPr>
              <w:t>转换层上、下等效侧向刚度计算模型</w:t>
            </w:r>
          </w:p>
        </w:tc>
      </w:tr>
    </w:tbl>
    <w:p>
      <w:pPr>
        <w:adjustRightInd w:val="0"/>
        <w:snapToGrid w:val="0"/>
        <w:spacing w:line="288" w:lineRule="auto"/>
        <w:ind w:firstLine="480"/>
        <w:jc w:val="left"/>
        <w:rPr>
          <w:rFonts w:hAnsi="宋体"/>
        </w:rPr>
      </w:pPr>
    </w:p>
    <w:p>
      <w:pPr>
        <w:adjustRightInd w:val="0"/>
        <w:snapToGrid w:val="0"/>
        <w:spacing w:line="360" w:lineRule="auto"/>
        <w:ind w:firstLine="480"/>
        <w:rPr>
          <w:rFonts w:hAnsi="宋体"/>
          <w:szCs w:val="21"/>
        </w:rPr>
      </w:pPr>
      <w:r>
        <w:rPr>
          <w:rFonts w:hint="eastAsia" w:eastAsia="等线"/>
          <w:b/>
          <w:bCs/>
        </w:rPr>
        <w:t>[条文说明]</w:t>
      </w:r>
      <w:r>
        <w:rPr>
          <w:rFonts w:hint="eastAsia" w:hAnsi="宋体"/>
          <w:szCs w:val="21"/>
        </w:rPr>
        <w:t>对于转换层上、下部刚度比的算法工程实践中存在一些不同的声音，总体来说认为现行《高层建筑混凝土结构技术规程》JGJ3采用简化算法计算二层转换的等效侧向刚度结果失真，低估了盖下结构的侧向刚度。对比《高层建筑混凝土结构技术规程》JGJ3的修订历史可以发现，转换层在二层时，等效侧向刚度比的计算方法2</w:t>
      </w:r>
      <w:r>
        <w:rPr>
          <w:rFonts w:hAnsi="宋体"/>
          <w:szCs w:val="21"/>
        </w:rPr>
        <w:t>0</w:t>
      </w:r>
      <w:r>
        <w:rPr>
          <w:rFonts w:hint="eastAsia" w:hAnsi="宋体"/>
          <w:szCs w:val="21"/>
        </w:rPr>
        <w:t>1</w:t>
      </w:r>
      <w:r>
        <w:rPr>
          <w:rFonts w:hAnsi="宋体"/>
          <w:szCs w:val="21"/>
        </w:rPr>
        <w:t>0</w:t>
      </w:r>
      <w:r>
        <w:rPr>
          <w:rFonts w:hint="eastAsia" w:hAnsi="宋体"/>
          <w:szCs w:val="21"/>
        </w:rPr>
        <w:t>版高规采用的是剪切刚度比，2</w:t>
      </w:r>
      <w:r>
        <w:rPr>
          <w:rFonts w:hAnsi="宋体"/>
          <w:szCs w:val="21"/>
        </w:rPr>
        <w:t>0</w:t>
      </w:r>
      <w:r>
        <w:rPr>
          <w:rFonts w:hint="eastAsia" w:hAnsi="宋体"/>
          <w:szCs w:val="21"/>
        </w:rPr>
        <w:t>0</w:t>
      </w:r>
      <w:r>
        <w:rPr>
          <w:rFonts w:hAnsi="宋体"/>
          <w:szCs w:val="21"/>
        </w:rPr>
        <w:t>2</w:t>
      </w:r>
      <w:r>
        <w:rPr>
          <w:rFonts w:hint="eastAsia" w:hAnsi="宋体"/>
          <w:szCs w:val="21"/>
        </w:rPr>
        <w:t>版高规采用的是等效刚度（俗称剪弯刚度）算法。查看2</w:t>
      </w:r>
      <w:r>
        <w:rPr>
          <w:rFonts w:hAnsi="宋体"/>
          <w:szCs w:val="21"/>
        </w:rPr>
        <w:t>0</w:t>
      </w:r>
      <w:r>
        <w:rPr>
          <w:rFonts w:hint="eastAsia" w:hAnsi="宋体"/>
          <w:szCs w:val="21"/>
        </w:rPr>
        <w:t>0</w:t>
      </w:r>
      <w:r>
        <w:rPr>
          <w:rFonts w:hAnsi="宋体"/>
          <w:szCs w:val="21"/>
        </w:rPr>
        <w:t>2</w:t>
      </w:r>
      <w:r>
        <w:rPr>
          <w:rFonts w:hint="eastAsia" w:hAnsi="宋体"/>
          <w:szCs w:val="21"/>
        </w:rPr>
        <w:t>版高规的背景资料（《复杂高层建筑结构设计》），“随转换层位置的提高。等效刚度比加大（剪切刚度比不变），因此对框支层数大于1层的带转换层剪力墙结构，等效刚度比更能反映其刚度变化情况”。全框支托墙转换结构框支柱截面普遍较大（在2米左右，甚至更大），按杆单元计算低估了此类“大柱”的真实刚度，本标准建议采用等效刚度算法，即《高层建筑混凝土结构技术规程》JGJ3</w:t>
      </w:r>
      <w:r>
        <w:rPr>
          <w:rFonts w:hAnsi="宋体"/>
          <w:szCs w:val="21"/>
        </w:rPr>
        <w:t>-20</w:t>
      </w:r>
      <w:r>
        <w:rPr>
          <w:rFonts w:hint="eastAsia" w:hAnsi="宋体"/>
          <w:szCs w:val="21"/>
        </w:rPr>
        <w:t>0</w:t>
      </w:r>
      <w:r>
        <w:rPr>
          <w:rFonts w:hAnsi="宋体"/>
          <w:szCs w:val="21"/>
        </w:rPr>
        <w:t>2</w:t>
      </w:r>
      <w:r>
        <w:rPr>
          <w:rFonts w:hint="eastAsia" w:hAnsi="宋体"/>
          <w:szCs w:val="21"/>
        </w:rPr>
        <w:t>算法。</w:t>
      </w:r>
    </w:p>
    <w:p>
      <w:pPr>
        <w:adjustRightInd w:val="0"/>
        <w:snapToGrid w:val="0"/>
        <w:spacing w:line="360" w:lineRule="auto"/>
        <w:ind w:firstLine="480"/>
        <w:rPr>
          <w:rFonts w:hAnsi="宋体"/>
          <w:szCs w:val="21"/>
        </w:rPr>
      </w:pPr>
      <w:r>
        <w:rPr>
          <w:rFonts w:hint="eastAsia" w:hAnsi="宋体"/>
          <w:szCs w:val="21"/>
        </w:rPr>
        <w:t>根据《高层建筑混凝土结构技术规程》JGJ3的相关要求，下部与上部的等效刚度比</w:t>
      </w:r>
      <m:oMath>
        <m:sSub>
          <m:sSubPr>
            <m:ctrlPr>
              <w:rPr>
                <w:rFonts w:ascii="Cambria Math" w:hAnsi="Cambria Math"/>
                <w:i/>
              </w:rPr>
            </m:ctrlPr>
          </m:sSubPr>
          <m:e>
            <m:r>
              <w:rPr>
                <w:rFonts w:ascii="Cambria Math" w:hAnsi="Cambria Math"/>
              </w:rPr>
              <m:t xml:space="preserve">γ</m:t>
            </m:r>
          </m:e>
          <m:sub>
            <m:r>
              <w:rPr>
                <w:rFonts w:ascii="Cambria Math" w:hAnsi="Cambria Math"/>
              </w:rPr>
              <m:t xml:space="preserve">e2</m:t>
            </m:r>
          </m:sub>
        </m:sSub>
      </m:oMath>
      <w:r>
        <w:rPr>
          <w:rFonts w:hint="eastAsia" w:hAnsi="宋体"/>
          <w:szCs w:val="21"/>
        </w:rPr>
        <w:t>宜接近于1，但是在实际设计中，由于薄弱层计算地震剪力放大、构件设计内力放大等原因，</w:t>
      </w:r>
      <m:oMath>
        <m:sSub>
          <m:sSubPr>
            <m:ctrlPr>
              <w:rPr>
                <w:rFonts w:ascii="Cambria Math" w:hAnsi="Cambria Math"/>
                <w:i/>
              </w:rPr>
            </m:ctrlPr>
          </m:sSubPr>
          <m:e>
            <m:r>
              <w:rPr>
                <w:rFonts w:ascii="Cambria Math" w:hAnsi="Cambria Math"/>
              </w:rPr>
              <m:t xml:space="preserve">γ</m:t>
            </m:r>
          </m:e>
          <m:sub>
            <m:r>
              <w:rPr>
                <w:rFonts w:ascii="Cambria Math" w:hAnsi="Cambria Math"/>
              </w:rPr>
              <m:t xml:space="preserve">e2</m:t>
            </m:r>
          </m:sub>
        </m:sSub>
      </m:oMath>
      <w:r>
        <w:rPr>
          <w:rFonts w:hint="eastAsia" w:hAnsi="宋体"/>
          <w:szCs w:val="21"/>
        </w:rPr>
        <w:t>通常大于1。2</w:t>
      </w:r>
      <w:r>
        <w:rPr>
          <w:rFonts w:hAnsi="宋体"/>
          <w:szCs w:val="21"/>
        </w:rPr>
        <w:t>0</w:t>
      </w:r>
      <w:r>
        <w:rPr>
          <w:rFonts w:hint="eastAsia" w:hAnsi="宋体"/>
          <w:szCs w:val="21"/>
        </w:rPr>
        <w:t>0</w:t>
      </w:r>
      <w:r>
        <w:rPr>
          <w:rFonts w:hAnsi="宋体"/>
          <w:szCs w:val="21"/>
        </w:rPr>
        <w:t>2</w:t>
      </w:r>
      <w:r>
        <w:rPr>
          <w:rFonts w:hint="eastAsia" w:hAnsi="宋体"/>
          <w:szCs w:val="21"/>
        </w:rPr>
        <w:t>版高规曾经限制此值不应大于1</w:t>
      </w:r>
      <w:r>
        <w:rPr>
          <w:rFonts w:hAnsi="宋体"/>
          <w:szCs w:val="21"/>
        </w:rPr>
        <w:t>.3</w:t>
      </w:r>
      <w:r>
        <w:rPr>
          <w:rFonts w:hint="eastAsia" w:hAnsi="宋体"/>
          <w:szCs w:val="21"/>
        </w:rPr>
        <w:t>，2</w:t>
      </w:r>
      <w:r>
        <w:rPr>
          <w:rFonts w:hAnsi="宋体"/>
          <w:szCs w:val="21"/>
        </w:rPr>
        <w:t>0</w:t>
      </w:r>
      <w:r>
        <w:rPr>
          <w:rFonts w:hint="eastAsia" w:hAnsi="宋体"/>
          <w:szCs w:val="21"/>
        </w:rPr>
        <w:t>1</w:t>
      </w:r>
      <w:r>
        <w:rPr>
          <w:rFonts w:hAnsi="宋体"/>
          <w:szCs w:val="21"/>
        </w:rPr>
        <w:t>0</w:t>
      </w:r>
      <w:r>
        <w:rPr>
          <w:rFonts w:hint="eastAsia" w:hAnsi="宋体"/>
          <w:szCs w:val="21"/>
        </w:rPr>
        <w:t>版高规则取消了此限制，在一定程度上说明了由于要重点保护下部结构安全，在采用了现行规范的相关抗震措施后，较多转换结构的下部结构具有相当的安全储备。对于车辆基地这类采用性能设计的结构，通过提高转换结构性能目标来实现下部结构“超强”，</w:t>
      </w:r>
      <m:oMath>
        <m:sSub>
          <m:sSubPr>
            <m:ctrlPr>
              <w:rPr>
                <w:rFonts w:ascii="Cambria Math" w:hAnsi="Cambria Math"/>
                <w:i/>
              </w:rPr>
            </m:ctrlPr>
          </m:sSubPr>
          <m:e>
            <m:r>
              <w:rPr>
                <w:rFonts w:ascii="Cambria Math" w:hAnsi="Cambria Math"/>
              </w:rPr>
              <m:t xml:space="preserve">γ</m:t>
            </m:r>
          </m:e>
          <m:sub>
            <m:r>
              <w:rPr>
                <w:rFonts w:ascii="Cambria Math" w:hAnsi="Cambria Math"/>
              </w:rPr>
              <m:t xml:space="preserve">e2</m:t>
            </m:r>
          </m:sub>
        </m:sSub>
      </m:oMath>
      <w:r>
        <w:rPr>
          <w:rFonts w:hint="eastAsia" w:hAnsi="宋体"/>
          <w:szCs w:val="21"/>
        </w:rPr>
        <w:t>大于1</w:t>
      </w:r>
      <w:r>
        <w:rPr>
          <w:rFonts w:hAnsi="宋体"/>
          <w:szCs w:val="21"/>
        </w:rPr>
        <w:t>.3</w:t>
      </w:r>
      <w:r>
        <w:rPr>
          <w:rFonts w:hint="eastAsia" w:hAnsi="宋体"/>
          <w:szCs w:val="21"/>
        </w:rPr>
        <w:t>属于正常结果。</w:t>
      </w:r>
      <w:bookmarkEnd w:id="107"/>
    </w:p>
    <w:p>
      <w:pPr>
        <w:adjustRightInd w:val="0"/>
        <w:snapToGrid w:val="0"/>
        <w:spacing w:line="360" w:lineRule="auto"/>
        <w:ind w:firstLine="480"/>
        <w:rPr>
          <w:rFonts w:hAnsi="宋体"/>
          <w:szCs w:val="21"/>
        </w:rPr>
      </w:pPr>
      <w:r>
        <w:rPr>
          <w:rFonts w:hint="eastAsia" w:hAnsi="宋体"/>
          <w:szCs w:val="21"/>
        </w:rPr>
        <w:t>对于多塔全框支转换结构，除了提高转换层下部结构的整体刚度外，尚需避免局部刚度不足导致应力集中，因此</w:t>
      </w:r>
      <w:r>
        <w:rPr>
          <w:rFonts w:hint="eastAsia" w:hAnsi="宋体"/>
        </w:rPr>
        <w:t>转换层上、下结构等效侧向刚度比宜以单塔计算结果作为控制条件。由于车辆基地柱网跨度普遍较大，塔楼相关范围通常可以考虑外延一跨框架范围（跨度较小时，例如不超过9</w:t>
      </w:r>
      <w:r>
        <w:rPr>
          <w:rFonts w:hAnsi="宋体"/>
        </w:rPr>
        <w:t>m</w:t>
      </w:r>
      <w:r>
        <w:rPr>
          <w:rFonts w:hint="eastAsia" w:hAnsi="宋体"/>
        </w:rPr>
        <w:t>时，可考虑外延两跨）。</w:t>
      </w:r>
    </w:p>
    <w:bookmarkEnd w:id="1"/>
    <w:p>
      <w:pPr>
        <w:adjustRightInd w:val="0"/>
        <w:snapToGrid w:val="0"/>
        <w:spacing w:line="288" w:lineRule="auto"/>
        <w:ind w:firstLine="482"/>
        <w:rPr>
          <w:rFonts w:hAnsi="宋体"/>
        </w:rPr>
      </w:pPr>
      <w:r>
        <w:rPr>
          <w:rFonts w:hAnsi="宋体"/>
          <w:b/>
        </w:rPr>
        <w:t>4.2.9</w:t>
      </w:r>
      <w:r>
        <w:rPr>
          <w:rFonts w:hint="eastAsia" w:hAnsi="宋体"/>
        </w:rPr>
        <w:t>车辆基地盖板的厚度不宜小于</w:t>
      </w:r>
      <w:r>
        <w:rPr>
          <w:rFonts w:hAnsi="宋体"/>
        </w:rPr>
        <w:t>200mm</w:t>
      </w:r>
      <w:r>
        <w:rPr>
          <w:rFonts w:hint="eastAsia" w:hAnsi="宋体"/>
        </w:rPr>
        <w:t>。</w:t>
      </w:r>
    </w:p>
    <w:p>
      <w:pPr>
        <w:snapToGrid w:val="0"/>
        <w:spacing w:line="360" w:lineRule="auto"/>
        <w:ind w:firstLine="480"/>
        <w:rPr>
          <w:szCs w:val="21"/>
        </w:rPr>
      </w:pPr>
      <w:r>
        <w:rPr>
          <w:rFonts w:hint="eastAsia" w:eastAsia="等线"/>
          <w:b/>
          <w:bCs/>
        </w:rPr>
        <w:t>[条文说明]</w:t>
      </w:r>
      <w:r>
        <w:rPr>
          <w:rFonts w:hint="eastAsia"/>
          <w:szCs w:val="21"/>
        </w:rPr>
        <w:t>考虑因素有：</w:t>
      </w:r>
    </w:p>
    <w:p>
      <w:pPr>
        <w:tabs>
          <w:tab w:val="right" w:pos="8400"/>
        </w:tabs>
        <w:adjustRightInd w:val="0"/>
        <w:snapToGrid w:val="0"/>
        <w:spacing w:line="360" w:lineRule="auto"/>
        <w:ind w:firstLine="480"/>
      </w:pPr>
      <w:r>
        <w:rPr>
          <w:rFonts w:hint="eastAsia"/>
          <w:szCs w:val="21"/>
        </w:rPr>
        <w:t>1</w:t>
      </w:r>
      <w:r>
        <w:rPr>
          <w:szCs w:val="21"/>
        </w:rPr>
        <w:t xml:space="preserve">  </w:t>
      </w:r>
      <w:r>
        <w:rPr>
          <w:rFonts w:hint="eastAsia"/>
          <w:szCs w:val="21"/>
        </w:rPr>
        <w:t>防火要求，按《建筑设计防火规范》GB50016规定，现浇整体式梁、板，当板厚1</w:t>
      </w:r>
      <w:r>
        <w:rPr>
          <w:szCs w:val="21"/>
        </w:rPr>
        <w:t>20mm</w:t>
      </w:r>
      <w:r>
        <w:rPr>
          <w:rFonts w:hint="eastAsia"/>
          <w:szCs w:val="21"/>
        </w:rPr>
        <w:t>，保护层厚度为2</w:t>
      </w:r>
      <w:r>
        <w:rPr>
          <w:szCs w:val="21"/>
        </w:rPr>
        <w:t>0mm</w:t>
      </w:r>
      <w:r>
        <w:rPr>
          <w:rFonts w:hint="eastAsia"/>
          <w:szCs w:val="21"/>
        </w:rPr>
        <w:t>时，不燃性耐火极限2</w:t>
      </w:r>
      <w:r>
        <w:rPr>
          <w:szCs w:val="21"/>
        </w:rPr>
        <w:t>.65h</w:t>
      </w:r>
      <w:r>
        <w:rPr>
          <w:rFonts w:hint="eastAsia"/>
          <w:szCs w:val="21"/>
        </w:rPr>
        <w:t>，</w:t>
      </w:r>
      <w:r>
        <w:rPr>
          <w:rFonts w:hint="eastAsia"/>
        </w:rPr>
        <w:t>深圳地铁相关工程实践，一般以4</w:t>
      </w:r>
      <w:r>
        <w:t>5mm</w:t>
      </w:r>
      <w:r>
        <w:rPr>
          <w:rFonts w:hint="eastAsia"/>
        </w:rPr>
        <w:t>作为盖板底面保护层厚度</w:t>
      </w:r>
      <w:r>
        <w:rPr>
          <w:rFonts w:hint="eastAsia"/>
          <w:szCs w:val="21"/>
        </w:rPr>
        <w:t>；</w:t>
      </w:r>
    </w:p>
    <w:p>
      <w:pPr>
        <w:tabs>
          <w:tab w:val="right" w:pos="8400"/>
        </w:tabs>
        <w:adjustRightInd w:val="0"/>
        <w:snapToGrid w:val="0"/>
        <w:spacing w:line="360" w:lineRule="auto"/>
        <w:ind w:firstLine="480"/>
      </w:pPr>
      <w:r>
        <w:rPr>
          <w:rFonts w:hint="eastAsia"/>
        </w:rPr>
        <w:t>2</w:t>
      </w:r>
      <w:r>
        <w:t xml:space="preserve">  </w:t>
      </w:r>
      <w:r>
        <w:rPr>
          <w:rFonts w:hint="eastAsia"/>
        </w:rPr>
        <w:t>结构受力要求，由于车辆基地上盖结构通常在二层转换，首层作为转换层相邻楼层和薄弱层，地震力相应放大，需要适当加强；</w:t>
      </w:r>
    </w:p>
    <w:p>
      <w:pPr>
        <w:tabs>
          <w:tab w:val="right" w:pos="8400"/>
        </w:tabs>
        <w:adjustRightInd w:val="0"/>
        <w:snapToGrid w:val="0"/>
        <w:spacing w:line="360" w:lineRule="auto"/>
        <w:ind w:firstLine="480"/>
      </w:pPr>
      <w:r>
        <w:rPr>
          <w:rFonts w:hint="eastAsia"/>
        </w:rPr>
        <w:t>3</w:t>
      </w:r>
      <w:r>
        <w:t xml:space="preserve">  </w:t>
      </w:r>
      <w:r>
        <w:rPr>
          <w:rFonts w:hint="eastAsia"/>
        </w:rPr>
        <w:t>结构耐久性要求，作为上盖施工的作业面，受力条件及使用环境与地下室顶板类似，故建议楼板厚度不宜小于</w:t>
      </w:r>
      <w:r>
        <w:t>200mm</w:t>
      </w:r>
      <w:r>
        <w:rPr>
          <w:rFonts w:hint="eastAsia"/>
        </w:rPr>
        <w:t>。</w:t>
      </w:r>
    </w:p>
    <w:p>
      <w:pPr>
        <w:adjustRightInd w:val="0"/>
        <w:snapToGrid w:val="0"/>
        <w:spacing w:line="360" w:lineRule="auto"/>
        <w:ind w:firstLine="482"/>
      </w:pPr>
      <w:r>
        <w:rPr>
          <w:rFonts w:hAnsi="宋体"/>
          <w:b/>
        </w:rPr>
        <w:t>4.2.10</w:t>
      </w:r>
      <w:r>
        <w:t>转换层楼盖宜采用正梁</w:t>
      </w:r>
      <w:r>
        <w:rPr>
          <w:rFonts w:hint="eastAsia"/>
        </w:rPr>
        <w:t>（楼板在转换梁上翼缘位置）</w:t>
      </w:r>
      <w:r>
        <w:t>的布置方式</w:t>
      </w:r>
      <w:r>
        <w:rPr>
          <w:rFonts w:hint="eastAsia"/>
        </w:rPr>
        <w:t>，楼板厚度不宜小于1</w:t>
      </w:r>
      <w:r>
        <w:t>80mm</w:t>
      </w:r>
      <w:r>
        <w:rPr>
          <w:rFonts w:hint="eastAsia"/>
        </w:rPr>
        <w:t>，转换区域楼板厚度宜适当加厚。当转换梁腹板两侧楼板高差较大时，可采取梁腹加腋等加强措施，保证水平力的有效传递。</w:t>
      </w:r>
    </w:p>
    <w:p>
      <w:pPr>
        <w:adjustRightInd w:val="0"/>
        <w:snapToGrid w:val="0"/>
        <w:spacing w:line="360" w:lineRule="auto"/>
        <w:ind w:firstLine="482"/>
      </w:pPr>
      <w:r>
        <w:rPr>
          <w:rFonts w:hint="eastAsia" w:eastAsia="等线"/>
          <w:b/>
          <w:bCs/>
        </w:rPr>
        <w:t>[条文说明]</w:t>
      </w:r>
      <w:r>
        <w:rPr>
          <w:rFonts w:hint="eastAsia"/>
          <w:szCs w:val="21"/>
        </w:rPr>
        <w:t>由于剪力墙相对全框支转换梁多为偏置，适当增加转换区域楼板厚度易于协调变形，使上部剪力墙不至于过厚。考虑车辆上盖地坪通常有覆土要求，结构转换区域与非转换区域通常存在较大高差，影响水平力的传递，当高差大于梁高或6</w:t>
      </w:r>
      <w:r>
        <w:rPr>
          <w:szCs w:val="21"/>
        </w:rPr>
        <w:t>00mm</w:t>
      </w:r>
      <w:r>
        <w:rPr>
          <w:rFonts w:hint="eastAsia"/>
          <w:szCs w:val="21"/>
        </w:rPr>
        <w:t>时可判别为高差较大。</w:t>
      </w:r>
    </w:p>
    <w:p>
      <w:pPr>
        <w:adjustRightInd w:val="0"/>
        <w:snapToGrid w:val="0"/>
        <w:spacing w:line="360" w:lineRule="auto"/>
        <w:ind w:firstLine="482"/>
      </w:pPr>
      <w:r>
        <w:rPr>
          <w:rFonts w:hAnsi="宋体"/>
          <w:b/>
        </w:rPr>
        <w:t>4.2.11</w:t>
      </w:r>
      <w:r>
        <w:rPr>
          <w:rFonts w:hint="eastAsia"/>
        </w:rPr>
        <w:t>框支柱截面尺寸不宜小于1</w:t>
      </w:r>
      <w:r>
        <w:t>400mm × 1400mm</w:t>
      </w:r>
      <w:r>
        <w:rPr>
          <w:rFonts w:hint="eastAsia"/>
        </w:rPr>
        <w:t>，框支柱在车辆基地楼层的纵筋配筋宜在计算配筋面积的基础上适当增加1</w:t>
      </w:r>
      <w:r>
        <w:t>0%</w:t>
      </w:r>
      <w:r>
        <w:rPr>
          <w:rFonts w:hint="eastAsia"/>
        </w:rPr>
        <w:t>。</w:t>
      </w:r>
    </w:p>
    <w:p>
      <w:pPr>
        <w:adjustRightInd w:val="0"/>
        <w:snapToGrid w:val="0"/>
        <w:spacing w:line="360" w:lineRule="auto"/>
        <w:ind w:firstLine="482"/>
        <w:rPr>
          <w:szCs w:val="21"/>
        </w:rPr>
      </w:pPr>
      <w:r>
        <w:rPr>
          <w:rFonts w:hint="eastAsia" w:eastAsia="等线"/>
          <w:b/>
          <w:bCs/>
        </w:rPr>
        <w:t>[条文说明]</w:t>
      </w:r>
      <w:r>
        <w:rPr>
          <w:rFonts w:hint="eastAsia"/>
          <w:szCs w:val="21"/>
        </w:rPr>
        <w:t>由于车辆基地轨行区有限界要求，跨轨道方向柱截面大小受限，给出最小尺寸要求，便于方案阶段控制框支柱截面不至于过小。</w:t>
      </w:r>
    </w:p>
    <w:p>
      <w:pPr>
        <w:adjustRightInd w:val="0"/>
        <w:snapToGrid w:val="0"/>
        <w:spacing w:line="360" w:lineRule="auto"/>
        <w:ind w:firstLine="482"/>
        <w:rPr>
          <w:szCs w:val="21"/>
        </w:rPr>
      </w:pPr>
      <w:r>
        <w:rPr>
          <w:rFonts w:hint="eastAsia"/>
          <w:szCs w:val="21"/>
        </w:rPr>
        <w:t>罕遇地震弹塑性时程分析表明，当车辆基地首层成为薄弱层（受剪承载力小于相邻上部楼层的6</w:t>
      </w:r>
      <w:r>
        <w:rPr>
          <w:szCs w:val="21"/>
        </w:rPr>
        <w:t>5%</w:t>
      </w:r>
      <w:r>
        <w:rPr>
          <w:rFonts w:hint="eastAsia"/>
          <w:szCs w:val="21"/>
        </w:rPr>
        <w:t>）时，柱脚容易出现弯曲损伤。广州大学对全框支剪力墙厚板转换结构（二层转换）进行了拟静力试验，模型比例1：5，试验表明弯曲裂缝首先出现在上部剪力墙根部，然后出现在首层柱的上端，证明首层框支柱比其上一层更弱，有必要适当加强，建议框支柱在车辆基地楼层纵筋配筋率在计算结果的基础上适当放大。</w:t>
      </w:r>
    </w:p>
    <w:p>
      <w:pPr>
        <w:adjustRightInd w:val="0"/>
        <w:snapToGrid w:val="0"/>
        <w:spacing w:line="360" w:lineRule="auto"/>
        <w:ind w:firstLine="482"/>
      </w:pPr>
      <w:r>
        <w:rPr>
          <w:rFonts w:hAnsi="宋体"/>
          <w:b/>
        </w:rPr>
        <w:t>4.2.12</w:t>
      </w:r>
      <w:r>
        <w:rPr>
          <w:rFonts w:hint="eastAsia"/>
        </w:rPr>
        <w:t>钢筋混凝土框支结构及剪力墙底部加强区应采用现浇结构。</w:t>
      </w:r>
    </w:p>
    <w:p>
      <w:pPr>
        <w:adjustRightInd w:val="0"/>
        <w:snapToGrid w:val="0"/>
        <w:spacing w:line="360" w:lineRule="auto"/>
        <w:ind w:firstLine="482"/>
        <w:rPr>
          <w:rFonts w:ascii="宋体" w:hAnsi="宋体" w:eastAsia="Yu Mincho" w:cs="宋体"/>
        </w:rPr>
      </w:pPr>
      <w:r>
        <w:rPr>
          <w:rFonts w:hint="eastAsia" w:eastAsia="等线"/>
          <w:b/>
          <w:bCs/>
        </w:rPr>
        <w:t>[条文说明]</w:t>
      </w:r>
      <w:r>
        <w:rPr>
          <w:rFonts w:hint="eastAsia" w:hAnsi="宋体"/>
          <w:szCs w:val="21"/>
        </w:rPr>
        <w:t xml:space="preserve"> 转换层上部剪力墙底部加强区为潜在塑性铰区，需要具有良好的延性，因此应采用现浇结构。</w:t>
      </w:r>
    </w:p>
    <w:p>
      <w:pPr>
        <w:pStyle w:val="3"/>
      </w:pPr>
      <w:bookmarkStart w:id="108" w:name="_Toc90922374"/>
      <w:r>
        <w:t xml:space="preserve">4.3  </w:t>
      </w:r>
      <w:r>
        <w:rPr>
          <w:rFonts w:hint="eastAsia"/>
        </w:rPr>
        <w:t>荷载、作用和结构计算</w:t>
      </w:r>
      <w:bookmarkEnd w:id="108"/>
    </w:p>
    <w:p>
      <w:pPr>
        <w:spacing w:line="360" w:lineRule="auto"/>
        <w:ind w:firstLine="482"/>
      </w:pPr>
      <w:r>
        <w:rPr>
          <w:b/>
          <w:bCs/>
        </w:rPr>
        <w:t>4.3.1</w:t>
      </w:r>
      <w:r>
        <w:rPr>
          <w:rFonts w:hint="eastAsia"/>
        </w:rPr>
        <w:t>车辆基地上盖建筑的荷载、作用应根据开发时序、工作年限等不同条件，按《建筑结构荷载规范》GB50009的有关规定及相关厂房工艺要求确定。</w:t>
      </w:r>
    </w:p>
    <w:p>
      <w:pPr>
        <w:spacing w:line="360" w:lineRule="auto"/>
        <w:ind w:firstLine="480"/>
        <w:rPr>
          <w:b/>
          <w:bCs/>
        </w:rPr>
      </w:pPr>
      <w:r>
        <w:rPr>
          <w:rFonts w:hint="eastAsia" w:eastAsia="等线"/>
          <w:b/>
          <w:bCs/>
        </w:rPr>
        <w:t>[条文说明]</w:t>
      </w:r>
      <w:r>
        <w:rPr>
          <w:rFonts w:hint="eastAsia"/>
        </w:rPr>
        <w:t xml:space="preserve"> 当车辆基地与上盖分期开发时，可根据不同使用阶段分别设计，分段考虑设计工作年限及受荷条件。</w:t>
      </w:r>
    </w:p>
    <w:p>
      <w:pPr>
        <w:spacing w:line="360" w:lineRule="auto"/>
        <w:ind w:firstLine="482"/>
      </w:pPr>
      <w:r>
        <w:rPr>
          <w:b/>
          <w:bCs/>
        </w:rPr>
        <w:t>4.3.2</w:t>
      </w:r>
      <w:r>
        <w:rPr>
          <w:rFonts w:hint="eastAsia"/>
        </w:rPr>
        <w:t>考虑非标准设计工作年限的车辆基地，其可变荷载设计工作年限调整系数可根据《建筑结构荷载规范》GB500</w:t>
      </w:r>
      <w:r>
        <w:t>0</w:t>
      </w:r>
      <w:r>
        <w:rPr>
          <w:rFonts w:hint="eastAsia"/>
        </w:rPr>
        <w:t>9的相关规定进行调整，具体如下：</w:t>
      </w:r>
    </w:p>
    <w:p>
      <w:pPr>
        <w:spacing w:line="360" w:lineRule="auto"/>
        <w:ind w:firstLine="480"/>
      </w:pPr>
      <w:r>
        <w:rPr>
          <w:rFonts w:hint="eastAsia"/>
        </w:rPr>
        <w:t>1.</w:t>
      </w:r>
      <w:r>
        <w:t xml:space="preserve"> </w:t>
      </w:r>
      <w:r>
        <w:rPr>
          <w:rFonts w:hint="eastAsia"/>
        </w:rPr>
        <w:t>楼面和屋面活荷载考虑设计工作年限的调整系数</w:t>
      </w:r>
      <m:oMath>
        <m:sSub>
          <m:sSubPr>
            <m:ctrlPr>
              <w:rPr>
                <w:rFonts w:ascii="Cambria Math" w:hAnsi="Cambria Math"/>
                <w:i/>
              </w:rPr>
            </m:ctrlPr>
          </m:sSubPr>
          <m:e>
            <m:r>
              <w:rPr>
                <w:rFonts w:ascii="Cambria Math" w:hAnsi="Cambria Math"/>
              </w:rPr>
              <m:t xml:space="preserve">γ</m:t>
            </m:r>
          </m:e>
          <m:sub>
            <m:r>
              <w:rPr>
                <w:rFonts w:ascii="Cambria Math" w:hAnsi="Cambria Math"/>
              </w:rPr>
              <m:t xml:space="preserve">Lc</m:t>
            </m:r>
          </m:sub>
        </m:sSub>
      </m:oMath>
      <w:r>
        <w:rPr>
          <w:rFonts w:hint="eastAsia"/>
        </w:rPr>
        <w:t>应按表4</w:t>
      </w:r>
      <w:r>
        <w:t>.3.2-1</w:t>
      </w:r>
      <w:r>
        <w:rPr>
          <w:rFonts w:hint="eastAsia"/>
        </w:rPr>
        <w:t>采用。</w:t>
      </w:r>
    </w:p>
    <w:p>
      <w:pPr>
        <w:pStyle w:val="80"/>
        <w:ind w:firstLine="480"/>
        <w:rPr>
          <w:kern w:val="2"/>
          <w:sz w:val="21"/>
          <w:szCs w:val="24"/>
        </w:rPr>
      </w:pPr>
      <w:r>
        <w:rPr>
          <w:rFonts w:hint="eastAsia"/>
        </w:rPr>
        <w:t>表4</w:t>
      </w:r>
      <w:r>
        <w:t xml:space="preserve">.3.2-1  </w:t>
      </w:r>
      <w:r>
        <w:rPr>
          <w:rFonts w:hint="eastAsia"/>
        </w:rPr>
        <w:t>楼面和屋面活荷载考虑设计工作年限的调整系数</w:t>
      </w:r>
      <m:oMath>
        <m:sSub>
          <m:sSubPr>
            <m:ctrlPr>
              <w:rPr>
                <w:rFonts w:ascii="Cambria Math" w:eastAsia="宋体" w:hAnsi="Cambria Math"/>
                <w:i/>
                <w:kern w:val="2"/>
                <w:sz w:val="21"/>
                <w:szCs w:val="24"/>
              </w:rPr>
            </m:ctrlPr>
          </m:sSubPr>
          <m:e>
            <m:r>
              <w:rPr>
                <w:rFonts w:ascii="Cambria Math" w:hAnsi="Cambria Math"/>
              </w:rPr>
              <m:t xml:space="preserve">γ</m:t>
            </m:r>
          </m:e>
          <m:sub>
            <m:r>
              <w:rPr>
                <w:rFonts w:ascii="Cambria Math" w:hAnsi="Cambria Math"/>
              </w:rPr>
              <m:t xml:space="preserve">Lc</m:t>
            </m:r>
          </m:sub>
        </m:sSub>
      </m:oMath>
    </w:p>
    <w:tbl>
      <w:tblPr>
        <w:tblStyle w:val="38"/>
        <w:tblW w:w="82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700"/>
        <w:gridCol w:w="942"/>
        <w:gridCol w:w="1327"/>
        <w:gridCol w:w="13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4700" w:type="dxa"/>
          </w:tcPr>
          <w:p>
            <w:pPr>
              <w:pStyle w:val="80"/>
            </w:pPr>
            <w:r>
              <w:rPr>
                <w:rFonts w:hint="eastAsia"/>
              </w:rPr>
              <w:t>结构设计工作年限（年）</w:t>
            </w:r>
          </w:p>
        </w:tc>
        <w:tc>
          <w:tcPr>
            <w:tcW w:w="942" w:type="dxa"/>
          </w:tcPr>
          <w:p>
            <w:pPr>
              <w:pStyle w:val="80"/>
            </w:pPr>
            <w:r>
              <w:t>50</w:t>
            </w:r>
          </w:p>
        </w:tc>
        <w:tc>
          <w:tcPr>
            <w:tcW w:w="1327" w:type="dxa"/>
          </w:tcPr>
          <w:p>
            <w:pPr>
              <w:pStyle w:val="80"/>
            </w:pPr>
            <w:r>
              <w:t>75</w:t>
            </w:r>
          </w:p>
        </w:tc>
        <w:tc>
          <w:tcPr>
            <w:tcW w:w="1327" w:type="dxa"/>
          </w:tcPr>
          <w:p>
            <w:pPr>
              <w:pStyle w:val="80"/>
            </w:pPr>
            <w:r>
              <w:rPr>
                <w:rFonts w:hint="eastAsia"/>
              </w:rPr>
              <w:t>1</w:t>
            </w:r>
            <w:r>
              <w:t>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4700" w:type="dxa"/>
          </w:tcPr>
          <w:p>
            <w:pPr>
              <w:pStyle w:val="80"/>
            </w:pPr>
            <m:oMathPara>
              <m:oMath>
                <m:sSub>
                  <m:sSubPr>
                    <m:ctrlPr>
                      <w:rPr>
                        <w:rFonts w:ascii="Cambria Math" w:eastAsia="宋体" w:hAnsi="Cambria Math"/>
                        <w:i/>
                        <w:kern w:val="2"/>
                        <w:sz w:val="21"/>
                        <w:szCs w:val="24"/>
                      </w:rPr>
                    </m:ctrlPr>
                  </m:sSubPr>
                  <m:e>
                    <m:r>
                      <w:rPr>
                        <w:rFonts w:ascii="Cambria Math" w:hAnsi="Cambria Math"/>
                      </w:rPr>
                      <m:t xml:space="preserve">γ</m:t>
                    </m:r>
                  </m:e>
                  <m:sub>
                    <m:r>
                      <w:rPr>
                        <w:rFonts w:ascii="Cambria Math" w:hAnsi="Cambria Math"/>
                      </w:rPr>
                      <m:t xml:space="preserve">Lc</m:t>
                    </m:r>
                  </m:sub>
                </m:sSub>
              </m:oMath>
            </m:oMathPara>
          </w:p>
        </w:tc>
        <w:tc>
          <w:tcPr>
            <w:tcW w:w="942" w:type="dxa"/>
          </w:tcPr>
          <w:p>
            <w:pPr>
              <w:pStyle w:val="80"/>
            </w:pPr>
            <w:r>
              <w:t>1.0</w:t>
            </w:r>
          </w:p>
        </w:tc>
        <w:tc>
          <w:tcPr>
            <w:tcW w:w="1327" w:type="dxa"/>
          </w:tcPr>
          <w:p>
            <w:pPr>
              <w:pStyle w:val="80"/>
            </w:pPr>
            <w:r>
              <w:t>1.036</w:t>
            </w:r>
          </w:p>
        </w:tc>
        <w:tc>
          <w:tcPr>
            <w:tcW w:w="1327" w:type="dxa"/>
          </w:tcPr>
          <w:p>
            <w:pPr>
              <w:pStyle w:val="80"/>
            </w:pPr>
            <w:r>
              <w:t>1.061</w:t>
            </w:r>
          </w:p>
        </w:tc>
      </w:tr>
    </w:tbl>
    <w:p>
      <w:pPr>
        <w:pStyle w:val="53"/>
        <w:ind w:firstLine="480"/>
      </w:pPr>
      <w:r>
        <w:rPr>
          <w:rFonts w:hint="eastAsia"/>
        </w:rPr>
        <w:t xml:space="preserve">注： </w:t>
      </w:r>
      <w:r>
        <w:t xml:space="preserve">1 </w:t>
      </w:r>
      <w:r>
        <w:rPr>
          <w:rFonts w:hint="eastAsia"/>
        </w:rPr>
        <w:t>当设计工作年限不为表中数值时，调整系数</w:t>
      </w:r>
      <m:oMath>
        <m:sSub>
          <m:sSubPr>
            <m:ctrlPr>
              <w:rPr>
                <w:rFonts w:ascii="Cambria Math" w:hAnsi="Cambria Math"/>
                <w:i/>
              </w:rPr>
            </m:ctrlPr>
          </m:sSubPr>
          <m:e>
            <m:r>
              <w:rPr>
                <w:rFonts w:ascii="Cambria Math" w:hAnsi="Cambria Math"/>
              </w:rPr>
              <m:t xml:space="preserve">γ</m:t>
            </m:r>
          </m:e>
          <m:sub>
            <m:r>
              <w:rPr>
                <w:rFonts w:ascii="Cambria Math" w:hAnsi="Cambria Math"/>
              </w:rPr>
              <m:t xml:space="preserve">Lc</m:t>
            </m:r>
          </m:sub>
        </m:sSub>
      </m:oMath>
      <w:r>
        <w:rPr>
          <w:rFonts w:hint="eastAsia"/>
        </w:rPr>
        <w:t>可按线性内插确定</w:t>
      </w:r>
    </w:p>
    <w:p>
      <w:pPr>
        <w:pStyle w:val="53"/>
        <w:ind w:firstLine="480"/>
      </w:pPr>
      <w:r>
        <w:t xml:space="preserve">     2 </w:t>
      </w:r>
      <w:r>
        <w:rPr>
          <w:rFonts w:hint="eastAsia"/>
        </w:rPr>
        <w:t>对于荷载标准值可控制的活荷载，设计工作年限调整系数</w:t>
      </w:r>
      <m:oMath>
        <m:sSub>
          <m:sSubPr>
            <m:ctrlPr>
              <w:rPr>
                <w:rFonts w:ascii="Cambria Math" w:hAnsi="Cambria Math"/>
                <w:i/>
              </w:rPr>
            </m:ctrlPr>
          </m:sSubPr>
          <m:e>
            <m:r>
              <w:rPr>
                <w:rFonts w:ascii="Cambria Math" w:hAnsi="Cambria Math"/>
              </w:rPr>
              <m:t xml:space="preserve">γ</m:t>
            </m:r>
          </m:e>
          <m:sub>
            <m:r>
              <w:rPr>
                <w:rFonts w:ascii="Cambria Math" w:hAnsi="Cambria Math"/>
              </w:rPr>
              <m:t xml:space="preserve">Lc</m:t>
            </m:r>
          </m:sub>
        </m:sSub>
      </m:oMath>
      <w:r>
        <w:rPr>
          <w:rFonts w:hint="eastAsia"/>
        </w:rPr>
        <w:t>取1</w:t>
      </w:r>
      <w:r>
        <w:t>.0</w:t>
      </w:r>
    </w:p>
    <w:p>
      <w:pPr>
        <w:spacing w:line="360" w:lineRule="auto"/>
        <w:ind w:firstLine="480"/>
      </w:pPr>
      <w:r>
        <w:t>2</w:t>
      </w:r>
      <w:r>
        <w:rPr>
          <w:rFonts w:hint="eastAsia"/>
        </w:rPr>
        <w:t>.</w:t>
      </w:r>
      <w:r>
        <w:t xml:space="preserve"> </w:t>
      </w:r>
      <w:r>
        <w:rPr>
          <w:rFonts w:hint="eastAsia"/>
        </w:rPr>
        <w:t>以设计工作年限R为重现期的基本风压值</w:t>
      </w:r>
      <m:oMath>
        <m:sSub>
          <m:sSubPr>
            <m:ctrlPr>
              <w:rPr>
                <w:rFonts w:ascii="Cambria Math" w:hAnsi="Cambria Math"/>
                <w:i/>
              </w:rPr>
            </m:ctrlPr>
          </m:sSubPr>
          <m:e>
            <m:r>
              <w:rPr>
                <w:rFonts w:ascii="Cambria Math" w:hAnsi="Cambria Math"/>
              </w:rPr>
              <m:t xml:space="preserve">x</m:t>
            </m:r>
          </m:e>
          <m:sub>
            <m:r>
              <w:rPr>
                <w:rFonts w:ascii="Cambria Math" w:hAnsi="Cambria Math"/>
              </w:rPr>
              <m:t xml:space="preserve">R</m:t>
            </m:r>
          </m:sub>
        </m:sSub>
      </m:oMath>
      <w:r>
        <w:rPr>
          <w:rFonts w:hint="eastAsia"/>
        </w:rPr>
        <w:t>可根据《建筑结构荷载规范》GB500</w:t>
      </w:r>
      <w:r>
        <w:t>0</w:t>
      </w:r>
      <w:r>
        <w:rPr>
          <w:rFonts w:hint="eastAsia"/>
        </w:rPr>
        <w:t>9的相关规定按下式确定：</w:t>
      </w:r>
    </w:p>
    <w:p>
      <w:pPr>
        <w:spacing w:line="360" w:lineRule="auto"/>
        <w:ind w:firstLine="480"/>
        <w:jc w:val="right"/>
      </w:pPr>
      <m:oMath>
        <m:sSub>
          <m:sSubPr>
            <m:ctrlPr>
              <w:rPr>
                <w:rFonts w:ascii="Cambria Math" w:hAnsi="Cambria Math"/>
                <w:i/>
              </w:rPr>
            </m:ctrlPr>
          </m:sSubPr>
          <m:e>
            <m:r>
              <w:rPr>
                <w:rFonts w:ascii="Cambria Math" w:hAnsi="Cambria Math"/>
              </w:rPr>
              <m:t xml:space="preserve">x</m:t>
            </m:r>
          </m:e>
          <m:sub>
            <m:r>
              <w:rPr>
                <w:rFonts w:ascii="Cambria Math" w:hAnsi="Cambria Math"/>
              </w:rPr>
              <m:t xml:space="preserve">R</m:t>
            </m:r>
          </m:sub>
        </m:sSub>
        <m:r>
          <w:rPr>
            <w:rFonts w:ascii="Cambria Math" w:hAnsi="Cambria Math"/>
          </w:rPr>
          <m:t xml:space="preserve">=</m:t>
        </m:r>
        <m:sSub>
          <m:sSubPr>
            <m:ctrlPr>
              <w:rPr>
                <w:rFonts w:ascii="Cambria Math" w:hAnsi="Cambria Math"/>
                <w:i/>
              </w:rPr>
            </m:ctrlPr>
          </m:sSubPr>
          <m:e>
            <m:r>
              <w:rPr>
                <w:rFonts w:ascii="Cambria Math" w:hAnsi="Cambria Math"/>
              </w:rPr>
              <m:t xml:space="preserve">x</m:t>
            </m:r>
          </m:e>
          <m:sub>
            <m:r>
              <w:rPr>
                <w:rFonts w:ascii="Cambria Math" w:hAnsi="Cambria Math"/>
              </w:rPr>
              <m:t xml:space="preserve">10</m:t>
            </m:r>
          </m:sub>
        </m:sSub>
        <m:r>
          <w:rPr>
            <w:rFonts w:ascii="Cambria Math" w:hAnsi="Cambria Math"/>
          </w:rPr>
          <m:t xml:space="preserve">+</m:t>
        </m:r>
        <m:d>
          <m:dPr>
            <m:ctrlPr>
              <w:rPr>
                <w:rFonts w:ascii="Cambria Math" w:hAnsi="Cambria Math"/>
                <w:i/>
              </w:rPr>
            </m:ctrlPr>
          </m:dPr>
          <m:e>
            <m:sSub>
              <m:sSubPr>
                <m:ctrlPr>
                  <w:rPr>
                    <w:rFonts w:ascii="Cambria Math" w:hAnsi="Cambria Math"/>
                    <w:i/>
                  </w:rPr>
                </m:ctrlPr>
              </m:sSubPr>
              <m:e>
                <m:r>
                  <w:rPr>
                    <w:rFonts w:ascii="Cambria Math" w:hAnsi="Cambria Math"/>
                  </w:rPr>
                  <m:t xml:space="preserve">x</m:t>
                </m:r>
              </m:e>
              <m:sub>
                <m:r>
                  <w:rPr>
                    <w:rFonts w:ascii="Cambria Math" w:hAnsi="Cambria Math"/>
                  </w:rPr>
                  <m:t xml:space="preserve">100</m:t>
                </m:r>
              </m:sub>
            </m:sSub>
            <m:r>
              <w:rPr>
                <w:rFonts w:ascii="Cambria Math" w:hAnsi="Cambria Math"/>
              </w:rPr>
              <m:t xml:space="preserve">-</m:t>
            </m:r>
            <m:sSub>
              <m:sSubPr>
                <m:ctrlPr>
                  <w:rPr>
                    <w:rFonts w:ascii="Cambria Math" w:hAnsi="Cambria Math"/>
                    <w:i/>
                  </w:rPr>
                </m:ctrlPr>
              </m:sSubPr>
              <m:e>
                <m:r>
                  <w:rPr>
                    <w:rFonts w:ascii="Cambria Math" w:hAnsi="Cambria Math"/>
                  </w:rPr>
                  <m:t xml:space="preserve">x</m:t>
                </m:r>
              </m:e>
              <m:sub>
                <m:r>
                  <w:rPr>
                    <w:rFonts w:ascii="Cambria Math" w:hAnsi="Cambria Math"/>
                  </w:rPr>
                  <m:t xml:space="preserve">10</m:t>
                </m:r>
              </m:sub>
            </m:sSub>
          </m:e>
        </m:d>
        <m:d>
          <m:dPr>
            <m:ctrlPr>
              <w:rPr>
                <w:rFonts w:ascii="Cambria Math" w:hAnsi="Cambria Math"/>
                <w:i/>
              </w:rPr>
            </m:ctrlPr>
          </m:dPr>
          <m:e>
            <m:f>
              <m:fPr>
                <m:type m:val="lin"/>
                <m:ctrlPr>
                  <w:rPr>
                    <w:rFonts w:ascii="Cambria Math" w:hAnsi="Cambria Math"/>
                    <w:i/>
                  </w:rPr>
                </m:ctrlPr>
              </m:fPr>
              <m:num>
                <m:func>
                  <m:funcPr>
                    <m:ctrlPr>
                      <w:rPr>
                        <w:rFonts w:ascii="Cambria Math" w:hAnsi="Cambria Math"/>
                        <w:i/>
                      </w:rPr>
                    </m:ctrlPr>
                  </m:funcPr>
                  <m:fName>
                    <m:r>
                      <m:rPr>
                        <m:sty m:val="p"/>
                      </m:rPr>
                      <w:rPr>
                        <w:rFonts w:ascii="Cambria Math" w:hAnsi="Cambria Math"/>
                      </w:rPr>
                      <m:t xml:space="preserve">ln</m:t>
                    </m:r>
                  </m:fName>
                  <m:e>
                    <m:r>
                      <w:rPr>
                        <w:rFonts w:ascii="Cambria Math" w:hAnsi="Cambria Math"/>
                      </w:rPr>
                      <m:t xml:space="preserve">R</m:t>
                    </m:r>
                  </m:e>
                </m:func>
              </m:num>
              <m:den>
                <m:func>
                  <m:funcPr>
                    <m:ctrlPr>
                      <w:rPr>
                        <w:rFonts w:ascii="Cambria Math" w:hAnsi="Cambria Math"/>
                        <w:i/>
                      </w:rPr>
                    </m:ctrlPr>
                  </m:funcPr>
                  <m:fName>
                    <m:r>
                      <m:rPr>
                        <m:sty m:val="p"/>
                      </m:rPr>
                      <w:rPr>
                        <w:rFonts w:ascii="Cambria Math" w:hAnsi="Cambria Math"/>
                      </w:rPr>
                      <m:t xml:space="preserve">ln</m:t>
                    </m:r>
                  </m:fName>
                  <m:e>
                    <m:r>
                      <w:rPr>
                        <w:rFonts w:ascii="Cambria Math" w:hAnsi="Cambria Math"/>
                      </w:rPr>
                      <m:t xml:space="preserve">10-1</m:t>
                    </m:r>
                  </m:e>
                </m:func>
              </m:den>
            </m:f>
          </m:e>
        </m:d>
      </m:oMath>
      <w:r>
        <w:rPr>
          <w:rFonts w:hint="eastAsia"/>
        </w:rPr>
        <w:t xml:space="preserve"> </w:t>
      </w:r>
      <w:r>
        <w:t xml:space="preserve">                    </w:t>
      </w:r>
      <w:r>
        <w:rPr>
          <w:rFonts w:hint="eastAsia"/>
        </w:rPr>
        <w:t>（4</w:t>
      </w:r>
      <w:r>
        <w:t>.3.2</w:t>
      </w:r>
      <w:r>
        <w:rPr>
          <w:rFonts w:hint="eastAsia"/>
        </w:rPr>
        <w:t>）</w:t>
      </w:r>
    </w:p>
    <w:p>
      <w:pPr>
        <w:snapToGrid w:val="0"/>
        <w:spacing w:line="360" w:lineRule="auto"/>
        <w:ind w:firstLine="480"/>
        <w:jc w:val="left"/>
        <w:rPr>
          <w:rFonts w:hAnsi="宋体"/>
        </w:rPr>
      </w:pPr>
      <w:r>
        <w:rPr>
          <w:rFonts w:hint="eastAsia" w:hAnsi="宋体"/>
        </w:rPr>
        <w:t xml:space="preserve">式中：R </w:t>
      </w:r>
      <w:r>
        <w:rPr>
          <w:rFonts w:hAnsi="宋体"/>
        </w:rPr>
        <w:t>——</w:t>
      </w:r>
      <w:r>
        <w:rPr>
          <w:rFonts w:hint="eastAsia" w:hAnsi="宋体"/>
        </w:rPr>
        <w:t>设计工作年限；</w:t>
      </w:r>
    </w:p>
    <w:p>
      <w:pPr>
        <w:snapToGrid w:val="0"/>
        <w:spacing w:line="360" w:lineRule="auto"/>
        <w:ind w:firstLine="480"/>
        <w:jc w:val="left"/>
        <w:rPr>
          <w:rFonts w:hAnsi="宋体"/>
        </w:rPr>
      </w:pPr>
      <w:r>
        <w:rPr>
          <w:rFonts w:hint="eastAsia" w:hAnsi="宋体"/>
        </w:rPr>
        <w:t xml:space="preserve"> </w:t>
      </w:r>
      <w:r>
        <w:rPr>
          <w:rFonts w:hAnsi="宋体"/>
        </w:rPr>
        <w:t xml:space="preserve">     </w:t>
      </w:r>
      <m:oMath>
        <m:sSub>
          <m:sSubPr>
            <m:ctrlPr>
              <w:rPr>
                <w:rFonts w:ascii="Cambria Math" w:hAnsi="Cambria Math"/>
                <w:i/>
              </w:rPr>
            </m:ctrlPr>
          </m:sSubPr>
          <m:e>
            <m:r>
              <w:rPr>
                <w:rFonts w:ascii="Cambria Math" w:hAnsi="Cambria Math"/>
              </w:rPr>
              <m:t xml:space="preserve">x</m:t>
            </m:r>
          </m:e>
          <m:sub>
            <m:r>
              <w:rPr>
                <w:rFonts w:ascii="Cambria Math" w:hAnsi="Cambria Math"/>
              </w:rPr>
              <m:t xml:space="preserve">R</m:t>
            </m:r>
          </m:sub>
        </m:sSub>
      </m:oMath>
      <w:r>
        <w:rPr>
          <w:rFonts w:hint="eastAsia" w:hAnsi="宋体"/>
        </w:rPr>
        <w:t xml:space="preserve">， </w:t>
      </w:r>
      <m:oMath>
        <m:sSub>
          <m:sSubPr>
            <m:ctrlPr>
              <w:rPr>
                <w:rFonts w:ascii="Cambria Math" w:hAnsi="Cambria Math"/>
                <w:i/>
              </w:rPr>
            </m:ctrlPr>
          </m:sSubPr>
          <m:e>
            <m:r>
              <w:rPr>
                <w:rFonts w:ascii="Cambria Math" w:hAnsi="Cambria Math"/>
              </w:rPr>
              <m:t xml:space="preserve">x</m:t>
            </m:r>
          </m:e>
          <m:sub>
            <m:r>
              <w:rPr>
                <w:rFonts w:ascii="Cambria Math" w:hAnsi="Cambria Math"/>
              </w:rPr>
              <m:t xml:space="preserve">10</m:t>
            </m:r>
          </m:sub>
        </m:sSub>
      </m:oMath>
      <w:r>
        <w:rPr>
          <w:rFonts w:hint="eastAsia" w:hAnsi="宋体"/>
        </w:rPr>
        <w:t>，</w:t>
      </w:r>
      <m:oMath>
        <m:sSub>
          <m:sSubPr>
            <m:ctrlPr>
              <w:rPr>
                <w:rFonts w:ascii="Cambria Math" w:hAnsi="Cambria Math"/>
                <w:i/>
              </w:rPr>
            </m:ctrlPr>
          </m:sSubPr>
          <m:e>
            <m:r>
              <w:rPr>
                <w:rFonts w:ascii="Cambria Math" w:hAnsi="Cambria Math"/>
              </w:rPr>
              <m:t xml:space="preserve">x</m:t>
            </m:r>
          </m:e>
          <m:sub>
            <m:r>
              <w:rPr>
                <w:rFonts w:ascii="Cambria Math" w:hAnsi="Cambria Math"/>
              </w:rPr>
              <m:t xml:space="preserve">100</m:t>
            </m:r>
          </m:sub>
        </m:sSub>
      </m:oMath>
      <w:r>
        <w:rPr>
          <w:rFonts w:hAnsi="宋体"/>
        </w:rPr>
        <w:t>——</w:t>
      </w:r>
      <w:r>
        <w:rPr>
          <w:rFonts w:hint="eastAsia" w:hAnsi="宋体"/>
        </w:rPr>
        <w:t>分别为重现期为R、1</w:t>
      </w:r>
      <w:r>
        <w:rPr>
          <w:rFonts w:hAnsi="宋体"/>
        </w:rPr>
        <w:t>0</w:t>
      </w:r>
      <w:r>
        <w:rPr>
          <w:rFonts w:hint="eastAsia" w:hAnsi="宋体"/>
        </w:rPr>
        <w:t>、</w:t>
      </w:r>
      <w:r>
        <w:rPr>
          <w:rFonts w:hAnsi="宋体"/>
        </w:rPr>
        <w:t>100</w:t>
      </w:r>
      <w:r>
        <w:rPr>
          <w:rFonts w:hint="eastAsia" w:hAnsi="宋体"/>
        </w:rPr>
        <w:t>年时的风压值。</w:t>
      </w:r>
    </w:p>
    <w:p>
      <w:pPr>
        <w:snapToGrid w:val="0"/>
        <w:spacing w:line="360" w:lineRule="auto"/>
        <w:ind w:firstLine="480"/>
        <w:jc w:val="left"/>
      </w:pPr>
      <w:r>
        <w:rPr>
          <w:rFonts w:hint="eastAsia" w:hAnsi="宋体"/>
        </w:rPr>
        <w:t>也可</w:t>
      </w:r>
      <w:r>
        <w:rPr>
          <w:rFonts w:hint="eastAsia"/>
        </w:rPr>
        <w:t>根据表4</w:t>
      </w:r>
      <w:r>
        <w:t>.3.2-2</w:t>
      </w:r>
      <w:r>
        <w:rPr>
          <w:rFonts w:hint="eastAsia"/>
        </w:rPr>
        <w:t>调整。</w:t>
      </w:r>
    </w:p>
    <w:p>
      <w:pPr>
        <w:pStyle w:val="80"/>
        <w:ind w:firstLine="480"/>
        <w:rPr>
          <w:kern w:val="2"/>
          <w:sz w:val="21"/>
          <w:szCs w:val="24"/>
        </w:rPr>
      </w:pPr>
      <w:r>
        <w:rPr>
          <w:rFonts w:hint="eastAsia"/>
        </w:rPr>
        <w:t>表4</w:t>
      </w:r>
      <w:r>
        <w:t xml:space="preserve">.3.2-2  </w:t>
      </w:r>
      <w:r>
        <w:rPr>
          <w:rFonts w:hint="eastAsia"/>
        </w:rPr>
        <w:t>以设计工作年限为重现期的基本风压调整系数</w:t>
      </w:r>
      <m:oMath>
        <m:sSub>
          <m:sSubPr>
            <m:ctrlPr>
              <w:rPr>
                <w:rFonts w:ascii="Cambria Math" w:eastAsia="宋体" w:hAnsi="Cambria Math"/>
                <w:i/>
                <w:kern w:val="2"/>
                <w:sz w:val="21"/>
                <w:szCs w:val="24"/>
              </w:rPr>
            </m:ctrlPr>
          </m:sSubPr>
          <m:e>
            <m:r>
              <w:rPr>
                <w:rFonts w:ascii="Cambria Math" w:hAnsi="Cambria Math"/>
              </w:rPr>
              <m:t xml:space="preserve">γ</m:t>
            </m:r>
          </m:e>
          <m:sub>
            <m:r>
              <w:rPr>
                <w:rFonts w:ascii="Cambria Math" w:hAnsi="Cambria Math"/>
              </w:rPr>
              <m:t xml:space="preserve">Wc</m:t>
            </m:r>
          </m:sub>
        </m:sSub>
      </m:oMath>
    </w:p>
    <w:tbl>
      <w:tblPr>
        <w:tblStyle w:val="38"/>
        <w:tblW w:w="82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701"/>
        <w:gridCol w:w="942"/>
        <w:gridCol w:w="1327"/>
        <w:gridCol w:w="132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4701" w:type="dxa"/>
          </w:tcPr>
          <w:p>
            <w:pPr>
              <w:pStyle w:val="80"/>
            </w:pPr>
            <w:r>
              <w:rPr>
                <w:rFonts w:hint="eastAsia"/>
              </w:rPr>
              <w:t>结构设计工作年限（年）</w:t>
            </w:r>
          </w:p>
        </w:tc>
        <w:tc>
          <w:tcPr>
            <w:tcW w:w="942" w:type="dxa"/>
          </w:tcPr>
          <w:p>
            <w:pPr>
              <w:pStyle w:val="80"/>
            </w:pPr>
            <w:r>
              <w:t>50</w:t>
            </w:r>
          </w:p>
        </w:tc>
        <w:tc>
          <w:tcPr>
            <w:tcW w:w="1327" w:type="dxa"/>
          </w:tcPr>
          <w:p>
            <w:pPr>
              <w:pStyle w:val="80"/>
            </w:pPr>
            <w:r>
              <w:t>75</w:t>
            </w:r>
          </w:p>
        </w:tc>
        <w:tc>
          <w:tcPr>
            <w:tcW w:w="1326" w:type="dxa"/>
          </w:tcPr>
          <w:p>
            <w:pPr>
              <w:pStyle w:val="80"/>
            </w:pPr>
            <w:r>
              <w:rPr>
                <w:rFonts w:hint="eastAsia"/>
              </w:rPr>
              <w:t>1</w:t>
            </w:r>
            <w:r>
              <w:t>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4701" w:type="dxa"/>
          </w:tcPr>
          <w:p>
            <w:pPr>
              <w:pStyle w:val="80"/>
            </w:pPr>
            <m:oMathPara>
              <m:oMath>
                <m:sSub>
                  <m:sSubPr>
                    <m:ctrlPr>
                      <w:rPr>
                        <w:rFonts w:ascii="Cambria Math" w:eastAsia="宋体" w:hAnsi="Cambria Math"/>
                        <w:i/>
                        <w:kern w:val="2"/>
                        <w:sz w:val="21"/>
                        <w:szCs w:val="24"/>
                      </w:rPr>
                    </m:ctrlPr>
                  </m:sSubPr>
                  <m:e>
                    <m:r>
                      <w:rPr>
                        <w:rFonts w:ascii="Cambria Math" w:hAnsi="Cambria Math"/>
                      </w:rPr>
                      <m:t xml:space="preserve">γ</m:t>
                    </m:r>
                  </m:e>
                  <m:sub>
                    <m:r>
                      <w:rPr>
                        <w:rFonts w:ascii="Cambria Math" w:hAnsi="Cambria Math"/>
                      </w:rPr>
                      <m:t xml:space="preserve">Wc</m:t>
                    </m:r>
                  </m:sub>
                </m:sSub>
              </m:oMath>
            </m:oMathPara>
          </w:p>
        </w:tc>
        <w:tc>
          <w:tcPr>
            <w:tcW w:w="942" w:type="dxa"/>
          </w:tcPr>
          <w:p>
            <w:pPr>
              <w:pStyle w:val="80"/>
            </w:pPr>
            <w:r>
              <w:t>1.0</w:t>
            </w:r>
          </w:p>
        </w:tc>
        <w:tc>
          <w:tcPr>
            <w:tcW w:w="1327" w:type="dxa"/>
          </w:tcPr>
          <w:p>
            <w:pPr>
              <w:pStyle w:val="80"/>
            </w:pPr>
            <w:r>
              <w:t>1.061</w:t>
            </w:r>
          </w:p>
        </w:tc>
        <w:tc>
          <w:tcPr>
            <w:tcW w:w="1326" w:type="dxa"/>
          </w:tcPr>
          <w:p>
            <w:pPr>
              <w:pStyle w:val="80"/>
            </w:pPr>
            <w:r>
              <w:t>1.105</w:t>
            </w:r>
          </w:p>
        </w:tc>
      </w:tr>
    </w:tbl>
    <w:p>
      <w:pPr>
        <w:pStyle w:val="53"/>
        <w:ind w:firstLine="480"/>
      </w:pPr>
      <w:r>
        <w:rPr>
          <w:rFonts w:hint="eastAsia"/>
        </w:rPr>
        <w:t>注：当设计工作年限不为表中数值时，调整系数</w:t>
      </w:r>
      <m:oMath>
        <m:sSub>
          <m:sSubPr>
            <m:ctrlPr>
              <w:rPr>
                <w:rFonts w:ascii="Cambria Math" w:hAnsi="Cambria Math"/>
                <w:i/>
              </w:rPr>
            </m:ctrlPr>
          </m:sSubPr>
          <m:e>
            <m:r>
              <w:rPr>
                <w:rFonts w:ascii="Cambria Math" w:hAnsi="Cambria Math"/>
              </w:rPr>
              <m:t xml:space="preserve">γ</m:t>
            </m:r>
          </m:e>
          <m:sub>
            <m:r>
              <w:rPr>
                <w:rFonts w:ascii="Cambria Math" w:hAnsi="Cambria Math"/>
              </w:rPr>
              <m:t xml:space="preserve">Wc</m:t>
            </m:r>
          </m:sub>
        </m:sSub>
      </m:oMath>
      <w:r>
        <w:rPr>
          <w:rFonts w:hint="eastAsia"/>
        </w:rPr>
        <w:t>可按线性内插确定。</w:t>
      </w:r>
    </w:p>
    <w:p>
      <w:pPr>
        <w:spacing w:line="360" w:lineRule="auto"/>
        <w:ind w:firstLine="480"/>
        <w:jc w:val="left"/>
      </w:pPr>
      <w:r>
        <w:rPr>
          <w:rFonts w:hint="eastAsia" w:eastAsia="等线"/>
          <w:b/>
          <w:bCs/>
        </w:rPr>
        <w:t>[条文说明]</w:t>
      </w:r>
      <w:r>
        <w:rPr>
          <w:rFonts w:hint="eastAsia"/>
        </w:rPr>
        <w:t xml:space="preserve"> 车辆基地作为上盖建筑的底盘对整体结构的安全至关重要，根据结构可靠性要求，非标准设计工作年限的活荷载及风荷载应加以修正。此调整系数仅针对分期开发的车辆基地设计，上盖结构设计无特别工作年限要求时，不必调整。本条相关系数及公式均选自《建筑结构荷载规范》GB50</w:t>
      </w:r>
      <w:r>
        <w:t>0</w:t>
      </w:r>
      <w:r>
        <w:rPr>
          <w:rFonts w:hint="eastAsia"/>
        </w:rPr>
        <w:t>09</w:t>
      </w:r>
      <w:r>
        <w:t>-2012</w:t>
      </w:r>
      <w:r>
        <w:rPr>
          <w:rFonts w:hint="eastAsia"/>
        </w:rPr>
        <w:t>的相关条文。</w:t>
      </w:r>
    </w:p>
    <w:p>
      <w:pPr>
        <w:spacing w:line="360" w:lineRule="auto"/>
        <w:ind w:firstLine="480"/>
        <w:jc w:val="left"/>
      </w:pPr>
      <w:r>
        <w:rPr>
          <w:rFonts w:hint="eastAsia"/>
        </w:rPr>
        <w:t>荷载标准值可控制的活荷载基本包括三类：1）以储物重量为主的楼面活荷载，如书库、档案库、贮藏室等；2）以车辆重量为主的、按等效均布方法确定的汽车通道及停车库活荷载；3）以设备重量为主的、按等效均布方法确定的工业楼面活荷载。其他如吊车荷载等以设备核定参数为主确定的活荷载也属于此类荷载。</w:t>
      </w:r>
    </w:p>
    <w:p>
      <w:pPr>
        <w:spacing w:line="360" w:lineRule="auto"/>
        <w:ind w:firstLine="480"/>
        <w:jc w:val="left"/>
      </w:pPr>
      <w:r>
        <w:rPr>
          <w:rFonts w:hint="eastAsia"/>
        </w:rPr>
        <w:t>应该特别注意的是，设计工作年限调整系数</w:t>
      </w:r>
      <m:oMath>
        <m:sSub>
          <m:sSubPr>
            <m:ctrlPr>
              <w:rPr>
                <w:rFonts w:ascii="Cambria Math" w:hAnsi="Cambria Math"/>
                <w:i/>
              </w:rPr>
            </m:ctrlPr>
          </m:sSubPr>
          <m:e>
            <m:r>
              <w:rPr>
                <w:rFonts w:ascii="Cambria Math" w:hAnsi="Cambria Math"/>
              </w:rPr>
              <m:t xml:space="preserve">γ</m:t>
            </m:r>
          </m:e>
          <m:sub>
            <m:r>
              <w:rPr>
                <w:rFonts w:ascii="Cambria Math" w:hAnsi="Cambria Math"/>
              </w:rPr>
              <m:t xml:space="preserve">Lc</m:t>
            </m:r>
          </m:sub>
        </m:sSub>
      </m:oMath>
      <w:r>
        <w:rPr>
          <w:rFonts w:hint="eastAsia"/>
        </w:rPr>
        <w:t>取1</w:t>
      </w:r>
      <w:r>
        <w:t>.0</w:t>
      </w:r>
      <w:r>
        <w:rPr>
          <w:rFonts w:hint="eastAsia"/>
        </w:rPr>
        <w:t>隐含两层意思，即此类活荷载既不会随设计工作年限的增加而增加，也不会随设计工作年限的减小而减小，这一点对厂房设计中的吊车荷载尤为重要。</w:t>
      </w:r>
    </w:p>
    <w:p>
      <w:pPr>
        <w:spacing w:line="360" w:lineRule="auto"/>
        <w:ind w:firstLine="480"/>
        <w:jc w:val="left"/>
      </w:pPr>
      <w:r>
        <w:rPr>
          <w:rFonts w:hint="eastAsia"/>
        </w:rPr>
        <w:t>基本风压也可以通过实际统计结果确定。</w:t>
      </w:r>
    </w:p>
    <w:p>
      <w:pPr>
        <w:spacing w:line="360" w:lineRule="auto"/>
        <w:ind w:firstLine="482"/>
      </w:pPr>
      <w:r>
        <w:rPr>
          <w:b/>
          <w:bCs/>
        </w:rPr>
        <w:t>4.3.3</w:t>
      </w:r>
      <w:r>
        <w:rPr>
          <w:rFonts w:hint="eastAsia"/>
        </w:rPr>
        <w:t>考虑非标准设计工作年限的车辆基地，其截面抗震设计的地震作用取值调整系数可取预估设计工作年限与5</w:t>
      </w:r>
      <w:r>
        <w:t>0</w:t>
      </w:r>
      <w:r>
        <w:rPr>
          <w:rFonts w:hint="eastAsia"/>
        </w:rPr>
        <w:t>年重现期的地震作用的比值，具体如下：</w:t>
      </w:r>
    </w:p>
    <w:p>
      <w:pPr>
        <w:spacing w:line="360" w:lineRule="auto"/>
        <w:ind w:firstLine="482"/>
      </w:pPr>
    </w:p>
    <w:p>
      <w:pPr>
        <w:spacing w:line="360" w:lineRule="auto"/>
        <w:ind w:firstLine="482"/>
      </w:pPr>
    </w:p>
    <w:p>
      <w:pPr>
        <w:pStyle w:val="80"/>
        <w:ind w:firstLine="480"/>
        <w:rPr>
          <w:kern w:val="2"/>
          <w:sz w:val="21"/>
          <w:szCs w:val="24"/>
        </w:rPr>
      </w:pPr>
      <w:r>
        <w:rPr>
          <w:rFonts w:hint="eastAsia"/>
        </w:rPr>
        <w:t>表4</w:t>
      </w:r>
      <w:r>
        <w:t xml:space="preserve">.3.3  </w:t>
      </w:r>
      <w:r>
        <w:rPr>
          <w:rFonts w:hint="eastAsia"/>
        </w:rPr>
        <w:t>不同设计工作年限与5</w:t>
      </w:r>
      <w:r>
        <w:t>0</w:t>
      </w:r>
      <w:r>
        <w:rPr>
          <w:rFonts w:hint="eastAsia"/>
        </w:rPr>
        <w:t>年重现期的地震作用的比值系数</w:t>
      </w:r>
    </w:p>
    <w:tbl>
      <w:tblPr>
        <w:tblStyle w:val="38"/>
        <w:tblW w:w="82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870"/>
        <w:gridCol w:w="1142"/>
        <w:gridCol w:w="1142"/>
        <w:gridCol w:w="114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4870" w:type="dxa"/>
            <w:vAlign w:val="center"/>
          </w:tcPr>
          <w:p>
            <w:pPr>
              <w:spacing w:line="288" w:lineRule="auto"/>
              <w:jc w:val="center"/>
              <w:rPr>
                <w:kern w:val="0"/>
                <w:sz w:val="20"/>
              </w:rPr>
            </w:pPr>
            <w:r>
              <w:rPr>
                <w:rFonts w:hint="eastAsia"/>
                <w:kern w:val="0"/>
                <w:sz w:val="20"/>
              </w:rPr>
              <w:t>结构设计工作年限（年）</w:t>
            </w:r>
          </w:p>
        </w:tc>
        <w:tc>
          <w:tcPr>
            <w:tcW w:w="1142" w:type="dxa"/>
            <w:vAlign w:val="center"/>
          </w:tcPr>
          <w:p>
            <w:pPr>
              <w:spacing w:line="288" w:lineRule="auto"/>
              <w:jc w:val="center"/>
              <w:rPr>
                <w:kern w:val="0"/>
                <w:sz w:val="20"/>
              </w:rPr>
            </w:pPr>
            <w:r>
              <w:rPr>
                <w:rFonts w:hint="eastAsia"/>
                <w:kern w:val="0"/>
                <w:sz w:val="20"/>
              </w:rPr>
              <w:t>6</w:t>
            </w:r>
            <w:r>
              <w:rPr>
                <w:kern w:val="0"/>
                <w:sz w:val="20"/>
              </w:rPr>
              <w:t>0</w:t>
            </w:r>
          </w:p>
        </w:tc>
        <w:tc>
          <w:tcPr>
            <w:tcW w:w="1142" w:type="dxa"/>
            <w:vAlign w:val="center"/>
          </w:tcPr>
          <w:p>
            <w:pPr>
              <w:spacing w:line="288" w:lineRule="auto"/>
              <w:jc w:val="center"/>
              <w:rPr>
                <w:kern w:val="0"/>
                <w:sz w:val="20"/>
              </w:rPr>
            </w:pPr>
            <w:r>
              <w:rPr>
                <w:rFonts w:hint="eastAsia"/>
                <w:kern w:val="0"/>
                <w:sz w:val="20"/>
              </w:rPr>
              <w:t>7</w:t>
            </w:r>
            <w:r>
              <w:rPr>
                <w:kern w:val="0"/>
                <w:sz w:val="20"/>
              </w:rPr>
              <w:t>5</w:t>
            </w:r>
          </w:p>
        </w:tc>
        <w:tc>
          <w:tcPr>
            <w:tcW w:w="1142" w:type="dxa"/>
            <w:vAlign w:val="center"/>
          </w:tcPr>
          <w:p>
            <w:pPr>
              <w:spacing w:line="288" w:lineRule="auto"/>
              <w:jc w:val="center"/>
              <w:rPr>
                <w:kern w:val="0"/>
                <w:sz w:val="20"/>
              </w:rPr>
            </w:pPr>
            <w:r>
              <w:rPr>
                <w:rFonts w:hint="eastAsia"/>
                <w:kern w:val="0"/>
                <w:sz w:val="20"/>
              </w:rPr>
              <w:t>1</w:t>
            </w:r>
            <w:r>
              <w:rPr>
                <w:kern w:val="0"/>
                <w:sz w:val="20"/>
              </w:rPr>
              <w:t>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4870" w:type="dxa"/>
            <w:vAlign w:val="center"/>
          </w:tcPr>
          <w:p>
            <w:pPr>
              <w:spacing w:line="288" w:lineRule="auto"/>
              <w:jc w:val="center"/>
              <w:rPr>
                <w:kern w:val="0"/>
                <w:sz w:val="20"/>
              </w:rPr>
            </w:pPr>
            <w:r>
              <w:rPr>
                <w:rFonts w:hint="eastAsia"/>
                <w:kern w:val="0"/>
                <w:sz w:val="20"/>
              </w:rPr>
              <w:t>多遇地震调整系数</w:t>
            </w:r>
            <m:oMath>
              <m:sSub>
                <m:sSubPr>
                  <m:ctrlPr>
                    <w:rPr>
                      <w:rFonts w:ascii="Cambria Math" w:hAnsi="Cambria Math"/>
                      <w:i/>
                    </w:rPr>
                  </m:ctrlPr>
                </m:sSubPr>
                <m:e>
                  <m:r>
                    <w:rPr>
                      <w:rFonts w:ascii="Cambria Math" w:hAnsi="Cambria Math"/>
                    </w:rPr>
                    <m:t xml:space="preserve">γ</m:t>
                  </m:r>
                </m:e>
                <m:sub>
                  <m:r>
                    <w:rPr>
                      <w:rFonts w:ascii="Cambria Math" w:hAnsi="Cambria Math"/>
                    </w:rPr>
                    <m:t xml:space="preserve">Fc</m:t>
                  </m:r>
                </m:sub>
              </m:sSub>
            </m:oMath>
          </w:p>
        </w:tc>
        <w:tc>
          <w:tcPr>
            <w:tcW w:w="1142" w:type="dxa"/>
            <w:vAlign w:val="center"/>
          </w:tcPr>
          <w:p>
            <w:pPr>
              <w:spacing w:line="288" w:lineRule="auto"/>
              <w:jc w:val="center"/>
              <w:rPr>
                <w:kern w:val="0"/>
                <w:sz w:val="20"/>
              </w:rPr>
            </w:pPr>
            <w:r>
              <w:rPr>
                <w:rFonts w:hint="eastAsia"/>
                <w:kern w:val="0"/>
                <w:sz w:val="20"/>
              </w:rPr>
              <w:t>1</w:t>
            </w:r>
            <w:r>
              <w:rPr>
                <w:kern w:val="0"/>
                <w:sz w:val="20"/>
              </w:rPr>
              <w:t>.10</w:t>
            </w:r>
          </w:p>
        </w:tc>
        <w:tc>
          <w:tcPr>
            <w:tcW w:w="1142" w:type="dxa"/>
            <w:vAlign w:val="center"/>
          </w:tcPr>
          <w:p>
            <w:pPr>
              <w:spacing w:line="288" w:lineRule="auto"/>
              <w:jc w:val="center"/>
              <w:rPr>
                <w:kern w:val="0"/>
                <w:sz w:val="20"/>
              </w:rPr>
            </w:pPr>
            <w:r>
              <w:rPr>
                <w:rFonts w:hint="eastAsia"/>
                <w:kern w:val="0"/>
                <w:sz w:val="20"/>
              </w:rPr>
              <w:t>1</w:t>
            </w:r>
            <w:r>
              <w:rPr>
                <w:kern w:val="0"/>
                <w:sz w:val="20"/>
              </w:rPr>
              <w:t>.25</w:t>
            </w:r>
          </w:p>
        </w:tc>
        <w:tc>
          <w:tcPr>
            <w:tcW w:w="1142" w:type="dxa"/>
            <w:vAlign w:val="center"/>
          </w:tcPr>
          <w:p>
            <w:pPr>
              <w:spacing w:line="288" w:lineRule="auto"/>
              <w:jc w:val="center"/>
              <w:rPr>
                <w:kern w:val="0"/>
                <w:sz w:val="20"/>
              </w:rPr>
            </w:pPr>
            <w:r>
              <w:rPr>
                <w:rFonts w:hint="eastAsia"/>
                <w:kern w:val="0"/>
                <w:sz w:val="20"/>
              </w:rPr>
              <w:t>1</w:t>
            </w:r>
            <w:r>
              <w:rPr>
                <w:kern w:val="0"/>
                <w:sz w:val="20"/>
              </w:rPr>
              <w:t>.45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4870" w:type="dxa"/>
            <w:vAlign w:val="center"/>
          </w:tcPr>
          <w:p>
            <w:pPr>
              <w:spacing w:line="288" w:lineRule="auto"/>
              <w:jc w:val="center"/>
              <w:rPr>
                <w:kern w:val="0"/>
                <w:sz w:val="20"/>
              </w:rPr>
            </w:pPr>
            <w:r>
              <w:rPr>
                <w:rFonts w:hint="eastAsia"/>
                <w:kern w:val="0"/>
                <w:sz w:val="20"/>
              </w:rPr>
              <w:t>罕遇地震调整系数</w:t>
            </w:r>
            <m:oMath>
              <m:sSub>
                <m:sSubPr>
                  <m:ctrlPr>
                    <w:rPr>
                      <w:rFonts w:ascii="Cambria Math" w:hAnsi="Cambria Math"/>
                      <w:i/>
                    </w:rPr>
                  </m:ctrlPr>
                </m:sSubPr>
                <m:e>
                  <m:r>
                    <w:rPr>
                      <w:rFonts w:ascii="Cambria Math" w:hAnsi="Cambria Math"/>
                    </w:rPr>
                    <m:t xml:space="preserve">γ</m:t>
                  </m:r>
                </m:e>
                <m:sub>
                  <m:r>
                    <w:rPr>
                      <w:rFonts w:ascii="Cambria Math" w:hAnsi="Cambria Math"/>
                    </w:rPr>
                    <m:t xml:space="preserve">Rc</m:t>
                  </m:r>
                </m:sub>
              </m:sSub>
            </m:oMath>
          </w:p>
        </w:tc>
        <w:tc>
          <w:tcPr>
            <w:tcW w:w="1142" w:type="dxa"/>
            <w:vAlign w:val="center"/>
          </w:tcPr>
          <w:p>
            <w:pPr>
              <w:spacing w:line="288" w:lineRule="auto"/>
              <w:jc w:val="center"/>
              <w:rPr>
                <w:kern w:val="0"/>
                <w:sz w:val="20"/>
              </w:rPr>
            </w:pPr>
            <w:r>
              <w:rPr>
                <w:rFonts w:hint="eastAsia"/>
                <w:kern w:val="0"/>
                <w:sz w:val="20"/>
              </w:rPr>
              <w:t>1</w:t>
            </w:r>
            <w:r>
              <w:rPr>
                <w:kern w:val="0"/>
                <w:sz w:val="20"/>
              </w:rPr>
              <w:t>.05</w:t>
            </w:r>
          </w:p>
        </w:tc>
        <w:tc>
          <w:tcPr>
            <w:tcW w:w="1142" w:type="dxa"/>
            <w:vAlign w:val="center"/>
          </w:tcPr>
          <w:p>
            <w:pPr>
              <w:spacing w:line="288" w:lineRule="auto"/>
              <w:jc w:val="center"/>
              <w:rPr>
                <w:kern w:val="0"/>
                <w:sz w:val="20"/>
              </w:rPr>
            </w:pPr>
            <w:r>
              <w:rPr>
                <w:rFonts w:hint="eastAsia"/>
                <w:kern w:val="0"/>
                <w:sz w:val="20"/>
              </w:rPr>
              <w:t>1</w:t>
            </w:r>
            <w:r>
              <w:rPr>
                <w:kern w:val="0"/>
                <w:sz w:val="20"/>
              </w:rPr>
              <w:t>.15</w:t>
            </w:r>
          </w:p>
        </w:tc>
        <w:tc>
          <w:tcPr>
            <w:tcW w:w="1142" w:type="dxa"/>
            <w:vAlign w:val="center"/>
          </w:tcPr>
          <w:p>
            <w:pPr>
              <w:spacing w:line="288" w:lineRule="auto"/>
              <w:jc w:val="center"/>
              <w:rPr>
                <w:kern w:val="0"/>
                <w:sz w:val="20"/>
              </w:rPr>
            </w:pPr>
            <w:r>
              <w:rPr>
                <w:rFonts w:hint="eastAsia"/>
                <w:kern w:val="0"/>
                <w:sz w:val="20"/>
              </w:rPr>
              <w:t>1</w:t>
            </w:r>
            <w:r>
              <w:rPr>
                <w:kern w:val="0"/>
                <w:sz w:val="20"/>
              </w:rPr>
              <w:t>.30</w:t>
            </w:r>
          </w:p>
        </w:tc>
      </w:tr>
    </w:tbl>
    <w:p>
      <w:pPr>
        <w:pStyle w:val="53"/>
        <w:ind w:firstLine="480"/>
      </w:pPr>
      <w:r>
        <w:rPr>
          <w:rFonts w:hint="eastAsia"/>
        </w:rPr>
        <w:t>注：当设计工作年限不为表中数值时，调整系数</w:t>
      </w:r>
      <m:oMath>
        <m:sSub>
          <m:sSubPr>
            <m:ctrlPr>
              <w:rPr>
                <w:rFonts w:ascii="Cambria Math" w:hAnsi="Cambria Math"/>
                <w:i/>
              </w:rPr>
            </m:ctrlPr>
          </m:sSubPr>
          <m:e>
            <m:r>
              <w:rPr>
                <w:rFonts w:ascii="Cambria Math" w:hAnsi="Cambria Math"/>
              </w:rPr>
              <m:t xml:space="preserve">γ</m:t>
            </m:r>
          </m:e>
          <m:sub>
            <m:r>
              <w:rPr>
                <w:rFonts w:ascii="Cambria Math" w:hAnsi="Cambria Math"/>
              </w:rPr>
              <m:t xml:space="preserve">Fc</m:t>
            </m:r>
            <m:r>
              <w:rPr>
                <w:rFonts w:ascii="Cambria Math" w:hAnsi="Cambria Math" w:hint="eastAsia"/>
              </w:rPr>
              <m:t xml:space="preserve">、</m:t>
            </m:r>
          </m:sub>
        </m:sSub>
        <m:sSub>
          <m:sSubPr>
            <m:ctrlPr>
              <w:rPr>
                <w:rFonts w:ascii="Cambria Math" w:hAnsi="Cambria Math"/>
                <w:i/>
              </w:rPr>
            </m:ctrlPr>
          </m:sSubPr>
          <m:e>
            <m:r>
              <w:rPr>
                <w:rFonts w:ascii="Cambria Math" w:hAnsi="Cambria Math"/>
              </w:rPr>
              <m:t xml:space="preserve">γ</m:t>
            </m:r>
          </m:e>
          <m:sub>
            <m:r>
              <w:rPr>
                <w:rFonts w:ascii="Cambria Math" w:hAnsi="Cambria Math"/>
              </w:rPr>
              <m:t xml:space="preserve">Rc</m:t>
            </m:r>
            <m:r>
              <w:rPr>
                <w:rFonts w:ascii="Cambria Math" w:hAnsi="Cambria Math" w:hint="eastAsia"/>
              </w:rPr>
              <m:t xml:space="preserve">、</m:t>
            </m:r>
          </m:sub>
        </m:sSub>
      </m:oMath>
      <w:r>
        <w:rPr>
          <w:rFonts w:hint="eastAsia"/>
        </w:rPr>
        <w:t>可按线性内插确定。</w:t>
      </w:r>
    </w:p>
    <w:p>
      <w:pPr>
        <w:snapToGrid w:val="0"/>
        <w:spacing w:line="360" w:lineRule="auto"/>
        <w:ind w:firstLine="480"/>
        <w:jc w:val="left"/>
        <w:rPr>
          <w:rFonts w:hAnsi="宋体"/>
        </w:rPr>
      </w:pPr>
      <w:r>
        <w:rPr>
          <w:rFonts w:hint="eastAsia" w:hAnsi="宋体"/>
        </w:rPr>
        <w:t>表中：</w:t>
      </w:r>
      <m:oMath>
        <m:sSub>
          <m:sSubPr>
            <m:ctrlPr>
              <w:rPr>
                <w:rFonts w:ascii="Cambria Math" w:hAnsi="Cambria Math"/>
                <w:i/>
              </w:rPr>
            </m:ctrlPr>
          </m:sSubPr>
          <m:e>
            <m:r>
              <w:rPr>
                <w:rFonts w:ascii="Cambria Math" w:hAnsi="Cambria Math"/>
              </w:rPr>
              <m:t xml:space="preserve">γ</m:t>
            </m:r>
          </m:e>
          <m:sub>
            <m:r>
              <w:rPr>
                <w:rFonts w:ascii="Cambria Math" w:hAnsi="Cambria Math"/>
              </w:rPr>
              <m:t xml:space="preserve">Fc</m:t>
            </m:r>
          </m:sub>
        </m:sSub>
      </m:oMath>
      <w:r>
        <w:rPr>
          <w:rFonts w:hint="eastAsia" w:hAnsi="宋体"/>
        </w:rPr>
        <w:t xml:space="preserve">， </w:t>
      </w:r>
      <m:oMath>
        <m:sSub>
          <m:sSubPr>
            <m:ctrlPr>
              <w:rPr>
                <w:rFonts w:ascii="Cambria Math" w:hAnsi="Cambria Math"/>
                <w:i/>
              </w:rPr>
            </m:ctrlPr>
          </m:sSubPr>
          <m:e>
            <m:r>
              <w:rPr>
                <w:rFonts w:ascii="Cambria Math" w:hAnsi="Cambria Math"/>
              </w:rPr>
              <m:t xml:space="preserve">γ</m:t>
            </m:r>
          </m:e>
          <m:sub>
            <m:r>
              <w:rPr>
                <w:rFonts w:ascii="Cambria Math" w:hAnsi="Cambria Math"/>
              </w:rPr>
              <m:t xml:space="preserve">Rc</m:t>
            </m:r>
          </m:sub>
        </m:sSub>
      </m:oMath>
      <w:r>
        <w:rPr>
          <w:rFonts w:hAnsi="宋体"/>
        </w:rPr>
        <w:t>——</w:t>
      </w:r>
      <w:r>
        <w:rPr>
          <w:rFonts w:hint="eastAsia" w:hAnsi="宋体"/>
        </w:rPr>
        <w:t>分别为设计工作年限多遇地震或罕遇地震作用取值与5</w:t>
      </w:r>
      <w:r>
        <w:rPr>
          <w:rFonts w:hAnsi="宋体"/>
        </w:rPr>
        <w:t>0</w:t>
      </w:r>
      <w:r>
        <w:rPr>
          <w:rFonts w:hint="eastAsia" w:hAnsi="宋体"/>
        </w:rPr>
        <w:t>年重现期的地震作用的比值系数。</w:t>
      </w:r>
    </w:p>
    <w:p>
      <w:pPr>
        <w:spacing w:line="360" w:lineRule="auto"/>
        <w:ind w:firstLine="480"/>
        <w:jc w:val="left"/>
      </w:pPr>
      <w:r>
        <w:rPr>
          <w:rFonts w:hint="eastAsia" w:eastAsia="等线"/>
          <w:b/>
          <w:bCs/>
        </w:rPr>
        <w:t>[条文说明]</w:t>
      </w:r>
      <w:r>
        <w:rPr>
          <w:rFonts w:hint="eastAsia"/>
        </w:rPr>
        <w:t>由于我国的地震动参数的区划图仅给出了5</w:t>
      </w:r>
      <w:r>
        <w:t>0</w:t>
      </w:r>
      <w:r>
        <w:rPr>
          <w:rFonts w:hint="eastAsia"/>
        </w:rPr>
        <w:t>年超越概率的地震作用水准，对于设计工作年限不同于5</w:t>
      </w:r>
      <w:r>
        <w:t>0</w:t>
      </w:r>
      <w:r>
        <w:rPr>
          <w:rFonts w:hint="eastAsia"/>
        </w:rPr>
        <w:t>年的结构，其地震作用需要作适当调整，参照《建筑抗震设计规范》GB</w:t>
      </w:r>
      <w:r>
        <w:t>50011-2010</w:t>
      </w:r>
      <w:r>
        <w:rPr>
          <w:rFonts w:hint="eastAsia"/>
        </w:rPr>
        <w:t>条文说明，得到相应设计工作年限地震作用取值的比例关系。此比值系数仅针对分期开发的车辆基地设计，上盖结构设计无特别工作年限要求时，不必调整。</w:t>
      </w:r>
    </w:p>
    <w:p>
      <w:pPr>
        <w:spacing w:line="360" w:lineRule="auto"/>
        <w:ind w:firstLine="482"/>
        <w:rPr>
          <w:rFonts w:hAnsi="宋体"/>
          <w:bCs/>
        </w:rPr>
      </w:pPr>
      <w:r>
        <w:rPr>
          <w:rFonts w:hAnsi="宋体"/>
          <w:b/>
        </w:rPr>
        <w:t>4</w:t>
      </w:r>
      <w:r>
        <w:rPr>
          <w:rFonts w:hint="eastAsia" w:hAnsi="宋体"/>
          <w:b/>
        </w:rPr>
        <w:t>.</w:t>
      </w:r>
      <w:r>
        <w:rPr>
          <w:rFonts w:hAnsi="宋体"/>
          <w:b/>
        </w:rPr>
        <w:t>3.4</w:t>
      </w:r>
      <w:r>
        <w:rPr>
          <w:rFonts w:hint="eastAsia" w:hAnsi="宋体"/>
          <w:bCs/>
        </w:rPr>
        <w:t>当上盖塔楼</w:t>
      </w:r>
      <w:r>
        <w:rPr>
          <w:rFonts w:hAnsi="宋体"/>
          <w:bCs/>
        </w:rPr>
        <w:t>结构的</w:t>
      </w:r>
      <w:r>
        <w:rPr>
          <w:rFonts w:hint="eastAsia" w:hAnsi="宋体"/>
          <w:bCs/>
        </w:rPr>
        <w:t>抗侧力构件与裙房柱网相交角度大于1</w:t>
      </w:r>
      <w:r>
        <w:rPr>
          <w:rFonts w:hAnsi="宋体"/>
          <w:bCs/>
        </w:rPr>
        <w:t>5°</w:t>
      </w:r>
      <w:r>
        <w:rPr>
          <w:rFonts w:hint="eastAsia" w:hAnsi="宋体"/>
          <w:bCs/>
        </w:rPr>
        <w:t>时，应分别按塔楼、裙房抗侧力构件方向计算水平地震作用，</w:t>
      </w:r>
      <w:r>
        <w:rPr>
          <w:rFonts w:hint="eastAsia" w:hAnsi="宋体"/>
          <w:szCs w:val="21"/>
        </w:rPr>
        <w:t>时程分析宜考虑最不利地震角的影响。</w:t>
      </w:r>
    </w:p>
    <w:p>
      <w:pPr>
        <w:widowControl/>
        <w:snapToGrid w:val="0"/>
        <w:spacing w:line="360" w:lineRule="auto"/>
        <w:ind w:firstLine="480"/>
        <w:rPr>
          <w:rFonts w:hAnsi="宋体"/>
          <w:color w:val="FF0000"/>
          <w:szCs w:val="21"/>
        </w:rPr>
      </w:pPr>
      <w:r>
        <w:rPr>
          <w:rFonts w:hint="eastAsia" w:eastAsia="等线"/>
          <w:b/>
          <w:bCs/>
        </w:rPr>
        <w:t>[条文说明]</w:t>
      </w:r>
      <w:r>
        <w:rPr>
          <w:rFonts w:hint="eastAsia" w:hAnsi="宋体"/>
          <w:color w:val="FF0000"/>
          <w:szCs w:val="21"/>
        </w:rPr>
        <w:t xml:space="preserve"> </w:t>
      </w:r>
      <w:r>
        <w:rPr>
          <w:rFonts w:hint="eastAsia" w:hAnsi="宋体"/>
          <w:szCs w:val="21"/>
        </w:rPr>
        <w:t>相同水平的地震沿着不同的方向作用</w:t>
      </w:r>
      <w:r>
        <w:rPr>
          <w:rFonts w:hint="eastAsia" w:hAnsi="宋体"/>
          <w:bCs/>
        </w:rPr>
        <w:t>，结构地震反应的大小一般也不同。当上盖塔楼</w:t>
      </w:r>
      <w:r>
        <w:rPr>
          <w:rFonts w:hAnsi="宋体"/>
          <w:bCs/>
        </w:rPr>
        <w:t>结构的</w:t>
      </w:r>
      <w:r>
        <w:rPr>
          <w:rFonts w:hint="eastAsia" w:hAnsi="宋体"/>
          <w:bCs/>
        </w:rPr>
        <w:t>抗侧力构件与裙房柱网</w:t>
      </w:r>
      <w:r>
        <w:rPr>
          <w:rFonts w:hint="eastAsia" w:hAnsi="宋体"/>
          <w:szCs w:val="21"/>
        </w:rPr>
        <w:t>斜交，地震作用传递比较复杂，建议时程分析考虑最不利地震角的影响。</w:t>
      </w:r>
    </w:p>
    <w:p>
      <w:pPr>
        <w:widowControl/>
        <w:snapToGrid w:val="0"/>
        <w:spacing w:line="360" w:lineRule="auto"/>
        <w:ind w:firstLine="482"/>
        <w:rPr>
          <w:rFonts w:hAnsi="宋体"/>
          <w:bCs/>
        </w:rPr>
      </w:pPr>
      <w:r>
        <w:rPr>
          <w:rFonts w:hAnsi="宋体"/>
          <w:b/>
        </w:rPr>
        <w:t>4</w:t>
      </w:r>
      <w:r>
        <w:rPr>
          <w:rFonts w:hint="eastAsia" w:hAnsi="宋体"/>
          <w:b/>
        </w:rPr>
        <w:t>.</w:t>
      </w:r>
      <w:r>
        <w:rPr>
          <w:rFonts w:hAnsi="宋体"/>
          <w:b/>
        </w:rPr>
        <w:t>3.5</w:t>
      </w:r>
      <w:r>
        <w:rPr>
          <w:rFonts w:hint="eastAsia" w:hAnsi="宋体"/>
          <w:bCs/>
        </w:rPr>
        <w:t>对上盖塔楼主迎风面与车辆基地不同的高层建筑，宜考虑风向角的影响。当</w:t>
      </w:r>
      <w:r>
        <w:rPr>
          <w:rFonts w:hAnsi="宋体"/>
          <w:bCs/>
        </w:rPr>
        <w:t>上盖</w:t>
      </w:r>
      <w:r>
        <w:rPr>
          <w:rFonts w:hint="eastAsia" w:hAnsi="宋体"/>
          <w:bCs/>
        </w:rPr>
        <w:t>多栋</w:t>
      </w:r>
      <w:r>
        <w:rPr>
          <w:rFonts w:hAnsi="宋体"/>
          <w:bCs/>
        </w:rPr>
        <w:t>建筑</w:t>
      </w:r>
      <w:r>
        <w:rPr>
          <w:rFonts w:hint="eastAsia" w:hAnsi="宋体"/>
          <w:bCs/>
        </w:rPr>
        <w:t>相互间距较近时</w:t>
      </w:r>
      <w:r>
        <w:rPr>
          <w:rFonts w:hAnsi="宋体"/>
          <w:bCs/>
        </w:rPr>
        <w:t>，</w:t>
      </w:r>
      <w:r>
        <w:rPr>
          <w:rFonts w:hint="eastAsia" w:hAnsi="宋体"/>
          <w:bCs/>
        </w:rPr>
        <w:t>宜考虑风力相互干扰的群体效应。一般可将单栋建筑的体型系数乘以相互干扰增大系数，该系数可参考</w:t>
      </w:r>
      <w:r>
        <w:rPr>
          <w:rFonts w:hint="eastAsia" w:hAnsi="宋体"/>
          <w:szCs w:val="21"/>
        </w:rPr>
        <w:t>《高层建筑混凝土结构技术规程》</w:t>
      </w:r>
      <w:r>
        <w:rPr>
          <w:rFonts w:hint="eastAsia" w:hAnsi="宋体"/>
          <w:bCs/>
        </w:rPr>
        <w:t>JGJ</w:t>
      </w:r>
      <w:r>
        <w:rPr>
          <w:rFonts w:hAnsi="宋体"/>
          <w:bCs/>
        </w:rPr>
        <w:t>3</w:t>
      </w:r>
      <w:r>
        <w:rPr>
          <w:rFonts w:hint="eastAsia" w:hAnsi="宋体"/>
          <w:bCs/>
        </w:rPr>
        <w:t>或类似条件的试验资料确定</w:t>
      </w:r>
      <w:r>
        <w:rPr>
          <w:rFonts w:hAnsi="宋体"/>
          <w:bCs/>
        </w:rPr>
        <w:t>。</w:t>
      </w:r>
    </w:p>
    <w:p>
      <w:pPr>
        <w:widowControl/>
        <w:snapToGrid w:val="0"/>
        <w:spacing w:line="360" w:lineRule="auto"/>
        <w:ind w:firstLine="480"/>
      </w:pPr>
      <w:r>
        <w:rPr>
          <w:rFonts w:hint="eastAsia" w:eastAsia="等线"/>
          <w:b/>
          <w:bCs/>
        </w:rPr>
        <w:t>[条文说明]</w:t>
      </w:r>
      <w:r>
        <w:rPr>
          <w:rFonts w:hint="eastAsia" w:hAnsi="宋体"/>
          <w:color w:val="FF0000"/>
          <w:szCs w:val="21"/>
        </w:rPr>
        <w:t xml:space="preserve"> </w:t>
      </w:r>
      <w:r>
        <w:rPr>
          <w:rFonts w:hint="eastAsia" w:hAnsi="宋体"/>
          <w:szCs w:val="21"/>
        </w:rPr>
        <w:t>由于盖下柱网与塔楼柱网斜交，导致车辆基地与上盖建筑迎风面及风向角有所不同，设计时需要特别留意，保证风载传递的正确性。</w:t>
      </w:r>
    </w:p>
    <w:p>
      <w:pPr>
        <w:adjustRightInd w:val="0"/>
        <w:snapToGrid w:val="0"/>
        <w:spacing w:line="360" w:lineRule="auto"/>
        <w:ind w:firstLine="480"/>
        <w:rPr>
          <w:rFonts w:hAnsi="宋体"/>
          <w:szCs w:val="21"/>
        </w:rPr>
      </w:pPr>
      <w:r>
        <w:rPr>
          <w:rFonts w:hAnsi="宋体"/>
          <w:b/>
        </w:rPr>
        <w:t>4.3.6</w:t>
      </w:r>
      <w:r>
        <w:rPr>
          <w:rFonts w:hint="eastAsia" w:hAnsi="宋体"/>
          <w:szCs w:val="21"/>
        </w:rPr>
        <w:t>按弹性方法计算的风荷载或多遇地震标准值作用下的楼层层间位移角及罕遇</w:t>
      </w:r>
      <w:r>
        <w:rPr>
          <w:rFonts w:hAnsi="宋体"/>
          <w:szCs w:val="21"/>
        </w:rPr>
        <w:t>地震作用下的弹塑性层间位移角</w:t>
      </w:r>
      <w:r>
        <w:rPr>
          <w:rFonts w:hint="eastAsia" w:hAnsi="宋体"/>
          <w:szCs w:val="21"/>
        </w:rPr>
        <w:t>，其限值可根据车辆基地上盖建筑的结构类型确定，宜符合现行国家及地方标准的相关规定。其中全</w:t>
      </w:r>
      <w:r>
        <w:rPr>
          <w:rFonts w:hAnsi="宋体"/>
          <w:szCs w:val="21"/>
        </w:rPr>
        <w:t>框支</w:t>
      </w:r>
      <w:r>
        <w:rPr>
          <w:rFonts w:hint="eastAsia" w:hAnsi="宋体"/>
          <w:szCs w:val="21"/>
        </w:rPr>
        <w:t>结构</w:t>
      </w:r>
      <w:r>
        <w:rPr>
          <w:rFonts w:hAnsi="宋体"/>
          <w:szCs w:val="21"/>
        </w:rPr>
        <w:t>的</w:t>
      </w:r>
      <w:r>
        <w:rPr>
          <w:rFonts w:hint="eastAsia" w:hAnsi="宋体"/>
          <w:szCs w:val="21"/>
        </w:rPr>
        <w:t>框支柱</w:t>
      </w:r>
      <w:r>
        <w:rPr>
          <w:rFonts w:hint="eastAsia" w:hAnsi="宋体"/>
        </w:rPr>
        <w:t>在各层的弹性层间位移角限值不宜超过1/2000；在罕遇地震作用下，弹塑性层间位移角限值不宜大于1/</w:t>
      </w:r>
      <w:r>
        <w:rPr>
          <w:rFonts w:hAnsi="宋体"/>
        </w:rPr>
        <w:t>200</w:t>
      </w:r>
      <w:r>
        <w:rPr>
          <w:rFonts w:hint="eastAsia" w:hAnsi="宋体"/>
        </w:rPr>
        <w:t>，不应大于1</w:t>
      </w:r>
      <w:r>
        <w:rPr>
          <w:rFonts w:hAnsi="宋体"/>
        </w:rPr>
        <w:t>/150</w:t>
      </w:r>
      <w:r>
        <w:rPr>
          <w:rFonts w:hint="eastAsia" w:hAnsi="宋体"/>
        </w:rPr>
        <w:t>。</w:t>
      </w:r>
    </w:p>
    <w:p>
      <w:pPr>
        <w:adjustRightInd w:val="0"/>
        <w:snapToGrid w:val="0"/>
        <w:spacing w:line="360" w:lineRule="auto"/>
        <w:ind w:firstLine="480"/>
        <w:rPr>
          <w:rFonts w:hAnsi="宋体"/>
        </w:rPr>
      </w:pPr>
      <w:r>
        <w:rPr>
          <w:rFonts w:hint="eastAsia" w:eastAsia="等线"/>
          <w:b/>
          <w:bCs/>
        </w:rPr>
        <w:t>[条文说明]</w:t>
      </w:r>
      <w:r>
        <w:rPr>
          <w:rFonts w:eastAsia="等线"/>
          <w:b/>
          <w:bCs/>
        </w:rPr>
        <w:t xml:space="preserve"> </w:t>
      </w:r>
      <w:r>
        <w:rPr>
          <w:rFonts w:hint="eastAsia" w:ascii="宋体" w:hAnsi="宋体"/>
        </w:rPr>
        <w:t>弹性</w:t>
      </w:r>
      <w:r>
        <w:rPr>
          <w:rFonts w:hint="eastAsia"/>
          <w:szCs w:val="21"/>
        </w:rPr>
        <w:t>层间位移角控制是构件截面大小，刚度大小的宏观指标；</w:t>
      </w:r>
      <w:r>
        <w:rPr>
          <w:rFonts w:hint="eastAsia" w:hAnsi="宋体"/>
        </w:rPr>
        <w:t>弹塑性层间位移角是控制弹塑性变形的指标，这里</w:t>
      </w:r>
      <w:r>
        <w:rPr>
          <w:rFonts w:hAnsi="宋体"/>
        </w:rPr>
        <w:t>控制指标</w:t>
      </w:r>
      <w:r>
        <w:rPr>
          <w:rFonts w:hint="eastAsia" w:hAnsi="宋体"/>
        </w:rPr>
        <w:t>弹性层间</w:t>
      </w:r>
      <w:r>
        <w:rPr>
          <w:rFonts w:hAnsi="宋体"/>
        </w:rPr>
        <w:t>位移角</w:t>
      </w:r>
      <w:r>
        <w:rPr>
          <w:rFonts w:hint="eastAsia" w:hAnsi="宋体"/>
        </w:rPr>
        <w:t>1/2000与</w:t>
      </w:r>
      <w:r>
        <w:rPr>
          <w:rFonts w:hAnsi="宋体"/>
        </w:rPr>
        <w:t>传统意义</w:t>
      </w:r>
      <w:r>
        <w:rPr>
          <w:rFonts w:hint="eastAsia" w:hAnsi="宋体"/>
        </w:rPr>
        <w:t>控制</w:t>
      </w:r>
      <w:r>
        <w:rPr>
          <w:rFonts w:hAnsi="宋体"/>
        </w:rPr>
        <w:t>层间开裂不同</w:t>
      </w:r>
      <w:r>
        <w:rPr>
          <w:rFonts w:hint="eastAsia" w:hAnsi="宋体"/>
        </w:rPr>
        <w:t>，</w:t>
      </w:r>
      <w:r>
        <w:rPr>
          <w:rFonts w:hAnsi="宋体"/>
        </w:rPr>
        <w:t>其意义在于按此位移角控制框支柱刚度</w:t>
      </w:r>
      <w:r>
        <w:rPr>
          <w:rFonts w:hint="eastAsia" w:hAnsi="宋体"/>
        </w:rPr>
        <w:t>的</w:t>
      </w:r>
      <w:r>
        <w:rPr>
          <w:rFonts w:hAnsi="宋体"/>
        </w:rPr>
        <w:t>全框支转换结构，</w:t>
      </w:r>
      <w:r>
        <w:rPr>
          <w:rFonts w:hint="eastAsia" w:hAnsi="宋体"/>
        </w:rPr>
        <w:t>通过</w:t>
      </w:r>
      <w:r>
        <w:rPr>
          <w:rFonts w:hAnsi="宋体"/>
        </w:rPr>
        <w:t>性能设计，</w:t>
      </w:r>
      <w:r>
        <w:rPr>
          <w:rFonts w:hint="eastAsia" w:hAnsi="宋体"/>
        </w:rPr>
        <w:t>一般</w:t>
      </w:r>
      <w:r>
        <w:rPr>
          <w:rFonts w:hAnsi="宋体"/>
        </w:rPr>
        <w:t>可以</w:t>
      </w:r>
      <w:r>
        <w:rPr>
          <w:rFonts w:hint="eastAsia" w:hAnsi="宋体"/>
        </w:rPr>
        <w:t>将</w:t>
      </w:r>
      <w:r>
        <w:rPr>
          <w:rFonts w:hAnsi="宋体"/>
        </w:rPr>
        <w:t>罕遇地震作用下框支柱的弹塑性</w:t>
      </w:r>
      <w:r>
        <w:rPr>
          <w:rFonts w:hint="eastAsia" w:hAnsi="宋体"/>
        </w:rPr>
        <w:t>层间</w:t>
      </w:r>
      <w:r>
        <w:rPr>
          <w:rFonts w:hAnsi="宋体"/>
        </w:rPr>
        <w:t>位移角</w:t>
      </w:r>
      <w:r>
        <w:rPr>
          <w:rFonts w:hint="eastAsia" w:hAnsi="宋体"/>
        </w:rPr>
        <w:t>控制在</w:t>
      </w:r>
      <w:r>
        <w:rPr>
          <w:rFonts w:hAnsi="宋体"/>
        </w:rPr>
        <w:t>1/250</w:t>
      </w:r>
      <w:r>
        <w:rPr>
          <w:rFonts w:hint="eastAsia" w:hAnsi="宋体"/>
        </w:rPr>
        <w:t>之内</w:t>
      </w:r>
      <w:r>
        <w:rPr>
          <w:rFonts w:hAnsi="宋体"/>
        </w:rPr>
        <w:t>，比</w:t>
      </w:r>
      <w:r>
        <w:rPr>
          <w:rFonts w:hint="eastAsia" w:hAnsi="宋体"/>
          <w:szCs w:val="21"/>
        </w:rPr>
        <w:t>《建筑抗震设计规范》</w:t>
      </w:r>
      <w:r>
        <w:rPr>
          <w:rFonts w:hAnsi="宋体"/>
        </w:rPr>
        <w:t>GB50011</w:t>
      </w:r>
      <w:r>
        <w:rPr>
          <w:rFonts w:hint="eastAsia" w:hAnsi="宋体"/>
        </w:rPr>
        <w:t>建议</w:t>
      </w:r>
      <w:r>
        <w:rPr>
          <w:rFonts w:hAnsi="宋体"/>
        </w:rPr>
        <w:t>的结构竖向构件对应于不同破坏状态的最大层间位移角参考控制目标</w:t>
      </w:r>
      <w:r>
        <w:rPr>
          <w:rFonts w:hint="eastAsia" w:hAnsi="宋体"/>
        </w:rPr>
        <w:t>“不</w:t>
      </w:r>
      <w:r>
        <w:rPr>
          <w:rFonts w:hAnsi="宋体"/>
        </w:rPr>
        <w:t>严重破坏</w:t>
      </w:r>
      <w:r>
        <w:rPr>
          <w:rFonts w:hint="eastAsia" w:hAnsi="宋体"/>
        </w:rPr>
        <w:t>”有所</w:t>
      </w:r>
      <w:r>
        <w:rPr>
          <w:rFonts w:hAnsi="宋体"/>
        </w:rPr>
        <w:t>提高</w:t>
      </w:r>
      <w:r>
        <w:rPr>
          <w:rFonts w:hint="eastAsia" w:hAnsi="宋体"/>
        </w:rPr>
        <w:t>，基本可以满足</w:t>
      </w:r>
      <w:r>
        <w:rPr>
          <w:rFonts w:hAnsi="宋体"/>
        </w:rPr>
        <w:t>“</w:t>
      </w:r>
      <w:r>
        <w:rPr>
          <w:rFonts w:hint="eastAsia" w:hAnsi="宋体"/>
        </w:rPr>
        <w:t>中等</w:t>
      </w:r>
      <w:r>
        <w:rPr>
          <w:rFonts w:hAnsi="宋体"/>
        </w:rPr>
        <w:t>破坏”</w:t>
      </w:r>
      <w:r>
        <w:rPr>
          <w:rFonts w:hint="eastAsia" w:hAnsi="宋体"/>
        </w:rPr>
        <w:t>的</w:t>
      </w:r>
      <w:r>
        <w:rPr>
          <w:rFonts w:hAnsi="宋体"/>
        </w:rPr>
        <w:t>控制目标，与提高下部结构性能</w:t>
      </w:r>
      <w:r>
        <w:rPr>
          <w:rFonts w:hint="eastAsia" w:hAnsi="宋体"/>
        </w:rPr>
        <w:t>水准的</w:t>
      </w:r>
      <w:r>
        <w:rPr>
          <w:rFonts w:hAnsi="宋体"/>
        </w:rPr>
        <w:t>设计要求一致。</w:t>
      </w:r>
      <w:r>
        <w:rPr>
          <w:rFonts w:hint="eastAsia" w:hAnsi="宋体"/>
          <w:szCs w:val="21"/>
        </w:rPr>
        <w:t>《建筑抗震设计规范》</w:t>
      </w:r>
      <w:r>
        <w:rPr>
          <w:rFonts w:hint="eastAsia" w:hAnsi="宋体"/>
        </w:rPr>
        <w:t>GB50011给出了变形最大的楼层中竖向构件最大位移角限值，如下表所示</w:t>
      </w:r>
    </w:p>
    <w:p>
      <w:pPr>
        <w:pStyle w:val="80"/>
        <w:ind w:firstLine="480"/>
      </w:pPr>
      <w:r>
        <w:rPr>
          <w:rFonts w:hint="eastAsia"/>
        </w:rPr>
        <w:t>表</w:t>
      </w:r>
      <w:r>
        <w:t xml:space="preserve">2  </w:t>
      </w:r>
      <w:r>
        <w:rPr>
          <w:rFonts w:hint="eastAsia"/>
        </w:rPr>
        <w:t>结构竖向构件对应于不同破坏状态的最大层间位移角参考控制目标</w:t>
      </w:r>
    </w:p>
    <w:tbl>
      <w:tblPr>
        <w:tblStyle w:val="38"/>
        <w:tblW w:w="829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833"/>
        <w:gridCol w:w="1416"/>
        <w:gridCol w:w="1274"/>
        <w:gridCol w:w="1419"/>
        <w:gridCol w:w="135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2833" w:type="dxa"/>
          </w:tcPr>
          <w:p>
            <w:pPr>
              <w:pStyle w:val="80"/>
              <w:spacing w:line="240" w:lineRule="auto"/>
              <w:rPr>
                <w:rFonts w:ascii="宋体" w:hAnsi="宋体" w:eastAsia="宋体"/>
              </w:rPr>
            </w:pPr>
            <w:r>
              <w:rPr>
                <w:rFonts w:hint="eastAsia" w:ascii="宋体" w:hAnsi="宋体" w:eastAsia="宋体"/>
              </w:rPr>
              <w:t>结构类型</w:t>
            </w:r>
          </w:p>
        </w:tc>
        <w:tc>
          <w:tcPr>
            <w:tcW w:w="1416" w:type="dxa"/>
          </w:tcPr>
          <w:p>
            <w:pPr>
              <w:pStyle w:val="80"/>
              <w:spacing w:line="240" w:lineRule="auto"/>
              <w:rPr>
                <w:rFonts w:ascii="宋体" w:hAnsi="宋体" w:eastAsia="宋体"/>
              </w:rPr>
            </w:pPr>
            <w:r>
              <w:rPr>
                <w:rFonts w:hint="eastAsia" w:ascii="宋体" w:hAnsi="宋体" w:eastAsia="宋体"/>
              </w:rPr>
              <w:t>完好</w:t>
            </w:r>
          </w:p>
        </w:tc>
        <w:tc>
          <w:tcPr>
            <w:tcW w:w="1274" w:type="dxa"/>
          </w:tcPr>
          <w:p>
            <w:pPr>
              <w:pStyle w:val="80"/>
              <w:spacing w:line="240" w:lineRule="auto"/>
              <w:rPr>
                <w:rFonts w:ascii="宋体" w:hAnsi="宋体" w:eastAsia="宋体"/>
              </w:rPr>
            </w:pPr>
            <w:r>
              <w:rPr>
                <w:rFonts w:hint="eastAsia" w:ascii="宋体" w:hAnsi="宋体" w:eastAsia="宋体"/>
              </w:rPr>
              <w:t>轻微破坏</w:t>
            </w:r>
          </w:p>
        </w:tc>
        <w:tc>
          <w:tcPr>
            <w:tcW w:w="1419" w:type="dxa"/>
          </w:tcPr>
          <w:p>
            <w:pPr>
              <w:pStyle w:val="80"/>
              <w:spacing w:line="240" w:lineRule="auto"/>
              <w:rPr>
                <w:rFonts w:ascii="宋体" w:hAnsi="宋体" w:eastAsia="宋体"/>
              </w:rPr>
            </w:pPr>
            <w:r>
              <w:rPr>
                <w:rFonts w:hint="eastAsia" w:ascii="宋体" w:hAnsi="宋体" w:eastAsia="宋体"/>
              </w:rPr>
              <w:t>中等破坏</w:t>
            </w:r>
          </w:p>
        </w:tc>
        <w:tc>
          <w:tcPr>
            <w:tcW w:w="1354" w:type="dxa"/>
          </w:tcPr>
          <w:p>
            <w:pPr>
              <w:pStyle w:val="80"/>
              <w:spacing w:line="240" w:lineRule="auto"/>
              <w:rPr>
                <w:rFonts w:ascii="宋体" w:hAnsi="宋体" w:eastAsia="宋体"/>
              </w:rPr>
            </w:pPr>
            <w:r>
              <w:rPr>
                <w:rFonts w:hint="eastAsia" w:ascii="宋体" w:hAnsi="宋体" w:eastAsia="宋体"/>
              </w:rPr>
              <w:t>不严重破坏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2833" w:type="dxa"/>
          </w:tcPr>
          <w:p>
            <w:pPr>
              <w:pStyle w:val="80"/>
              <w:spacing w:line="240" w:lineRule="auto"/>
              <w:rPr>
                <w:rFonts w:ascii="宋体" w:hAnsi="宋体" w:eastAsia="宋体"/>
              </w:rPr>
            </w:pPr>
            <w:r>
              <w:rPr>
                <w:rFonts w:hint="eastAsia" w:ascii="宋体" w:hAnsi="宋体" w:eastAsia="宋体"/>
              </w:rPr>
              <w:t>钢筋混凝土框架</w:t>
            </w:r>
          </w:p>
        </w:tc>
        <w:tc>
          <w:tcPr>
            <w:tcW w:w="1416" w:type="dxa"/>
          </w:tcPr>
          <w:p>
            <w:pPr>
              <w:pStyle w:val="80"/>
              <w:spacing w:line="240" w:lineRule="auto"/>
              <w:rPr>
                <w:rFonts w:ascii="宋体" w:hAnsi="宋体" w:eastAsia="宋体"/>
              </w:rPr>
            </w:pPr>
            <w:r>
              <w:rPr>
                <w:rFonts w:hint="eastAsia" w:ascii="宋体" w:hAnsi="宋体" w:eastAsia="宋体"/>
              </w:rPr>
              <w:t>1</w:t>
            </w:r>
            <w:r>
              <w:rPr>
                <w:rFonts w:ascii="宋体" w:hAnsi="宋体" w:eastAsia="宋体"/>
              </w:rPr>
              <w:t>/550</w:t>
            </w:r>
          </w:p>
        </w:tc>
        <w:tc>
          <w:tcPr>
            <w:tcW w:w="1274" w:type="dxa"/>
          </w:tcPr>
          <w:p>
            <w:pPr>
              <w:pStyle w:val="80"/>
              <w:spacing w:line="240" w:lineRule="auto"/>
              <w:rPr>
                <w:rFonts w:ascii="宋体" w:hAnsi="宋体" w:eastAsia="宋体"/>
              </w:rPr>
            </w:pPr>
            <w:r>
              <w:rPr>
                <w:rFonts w:hint="eastAsia" w:ascii="宋体" w:hAnsi="宋体" w:eastAsia="宋体"/>
              </w:rPr>
              <w:t>1</w:t>
            </w:r>
            <w:r>
              <w:rPr>
                <w:rFonts w:ascii="宋体" w:hAnsi="宋体" w:eastAsia="宋体"/>
              </w:rPr>
              <w:t>/250</w:t>
            </w:r>
          </w:p>
        </w:tc>
        <w:tc>
          <w:tcPr>
            <w:tcW w:w="1419" w:type="dxa"/>
          </w:tcPr>
          <w:p>
            <w:pPr>
              <w:pStyle w:val="80"/>
              <w:spacing w:line="240" w:lineRule="auto"/>
              <w:rPr>
                <w:rFonts w:ascii="宋体" w:hAnsi="宋体" w:eastAsia="宋体"/>
              </w:rPr>
            </w:pPr>
            <w:r>
              <w:rPr>
                <w:rFonts w:hint="eastAsia" w:ascii="宋体" w:hAnsi="宋体" w:eastAsia="宋体"/>
              </w:rPr>
              <w:t>1</w:t>
            </w:r>
            <w:r>
              <w:rPr>
                <w:rFonts w:ascii="宋体" w:hAnsi="宋体" w:eastAsia="宋体"/>
              </w:rPr>
              <w:t>/120</w:t>
            </w:r>
          </w:p>
        </w:tc>
        <w:tc>
          <w:tcPr>
            <w:tcW w:w="1354" w:type="dxa"/>
          </w:tcPr>
          <w:p>
            <w:pPr>
              <w:pStyle w:val="80"/>
              <w:spacing w:line="240" w:lineRule="auto"/>
              <w:rPr>
                <w:rFonts w:ascii="宋体" w:hAnsi="宋体" w:eastAsia="宋体"/>
              </w:rPr>
            </w:pPr>
            <w:r>
              <w:rPr>
                <w:rFonts w:hint="eastAsia" w:ascii="宋体" w:hAnsi="宋体" w:eastAsia="宋体"/>
              </w:rPr>
              <w:t>1</w:t>
            </w:r>
            <w:r>
              <w:rPr>
                <w:rFonts w:ascii="宋体" w:hAnsi="宋体" w:eastAsia="宋体"/>
              </w:rPr>
              <w:t>/60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2833" w:type="dxa"/>
          </w:tcPr>
          <w:p>
            <w:pPr>
              <w:pStyle w:val="80"/>
              <w:spacing w:line="240" w:lineRule="auto"/>
              <w:rPr>
                <w:rFonts w:ascii="宋体" w:hAnsi="宋体" w:eastAsia="宋体"/>
              </w:rPr>
            </w:pPr>
            <w:r>
              <w:rPr>
                <w:rFonts w:hint="eastAsia" w:ascii="宋体" w:hAnsi="宋体" w:eastAsia="宋体"/>
              </w:rPr>
              <w:t>钢筋混凝土剪力墙、筒中筒</w:t>
            </w:r>
          </w:p>
        </w:tc>
        <w:tc>
          <w:tcPr>
            <w:tcW w:w="1416" w:type="dxa"/>
          </w:tcPr>
          <w:p>
            <w:pPr>
              <w:pStyle w:val="80"/>
              <w:spacing w:line="240" w:lineRule="auto"/>
              <w:rPr>
                <w:rFonts w:ascii="宋体" w:hAnsi="宋体" w:eastAsia="宋体"/>
              </w:rPr>
            </w:pPr>
            <w:r>
              <w:rPr>
                <w:rFonts w:hint="eastAsia" w:ascii="宋体" w:hAnsi="宋体" w:eastAsia="宋体"/>
              </w:rPr>
              <w:t>1</w:t>
            </w:r>
            <w:r>
              <w:rPr>
                <w:rFonts w:ascii="宋体" w:hAnsi="宋体" w:eastAsia="宋体"/>
              </w:rPr>
              <w:t>/1000</w:t>
            </w:r>
          </w:p>
        </w:tc>
        <w:tc>
          <w:tcPr>
            <w:tcW w:w="1274" w:type="dxa"/>
          </w:tcPr>
          <w:p>
            <w:pPr>
              <w:pStyle w:val="80"/>
              <w:spacing w:line="240" w:lineRule="auto"/>
              <w:rPr>
                <w:rFonts w:ascii="宋体" w:hAnsi="宋体" w:eastAsia="宋体"/>
              </w:rPr>
            </w:pPr>
            <w:r>
              <w:rPr>
                <w:rFonts w:hint="eastAsia" w:ascii="宋体" w:hAnsi="宋体" w:eastAsia="宋体"/>
              </w:rPr>
              <w:t>1</w:t>
            </w:r>
            <w:r>
              <w:rPr>
                <w:rFonts w:ascii="宋体" w:hAnsi="宋体" w:eastAsia="宋体"/>
              </w:rPr>
              <w:t>/500</w:t>
            </w:r>
          </w:p>
        </w:tc>
        <w:tc>
          <w:tcPr>
            <w:tcW w:w="1419" w:type="dxa"/>
          </w:tcPr>
          <w:p>
            <w:pPr>
              <w:pStyle w:val="80"/>
              <w:spacing w:line="240" w:lineRule="auto"/>
              <w:rPr>
                <w:rFonts w:ascii="宋体" w:hAnsi="宋体" w:eastAsia="宋体"/>
              </w:rPr>
            </w:pPr>
            <w:r>
              <w:rPr>
                <w:rFonts w:hint="eastAsia" w:ascii="宋体" w:hAnsi="宋体" w:eastAsia="宋体"/>
              </w:rPr>
              <w:t>1</w:t>
            </w:r>
            <w:r>
              <w:rPr>
                <w:rFonts w:ascii="宋体" w:hAnsi="宋体" w:eastAsia="宋体"/>
              </w:rPr>
              <w:t>/250</w:t>
            </w:r>
          </w:p>
        </w:tc>
        <w:tc>
          <w:tcPr>
            <w:tcW w:w="1354" w:type="dxa"/>
          </w:tcPr>
          <w:p>
            <w:pPr>
              <w:pStyle w:val="80"/>
              <w:spacing w:line="240" w:lineRule="auto"/>
              <w:rPr>
                <w:rFonts w:ascii="宋体" w:hAnsi="宋体" w:eastAsia="宋体"/>
              </w:rPr>
            </w:pPr>
            <w:r>
              <w:rPr>
                <w:rFonts w:hint="eastAsia" w:ascii="宋体" w:hAnsi="宋体" w:eastAsia="宋体"/>
              </w:rPr>
              <w:t>1</w:t>
            </w:r>
            <w:r>
              <w:rPr>
                <w:rFonts w:ascii="宋体" w:hAnsi="宋体" w:eastAsia="宋体"/>
              </w:rPr>
              <w:t>/135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2833" w:type="dxa"/>
          </w:tcPr>
          <w:p>
            <w:pPr>
              <w:pStyle w:val="80"/>
              <w:spacing w:line="240" w:lineRule="auto"/>
              <w:rPr>
                <w:rFonts w:ascii="宋体" w:hAnsi="宋体" w:eastAsia="宋体"/>
              </w:rPr>
            </w:pPr>
            <w:r>
              <w:rPr>
                <w:rFonts w:hint="eastAsia" w:ascii="宋体" w:hAnsi="宋体" w:eastAsia="宋体"/>
              </w:rPr>
              <w:t>钢筋混凝土框架-剪力墙、板柱-剪力墙、框架-核心筒</w:t>
            </w:r>
          </w:p>
        </w:tc>
        <w:tc>
          <w:tcPr>
            <w:tcW w:w="1416" w:type="dxa"/>
            <w:vAlign w:val="center"/>
          </w:tcPr>
          <w:p>
            <w:pPr>
              <w:pStyle w:val="80"/>
              <w:spacing w:line="240" w:lineRule="auto"/>
              <w:rPr>
                <w:rFonts w:ascii="宋体" w:hAnsi="宋体" w:eastAsia="宋体"/>
              </w:rPr>
            </w:pPr>
            <w:r>
              <w:rPr>
                <w:rFonts w:hint="eastAsia" w:ascii="宋体" w:hAnsi="宋体" w:eastAsia="宋体"/>
              </w:rPr>
              <w:t>1</w:t>
            </w:r>
            <w:r>
              <w:rPr>
                <w:rFonts w:ascii="宋体" w:hAnsi="宋体" w:eastAsia="宋体"/>
              </w:rPr>
              <w:t>/800</w:t>
            </w:r>
          </w:p>
        </w:tc>
        <w:tc>
          <w:tcPr>
            <w:tcW w:w="1274" w:type="dxa"/>
            <w:vAlign w:val="center"/>
          </w:tcPr>
          <w:p>
            <w:pPr>
              <w:pStyle w:val="80"/>
              <w:spacing w:line="240" w:lineRule="auto"/>
              <w:rPr>
                <w:rFonts w:ascii="宋体" w:hAnsi="宋体" w:eastAsia="宋体"/>
              </w:rPr>
            </w:pPr>
            <w:r>
              <w:rPr>
                <w:rFonts w:hint="eastAsia" w:ascii="宋体" w:hAnsi="宋体" w:eastAsia="宋体"/>
              </w:rPr>
              <w:t>1</w:t>
            </w:r>
            <w:r>
              <w:rPr>
                <w:rFonts w:ascii="宋体" w:hAnsi="宋体" w:eastAsia="宋体"/>
              </w:rPr>
              <w:t>/400</w:t>
            </w:r>
          </w:p>
        </w:tc>
        <w:tc>
          <w:tcPr>
            <w:tcW w:w="1419" w:type="dxa"/>
            <w:vAlign w:val="center"/>
          </w:tcPr>
          <w:p>
            <w:pPr>
              <w:pStyle w:val="80"/>
              <w:spacing w:line="240" w:lineRule="auto"/>
              <w:rPr>
                <w:rFonts w:ascii="宋体" w:hAnsi="宋体" w:eastAsia="宋体"/>
              </w:rPr>
            </w:pPr>
            <w:r>
              <w:rPr>
                <w:rFonts w:hint="eastAsia" w:ascii="宋体" w:hAnsi="宋体" w:eastAsia="宋体"/>
              </w:rPr>
              <w:t>1</w:t>
            </w:r>
            <w:r>
              <w:rPr>
                <w:rFonts w:ascii="宋体" w:hAnsi="宋体" w:eastAsia="宋体"/>
              </w:rPr>
              <w:t>/200</w:t>
            </w:r>
          </w:p>
        </w:tc>
        <w:tc>
          <w:tcPr>
            <w:tcW w:w="1354" w:type="dxa"/>
            <w:vAlign w:val="center"/>
          </w:tcPr>
          <w:p>
            <w:pPr>
              <w:pStyle w:val="80"/>
              <w:spacing w:line="240" w:lineRule="auto"/>
              <w:rPr>
                <w:rFonts w:ascii="宋体" w:hAnsi="宋体" w:eastAsia="宋体"/>
              </w:rPr>
            </w:pPr>
            <w:r>
              <w:rPr>
                <w:rFonts w:hint="eastAsia" w:ascii="宋体" w:hAnsi="宋体" w:eastAsia="宋体"/>
              </w:rPr>
              <w:t>1</w:t>
            </w:r>
            <w:r>
              <w:rPr>
                <w:rFonts w:ascii="宋体" w:hAnsi="宋体" w:eastAsia="宋体"/>
              </w:rPr>
              <w:t>/110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2833" w:type="dxa"/>
          </w:tcPr>
          <w:p>
            <w:pPr>
              <w:pStyle w:val="80"/>
              <w:spacing w:line="240" w:lineRule="auto"/>
              <w:rPr>
                <w:rFonts w:ascii="宋体" w:hAnsi="宋体" w:eastAsia="宋体"/>
              </w:rPr>
            </w:pPr>
            <w:r>
              <w:rPr>
                <w:rFonts w:hint="eastAsia" w:ascii="宋体" w:hAnsi="宋体" w:eastAsia="宋体"/>
              </w:rPr>
              <w:t>钢筋混凝土框支层</w:t>
            </w:r>
          </w:p>
        </w:tc>
        <w:tc>
          <w:tcPr>
            <w:tcW w:w="1416" w:type="dxa"/>
          </w:tcPr>
          <w:p>
            <w:pPr>
              <w:pStyle w:val="80"/>
              <w:spacing w:line="240" w:lineRule="auto"/>
              <w:rPr>
                <w:rFonts w:ascii="宋体" w:hAnsi="宋体" w:eastAsia="宋体"/>
              </w:rPr>
            </w:pPr>
            <w:r>
              <w:rPr>
                <w:rFonts w:hint="eastAsia" w:ascii="宋体" w:hAnsi="宋体" w:eastAsia="宋体"/>
              </w:rPr>
              <w:t>1</w:t>
            </w:r>
            <w:r>
              <w:rPr>
                <w:rFonts w:ascii="宋体" w:hAnsi="宋体" w:eastAsia="宋体"/>
              </w:rPr>
              <w:t>/1000</w:t>
            </w:r>
          </w:p>
        </w:tc>
        <w:tc>
          <w:tcPr>
            <w:tcW w:w="1274" w:type="dxa"/>
          </w:tcPr>
          <w:p>
            <w:pPr>
              <w:pStyle w:val="80"/>
              <w:spacing w:line="240" w:lineRule="auto"/>
              <w:rPr>
                <w:rFonts w:ascii="宋体" w:hAnsi="宋体" w:eastAsia="宋体"/>
              </w:rPr>
            </w:pPr>
            <w:r>
              <w:rPr>
                <w:rFonts w:hint="eastAsia" w:ascii="宋体" w:hAnsi="宋体" w:eastAsia="宋体"/>
              </w:rPr>
              <w:t>1</w:t>
            </w:r>
            <w:r>
              <w:rPr>
                <w:rFonts w:ascii="宋体" w:hAnsi="宋体" w:eastAsia="宋体"/>
              </w:rPr>
              <w:t>/500</w:t>
            </w:r>
          </w:p>
        </w:tc>
        <w:tc>
          <w:tcPr>
            <w:tcW w:w="1419" w:type="dxa"/>
          </w:tcPr>
          <w:p>
            <w:pPr>
              <w:pStyle w:val="80"/>
              <w:spacing w:line="240" w:lineRule="auto"/>
              <w:rPr>
                <w:rFonts w:ascii="宋体" w:hAnsi="宋体" w:eastAsia="宋体"/>
              </w:rPr>
            </w:pPr>
            <w:r>
              <w:rPr>
                <w:rFonts w:hint="eastAsia" w:ascii="宋体" w:hAnsi="宋体" w:eastAsia="宋体"/>
              </w:rPr>
              <w:t>1</w:t>
            </w:r>
            <w:r>
              <w:rPr>
                <w:rFonts w:ascii="宋体" w:hAnsi="宋体" w:eastAsia="宋体"/>
              </w:rPr>
              <w:t>/250</w:t>
            </w:r>
          </w:p>
        </w:tc>
        <w:tc>
          <w:tcPr>
            <w:tcW w:w="1354" w:type="dxa"/>
          </w:tcPr>
          <w:p>
            <w:pPr>
              <w:pStyle w:val="80"/>
              <w:spacing w:line="240" w:lineRule="auto"/>
              <w:rPr>
                <w:rFonts w:ascii="宋体" w:hAnsi="宋体" w:eastAsia="宋体"/>
              </w:rPr>
            </w:pPr>
            <w:r>
              <w:rPr>
                <w:rFonts w:hint="eastAsia" w:ascii="宋体" w:hAnsi="宋体" w:eastAsia="宋体"/>
              </w:rPr>
              <w:t>1</w:t>
            </w:r>
            <w:r>
              <w:rPr>
                <w:rFonts w:ascii="宋体" w:hAnsi="宋体" w:eastAsia="宋体"/>
              </w:rPr>
              <w:t>/135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2833" w:type="dxa"/>
          </w:tcPr>
          <w:p>
            <w:pPr>
              <w:pStyle w:val="80"/>
              <w:spacing w:line="240" w:lineRule="auto"/>
              <w:rPr>
                <w:rFonts w:ascii="宋体" w:hAnsi="宋体" w:eastAsia="宋体"/>
              </w:rPr>
            </w:pPr>
            <w:r>
              <w:rPr>
                <w:rFonts w:hint="eastAsia" w:ascii="宋体" w:hAnsi="宋体" w:eastAsia="宋体"/>
              </w:rPr>
              <w:t>钢结构</w:t>
            </w:r>
          </w:p>
        </w:tc>
        <w:tc>
          <w:tcPr>
            <w:tcW w:w="1416" w:type="dxa"/>
          </w:tcPr>
          <w:p>
            <w:pPr>
              <w:pStyle w:val="80"/>
              <w:spacing w:line="240" w:lineRule="auto"/>
              <w:rPr>
                <w:rFonts w:ascii="宋体" w:hAnsi="宋体" w:eastAsia="宋体"/>
              </w:rPr>
            </w:pPr>
            <w:r>
              <w:rPr>
                <w:rFonts w:hint="eastAsia" w:ascii="宋体" w:hAnsi="宋体" w:eastAsia="宋体"/>
              </w:rPr>
              <w:t>1</w:t>
            </w:r>
            <w:r>
              <w:rPr>
                <w:rFonts w:ascii="宋体" w:hAnsi="宋体" w:eastAsia="宋体"/>
              </w:rPr>
              <w:t>/300</w:t>
            </w:r>
          </w:p>
        </w:tc>
        <w:tc>
          <w:tcPr>
            <w:tcW w:w="1274" w:type="dxa"/>
          </w:tcPr>
          <w:p>
            <w:pPr>
              <w:pStyle w:val="80"/>
              <w:spacing w:line="240" w:lineRule="auto"/>
              <w:rPr>
                <w:rFonts w:ascii="宋体" w:hAnsi="宋体" w:eastAsia="宋体"/>
              </w:rPr>
            </w:pPr>
            <w:r>
              <w:rPr>
                <w:rFonts w:hint="eastAsia" w:ascii="宋体" w:hAnsi="宋体" w:eastAsia="宋体"/>
              </w:rPr>
              <w:t>1</w:t>
            </w:r>
            <w:r>
              <w:rPr>
                <w:rFonts w:ascii="宋体" w:hAnsi="宋体" w:eastAsia="宋体"/>
              </w:rPr>
              <w:t>/200</w:t>
            </w:r>
          </w:p>
        </w:tc>
        <w:tc>
          <w:tcPr>
            <w:tcW w:w="1419" w:type="dxa"/>
          </w:tcPr>
          <w:p>
            <w:pPr>
              <w:pStyle w:val="80"/>
              <w:spacing w:line="240" w:lineRule="auto"/>
              <w:rPr>
                <w:rFonts w:ascii="宋体" w:hAnsi="宋体" w:eastAsia="宋体"/>
              </w:rPr>
            </w:pPr>
            <w:r>
              <w:rPr>
                <w:rFonts w:hint="eastAsia" w:ascii="宋体" w:hAnsi="宋体" w:eastAsia="宋体"/>
              </w:rPr>
              <w:t>1</w:t>
            </w:r>
            <w:r>
              <w:rPr>
                <w:rFonts w:ascii="宋体" w:hAnsi="宋体" w:eastAsia="宋体"/>
              </w:rPr>
              <w:t>/100</w:t>
            </w:r>
          </w:p>
        </w:tc>
        <w:tc>
          <w:tcPr>
            <w:tcW w:w="1354" w:type="dxa"/>
          </w:tcPr>
          <w:p>
            <w:pPr>
              <w:pStyle w:val="80"/>
              <w:spacing w:line="240" w:lineRule="auto"/>
              <w:rPr>
                <w:rFonts w:ascii="宋体" w:hAnsi="宋体" w:eastAsia="宋体"/>
              </w:rPr>
            </w:pPr>
            <w:r>
              <w:rPr>
                <w:rFonts w:hint="eastAsia" w:ascii="宋体" w:hAnsi="宋体" w:eastAsia="宋体"/>
              </w:rPr>
              <w:t>1</w:t>
            </w:r>
            <w:r>
              <w:rPr>
                <w:rFonts w:ascii="宋体" w:hAnsi="宋体" w:eastAsia="宋体"/>
              </w:rPr>
              <w:t>/55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2833" w:type="dxa"/>
          </w:tcPr>
          <w:p>
            <w:pPr>
              <w:pStyle w:val="80"/>
              <w:spacing w:line="240" w:lineRule="auto"/>
              <w:rPr>
                <w:rFonts w:ascii="宋体" w:hAnsi="宋体" w:eastAsia="宋体"/>
              </w:rPr>
            </w:pPr>
            <w:r>
              <w:rPr>
                <w:rFonts w:hint="eastAsia" w:ascii="宋体" w:hAnsi="宋体" w:eastAsia="宋体"/>
              </w:rPr>
              <w:t>钢框架-钢筋混凝土内筒、型钢混凝土框架-钢筋混凝土内筒</w:t>
            </w:r>
          </w:p>
        </w:tc>
        <w:tc>
          <w:tcPr>
            <w:tcW w:w="1416" w:type="dxa"/>
            <w:vAlign w:val="center"/>
          </w:tcPr>
          <w:p>
            <w:pPr>
              <w:pStyle w:val="80"/>
              <w:spacing w:line="240" w:lineRule="auto"/>
              <w:rPr>
                <w:rFonts w:ascii="宋体" w:hAnsi="宋体" w:eastAsia="宋体"/>
              </w:rPr>
            </w:pPr>
            <w:r>
              <w:rPr>
                <w:rFonts w:hint="eastAsia" w:ascii="宋体" w:hAnsi="宋体" w:eastAsia="宋体"/>
              </w:rPr>
              <w:t>1</w:t>
            </w:r>
            <w:r>
              <w:rPr>
                <w:rFonts w:ascii="宋体" w:hAnsi="宋体" w:eastAsia="宋体"/>
              </w:rPr>
              <w:t>/800</w:t>
            </w:r>
          </w:p>
        </w:tc>
        <w:tc>
          <w:tcPr>
            <w:tcW w:w="1274" w:type="dxa"/>
            <w:vAlign w:val="center"/>
          </w:tcPr>
          <w:p>
            <w:pPr>
              <w:pStyle w:val="80"/>
              <w:spacing w:line="240" w:lineRule="auto"/>
              <w:rPr>
                <w:rFonts w:ascii="宋体" w:hAnsi="宋体" w:eastAsia="宋体"/>
              </w:rPr>
            </w:pPr>
            <w:r>
              <w:rPr>
                <w:rFonts w:hint="eastAsia" w:ascii="宋体" w:hAnsi="宋体" w:eastAsia="宋体"/>
              </w:rPr>
              <w:t>1</w:t>
            </w:r>
            <w:r>
              <w:rPr>
                <w:rFonts w:ascii="宋体" w:hAnsi="宋体" w:eastAsia="宋体"/>
              </w:rPr>
              <w:t>/400</w:t>
            </w:r>
          </w:p>
        </w:tc>
        <w:tc>
          <w:tcPr>
            <w:tcW w:w="1419" w:type="dxa"/>
            <w:vAlign w:val="center"/>
          </w:tcPr>
          <w:p>
            <w:pPr>
              <w:pStyle w:val="80"/>
              <w:spacing w:line="240" w:lineRule="auto"/>
              <w:rPr>
                <w:rFonts w:ascii="宋体" w:hAnsi="宋体" w:eastAsia="宋体"/>
              </w:rPr>
            </w:pPr>
            <w:r>
              <w:rPr>
                <w:rFonts w:hint="eastAsia" w:ascii="宋体" w:hAnsi="宋体" w:eastAsia="宋体"/>
              </w:rPr>
              <w:t>1</w:t>
            </w:r>
            <w:r>
              <w:rPr>
                <w:rFonts w:ascii="宋体" w:hAnsi="宋体" w:eastAsia="宋体"/>
              </w:rPr>
              <w:t>/200</w:t>
            </w:r>
          </w:p>
        </w:tc>
        <w:tc>
          <w:tcPr>
            <w:tcW w:w="1354" w:type="dxa"/>
            <w:vAlign w:val="center"/>
          </w:tcPr>
          <w:p>
            <w:pPr>
              <w:pStyle w:val="80"/>
              <w:spacing w:line="240" w:lineRule="auto"/>
              <w:rPr>
                <w:rFonts w:ascii="宋体" w:hAnsi="宋体" w:eastAsia="宋体"/>
              </w:rPr>
            </w:pPr>
            <w:r>
              <w:rPr>
                <w:rFonts w:hint="eastAsia" w:ascii="宋体" w:hAnsi="宋体" w:eastAsia="宋体"/>
              </w:rPr>
              <w:t>1</w:t>
            </w:r>
            <w:r>
              <w:rPr>
                <w:rFonts w:ascii="宋体" w:hAnsi="宋体" w:eastAsia="宋体"/>
              </w:rPr>
              <w:t>/110</w:t>
            </w:r>
          </w:p>
        </w:tc>
      </w:tr>
    </w:tbl>
    <w:p>
      <w:pPr>
        <w:adjustRightInd w:val="0"/>
        <w:snapToGrid w:val="0"/>
        <w:spacing w:line="360" w:lineRule="auto"/>
        <w:ind w:firstLine="480"/>
        <w:rPr>
          <w:rFonts w:hAnsi="宋体"/>
          <w:szCs w:val="21"/>
        </w:rPr>
      </w:pPr>
    </w:p>
    <w:p>
      <w:pPr>
        <w:adjustRightInd w:val="0"/>
        <w:snapToGrid w:val="0"/>
        <w:spacing w:line="360" w:lineRule="auto"/>
        <w:ind w:firstLine="480"/>
        <w:rPr>
          <w:szCs w:val="21"/>
        </w:rPr>
      </w:pPr>
      <w:r>
        <w:rPr>
          <w:rFonts w:hint="eastAsia" w:hAnsi="宋体"/>
          <w:szCs w:val="21"/>
        </w:rPr>
        <w:t>全框支转换结构属于规范中没有的新型结构体系，参考规范中对部分框支剪力墙的设计要求，列出相关设计建议。对于全框支转换结构，从严控制底框各薄弱楼层的变形。</w:t>
      </w:r>
    </w:p>
    <w:p>
      <w:pPr>
        <w:snapToGrid w:val="0"/>
        <w:spacing w:line="360" w:lineRule="auto"/>
        <w:ind w:firstLine="482"/>
        <w:rPr>
          <w:rFonts w:hAnsi="宋体"/>
        </w:rPr>
      </w:pPr>
      <w:r>
        <w:rPr>
          <w:b/>
          <w:szCs w:val="21"/>
        </w:rPr>
        <w:t>4.3.7</w:t>
      </w:r>
      <w:r>
        <w:rPr>
          <w:rFonts w:hint="eastAsia" w:hAnsi="宋体"/>
        </w:rPr>
        <w:t>车辆基地全框支转换结构应采用时程分析法进行多遇地震作用下的补充计算。按</w:t>
      </w:r>
      <w:r>
        <w:rPr>
          <w:rFonts w:hint="eastAsia" w:hAnsi="宋体"/>
          <w:szCs w:val="21"/>
        </w:rPr>
        <w:t>《建筑抗震设计规范》</w:t>
      </w:r>
      <w:r>
        <w:rPr>
          <w:rFonts w:hint="eastAsia" w:hAnsi="宋体"/>
        </w:rPr>
        <w:t>GB50011的相关规定，可取三组加速度时程曲线输入，计算结果宜取时程法包络值和振型分解反应谱法二者的较大值。</w:t>
      </w:r>
    </w:p>
    <w:p>
      <w:pPr>
        <w:widowControl/>
        <w:snapToGrid w:val="0"/>
        <w:spacing w:line="360" w:lineRule="auto"/>
        <w:ind w:firstLine="480"/>
        <w:rPr>
          <w:szCs w:val="21"/>
        </w:rPr>
      </w:pPr>
      <w:r>
        <w:rPr>
          <w:rFonts w:hint="eastAsia" w:eastAsia="等线"/>
          <w:b/>
          <w:bCs/>
        </w:rPr>
        <w:t>[条文说明]</w:t>
      </w:r>
      <w:r>
        <w:rPr>
          <w:rFonts w:hint="eastAsia"/>
        </w:rPr>
        <w:t xml:space="preserve"> 研究发现，</w:t>
      </w:r>
      <w:r>
        <w:rPr>
          <w:rFonts w:hint="eastAsia" w:ascii="宋体" w:hAnsi="宋体"/>
        </w:rPr>
        <w:t>采用振型分解反应谱进行分析时，全框支剪力墙结构的高振型参与质量系数占比较大，</w:t>
      </w:r>
      <w:r>
        <w:rPr>
          <w:rFonts w:hint="eastAsia"/>
          <w:szCs w:val="21"/>
        </w:rPr>
        <w:t>有些结构第（</w:t>
      </w:r>
      <w:r>
        <w:rPr>
          <w:szCs w:val="21"/>
        </w:rPr>
        <w:t>7~10</w:t>
      </w:r>
      <w:r>
        <w:rPr>
          <w:rFonts w:hint="eastAsia"/>
          <w:szCs w:val="21"/>
        </w:rPr>
        <w:t>）阶（单塔）或以上（多塔）的单阶振型参与质量系数可达</w:t>
      </w:r>
      <w:r>
        <w:rPr>
          <w:szCs w:val="21"/>
        </w:rPr>
        <w:t>25%</w:t>
      </w:r>
      <w:r>
        <w:rPr>
          <w:rFonts w:hint="eastAsia"/>
          <w:szCs w:val="21"/>
        </w:rPr>
        <w:t>以上。时程分析时，天然波强烈变化的短周期成分对上部结构的抗震设计影响较大，由于研究样本有限，暂时无法揭示其规律，设计时应特别留意，给予重视。时程分析应尽量采用与场地类别和设计地震分组接近的天然波</w:t>
      </w:r>
      <w:r>
        <w:rPr>
          <w:rFonts w:hint="eastAsia"/>
          <w:sz w:val="22"/>
        </w:rPr>
        <w:t>。</w:t>
      </w:r>
    </w:p>
    <w:p>
      <w:pPr>
        <w:spacing w:line="360" w:lineRule="auto"/>
        <w:ind w:firstLine="482"/>
        <w:rPr>
          <w:rFonts w:hAnsi="宋体"/>
          <w:bCs/>
        </w:rPr>
      </w:pPr>
      <w:r>
        <w:rPr>
          <w:rFonts w:hAnsi="宋体"/>
          <w:b/>
        </w:rPr>
        <w:t>4</w:t>
      </w:r>
      <w:r>
        <w:rPr>
          <w:rFonts w:hint="eastAsia" w:hAnsi="宋体"/>
          <w:b/>
        </w:rPr>
        <w:t>.</w:t>
      </w:r>
      <w:r>
        <w:rPr>
          <w:rFonts w:hAnsi="宋体"/>
          <w:b/>
        </w:rPr>
        <w:t xml:space="preserve">3.8 </w:t>
      </w:r>
      <w:r>
        <w:rPr>
          <w:rFonts w:hint="eastAsia" w:hAnsi="宋体"/>
          <w:bCs/>
        </w:rPr>
        <w:t>车辆基地上盖结构的分析模型应根据研究目的、结构受力等实际情况，分别选取能较准确地反映结构整体、局部或构件实际受力状况的结构单元分析计算。</w:t>
      </w:r>
    </w:p>
    <w:p>
      <w:pPr>
        <w:spacing w:line="360" w:lineRule="auto"/>
        <w:ind w:firstLine="480"/>
        <w:rPr>
          <w:rFonts w:eastAsia="等线"/>
          <w:b/>
          <w:bCs/>
        </w:rPr>
      </w:pPr>
      <w:r>
        <w:rPr>
          <w:rFonts w:hint="eastAsia" w:eastAsia="等线"/>
          <w:b/>
          <w:bCs/>
        </w:rPr>
        <w:t>[条文说明]</w:t>
      </w:r>
      <w:r>
        <w:rPr>
          <w:rFonts w:hint="eastAsia" w:ascii="宋体" w:hAnsi="宋体"/>
        </w:rPr>
        <w:t>有时软件对不同结构单元、连接的处理不能准确反应</w:t>
      </w:r>
      <w:r>
        <w:rPr>
          <w:rFonts w:hint="eastAsia" w:hAnsi="宋体"/>
          <w:bCs/>
        </w:rPr>
        <w:t>结构整体、局部或构件实际受力状况，在全框支这类复杂结构的设计过程中，有必要根据设计目标，选择适宜的设计假定、合理的结构单元进行有针对性的设计。</w:t>
      </w:r>
    </w:p>
    <w:p>
      <w:pPr>
        <w:spacing w:line="360" w:lineRule="auto"/>
        <w:ind w:firstLine="482"/>
        <w:rPr>
          <w:rFonts w:hAnsi="宋体"/>
          <w:bCs/>
        </w:rPr>
      </w:pPr>
      <w:r>
        <w:rPr>
          <w:b/>
          <w:bCs/>
        </w:rPr>
        <w:t>4.3.9</w:t>
      </w:r>
      <w:r>
        <w:rPr>
          <w:rFonts w:hint="eastAsia" w:hAnsi="宋体"/>
          <w:bCs/>
        </w:rPr>
        <w:t>在全框支转换结构整体计算中，宜考虑转换梁、柱或板、柱节点区的刚域影响，刚域的长度可参考</w:t>
      </w:r>
      <w:r>
        <w:rPr>
          <w:rFonts w:hint="eastAsia" w:hAnsi="宋体"/>
        </w:rPr>
        <w:t>《高层建筑混凝土结构技术规程》</w:t>
      </w:r>
      <w:r>
        <w:rPr>
          <w:rFonts w:hint="eastAsia" w:hAnsi="宋体"/>
          <w:bCs/>
        </w:rPr>
        <w:t>JGJ</w:t>
      </w:r>
      <w:r>
        <w:rPr>
          <w:rFonts w:hAnsi="宋体"/>
          <w:bCs/>
        </w:rPr>
        <w:t>3</w:t>
      </w:r>
      <w:r>
        <w:rPr>
          <w:rFonts w:hint="eastAsia" w:hAnsi="宋体"/>
          <w:bCs/>
        </w:rPr>
        <w:t>的相关规定。</w:t>
      </w:r>
    </w:p>
    <w:p>
      <w:pPr>
        <w:spacing w:line="360" w:lineRule="auto"/>
        <w:ind w:firstLine="480"/>
        <w:rPr>
          <w:rFonts w:hAnsi="宋体"/>
          <w:bCs/>
        </w:rPr>
      </w:pPr>
      <w:r>
        <w:rPr>
          <w:rFonts w:hint="eastAsia" w:eastAsia="等线"/>
          <w:b/>
          <w:bCs/>
        </w:rPr>
        <w:t>[条文说明]</w:t>
      </w:r>
      <w:r>
        <w:rPr>
          <w:rFonts w:hint="eastAsia"/>
          <w:szCs w:val="21"/>
        </w:rPr>
        <w:t>车辆基地转换梁、柱截面相对其跨度较大，其计算长度对结构楼层刚度影响较大，对整体指标有一定的影响。</w:t>
      </w:r>
    </w:p>
    <w:p>
      <w:pPr>
        <w:snapToGrid w:val="0"/>
        <w:spacing w:line="360" w:lineRule="auto"/>
        <w:ind w:firstLine="482"/>
        <w:rPr>
          <w:rFonts w:hAnsi="宋体"/>
        </w:rPr>
      </w:pPr>
      <w:r>
        <w:rPr>
          <w:b/>
          <w:bCs/>
        </w:rPr>
        <w:t>4.3.10</w:t>
      </w:r>
      <w:r>
        <w:t xml:space="preserve"> </w:t>
      </w:r>
      <w:r>
        <w:rPr>
          <w:rFonts w:hint="eastAsia" w:hAnsi="宋体"/>
        </w:rPr>
        <w:t>车辆基地全框支转换结构应采用至少两个不同力学模型的结构分析软件进行整体计算，其中一个软件宜为国际通用成熟软件。计算软件需准确反映构件受力和结构传力特征。两个软件的计算结果应基本保持一致，确保力学结构分析的可靠性。</w:t>
      </w:r>
    </w:p>
    <w:p>
      <w:pPr>
        <w:snapToGrid w:val="0"/>
        <w:spacing w:line="360" w:lineRule="auto"/>
        <w:ind w:firstLine="482"/>
        <w:rPr>
          <w:rFonts w:hAnsi="宋体"/>
        </w:rPr>
      </w:pPr>
      <w:r>
        <w:rPr>
          <w:b/>
          <w:bCs/>
        </w:rPr>
        <w:t>4.3.11</w:t>
      </w:r>
      <w:r>
        <w:t xml:space="preserve"> </w:t>
      </w:r>
      <w:r>
        <w:rPr>
          <w:rFonts w:hint="eastAsia" w:hAnsi="宋体"/>
        </w:rPr>
        <w:t>车辆基地全框支转换结构进行弹塑性计算分析时，应采用动力时程分析方法，地面运动加速度时程的选取、预估罕遇地震作用时的峰值加速度取值应符合JGJ3的相关要求。当塔楼抗侧力构件与裙房柱网相交角度大于</w:t>
      </w:r>
      <w:r>
        <w:rPr>
          <w:rFonts w:hint="eastAsia" w:hAnsi="宋体"/>
          <w:bCs/>
        </w:rPr>
        <w:t>1</w:t>
      </w:r>
      <w:r>
        <w:rPr>
          <w:rFonts w:hAnsi="宋体"/>
          <w:bCs/>
        </w:rPr>
        <w:t>5°</w:t>
      </w:r>
      <w:r>
        <w:rPr>
          <w:rFonts w:hint="eastAsia" w:hAnsi="宋体"/>
          <w:bCs/>
        </w:rPr>
        <w:t>时，</w:t>
      </w:r>
      <w:r>
        <w:rPr>
          <w:rFonts w:hint="eastAsia" w:hAnsi="宋体"/>
        </w:rPr>
        <w:t>时程输入宜考虑最不利地震角方向影响。</w:t>
      </w:r>
    </w:p>
    <w:p>
      <w:pPr>
        <w:snapToGrid w:val="0"/>
        <w:spacing w:line="360" w:lineRule="auto"/>
        <w:ind w:firstLine="480"/>
        <w:rPr>
          <w:szCs w:val="21"/>
        </w:rPr>
      </w:pPr>
      <w:r>
        <w:rPr>
          <w:rFonts w:hint="eastAsia" w:eastAsia="等线"/>
          <w:b/>
          <w:bCs/>
        </w:rPr>
        <w:t>[条文说明]</w:t>
      </w:r>
      <w:r>
        <w:rPr>
          <w:rFonts w:hint="eastAsia"/>
          <w:szCs w:val="21"/>
        </w:rPr>
        <w:t xml:space="preserve"> 车辆基地全框支转换结构通常存在</w:t>
      </w:r>
      <w:r>
        <w:rPr>
          <w:rFonts w:hint="eastAsia" w:hAnsi="宋体"/>
        </w:rPr>
        <w:t>竖向体型</w:t>
      </w:r>
      <w:r>
        <w:rPr>
          <w:rFonts w:hint="eastAsia"/>
          <w:szCs w:val="21"/>
        </w:rPr>
        <w:t>收进不规则，地震作用下，与底盘周期相近的短周期振型反应占比较大，采用静力弹塑性分析有一定的局限性。车辆基地柱网与上盖塔楼斜交时，宜考虑最不利地震作用方向的影响。</w:t>
      </w:r>
    </w:p>
    <w:p>
      <w:pPr>
        <w:snapToGrid w:val="0"/>
        <w:spacing w:line="360" w:lineRule="auto"/>
        <w:ind w:firstLine="480"/>
        <w:rPr>
          <w:rFonts w:hAnsi="宋体"/>
          <w:szCs w:val="21"/>
        </w:rPr>
      </w:pPr>
      <w:r>
        <w:rPr>
          <w:rFonts w:hint="eastAsia" w:hAnsi="宋体"/>
          <w:b/>
        </w:rPr>
        <w:t>4.</w:t>
      </w:r>
      <w:r>
        <w:rPr>
          <w:rFonts w:hAnsi="宋体"/>
          <w:b/>
        </w:rPr>
        <w:t>3.12</w:t>
      </w:r>
      <w:r>
        <w:rPr>
          <w:rFonts w:hint="eastAsia" w:hAnsi="宋体"/>
        </w:rPr>
        <w:t>结构构件的弹塑性性能可依据现行广东省标准《建筑工程混凝土结构抗震性能设计规程》DBJ</w:t>
      </w:r>
      <w:r>
        <w:rPr>
          <w:rFonts w:hAnsi="宋体"/>
        </w:rPr>
        <w:t>/T 15-151</w:t>
      </w:r>
      <w:r>
        <w:rPr>
          <w:rFonts w:hint="eastAsia" w:hAnsi="宋体"/>
        </w:rPr>
        <w:t>或《建筑结构抗倒塌设计规范》CECS</w:t>
      </w:r>
      <w:r>
        <w:rPr>
          <w:rFonts w:hAnsi="宋体"/>
        </w:rPr>
        <w:t xml:space="preserve"> 392</w:t>
      </w:r>
      <w:r>
        <w:rPr>
          <w:rFonts w:hint="eastAsia" w:hAnsi="宋体"/>
        </w:rPr>
        <w:t>所规定的判别标准和方法进行复核。</w:t>
      </w:r>
    </w:p>
    <w:p>
      <w:pPr>
        <w:snapToGrid w:val="0"/>
        <w:spacing w:line="360" w:lineRule="auto"/>
        <w:ind w:firstLine="480"/>
        <w:rPr>
          <w:szCs w:val="21"/>
        </w:rPr>
      </w:pPr>
      <w:r>
        <w:rPr>
          <w:rFonts w:hint="eastAsia" w:eastAsia="等线"/>
          <w:b/>
          <w:bCs/>
        </w:rPr>
        <w:t>[条文说明]</w:t>
      </w:r>
      <w:r>
        <w:rPr>
          <w:rFonts w:hint="eastAsia"/>
          <w:szCs w:val="21"/>
        </w:rPr>
        <w:t xml:space="preserve"> 结构构件的弹塑性损伤描述可基于材料应变或构件的转角。现行广东省标准</w:t>
      </w:r>
      <w:r>
        <w:rPr>
          <w:rFonts w:hint="eastAsia" w:hAnsi="宋体"/>
        </w:rPr>
        <w:t>《建筑工程混凝土结构抗震性能设计规程》DBJ</w:t>
      </w:r>
      <w:r>
        <w:rPr>
          <w:rFonts w:hAnsi="宋体"/>
        </w:rPr>
        <w:t>/T 15-151</w:t>
      </w:r>
      <w:r>
        <w:rPr>
          <w:rFonts w:hint="eastAsia" w:hAnsi="宋体"/>
        </w:rPr>
        <w:t>给出了钢筋混凝土和型钢混凝土构件（梁、柱、剪力墙）承载能力-变形大小-损坏程度的对应关系，可通过大震作用下结构弹塑性计算得到的构件变形预测构件的损坏程度；《建筑结构抗倒塌设计规范》CECS</w:t>
      </w:r>
      <w:r>
        <w:rPr>
          <w:rFonts w:hAnsi="宋体"/>
        </w:rPr>
        <w:t xml:space="preserve"> 392</w:t>
      </w:r>
      <w:r>
        <w:rPr>
          <w:rFonts w:hint="eastAsia" w:hAnsi="宋体"/>
        </w:rPr>
        <w:t>：则分别给出了压弯破坏的钢筋混凝土结构构件基于应变和基于转角的地震损坏等级判别标准，可用于复核结构的抗震性能目标。</w:t>
      </w:r>
    </w:p>
    <w:p>
      <w:pPr>
        <w:snapToGrid w:val="0"/>
        <w:spacing w:line="360" w:lineRule="auto"/>
        <w:ind w:firstLine="482"/>
        <w:rPr>
          <w:rFonts w:hAnsi="宋体"/>
        </w:rPr>
      </w:pPr>
      <w:r>
        <w:rPr>
          <w:b/>
          <w:bCs/>
        </w:rPr>
        <w:t>4.3.13</w:t>
      </w:r>
      <w:r>
        <w:rPr>
          <w:color w:val="FF0000"/>
        </w:rPr>
        <w:t xml:space="preserve"> </w:t>
      </w:r>
      <w:r>
        <w:rPr>
          <w:rFonts w:hint="eastAsia" w:hAnsi="宋体"/>
        </w:rPr>
        <w:t>大底盘多塔楼结构，宜按整体模型和各塔楼分开模型分别计算，整体模型主要计算多塔对大底盘部分的影响，分塔计算主要考虑塔楼高振型地震反应的影响，并按《高层建筑混凝土结构技术规程》JGJ3相关规定采取相应的抗震加强措施。分塔模型中裙房结构宜取塔楼范围外扩1</w:t>
      </w:r>
      <w:r>
        <w:rPr>
          <w:rFonts w:hAnsi="宋体"/>
        </w:rPr>
        <w:t>~2</w:t>
      </w:r>
      <w:r>
        <w:rPr>
          <w:rFonts w:hint="eastAsia" w:hAnsi="宋体"/>
        </w:rPr>
        <w:t>跨。</w:t>
      </w:r>
    </w:p>
    <w:p>
      <w:pPr>
        <w:spacing w:line="360" w:lineRule="auto"/>
        <w:ind w:firstLine="480"/>
        <w:rPr>
          <w:rFonts w:hAnsi="宋体"/>
        </w:rPr>
      </w:pPr>
      <w:r>
        <w:rPr>
          <w:rFonts w:hint="eastAsia" w:eastAsia="等线"/>
          <w:b/>
          <w:bCs/>
        </w:rPr>
        <w:t>[条文说明]</w:t>
      </w:r>
      <w:r>
        <w:rPr>
          <w:rFonts w:hint="eastAsia" w:ascii="宋体" w:hAnsi="宋体"/>
        </w:rPr>
        <w:t>塔楼在底盘平面上布置的均匀性对地震作用在裙房结构中地传递与分配影响较大，应通过整体模型分析；立面收进塔楼高振型参与质量占比较大，有时整体分析无法反映此影响，因此分</w:t>
      </w:r>
      <w:r>
        <w:rPr>
          <w:rFonts w:hint="eastAsia" w:ascii="宋体" w:hAnsi="宋体"/>
          <w:szCs w:val="21"/>
        </w:rPr>
        <w:t>塔设计主要考虑高振型影响。</w:t>
      </w:r>
    </w:p>
    <w:p>
      <w:pPr>
        <w:snapToGrid w:val="0"/>
        <w:spacing w:line="360" w:lineRule="auto"/>
        <w:ind w:firstLine="482"/>
        <w:rPr>
          <w:rFonts w:hAnsi="宋体"/>
        </w:rPr>
      </w:pPr>
      <w:r>
        <w:rPr>
          <w:rFonts w:hint="eastAsia" w:hAnsi="宋体"/>
          <w:b/>
        </w:rPr>
        <w:t>4.</w:t>
      </w:r>
      <w:r>
        <w:rPr>
          <w:rFonts w:hAnsi="宋体"/>
          <w:b/>
        </w:rPr>
        <w:t>3.14</w:t>
      </w:r>
      <w:r>
        <w:rPr>
          <w:rFonts w:hint="eastAsia" w:hAnsi="宋体"/>
        </w:rPr>
        <w:t>全框支转换结构应计算竖向地震作用。</w:t>
      </w:r>
    </w:p>
    <w:p>
      <w:pPr>
        <w:snapToGrid w:val="0"/>
        <w:spacing w:line="360" w:lineRule="auto"/>
        <w:ind w:firstLine="482"/>
        <w:rPr>
          <w:rFonts w:hAnsi="宋体"/>
        </w:rPr>
      </w:pPr>
      <w:r>
        <w:rPr>
          <w:rFonts w:hint="eastAsia" w:hAnsi="宋体"/>
          <w:b/>
        </w:rPr>
        <w:t>4.</w:t>
      </w:r>
      <w:r>
        <w:rPr>
          <w:rFonts w:hAnsi="宋体"/>
          <w:b/>
        </w:rPr>
        <w:t>3.15</w:t>
      </w:r>
      <w:r>
        <w:rPr>
          <w:rFonts w:hint="eastAsia" w:hAnsi="宋体"/>
        </w:rPr>
        <w:t>当车辆基地与上盖分期建设时，应根据不同使用条件分别进行计算分析，并采用较不利的结果进行结构设计。</w:t>
      </w:r>
    </w:p>
    <w:p>
      <w:pPr>
        <w:snapToGrid w:val="0"/>
        <w:spacing w:line="360" w:lineRule="auto"/>
        <w:ind w:firstLine="480"/>
        <w:rPr>
          <w:rFonts w:hAnsi="宋体"/>
        </w:rPr>
      </w:pPr>
      <w:r>
        <w:rPr>
          <w:rFonts w:hint="eastAsia" w:eastAsia="等线"/>
          <w:b/>
          <w:bCs/>
        </w:rPr>
        <w:t>[条文说明]</w:t>
      </w:r>
      <w:r>
        <w:rPr>
          <w:rFonts w:hint="eastAsia" w:hAnsi="宋体"/>
        </w:rPr>
        <w:t xml:space="preserve"> 当车辆基地与上盖分期建设时，通常需要考虑的使用条件有：单纯车辆基地使用阶段、上盖建筑施工阶段、最终形成整体建筑阶段等。各阶段设计均需保证车辆基地的正常使用与安全。</w:t>
      </w:r>
    </w:p>
    <w:bookmarkEnd w:id="84"/>
    <w:bookmarkEnd w:id="85"/>
    <w:bookmarkEnd w:id="86"/>
    <w:bookmarkEnd w:id="87"/>
    <w:bookmarkEnd w:id="88"/>
    <w:bookmarkEnd w:id="89"/>
    <w:bookmarkEnd w:id="90"/>
    <w:bookmarkEnd w:id="91"/>
    <w:bookmarkEnd w:id="92"/>
    <w:bookmarkEnd w:id="93"/>
    <w:bookmarkEnd w:id="94"/>
    <w:bookmarkEnd w:id="95"/>
    <w:bookmarkEnd w:id="100"/>
    <w:p>
      <w:pPr>
        <w:widowControl/>
        <w:snapToGrid w:val="0"/>
        <w:spacing w:line="360" w:lineRule="auto"/>
        <w:ind w:firstLine="480"/>
        <w:rPr>
          <w:b/>
          <w:sz w:val="30"/>
          <w:szCs w:val="30"/>
        </w:rPr>
      </w:pPr>
      <w:r>
        <w:rPr>
          <w:sz w:val="24"/>
        </w:rPr>
        <w:br w:type="page"/>
      </w:r>
    </w:p>
    <w:p>
      <w:pPr>
        <w:pStyle w:val="2"/>
        <w:numPr>
          <w:ilvl w:val="0"/>
          <w:numId w:val="0"/>
        </w:numPr>
        <w:spacing w:line="400" w:lineRule="exact"/>
      </w:pPr>
      <w:bookmarkStart w:id="109" w:name="_Hlt143049821"/>
      <w:bookmarkEnd w:id="109"/>
      <w:bookmarkStart w:id="110" w:name="_Toc90922375"/>
      <w:r>
        <w:rPr>
          <w:rFonts w:ascii="Times New Roman" w:hAnsi="Times New Roman"/>
          <w:color w:val="000000"/>
        </w:rPr>
        <w:t xml:space="preserve">5  </w:t>
      </w:r>
      <w:r>
        <w:rPr>
          <w:rFonts w:hint="eastAsia"/>
        </w:rPr>
        <w:t>全框支厚板转换结构</w:t>
      </w:r>
      <w:bookmarkEnd w:id="110"/>
    </w:p>
    <w:bookmarkEnd w:id="2"/>
    <w:p>
      <w:pPr>
        <w:pStyle w:val="3"/>
      </w:pPr>
      <w:bookmarkStart w:id="111" w:name="_Toc90922376"/>
      <w:bookmarkStart w:id="112" w:name="_Toc97019164"/>
      <w:r>
        <w:t xml:space="preserve">5.1  </w:t>
      </w:r>
      <w:r>
        <w:rPr>
          <w:rFonts w:hint="eastAsia"/>
        </w:rPr>
        <w:t>一般规定</w:t>
      </w:r>
      <w:bookmarkEnd w:id="111"/>
    </w:p>
    <w:p>
      <w:pPr>
        <w:snapToGrid w:val="0"/>
        <w:spacing w:line="360" w:lineRule="auto"/>
        <w:ind w:firstLine="482"/>
        <w:rPr>
          <w:rFonts w:hAnsi="宋体"/>
        </w:rPr>
      </w:pPr>
      <w:bookmarkStart w:id="113" w:name="_Hlk86925938"/>
      <w:r>
        <w:rPr>
          <w:b/>
          <w:bCs/>
        </w:rPr>
        <w:t>5.1.1</w:t>
      </w:r>
      <w:r>
        <w:rPr>
          <w:rFonts w:hint="eastAsia" w:hAnsi="宋体"/>
        </w:rPr>
        <w:t>采用厚板转换的车辆基地上盖建筑，在结构整体计算分析时应考虑厚板面外刚度影响，其面外刚度宜采用有限元方法计算，也可近似将柱上板带等效为框架梁进行分析计算。</w:t>
      </w:r>
    </w:p>
    <w:p>
      <w:pPr>
        <w:snapToGrid w:val="0"/>
        <w:spacing w:line="360" w:lineRule="auto"/>
        <w:ind w:firstLine="482"/>
        <w:rPr>
          <w:rFonts w:hAnsi="宋体"/>
        </w:rPr>
      </w:pPr>
      <w:r>
        <w:rPr>
          <w:rFonts w:hint="eastAsia" w:hAnsi="宋体"/>
          <w:b/>
          <w:bCs/>
        </w:rPr>
        <w:t>[条文说明]</w:t>
      </w:r>
      <w:r>
        <w:rPr>
          <w:rFonts w:hint="eastAsia" w:hAnsi="宋体"/>
        </w:rPr>
        <w:t>面外刚度是厚板结构传力的关键，上部结构主要通过厚板面外刚度改变传力途径，将荷载传递到下部竖向构件中。结构整体分析时，厚板平面内可以按无限刚考虑。</w:t>
      </w:r>
    </w:p>
    <w:p>
      <w:pPr>
        <w:snapToGrid w:val="0"/>
        <w:spacing w:line="360" w:lineRule="auto"/>
        <w:ind w:firstLine="482"/>
        <w:rPr>
          <w:rFonts w:hAnsi="宋体"/>
        </w:rPr>
      </w:pPr>
      <w:r>
        <w:rPr>
          <w:b/>
          <w:bCs/>
        </w:rPr>
        <w:t>5.1.2</w:t>
      </w:r>
      <w:r>
        <w:rPr>
          <w:rFonts w:hint="eastAsia" w:hAnsi="宋体"/>
        </w:rPr>
        <w:t>转换厚板的平面尺寸，应根据盖板上、下部结构布置、荷载分布及</w:t>
      </w:r>
      <w:r>
        <w:rPr>
          <w:rFonts w:hAnsi="宋体"/>
        </w:rPr>
        <w:t>相关范围内建筑功能、</w:t>
      </w:r>
      <w:r>
        <w:rPr>
          <w:rFonts w:hint="eastAsia" w:hAnsi="宋体"/>
        </w:rPr>
        <w:t>标高要求等因素确定。转换厚板降板及与</w:t>
      </w:r>
      <w:r>
        <w:rPr>
          <w:rFonts w:hAnsi="宋体"/>
        </w:rPr>
        <w:t>周围普通楼板</w:t>
      </w:r>
      <w:r>
        <w:rPr>
          <w:rFonts w:hint="eastAsia" w:hAnsi="宋体"/>
        </w:rPr>
        <w:t>交界处理等可采用楼板加腋或</w:t>
      </w:r>
      <w:r>
        <w:rPr>
          <w:rFonts w:hAnsi="宋体"/>
        </w:rPr>
        <w:t>设置暗梁等方式</w:t>
      </w:r>
      <w:r>
        <w:rPr>
          <w:rFonts w:hint="eastAsia" w:hAnsi="宋体"/>
        </w:rPr>
        <w:t>过渡。</w:t>
      </w:r>
    </w:p>
    <w:bookmarkEnd w:id="113"/>
    <w:p>
      <w:pPr>
        <w:snapToGrid w:val="0"/>
        <w:spacing w:line="360" w:lineRule="auto"/>
        <w:ind w:firstLine="482"/>
        <w:rPr>
          <w:rFonts w:hAnsi="宋体"/>
        </w:rPr>
      </w:pPr>
      <w:r>
        <w:rPr>
          <w:b/>
          <w:bCs/>
        </w:rPr>
        <w:t>5.1.3</w:t>
      </w:r>
      <w:r>
        <w:rPr>
          <w:rFonts w:hint="eastAsia" w:hAnsi="宋体"/>
        </w:rPr>
        <w:t>转换厚板的混凝土强度等级不应低于</w:t>
      </w:r>
      <w:r>
        <w:rPr>
          <w:rFonts w:hAnsi="宋体"/>
        </w:rPr>
        <w:t>C35</w:t>
      </w:r>
      <w:r>
        <w:rPr>
          <w:rFonts w:hint="eastAsia" w:hAnsi="宋体"/>
        </w:rPr>
        <w:t>，不宜超过C</w:t>
      </w:r>
      <w:r>
        <w:rPr>
          <w:rFonts w:hAnsi="宋体"/>
        </w:rPr>
        <w:t>60</w:t>
      </w:r>
      <w:r>
        <w:rPr>
          <w:rFonts w:hint="eastAsia" w:hAnsi="宋体"/>
        </w:rPr>
        <w:t>；当厚板混凝土强度等级低于上部竖向构件时，应验算厚板顶面的局部受压承载力。</w:t>
      </w:r>
    </w:p>
    <w:p>
      <w:pPr>
        <w:snapToGrid w:val="0"/>
        <w:spacing w:line="360" w:lineRule="auto"/>
        <w:ind w:firstLine="482"/>
        <w:rPr>
          <w:rFonts w:hAnsi="宋体"/>
        </w:rPr>
      </w:pPr>
      <w:r>
        <w:rPr>
          <w:rFonts w:hint="eastAsia" w:hAnsi="宋体"/>
          <w:b/>
          <w:bCs/>
        </w:rPr>
        <w:t>[条文说明]</w:t>
      </w:r>
      <w:r>
        <w:rPr>
          <w:rFonts w:hint="eastAsia" w:hAnsi="宋体"/>
        </w:rPr>
        <w:t>考虑</w:t>
      </w:r>
      <w:r>
        <w:rPr>
          <w:rFonts w:hAnsi="宋体"/>
        </w:rPr>
        <w:t>目前商品混凝土质量</w:t>
      </w:r>
      <w:r>
        <w:rPr>
          <w:rFonts w:hint="eastAsia" w:hAnsi="宋体"/>
        </w:rPr>
        <w:t>及</w:t>
      </w:r>
      <w:r>
        <w:rPr>
          <w:rFonts w:hAnsi="宋体"/>
        </w:rPr>
        <w:t>高标号混凝土对大体积混凝土质量的</w:t>
      </w:r>
      <w:r>
        <w:rPr>
          <w:rFonts w:hint="eastAsia" w:hAnsi="宋体"/>
        </w:rPr>
        <w:t>影响</w:t>
      </w:r>
      <w:r>
        <w:rPr>
          <w:rFonts w:hAnsi="宋体"/>
        </w:rPr>
        <w:t>，暂</w:t>
      </w:r>
      <w:r>
        <w:rPr>
          <w:rFonts w:hint="eastAsia" w:hAnsi="宋体"/>
        </w:rPr>
        <w:t>规定转换厚板的</w:t>
      </w:r>
      <w:r>
        <w:rPr>
          <w:rFonts w:hAnsi="宋体"/>
        </w:rPr>
        <w:t>混凝土强度等级不宜超过C60</w:t>
      </w:r>
      <w:r>
        <w:rPr>
          <w:rFonts w:hint="eastAsia" w:hAnsi="宋体"/>
        </w:rPr>
        <w:t>。</w:t>
      </w:r>
    </w:p>
    <w:p>
      <w:pPr>
        <w:snapToGrid w:val="0"/>
        <w:spacing w:line="360" w:lineRule="auto"/>
        <w:ind w:firstLine="482"/>
        <w:rPr>
          <w:rFonts w:hAnsi="宋体"/>
        </w:rPr>
      </w:pPr>
      <w:r>
        <w:rPr>
          <w:rFonts w:hint="eastAsia" w:hAnsi="宋体"/>
          <w:b/>
          <w:bCs/>
        </w:rPr>
        <w:t>5.</w:t>
      </w:r>
      <w:r>
        <w:rPr>
          <w:rFonts w:hAnsi="宋体"/>
          <w:b/>
          <w:bCs/>
        </w:rPr>
        <w:t>1.</w:t>
      </w:r>
      <w:r>
        <w:rPr>
          <w:rFonts w:hint="eastAsia" w:hAnsi="宋体"/>
          <w:b/>
          <w:bCs/>
        </w:rPr>
        <w:t>4</w:t>
      </w:r>
      <w:r>
        <w:rPr>
          <w:rFonts w:hint="eastAsia" w:hAnsi="宋体"/>
        </w:rPr>
        <w:t>转换厚板的板厚可由抗弯、抗剪、抗冲切截面验算确定，并满足承载力和变形的要求。</w:t>
      </w:r>
    </w:p>
    <w:p>
      <w:pPr>
        <w:snapToGrid w:val="0"/>
        <w:spacing w:line="360" w:lineRule="auto"/>
        <w:ind w:firstLine="482"/>
        <w:rPr>
          <w:rFonts w:hAnsi="宋体"/>
        </w:rPr>
      </w:pPr>
      <w:bookmarkStart w:id="114" w:name="_Hlk86925816"/>
      <w:r>
        <w:rPr>
          <w:rFonts w:hint="eastAsia" w:hAnsi="宋体"/>
        </w:rPr>
        <w:t>5.</w:t>
      </w:r>
      <w:r>
        <w:rPr>
          <w:rFonts w:hAnsi="宋体"/>
        </w:rPr>
        <w:t>1.5</w:t>
      </w:r>
      <w:r>
        <w:rPr>
          <w:rFonts w:hint="eastAsia" w:hAnsi="宋体"/>
        </w:rPr>
        <w:t>采用有限元分析的厚板，可根据应力分布特点划分板带，基于板带内力结果配置受力钢筋，板带宽度可取转换板厚度。</w:t>
      </w:r>
    </w:p>
    <w:p>
      <w:pPr>
        <w:snapToGrid w:val="0"/>
        <w:spacing w:line="360" w:lineRule="auto"/>
        <w:ind w:firstLine="482"/>
        <w:rPr>
          <w:rFonts w:hAnsi="宋体"/>
        </w:rPr>
      </w:pPr>
      <w:r>
        <w:rPr>
          <w:rFonts w:hint="eastAsia" w:hAnsi="宋体"/>
          <w:b/>
          <w:bCs/>
        </w:rPr>
        <w:t>[条文说明]</w:t>
      </w:r>
      <w:r>
        <w:rPr>
          <w:rFonts w:hint="eastAsia" w:hAnsi="宋体"/>
        </w:rPr>
        <w:t>厚板与一般无梁楼盖的区别在于：无梁楼盖平面外通常以承受均布荷载为主，即便有集中荷载，其量级也无法与承托数层结构的厚板相比。厚板设计</w:t>
      </w:r>
      <w:r>
        <w:rPr>
          <w:rFonts w:hAnsi="宋体"/>
        </w:rPr>
        <w:t>时，</w:t>
      </w:r>
      <w:r>
        <w:rPr>
          <w:rFonts w:hint="eastAsia" w:hAnsi="宋体"/>
        </w:rPr>
        <w:t>可根据应力分布的不同，对局部应力较大区域划分单独板带。也可按等代平面框架分析，等代梁划分应满足相关规范要求。</w:t>
      </w:r>
      <w:bookmarkEnd w:id="114"/>
    </w:p>
    <w:p>
      <w:pPr>
        <w:snapToGrid w:val="0"/>
        <w:spacing w:line="360" w:lineRule="auto"/>
        <w:ind w:firstLine="482"/>
        <w:rPr>
          <w:rFonts w:hAnsi="宋体"/>
        </w:rPr>
      </w:pPr>
      <w:r>
        <w:rPr>
          <w:rFonts w:hint="eastAsia" w:hAnsi="宋体"/>
        </w:rPr>
        <w:t>5.</w:t>
      </w:r>
      <w:r>
        <w:rPr>
          <w:rFonts w:hAnsi="宋体"/>
        </w:rPr>
        <w:t>1.6</w:t>
      </w:r>
      <w:r>
        <w:rPr>
          <w:rFonts w:hint="eastAsia" w:hAnsi="宋体"/>
        </w:rPr>
        <w:t>转换厚板板面开洞宜避开框支柱顶冲切破坏锥体范围，及沿主要抗侧力方向与其相邻框支柱连线之间的板带，板带宽度不宜小于厚板的厚度。</w:t>
      </w:r>
      <w:bookmarkStart w:id="115" w:name="_Toc90922377"/>
    </w:p>
    <w:p>
      <w:pPr>
        <w:pStyle w:val="3"/>
      </w:pPr>
      <w:r>
        <w:t xml:space="preserve">5.2  </w:t>
      </w:r>
      <w:r>
        <w:rPr>
          <w:rFonts w:hint="eastAsia"/>
        </w:rPr>
        <w:t>截面设计及构造</w:t>
      </w:r>
      <w:bookmarkEnd w:id="115"/>
    </w:p>
    <w:p>
      <w:pPr>
        <w:snapToGrid w:val="0"/>
        <w:spacing w:line="360" w:lineRule="auto"/>
        <w:ind w:firstLine="482"/>
      </w:pPr>
      <w:r>
        <w:rPr>
          <w:rFonts w:hint="eastAsia" w:hAnsi="宋体"/>
          <w:b/>
          <w:bCs/>
        </w:rPr>
        <w:t>5.</w:t>
      </w:r>
      <w:r>
        <w:rPr>
          <w:rFonts w:hAnsi="宋体"/>
          <w:b/>
          <w:bCs/>
        </w:rPr>
        <w:t>2.1</w:t>
      </w:r>
      <w:r>
        <w:rPr>
          <w:rFonts w:hint="eastAsia" w:hAnsi="宋体"/>
        </w:rPr>
        <w:t>转换厚板承载能力极限状态设计的作用组合效应应满足《建筑结构可靠性设计统一标准》GB</w:t>
      </w:r>
      <w:r>
        <w:rPr>
          <w:rFonts w:hAnsi="宋体"/>
        </w:rPr>
        <w:t>50068</w:t>
      </w:r>
      <w:r>
        <w:rPr>
          <w:rFonts w:hint="eastAsia" w:hAnsi="宋体"/>
        </w:rPr>
        <w:t>和《高层建筑混凝土结构技术规程》JGJ3的相关规定。</w:t>
      </w:r>
    </w:p>
    <w:p>
      <w:pPr>
        <w:snapToGrid w:val="0"/>
        <w:spacing w:line="360" w:lineRule="auto"/>
        <w:ind w:firstLine="482"/>
        <w:rPr>
          <w:rFonts w:ascii="宋体" w:hAnsi="宋体"/>
        </w:rPr>
      </w:pPr>
      <w:bookmarkStart w:id="116" w:name="_Hlk86926366"/>
      <w:r>
        <w:rPr>
          <w:rFonts w:hint="eastAsia" w:hAnsi="宋体"/>
          <w:b/>
          <w:bCs/>
        </w:rPr>
        <w:t>5.</w:t>
      </w:r>
      <w:r>
        <w:rPr>
          <w:rFonts w:hAnsi="宋体"/>
          <w:b/>
          <w:bCs/>
        </w:rPr>
        <w:t>2.2</w:t>
      </w:r>
      <w:r>
        <w:rPr>
          <w:rFonts w:hint="eastAsia" w:hAnsi="宋体"/>
        </w:rPr>
        <w:t>在地震作用下，</w:t>
      </w:r>
      <w:r>
        <w:rPr>
          <w:rFonts w:hint="eastAsia" w:ascii="宋体" w:hAnsi="宋体"/>
        </w:rPr>
        <w:t>厚板的受剪截面应满足下列条件：</w:t>
      </w:r>
    </w:p>
    <w:p>
      <w:pPr>
        <w:snapToGrid w:val="0"/>
        <w:spacing w:line="360" w:lineRule="auto"/>
        <w:ind w:firstLine="480"/>
        <w:rPr>
          <w:rFonts w:ascii="宋体" w:hAnsi="宋体"/>
        </w:rPr>
      </w:pPr>
      <w:r>
        <w:rPr>
          <w:rFonts w:ascii="宋体" w:hAnsi="宋体"/>
        </w:rPr>
        <w:t>1.</w:t>
      </w:r>
      <w:r>
        <w:rPr>
          <w:rFonts w:hint="eastAsia" w:ascii="宋体" w:hAnsi="宋体"/>
        </w:rPr>
        <w:t>未配置抗剪钢筋的厚板区域，其受剪截面应满足：</w:t>
      </w:r>
    </w:p>
    <w:p>
      <w:pPr>
        <w:spacing w:before="312" w:beforeLines="100" w:line="360" w:lineRule="auto"/>
        <w:ind w:left="420" w:leftChars="200" w:firstLine="420" w:firstLineChars="200"/>
        <w:jc w:val="center"/>
        <w:rPr>
          <w:sz w:val="22"/>
          <w:szCs w:val="22"/>
        </w:rPr>
      </w:pPr>
      <m:oMath>
        <m:sSub>
          <m:sSubPr>
            <m:ctrlPr>
              <w:rPr>
                <w:rFonts w:ascii="Cambria Math" w:hAnsi="Cambria Math"/>
                <w:i/>
              </w:rPr>
            </m:ctrlPr>
          </m:sSubPr>
          <m:e>
            <m:r>
              <w:rPr>
                <w:rFonts w:ascii="Cambria Math" w:hAnsi="Cambria Math"/>
              </w:rPr>
              <m:t xml:space="preserve">τ</m:t>
            </m:r>
          </m:e>
          <m:sub>
            <m:r>
              <w:rPr>
                <w:rFonts w:ascii="Cambria Math" w:hAnsi="Cambria Math"/>
              </w:rPr>
              <m:t xml:space="preserve">0</m:t>
            </m:r>
          </m:sub>
        </m:sSub>
        <m:r>
          <w:rPr>
            <w:rFonts w:ascii="Cambria Math" w:hAnsi="Cambria Math"/>
            <w:sz w:val="22"/>
            <w:szCs w:val="22"/>
          </w:rPr>
          <m:t xml:space="preserve">≤</m:t>
        </m:r>
        <m:f>
          <m:fPr>
            <m:ctrlPr>
              <w:rPr>
                <w:rFonts w:ascii="Cambria Math" w:hAnsi="Cambria Math"/>
                <w:i/>
                <w:sz w:val="22"/>
                <w:szCs w:val="22"/>
              </w:rPr>
            </m:ctrlPr>
          </m:fPr>
          <m:num>
            <m:r>
              <w:rPr>
                <w:rFonts w:ascii="Cambria Math" w:hAnsi="Cambria Math"/>
                <w:sz w:val="22"/>
                <w:szCs w:val="22"/>
              </w:rPr>
              <m:t xml:space="preserve">1</m:t>
            </m:r>
          </m:num>
          <m:den>
            <m:sSub>
              <m:sSubPr>
                <m:ctrlPr>
                  <w:rPr>
                    <w:rFonts w:ascii="Cambria Math" w:hAnsi="Cambria Math"/>
                    <w:i/>
                    <w:sz w:val="22"/>
                    <w:szCs w:val="22"/>
                  </w:rPr>
                </m:ctrlPr>
              </m:sSubPr>
              <m:e>
                <m:r>
                  <w:rPr>
                    <w:rFonts w:ascii="Cambria Math" w:hAnsi="Cambria Math"/>
                    <w:sz w:val="22"/>
                    <w:szCs w:val="22"/>
                  </w:rPr>
                  <m:t xml:space="preserve">γ</m:t>
                </m:r>
              </m:e>
              <m:sub>
                <m:r>
                  <w:rPr>
                    <w:rFonts w:ascii="Cambria Math" w:hAnsi="Cambria Math"/>
                    <w:sz w:val="22"/>
                    <w:szCs w:val="22"/>
                  </w:rPr>
                  <m:t xml:space="preserve">RE</m:t>
                </m:r>
              </m:sub>
            </m:sSub>
          </m:den>
        </m:f>
        <m:r>
          <w:rPr>
            <w:rFonts w:ascii="Cambria Math" w:hAnsi="Cambria Math"/>
            <w:sz w:val="22"/>
            <w:szCs w:val="22"/>
          </w:rPr>
          <m:t xml:space="preserve">0.07</m:t>
        </m:r>
        <m:sSub>
          <m:sSubPr>
            <m:ctrlPr>
              <w:rPr>
                <w:rFonts w:ascii="Cambria Math" w:hAnsi="Cambria Math"/>
                <w:i/>
                <w:sz w:val="22"/>
                <w:szCs w:val="22"/>
              </w:rPr>
            </m:ctrlPr>
          </m:sSubPr>
          <m:e>
            <m:r>
              <w:rPr>
                <w:rFonts w:ascii="Cambria Math" w:hAnsi="Cambria Math"/>
                <w:sz w:val="22"/>
                <w:szCs w:val="22"/>
              </w:rPr>
              <m:t xml:space="preserve">β</m:t>
            </m:r>
          </m:e>
          <m:sub>
            <m:r>
              <w:rPr>
                <w:rFonts w:ascii="Cambria Math" w:hAnsi="Cambria Math"/>
                <w:sz w:val="22"/>
                <w:szCs w:val="22"/>
              </w:rPr>
              <m:t xml:space="preserve">h</m:t>
            </m:r>
          </m:sub>
        </m:sSub>
        <m:sSub>
          <m:sSubPr>
            <m:ctrlPr>
              <w:rPr>
                <w:rFonts w:ascii="Cambria Math" w:hAnsi="Cambria Math"/>
                <w:i/>
                <w:sz w:val="22"/>
                <w:szCs w:val="22"/>
              </w:rPr>
            </m:ctrlPr>
          </m:sSubPr>
          <m:e>
            <m:r>
              <w:rPr>
                <w:rFonts w:ascii="Cambria Math" w:hAnsi="Cambria Math"/>
                <w:sz w:val="22"/>
                <w:szCs w:val="22"/>
              </w:rPr>
              <m:t xml:space="preserve">β</m:t>
            </m:r>
          </m:e>
          <m:sub>
            <m:r>
              <w:rPr>
                <w:rFonts w:ascii="Cambria Math" w:hAnsi="Cambria Math"/>
                <w:sz w:val="22"/>
                <w:szCs w:val="22"/>
              </w:rPr>
              <m:t xml:space="preserve">c</m:t>
            </m:r>
          </m:sub>
        </m:sSub>
        <m:sSub>
          <m:sSubPr>
            <m:ctrlPr>
              <w:rPr>
                <w:rFonts w:ascii="Cambria Math" w:hAnsi="Cambria Math"/>
                <w:i/>
                <w:sz w:val="22"/>
                <w:szCs w:val="22"/>
              </w:rPr>
            </m:ctrlPr>
          </m:sSubPr>
          <m:e>
            <m:r>
              <w:rPr>
                <w:rFonts w:ascii="Cambria Math" w:hAnsi="Cambria Math"/>
                <w:sz w:val="22"/>
                <w:szCs w:val="22"/>
              </w:rPr>
              <m:t xml:space="preserve">f</m:t>
            </m:r>
          </m:e>
          <m:sub>
            <m:r>
              <w:rPr>
                <w:rFonts w:ascii="Cambria Math" w:hAnsi="Cambria Math"/>
                <w:sz w:val="22"/>
                <w:szCs w:val="22"/>
              </w:rPr>
              <m:t xml:space="preserve">c</m:t>
            </m:r>
          </m:sub>
        </m:sSub>
      </m:oMath>
      <w:r>
        <w:rPr>
          <w:sz w:val="22"/>
          <w:szCs w:val="22"/>
        </w:rPr>
        <w:t xml:space="preserve">      </w:t>
      </w:r>
      <w:r>
        <w:rPr>
          <w:rFonts w:hint="eastAsia"/>
          <w:sz w:val="22"/>
          <w:szCs w:val="22"/>
        </w:rPr>
        <w:t>（</w:t>
      </w:r>
      <w:r>
        <w:rPr>
          <w:sz w:val="22"/>
          <w:szCs w:val="22"/>
        </w:rPr>
        <w:t>5</w:t>
      </w:r>
      <w:r>
        <w:rPr>
          <w:rFonts w:hint="eastAsia"/>
          <w:sz w:val="22"/>
          <w:szCs w:val="22"/>
        </w:rPr>
        <w:t>.2</w:t>
      </w:r>
      <w:r>
        <w:rPr>
          <w:sz w:val="22"/>
          <w:szCs w:val="22"/>
        </w:rPr>
        <w:t>.2-1</w:t>
      </w:r>
      <w:r>
        <w:rPr>
          <w:rFonts w:hint="eastAsia"/>
          <w:sz w:val="22"/>
          <w:szCs w:val="22"/>
        </w:rPr>
        <w:t>）</w:t>
      </w:r>
    </w:p>
    <w:p>
      <w:pPr>
        <w:spacing w:before="312" w:beforeLines="100" w:line="360" w:lineRule="auto"/>
        <w:ind w:left="420" w:leftChars="200" w:firstLine="440" w:firstLineChars="200"/>
        <w:jc w:val="center"/>
        <w:rPr>
          <w:sz w:val="22"/>
          <w:szCs w:val="22"/>
        </w:rPr>
      </w:pPr>
      <m:oMath>
        <m:sSub>
          <m:sSubPr>
            <m:ctrlPr>
              <w:rPr>
                <w:rFonts w:ascii="Cambria Math" w:hAnsi="Cambria Math"/>
                <w:i/>
                <w:sz w:val="22"/>
                <w:szCs w:val="22"/>
              </w:rPr>
            </m:ctrlPr>
          </m:sSubPr>
          <m:e>
            <m:r>
              <w:rPr>
                <w:rFonts w:ascii="Cambria Math" w:hAnsi="Cambria Math"/>
                <w:sz w:val="22"/>
                <w:szCs w:val="22"/>
              </w:rPr>
              <m:t xml:space="preserve">β</m:t>
            </m:r>
          </m:e>
          <m:sub>
            <m:r>
              <w:rPr>
                <w:rFonts w:ascii="Cambria Math" w:hAnsi="Cambria Math"/>
                <w:sz w:val="22"/>
                <w:szCs w:val="22"/>
              </w:rPr>
              <m:t xml:space="preserve">h</m:t>
            </m:r>
          </m:sub>
        </m:sSub>
        <m:r>
          <w:rPr>
            <w:rFonts w:ascii="Cambria Math" w:hAnsi="Cambria Math"/>
            <w:sz w:val="22"/>
            <w:szCs w:val="22"/>
          </w:rPr>
          <m:t xml:space="preserve">=</m:t>
        </m:r>
        <m:sSup>
          <m:sSupPr>
            <m:ctrlPr>
              <w:rPr>
                <w:rFonts w:ascii="Cambria Math" w:hAnsi="Cambria Math"/>
                <w:i/>
                <w:sz w:val="22"/>
                <w:szCs w:val="22"/>
              </w:rPr>
            </m:ctrlPr>
          </m:sSupPr>
          <m:e>
            <m:d>
              <m:dPr>
                <m:ctrlPr>
                  <w:rPr>
                    <w:rFonts w:ascii="Cambria Math" w:hAnsi="Cambria Math"/>
                    <w:i/>
                    <w:sz w:val="22"/>
                    <w:szCs w:val="22"/>
                  </w:rPr>
                </m:ctrlPr>
              </m:dPr>
              <m:e>
                <m:f>
                  <m:fPr>
                    <m:ctrlPr>
                      <w:rPr>
                        <w:rFonts w:ascii="Cambria Math" w:hAnsi="Cambria Math"/>
                        <w:i/>
                        <w:sz w:val="22"/>
                        <w:szCs w:val="22"/>
                      </w:rPr>
                    </m:ctrlPr>
                  </m:fPr>
                  <m:num>
                    <m:r>
                      <w:rPr>
                        <w:rFonts w:ascii="Cambria Math" w:hAnsi="Cambria Math"/>
                        <w:sz w:val="22"/>
                        <w:szCs w:val="22"/>
                      </w:rPr>
                      <m:t xml:space="preserve">800</m:t>
                    </m:r>
                  </m:num>
                  <m:den>
                    <m:sSub>
                      <m:sSubPr>
                        <m:ctrlPr>
                          <w:rPr>
                            <w:rFonts w:ascii="Cambria Math" w:hAnsi="Cambria Math"/>
                            <w:i/>
                            <w:sz w:val="22"/>
                            <w:szCs w:val="22"/>
                          </w:rPr>
                        </m:ctrlPr>
                      </m:sSubPr>
                      <m:e>
                        <m:r>
                          <w:rPr>
                            <w:rFonts w:ascii="Cambria Math" w:hAnsi="Cambria Math"/>
                            <w:sz w:val="22"/>
                            <w:szCs w:val="22"/>
                          </w:rPr>
                          <m:t xml:space="preserve">h</m:t>
                        </m:r>
                      </m:e>
                      <m:sub>
                        <m:r>
                          <w:rPr>
                            <w:rFonts w:ascii="Cambria Math" w:hAnsi="Cambria Math"/>
                            <w:sz w:val="22"/>
                            <w:szCs w:val="22"/>
                          </w:rPr>
                          <m:t xml:space="preserve">0</m:t>
                        </m:r>
                      </m:sub>
                    </m:sSub>
                  </m:den>
                </m:f>
              </m:e>
            </m:d>
          </m:e>
          <m:sup>
            <m:f>
              <m:fPr>
                <m:type m:val="lin"/>
                <m:ctrlPr>
                  <w:rPr>
                    <w:rFonts w:ascii="Cambria Math" w:hAnsi="Cambria Math"/>
                    <w:i/>
                    <w:sz w:val="22"/>
                    <w:szCs w:val="22"/>
                  </w:rPr>
                </m:ctrlPr>
              </m:fPr>
              <m:num>
                <m:r>
                  <w:rPr>
                    <w:rFonts w:ascii="Cambria Math" w:hAnsi="Cambria Math"/>
                    <w:sz w:val="22"/>
                    <w:szCs w:val="22"/>
                  </w:rPr>
                  <m:t xml:space="preserve">1</m:t>
                </m:r>
              </m:num>
              <m:den>
                <m:r>
                  <w:rPr>
                    <w:rFonts w:ascii="Cambria Math" w:hAnsi="Cambria Math"/>
                    <w:sz w:val="22"/>
                    <w:szCs w:val="22"/>
                  </w:rPr>
                  <m:t xml:space="preserve">4</m:t>
                </m:r>
              </m:den>
            </m:f>
          </m:sup>
        </m:sSup>
      </m:oMath>
      <w:r>
        <w:rPr>
          <w:sz w:val="22"/>
          <w:szCs w:val="22"/>
        </w:rPr>
        <w:t xml:space="preserve">           </w:t>
      </w:r>
      <w:r>
        <w:rPr>
          <w:rFonts w:hint="eastAsia"/>
          <w:sz w:val="22"/>
          <w:szCs w:val="22"/>
        </w:rPr>
        <w:t>（</w:t>
      </w:r>
      <w:r>
        <w:rPr>
          <w:sz w:val="22"/>
          <w:szCs w:val="22"/>
        </w:rPr>
        <w:t>5</w:t>
      </w:r>
      <w:r>
        <w:rPr>
          <w:rFonts w:hint="eastAsia"/>
          <w:sz w:val="22"/>
          <w:szCs w:val="22"/>
        </w:rPr>
        <w:t>.2</w:t>
      </w:r>
      <w:r>
        <w:rPr>
          <w:sz w:val="22"/>
          <w:szCs w:val="22"/>
        </w:rPr>
        <w:t>.2-2</w:t>
      </w:r>
      <w:r>
        <w:rPr>
          <w:rFonts w:hint="eastAsia"/>
          <w:sz w:val="22"/>
          <w:szCs w:val="22"/>
        </w:rPr>
        <w:t>）</w:t>
      </w:r>
    </w:p>
    <w:p>
      <w:pPr>
        <w:snapToGrid w:val="0"/>
        <w:spacing w:line="360" w:lineRule="auto"/>
        <w:ind w:firstLine="480"/>
        <w:rPr>
          <w:rFonts w:ascii="宋体" w:hAnsi="宋体"/>
        </w:rPr>
      </w:pPr>
      <w:r>
        <w:rPr>
          <w:rFonts w:ascii="宋体" w:hAnsi="宋体"/>
        </w:rPr>
        <w:t>2.</w:t>
      </w:r>
      <w:r>
        <w:rPr>
          <w:rFonts w:hint="eastAsia" w:ascii="宋体" w:hAnsi="宋体"/>
        </w:rPr>
        <w:t>配置抗剪钢筋的厚板区域，其受剪截面应满足：</w:t>
      </w:r>
    </w:p>
    <w:p>
      <w:pPr>
        <w:spacing w:before="312" w:beforeLines="100" w:line="360" w:lineRule="auto"/>
        <w:ind w:left="420" w:leftChars="200" w:firstLine="420" w:firstLineChars="200"/>
        <w:jc w:val="center"/>
        <w:rPr>
          <w:sz w:val="22"/>
          <w:szCs w:val="22"/>
        </w:rPr>
      </w:pPr>
      <m:oMath>
        <m:sSub>
          <m:sSubPr>
            <m:ctrlPr>
              <w:rPr>
                <w:rFonts w:ascii="Cambria Math" w:hAnsi="Cambria Math"/>
                <w:i/>
              </w:rPr>
            </m:ctrlPr>
          </m:sSubPr>
          <m:e>
            <m:r>
              <w:rPr>
                <w:rFonts w:ascii="Cambria Math" w:hAnsi="Cambria Math"/>
              </w:rPr>
              <m:t xml:space="preserve">τ</m:t>
            </m:r>
          </m:e>
          <m:sub>
            <m:r>
              <w:rPr>
                <w:rFonts w:ascii="Cambria Math" w:hAnsi="Cambria Math"/>
              </w:rPr>
              <m:t xml:space="preserve">0</m:t>
            </m:r>
          </m:sub>
        </m:sSub>
        <m:r>
          <w:rPr>
            <w:rFonts w:ascii="Cambria Math" w:hAnsi="Cambria Math"/>
            <w:sz w:val="22"/>
            <w:szCs w:val="22"/>
          </w:rPr>
          <m:t xml:space="preserve">≤</m:t>
        </m:r>
        <m:f>
          <m:fPr>
            <m:ctrlPr>
              <w:rPr>
                <w:rFonts w:ascii="Cambria Math" w:hAnsi="Cambria Math"/>
                <w:i/>
                <w:sz w:val="22"/>
                <w:szCs w:val="22"/>
              </w:rPr>
            </m:ctrlPr>
          </m:fPr>
          <m:num>
            <m:r>
              <w:rPr>
                <w:rFonts w:ascii="Cambria Math" w:hAnsi="Cambria Math"/>
                <w:sz w:val="22"/>
                <w:szCs w:val="22"/>
              </w:rPr>
              <m:t xml:space="preserve">1</m:t>
            </m:r>
          </m:num>
          <m:den>
            <m:sSub>
              <m:sSubPr>
                <m:ctrlPr>
                  <w:rPr>
                    <w:rFonts w:ascii="Cambria Math" w:hAnsi="Cambria Math"/>
                    <w:i/>
                    <w:sz w:val="22"/>
                    <w:szCs w:val="22"/>
                  </w:rPr>
                </m:ctrlPr>
              </m:sSubPr>
              <m:e>
                <m:r>
                  <w:rPr>
                    <w:rFonts w:ascii="Cambria Math" w:hAnsi="Cambria Math"/>
                    <w:sz w:val="22"/>
                    <w:szCs w:val="22"/>
                  </w:rPr>
                  <m:t xml:space="preserve">γ</m:t>
                </m:r>
              </m:e>
              <m:sub>
                <m:r>
                  <w:rPr>
                    <w:rFonts w:ascii="Cambria Math" w:hAnsi="Cambria Math"/>
                    <w:sz w:val="22"/>
                    <w:szCs w:val="22"/>
                  </w:rPr>
                  <m:t xml:space="preserve">RE</m:t>
                </m:r>
              </m:sub>
            </m:sSub>
          </m:den>
        </m:f>
        <m:r>
          <w:rPr>
            <w:rFonts w:ascii="Cambria Math" w:hAnsi="Cambria Math"/>
            <w:sz w:val="22"/>
            <w:szCs w:val="22"/>
          </w:rPr>
          <m:t xml:space="preserve">0.25</m:t>
        </m:r>
        <m:sSub>
          <m:sSubPr>
            <m:ctrlPr>
              <w:rPr>
                <w:rFonts w:ascii="Cambria Math" w:hAnsi="Cambria Math"/>
                <w:i/>
                <w:sz w:val="22"/>
                <w:szCs w:val="22"/>
              </w:rPr>
            </m:ctrlPr>
          </m:sSubPr>
          <m:e>
            <m:r>
              <w:rPr>
                <w:rFonts w:ascii="Cambria Math" w:hAnsi="Cambria Math"/>
                <w:sz w:val="22"/>
                <w:szCs w:val="22"/>
              </w:rPr>
              <m:t xml:space="preserve">β</m:t>
            </m:r>
          </m:e>
          <m:sub>
            <m:r>
              <w:rPr>
                <w:rFonts w:ascii="Cambria Math" w:hAnsi="Cambria Math"/>
                <w:sz w:val="22"/>
                <w:szCs w:val="22"/>
              </w:rPr>
              <m:t xml:space="preserve">h</m:t>
            </m:r>
          </m:sub>
        </m:sSub>
        <m:sSub>
          <m:sSubPr>
            <m:ctrlPr>
              <w:rPr>
                <w:rFonts w:ascii="Cambria Math" w:hAnsi="Cambria Math"/>
                <w:i/>
                <w:sz w:val="22"/>
                <w:szCs w:val="22"/>
              </w:rPr>
            </m:ctrlPr>
          </m:sSubPr>
          <m:e>
            <m:r>
              <w:rPr>
                <w:rFonts w:ascii="Cambria Math" w:hAnsi="Cambria Math"/>
                <w:sz w:val="22"/>
                <w:szCs w:val="22"/>
              </w:rPr>
              <m:t xml:space="preserve">β</m:t>
            </m:r>
          </m:e>
          <m:sub>
            <m:r>
              <w:rPr>
                <w:rFonts w:ascii="Cambria Math" w:hAnsi="Cambria Math"/>
                <w:sz w:val="22"/>
                <w:szCs w:val="22"/>
              </w:rPr>
              <m:t xml:space="preserve">c</m:t>
            </m:r>
          </m:sub>
        </m:sSub>
        <m:sSub>
          <m:sSubPr>
            <m:ctrlPr>
              <w:rPr>
                <w:rFonts w:ascii="Cambria Math" w:hAnsi="Cambria Math"/>
                <w:i/>
                <w:sz w:val="22"/>
                <w:szCs w:val="22"/>
              </w:rPr>
            </m:ctrlPr>
          </m:sSubPr>
          <m:e>
            <m:r>
              <w:rPr>
                <w:rFonts w:ascii="Cambria Math" w:hAnsi="Cambria Math"/>
                <w:sz w:val="22"/>
                <w:szCs w:val="22"/>
              </w:rPr>
              <m:t xml:space="preserve">f</m:t>
            </m:r>
          </m:e>
          <m:sub>
            <m:r>
              <w:rPr>
                <w:rFonts w:ascii="Cambria Math" w:hAnsi="Cambria Math"/>
                <w:sz w:val="22"/>
                <w:szCs w:val="22"/>
              </w:rPr>
              <m:t xml:space="preserve">c</m:t>
            </m:r>
          </m:sub>
        </m:sSub>
      </m:oMath>
      <w:r>
        <w:rPr>
          <w:sz w:val="22"/>
          <w:szCs w:val="22"/>
        </w:rPr>
        <w:t xml:space="preserve">      </w:t>
      </w:r>
      <w:r>
        <w:rPr>
          <w:rFonts w:hint="eastAsia"/>
          <w:sz w:val="22"/>
          <w:szCs w:val="22"/>
        </w:rPr>
        <w:t>（</w:t>
      </w:r>
      <w:r>
        <w:rPr>
          <w:sz w:val="22"/>
          <w:szCs w:val="22"/>
        </w:rPr>
        <w:t>5</w:t>
      </w:r>
      <w:r>
        <w:rPr>
          <w:rFonts w:hint="eastAsia"/>
          <w:sz w:val="22"/>
          <w:szCs w:val="22"/>
        </w:rPr>
        <w:t>.2</w:t>
      </w:r>
      <w:r>
        <w:rPr>
          <w:sz w:val="22"/>
          <w:szCs w:val="22"/>
        </w:rPr>
        <w:t>.2-3</w:t>
      </w:r>
      <w:r>
        <w:rPr>
          <w:rFonts w:hint="eastAsia"/>
          <w:sz w:val="22"/>
          <w:szCs w:val="22"/>
        </w:rPr>
        <w:t>）</w:t>
      </w:r>
    </w:p>
    <w:p>
      <w:pPr>
        <w:snapToGrid w:val="0"/>
        <w:spacing w:line="360" w:lineRule="auto"/>
        <w:ind w:firstLine="480"/>
        <w:rPr>
          <w:rFonts w:ascii="宋体" w:hAnsi="宋体"/>
        </w:rPr>
      </w:pPr>
      <w:r>
        <w:rPr>
          <w:rFonts w:ascii="宋体" w:hAnsi="宋体"/>
        </w:rPr>
        <w:t>3.</w:t>
      </w:r>
      <w:r>
        <w:rPr>
          <w:rFonts w:hint="eastAsia" w:ascii="宋体" w:hAnsi="宋体"/>
        </w:rPr>
        <w:t>配置抗剪钢板（型钢剪力架）的厚板区域，其受剪截面应满足：</w:t>
      </w:r>
    </w:p>
    <w:p>
      <w:pPr>
        <w:spacing w:before="312" w:beforeLines="100" w:line="360" w:lineRule="auto"/>
        <w:ind w:left="420" w:leftChars="200" w:firstLine="420" w:firstLineChars="200"/>
        <w:jc w:val="center"/>
        <w:rPr>
          <w:sz w:val="22"/>
          <w:szCs w:val="22"/>
        </w:rPr>
      </w:pPr>
      <m:oMath>
        <m:sSub>
          <m:sSubPr>
            <m:ctrlPr>
              <w:rPr>
                <w:rFonts w:ascii="Cambria Math" w:hAnsi="Cambria Math"/>
                <w:i/>
              </w:rPr>
            </m:ctrlPr>
          </m:sSubPr>
          <m:e>
            <m:r>
              <w:rPr>
                <w:rFonts w:ascii="Cambria Math" w:hAnsi="Cambria Math"/>
              </w:rPr>
              <m:t xml:space="preserve">τ</m:t>
            </m:r>
          </m:e>
          <m:sub>
            <m:r>
              <w:rPr>
                <w:rFonts w:ascii="Cambria Math" w:hAnsi="Cambria Math"/>
              </w:rPr>
              <m:t xml:space="preserve">0</m:t>
            </m:r>
          </m:sub>
        </m:sSub>
        <m:r>
          <w:rPr>
            <w:rFonts w:ascii="Cambria Math" w:hAnsi="Cambria Math"/>
            <w:sz w:val="22"/>
            <w:szCs w:val="22"/>
          </w:rPr>
          <m:t xml:space="preserve">≤</m:t>
        </m:r>
        <m:f>
          <m:fPr>
            <m:ctrlPr>
              <w:rPr>
                <w:rFonts w:ascii="Cambria Math" w:hAnsi="Cambria Math"/>
                <w:i/>
                <w:sz w:val="22"/>
                <w:szCs w:val="22"/>
              </w:rPr>
            </m:ctrlPr>
          </m:fPr>
          <m:num>
            <m:r>
              <w:rPr>
                <w:rFonts w:ascii="Cambria Math" w:hAnsi="Cambria Math"/>
                <w:sz w:val="22"/>
                <w:szCs w:val="22"/>
              </w:rPr>
              <m:t xml:space="preserve">1</m:t>
            </m:r>
          </m:num>
          <m:den>
            <m:sSub>
              <m:sSubPr>
                <m:ctrlPr>
                  <w:rPr>
                    <w:rFonts w:ascii="Cambria Math" w:hAnsi="Cambria Math"/>
                    <w:i/>
                    <w:sz w:val="22"/>
                    <w:szCs w:val="22"/>
                  </w:rPr>
                </m:ctrlPr>
              </m:sSubPr>
              <m:e>
                <m:r>
                  <w:rPr>
                    <w:rFonts w:ascii="Cambria Math" w:hAnsi="Cambria Math"/>
                    <w:sz w:val="22"/>
                    <w:szCs w:val="22"/>
                  </w:rPr>
                  <m:t xml:space="preserve">γ</m:t>
                </m:r>
              </m:e>
              <m:sub>
                <m:r>
                  <w:rPr>
                    <w:rFonts w:ascii="Cambria Math" w:hAnsi="Cambria Math"/>
                    <w:sz w:val="22"/>
                    <w:szCs w:val="22"/>
                  </w:rPr>
                  <m:t xml:space="preserve">RE</m:t>
                </m:r>
              </m:sub>
            </m:sSub>
          </m:den>
        </m:f>
        <m:r>
          <w:rPr>
            <w:rFonts w:ascii="Cambria Math" w:hAnsi="Cambria Math"/>
            <w:sz w:val="22"/>
            <w:szCs w:val="22"/>
          </w:rPr>
          <m:t xml:space="preserve">0.3</m:t>
        </m:r>
        <m:sSub>
          <m:sSubPr>
            <m:ctrlPr>
              <w:rPr>
                <w:rFonts w:ascii="Cambria Math" w:hAnsi="Cambria Math"/>
                <w:i/>
                <w:sz w:val="22"/>
                <w:szCs w:val="22"/>
              </w:rPr>
            </m:ctrlPr>
          </m:sSubPr>
          <m:e>
            <m:r>
              <w:rPr>
                <w:rFonts w:ascii="Cambria Math" w:hAnsi="Cambria Math"/>
                <w:sz w:val="22"/>
                <w:szCs w:val="22"/>
              </w:rPr>
              <m:t xml:space="preserve">β</m:t>
            </m:r>
          </m:e>
          <m:sub>
            <m:r>
              <w:rPr>
                <w:rFonts w:ascii="Cambria Math" w:hAnsi="Cambria Math"/>
                <w:sz w:val="22"/>
                <w:szCs w:val="22"/>
              </w:rPr>
              <m:t xml:space="preserve">h</m:t>
            </m:r>
          </m:sub>
        </m:sSub>
        <m:sSub>
          <m:sSubPr>
            <m:ctrlPr>
              <w:rPr>
                <w:rFonts w:ascii="Cambria Math" w:hAnsi="Cambria Math"/>
                <w:i/>
                <w:sz w:val="22"/>
                <w:szCs w:val="22"/>
              </w:rPr>
            </m:ctrlPr>
          </m:sSubPr>
          <m:e>
            <m:r>
              <w:rPr>
                <w:rFonts w:ascii="Cambria Math" w:hAnsi="Cambria Math"/>
                <w:sz w:val="22"/>
                <w:szCs w:val="22"/>
              </w:rPr>
              <m:t xml:space="preserve">β</m:t>
            </m:r>
          </m:e>
          <m:sub>
            <m:r>
              <w:rPr>
                <w:rFonts w:ascii="Cambria Math" w:hAnsi="Cambria Math"/>
                <w:sz w:val="22"/>
                <w:szCs w:val="22"/>
              </w:rPr>
              <m:t xml:space="preserve">c</m:t>
            </m:r>
          </m:sub>
        </m:sSub>
        <m:sSub>
          <m:sSubPr>
            <m:ctrlPr>
              <w:rPr>
                <w:rFonts w:ascii="Cambria Math" w:hAnsi="Cambria Math"/>
                <w:i/>
                <w:sz w:val="22"/>
                <w:szCs w:val="22"/>
              </w:rPr>
            </m:ctrlPr>
          </m:sSubPr>
          <m:e>
            <m:r>
              <w:rPr>
                <w:rFonts w:ascii="Cambria Math" w:hAnsi="Cambria Math"/>
                <w:sz w:val="22"/>
                <w:szCs w:val="22"/>
              </w:rPr>
              <m:t xml:space="preserve">f</m:t>
            </m:r>
          </m:e>
          <m:sub>
            <m:r>
              <w:rPr>
                <w:rFonts w:ascii="Cambria Math" w:hAnsi="Cambria Math"/>
                <w:sz w:val="22"/>
                <w:szCs w:val="22"/>
              </w:rPr>
              <m:t xml:space="preserve">c</m:t>
            </m:r>
          </m:sub>
        </m:sSub>
      </m:oMath>
      <w:r>
        <w:rPr>
          <w:sz w:val="22"/>
          <w:szCs w:val="22"/>
        </w:rPr>
        <w:t xml:space="preserve">      </w:t>
      </w:r>
      <w:r>
        <w:rPr>
          <w:rFonts w:hint="eastAsia"/>
          <w:sz w:val="22"/>
          <w:szCs w:val="22"/>
        </w:rPr>
        <w:t>（</w:t>
      </w:r>
      <w:r>
        <w:rPr>
          <w:sz w:val="22"/>
          <w:szCs w:val="22"/>
        </w:rPr>
        <w:t>5</w:t>
      </w:r>
      <w:r>
        <w:rPr>
          <w:rFonts w:hint="eastAsia"/>
          <w:sz w:val="22"/>
          <w:szCs w:val="22"/>
        </w:rPr>
        <w:t>.2</w:t>
      </w:r>
      <w:r>
        <w:rPr>
          <w:sz w:val="22"/>
          <w:szCs w:val="22"/>
        </w:rPr>
        <w:t>.2-4</w:t>
      </w:r>
      <w:r>
        <w:rPr>
          <w:rFonts w:hint="eastAsia"/>
          <w:sz w:val="22"/>
          <w:szCs w:val="22"/>
        </w:rPr>
        <w:t>）</w:t>
      </w:r>
    </w:p>
    <w:p>
      <w:pPr>
        <w:spacing w:before="312" w:beforeLines="100" w:line="360" w:lineRule="auto"/>
        <w:ind w:left="420" w:leftChars="200" w:firstLine="440" w:firstLineChars="200"/>
        <w:jc w:val="center"/>
        <w:rPr>
          <w:sz w:val="22"/>
          <w:szCs w:val="22"/>
        </w:rPr>
      </w:pPr>
      <m:oMath>
        <m:f>
          <m:fPr>
            <m:ctrlPr>
              <w:rPr>
                <w:rFonts w:ascii="Cambria Math" w:hAnsi="Cambria Math"/>
                <w:i/>
                <w:sz w:val="22"/>
                <w:szCs w:val="22"/>
              </w:rPr>
            </m:ctrlPr>
          </m:fPr>
          <m:num>
            <m:sSub>
              <m:sSubPr>
                <m:ctrlPr>
                  <w:rPr>
                    <w:rFonts w:ascii="Cambria Math" w:hAnsi="Cambria Math"/>
                    <w:i/>
                    <w:sz w:val="22"/>
                    <w:szCs w:val="22"/>
                  </w:rPr>
                </m:ctrlPr>
              </m:sSubPr>
              <m:e>
                <m:r>
                  <w:rPr>
                    <w:rFonts w:ascii="Cambria Math" w:hAnsi="Cambria Math"/>
                    <w:sz w:val="22"/>
                    <w:szCs w:val="22"/>
                  </w:rPr>
                  <m:t xml:space="preserve">f</m:t>
                </m:r>
              </m:e>
              <m:sub>
                <m:r>
                  <w:rPr>
                    <w:rFonts w:ascii="Cambria Math" w:hAnsi="Cambria Math"/>
                    <w:sz w:val="22"/>
                    <w:szCs w:val="22"/>
                  </w:rPr>
                  <m:t xml:space="preserve">a</m:t>
                </m:r>
              </m:sub>
            </m:sSub>
            <m:sSub>
              <m:sSubPr>
                <m:ctrlPr>
                  <w:rPr>
                    <w:rFonts w:ascii="Cambria Math" w:hAnsi="Cambria Math"/>
                    <w:i/>
                    <w:sz w:val="22"/>
                    <w:szCs w:val="22"/>
                  </w:rPr>
                </m:ctrlPr>
              </m:sSubPr>
              <m:e>
                <m:r>
                  <w:rPr>
                    <w:rFonts w:ascii="Cambria Math" w:hAnsi="Cambria Math"/>
                    <w:sz w:val="22"/>
                    <w:szCs w:val="22"/>
                  </w:rPr>
                  <m:t xml:space="preserve">t</m:t>
                </m:r>
              </m:e>
              <m:sub>
                <m:r>
                  <w:rPr>
                    <w:rFonts w:ascii="Cambria Math" w:hAnsi="Cambria Math"/>
                    <w:sz w:val="22"/>
                    <w:szCs w:val="22"/>
                  </w:rPr>
                  <m:t xml:space="preserve">w</m:t>
                </m:r>
              </m:sub>
            </m:sSub>
            <m:sSub>
              <m:sSubPr>
                <m:ctrlPr>
                  <w:rPr>
                    <w:rFonts w:ascii="Cambria Math" w:hAnsi="Cambria Math"/>
                    <w:i/>
                    <w:sz w:val="22"/>
                    <w:szCs w:val="22"/>
                  </w:rPr>
                </m:ctrlPr>
              </m:sSubPr>
              <m:e>
                <m:r>
                  <w:rPr>
                    <w:rFonts w:ascii="Cambria Math" w:hAnsi="Cambria Math"/>
                    <w:sz w:val="22"/>
                    <w:szCs w:val="22"/>
                  </w:rPr>
                  <m:t xml:space="preserve">h</m:t>
                </m:r>
              </m:e>
              <m:sub>
                <m:r>
                  <w:rPr>
                    <w:rFonts w:ascii="Cambria Math" w:hAnsi="Cambria Math"/>
                    <w:sz w:val="22"/>
                    <w:szCs w:val="22"/>
                  </w:rPr>
                  <m:t xml:space="preserve">w</m:t>
                </m:r>
              </m:sub>
            </m:sSub>
          </m:num>
          <m:den>
            <m:sSub>
              <m:sSubPr>
                <m:ctrlPr>
                  <w:rPr>
                    <w:rFonts w:ascii="Cambria Math" w:hAnsi="Cambria Math"/>
                    <w:i/>
                    <w:sz w:val="22"/>
                    <w:szCs w:val="22"/>
                  </w:rPr>
                </m:ctrlPr>
              </m:sSubPr>
              <m:e>
                <m:r>
                  <w:rPr>
                    <w:rFonts w:ascii="Cambria Math" w:hAnsi="Cambria Math"/>
                    <w:sz w:val="22"/>
                    <w:szCs w:val="22"/>
                  </w:rPr>
                  <m:t xml:space="preserve">β</m:t>
                </m:r>
              </m:e>
              <m:sub>
                <m:r>
                  <w:rPr>
                    <w:rFonts w:ascii="Cambria Math" w:hAnsi="Cambria Math"/>
                    <w:sz w:val="22"/>
                    <w:szCs w:val="22"/>
                  </w:rPr>
                  <m:t xml:space="preserve">c</m:t>
                </m:r>
              </m:sub>
            </m:sSub>
            <m:sSub>
              <m:sSubPr>
                <m:ctrlPr>
                  <w:rPr>
                    <w:rFonts w:ascii="Cambria Math" w:hAnsi="Cambria Math"/>
                    <w:i/>
                    <w:sz w:val="22"/>
                    <w:szCs w:val="22"/>
                  </w:rPr>
                </m:ctrlPr>
              </m:sSubPr>
              <m:e>
                <m:r>
                  <w:rPr>
                    <w:rFonts w:ascii="Cambria Math" w:hAnsi="Cambria Math"/>
                    <w:sz w:val="22"/>
                    <w:szCs w:val="22"/>
                  </w:rPr>
                  <m:t xml:space="preserve">f</m:t>
                </m:r>
              </m:e>
              <m:sub>
                <m:r>
                  <w:rPr>
                    <w:rFonts w:ascii="Cambria Math" w:hAnsi="Cambria Math"/>
                    <w:sz w:val="22"/>
                    <w:szCs w:val="22"/>
                  </w:rPr>
                  <m:t xml:space="preserve">c</m:t>
                </m:r>
              </m:sub>
            </m:sSub>
            <m:r>
              <w:rPr>
                <w:rFonts w:ascii="Cambria Math" w:hAnsi="Cambria Math"/>
                <w:sz w:val="22"/>
                <w:szCs w:val="22"/>
              </w:rPr>
              <m:t xml:space="preserve">b</m:t>
            </m:r>
            <m:sSub>
              <m:sSubPr>
                <m:ctrlPr>
                  <w:rPr>
                    <w:rFonts w:ascii="Cambria Math" w:hAnsi="Cambria Math"/>
                    <w:i/>
                    <w:sz w:val="22"/>
                    <w:szCs w:val="22"/>
                  </w:rPr>
                </m:ctrlPr>
              </m:sSubPr>
              <m:e>
                <m:r>
                  <w:rPr>
                    <w:rFonts w:ascii="Cambria Math" w:hAnsi="Cambria Math"/>
                    <w:sz w:val="22"/>
                    <w:szCs w:val="22"/>
                  </w:rPr>
                  <m:t xml:space="preserve">h</m:t>
                </m:r>
              </m:e>
              <m:sub>
                <m:r>
                  <w:rPr>
                    <w:rFonts w:ascii="Cambria Math" w:hAnsi="Cambria Math"/>
                    <w:sz w:val="22"/>
                    <w:szCs w:val="22"/>
                  </w:rPr>
                  <m:t xml:space="preserve">0</m:t>
                </m:r>
              </m:sub>
            </m:sSub>
          </m:den>
        </m:f>
        <m:r>
          <w:rPr>
            <w:rFonts w:ascii="Cambria Math" w:hAnsi="Cambria Math"/>
            <w:sz w:val="22"/>
            <w:szCs w:val="22"/>
          </w:rPr>
          <m:t xml:space="preserve">≥0.10</m:t>
        </m:r>
      </m:oMath>
      <w:r>
        <w:rPr>
          <w:sz w:val="22"/>
          <w:szCs w:val="22"/>
        </w:rPr>
        <w:t xml:space="preserve">      </w:t>
      </w:r>
      <w:r>
        <w:rPr>
          <w:rFonts w:hint="eastAsia"/>
          <w:sz w:val="22"/>
          <w:szCs w:val="22"/>
        </w:rPr>
        <w:t>（</w:t>
      </w:r>
      <w:r>
        <w:rPr>
          <w:sz w:val="22"/>
          <w:szCs w:val="22"/>
        </w:rPr>
        <w:t>5</w:t>
      </w:r>
      <w:r>
        <w:rPr>
          <w:rFonts w:hint="eastAsia"/>
          <w:sz w:val="22"/>
          <w:szCs w:val="22"/>
        </w:rPr>
        <w:t>.2</w:t>
      </w:r>
      <w:r>
        <w:rPr>
          <w:sz w:val="22"/>
          <w:szCs w:val="22"/>
        </w:rPr>
        <w:t>.2-5</w:t>
      </w:r>
      <w:r>
        <w:rPr>
          <w:rFonts w:hint="eastAsia"/>
          <w:sz w:val="22"/>
          <w:szCs w:val="22"/>
        </w:rPr>
        <w:t>）</w:t>
      </w:r>
    </w:p>
    <w:p>
      <w:pPr>
        <w:snapToGrid w:val="0"/>
        <w:spacing w:line="360" w:lineRule="auto"/>
        <w:ind w:firstLine="480"/>
        <w:rPr>
          <w:rFonts w:ascii="宋体" w:hAnsi="宋体"/>
        </w:rPr>
      </w:pPr>
      <w:r>
        <w:rPr>
          <w:rFonts w:hint="eastAsia" w:ascii="宋体" w:hAnsi="宋体"/>
        </w:rPr>
        <w:t>式中：</w:t>
      </w:r>
      <m:oMath>
        <m:sSub>
          <m:sSubPr>
            <m:ctrlPr>
              <w:rPr>
                <w:rFonts w:ascii="Cambria Math" w:hAnsi="Cambria Math"/>
                <w:i/>
              </w:rPr>
            </m:ctrlPr>
          </m:sSubPr>
          <m:e>
            <m:r>
              <w:rPr>
                <w:rFonts w:ascii="Cambria Math" w:hAnsi="Cambria Math"/>
              </w:rPr>
              <m:t xml:space="preserve">τ</m:t>
            </m:r>
          </m:e>
          <m:sub>
            <m:r>
              <w:rPr>
                <w:rFonts w:ascii="Cambria Math" w:hAnsi="Cambria Math"/>
              </w:rPr>
              <m:t xml:space="preserve">0</m:t>
            </m:r>
          </m:sub>
        </m:sSub>
      </m:oMath>
      <w:r>
        <w:rPr>
          <w:rFonts w:hAnsi="宋体"/>
        </w:rPr>
        <w:t>——</w:t>
      </w:r>
      <w:r>
        <w:rPr>
          <w:rFonts w:hint="eastAsia" w:hAnsi="宋体"/>
        </w:rPr>
        <w:t>厚板斜截面主剪应力设计值，</w:t>
      </w:r>
      <m:oMath>
        <m:sSub>
          <m:sSubPr>
            <m:ctrlPr>
              <w:rPr>
                <w:rFonts w:ascii="Cambria Math" w:hAnsi="Cambria Math"/>
                <w:i/>
              </w:rPr>
            </m:ctrlPr>
          </m:sSubPr>
          <m:e>
            <m:r>
              <w:rPr>
                <w:rFonts w:ascii="Cambria Math" w:hAnsi="Cambria Math"/>
              </w:rPr>
              <m:t xml:space="preserve">τ</m:t>
            </m:r>
          </m:e>
          <m:sub>
            <m:r>
              <w:rPr>
                <w:rFonts w:ascii="Cambria Math" w:hAnsi="Cambria Math"/>
              </w:rPr>
              <m:t xml:space="preserve">0</m:t>
            </m:r>
          </m:sub>
        </m:sSub>
        <m:r>
          <w:rPr>
            <w:rFonts w:ascii="Cambria Math" w:hAnsi="Cambria Math"/>
          </w:rPr>
          <m:t xml:space="preserve">=</m:t>
        </m:r>
        <m:rad>
          <m:radPr>
            <m:degHide m:val="1"/>
            <m:ctrlPr>
              <w:rPr>
                <w:rFonts w:ascii="Cambria Math" w:hAnsi="Cambria Math"/>
                <w:i/>
              </w:rPr>
            </m:ctrlPr>
          </m:radPr>
          <m:deg/>
          <m:e>
            <m:sSup>
              <m:sSupPr>
                <m:ctrlPr>
                  <w:rPr>
                    <w:rFonts w:ascii="Cambria Math" w:hAnsi="Cambria Math"/>
                    <w:i/>
                  </w:rPr>
                </m:ctrlPr>
              </m:sSupPr>
              <m:e>
                <m:sSub>
                  <m:sSubPr>
                    <m:ctrlPr>
                      <w:rPr>
                        <w:rFonts w:ascii="Cambria Math" w:hAnsi="Cambria Math"/>
                        <w:i/>
                      </w:rPr>
                    </m:ctrlPr>
                  </m:sSubPr>
                  <m:e>
                    <m:r>
                      <w:rPr>
                        <w:rFonts w:ascii="Cambria Math" w:hAnsi="Cambria Math"/>
                      </w:rPr>
                      <m:t xml:space="preserve">τ</m:t>
                    </m:r>
                  </m:e>
                  <m:sub>
                    <m:r>
                      <w:rPr>
                        <w:rFonts w:ascii="Cambria Math" w:hAnsi="Cambria Math"/>
                      </w:rPr>
                      <m:t xml:space="preserve">xz</m:t>
                    </m:r>
                  </m:sub>
                </m:sSub>
              </m:e>
              <m:sup>
                <m:r>
                  <w:rPr>
                    <w:rFonts w:ascii="Cambria Math" w:hAnsi="Cambria Math"/>
                  </w:rPr>
                  <m:t xml:space="preserve">2</m:t>
                </m:r>
              </m:sup>
            </m:sSup>
            <m:r>
              <w:rPr>
                <w:rFonts w:ascii="Cambria Math" w:hAnsi="Cambria Math"/>
              </w:rPr>
              <m:t xml:space="preserve">+</m:t>
            </m:r>
            <m:sSup>
              <m:sSupPr>
                <m:ctrlPr>
                  <w:rPr>
                    <w:rFonts w:ascii="Cambria Math" w:hAnsi="Cambria Math"/>
                    <w:i/>
                  </w:rPr>
                </m:ctrlPr>
              </m:sSupPr>
              <m:e>
                <m:sSub>
                  <m:sSubPr>
                    <m:ctrlPr>
                      <w:rPr>
                        <w:rFonts w:ascii="Cambria Math" w:hAnsi="Cambria Math"/>
                        <w:i/>
                      </w:rPr>
                    </m:ctrlPr>
                  </m:sSubPr>
                  <m:e>
                    <m:r>
                      <w:rPr>
                        <w:rFonts w:ascii="Cambria Math" w:hAnsi="Cambria Math"/>
                      </w:rPr>
                      <m:t xml:space="preserve">τ</m:t>
                    </m:r>
                  </m:e>
                  <m:sub>
                    <m:r>
                      <w:rPr>
                        <w:rFonts w:ascii="Cambria Math" w:hAnsi="Cambria Math"/>
                      </w:rPr>
                      <m:t xml:space="preserve">yz</m:t>
                    </m:r>
                  </m:sub>
                </m:sSub>
              </m:e>
              <m:sup>
                <m:r>
                  <w:rPr>
                    <w:rFonts w:ascii="Cambria Math" w:hAnsi="Cambria Math"/>
                  </w:rPr>
                  <m:t xml:space="preserve">2</m:t>
                </m:r>
              </m:sup>
            </m:sSup>
          </m:e>
        </m:rad>
      </m:oMath>
      <w:r>
        <w:rPr>
          <w:rFonts w:hint="eastAsia" w:hAnsi="宋体"/>
        </w:rPr>
        <w:t>，</w:t>
      </w:r>
      <m:oMath>
        <m:sSub>
          <m:sSubPr>
            <m:ctrlPr>
              <w:rPr>
                <w:rFonts w:ascii="Cambria Math" w:hAnsi="Cambria Math"/>
                <w:i/>
              </w:rPr>
            </m:ctrlPr>
          </m:sSubPr>
          <m:e>
            <m:r>
              <w:rPr>
                <w:rFonts w:ascii="Cambria Math" w:hAnsi="Cambria Math"/>
              </w:rPr>
              <m:t xml:space="preserve">τ</m:t>
            </m:r>
          </m:e>
          <m:sub>
            <m:r>
              <w:rPr>
                <w:rFonts w:ascii="Cambria Math" w:hAnsi="Cambria Math"/>
              </w:rPr>
              <m:t xml:space="preserve">xz</m:t>
            </m:r>
          </m:sub>
        </m:sSub>
      </m:oMath>
      <w:r>
        <w:rPr>
          <w:rFonts w:hint="eastAsia" w:hAnsi="宋体"/>
        </w:rPr>
        <w:t>、</w:t>
      </w:r>
      <m:oMath>
        <m:sSub>
          <m:sSubPr>
            <m:ctrlPr>
              <w:rPr>
                <w:rFonts w:ascii="Cambria Math" w:hAnsi="Cambria Math"/>
                <w:i/>
              </w:rPr>
            </m:ctrlPr>
          </m:sSubPr>
          <m:e>
            <m:r>
              <w:rPr>
                <w:rFonts w:ascii="Cambria Math" w:hAnsi="Cambria Math"/>
              </w:rPr>
              <m:t xml:space="preserve">τ</m:t>
            </m:r>
          </m:e>
          <m:sub>
            <m:r>
              <w:rPr>
                <w:rFonts w:ascii="Cambria Math" w:hAnsi="Cambria Math"/>
              </w:rPr>
              <m:t xml:space="preserve">yz</m:t>
            </m:r>
          </m:sub>
        </m:sSub>
      </m:oMath>
      <w:r>
        <w:rPr>
          <w:rFonts w:hint="eastAsia" w:hAnsi="宋体"/>
        </w:rPr>
        <w:t>分别为</w:t>
      </w:r>
      <w:r>
        <w:rPr>
          <w:rFonts w:hint="eastAsia" w:ascii="宋体" w:hAnsi="宋体"/>
          <w:sz w:val="22"/>
          <w:szCs w:val="22"/>
        </w:rPr>
        <w:t>在z轴方向，作用于单元x面、y面上的剪应力</w:t>
      </w:r>
      <w:r>
        <w:rPr>
          <w:rFonts w:hint="eastAsia" w:hAnsi="宋体"/>
        </w:rPr>
        <w:t>；</w:t>
      </w:r>
    </w:p>
    <w:p>
      <w:pPr>
        <w:snapToGrid w:val="0"/>
        <w:spacing w:line="360" w:lineRule="auto"/>
        <w:ind w:firstLine="480"/>
        <w:rPr>
          <w:rFonts w:ascii="宋体" w:hAnsi="宋体"/>
          <w:szCs w:val="21"/>
        </w:rPr>
      </w:pPr>
      <m:oMath>
        <m:sSub>
          <m:sSubPr>
            <m:ctrlPr>
              <w:rPr>
                <w:rFonts w:ascii="Cambria Math" w:hAnsi="Cambria Math"/>
                <w:i/>
                <w:szCs w:val="21"/>
              </w:rPr>
            </m:ctrlPr>
          </m:sSubPr>
          <m:e>
            <m:r>
              <w:rPr>
                <w:rFonts w:ascii="Cambria Math" w:hAnsi="Cambria Math"/>
                <w:szCs w:val="21"/>
              </w:rPr>
              <m:t xml:space="preserve">β</m:t>
            </m:r>
          </m:e>
          <m:sub>
            <m:r>
              <w:rPr>
                <w:rFonts w:ascii="Cambria Math" w:hAnsi="Cambria Math"/>
                <w:szCs w:val="21"/>
              </w:rPr>
              <m:t xml:space="preserve">h</m:t>
            </m:r>
          </m:sub>
        </m:sSub>
      </m:oMath>
      <w:r>
        <w:rPr>
          <w:rFonts w:hint="eastAsia" w:ascii="宋体" w:hAnsi="宋体"/>
          <w:szCs w:val="21"/>
        </w:rPr>
        <w:t>——截面高度影响系数：当</w:t>
      </w:r>
      <m:oMath>
        <m:sSub>
          <m:sSubPr>
            <m:ctrlPr>
              <w:rPr>
                <w:rFonts w:ascii="Cambria Math" w:hAnsi="Cambria Math"/>
                <w:i/>
                <w:szCs w:val="21"/>
              </w:rPr>
            </m:ctrlPr>
          </m:sSubPr>
          <m:e>
            <m:r>
              <w:rPr>
                <w:rFonts w:ascii="Cambria Math" w:hAnsi="Cambria Math"/>
                <w:szCs w:val="21"/>
              </w:rPr>
              <m:t xml:space="preserve">h</m:t>
            </m:r>
          </m:e>
          <m:sub>
            <m:r>
              <w:rPr>
                <w:rFonts w:ascii="Cambria Math" w:hAnsi="Cambria Math"/>
                <w:szCs w:val="21"/>
              </w:rPr>
              <m:t xml:space="preserve">0</m:t>
            </m:r>
          </m:sub>
        </m:sSub>
      </m:oMath>
      <w:r>
        <w:rPr>
          <w:rFonts w:hint="eastAsia" w:ascii="宋体" w:hAnsi="宋体"/>
          <w:szCs w:val="21"/>
        </w:rPr>
        <w:t>小于8</w:t>
      </w:r>
      <w:r>
        <w:rPr>
          <w:rFonts w:ascii="宋体" w:hAnsi="宋体"/>
          <w:szCs w:val="21"/>
        </w:rPr>
        <w:t>00mm</w:t>
      </w:r>
      <w:r>
        <w:rPr>
          <w:rFonts w:hint="eastAsia" w:ascii="宋体" w:hAnsi="宋体"/>
          <w:szCs w:val="21"/>
        </w:rPr>
        <w:t>时，取8</w:t>
      </w:r>
      <w:r>
        <w:rPr>
          <w:rFonts w:ascii="宋体" w:hAnsi="宋体"/>
          <w:szCs w:val="21"/>
        </w:rPr>
        <w:t>00mm</w:t>
      </w:r>
      <w:r>
        <w:rPr>
          <w:rFonts w:hint="eastAsia" w:ascii="宋体" w:hAnsi="宋体"/>
          <w:szCs w:val="21"/>
        </w:rPr>
        <w:t>；当</w:t>
      </w:r>
      <m:oMath>
        <m:sSub>
          <m:sSubPr>
            <m:ctrlPr>
              <w:rPr>
                <w:rFonts w:ascii="Cambria Math" w:hAnsi="Cambria Math"/>
                <w:i/>
                <w:szCs w:val="21"/>
              </w:rPr>
            </m:ctrlPr>
          </m:sSubPr>
          <m:e>
            <m:r>
              <w:rPr>
                <w:rFonts w:ascii="Cambria Math" w:hAnsi="Cambria Math"/>
                <w:szCs w:val="21"/>
              </w:rPr>
              <m:t xml:space="preserve">h</m:t>
            </m:r>
          </m:e>
          <m:sub>
            <m:r>
              <w:rPr>
                <w:rFonts w:ascii="Cambria Math" w:hAnsi="Cambria Math"/>
                <w:szCs w:val="21"/>
              </w:rPr>
              <m:t xml:space="preserve">0</m:t>
            </m:r>
          </m:sub>
        </m:sSub>
      </m:oMath>
      <w:r>
        <w:rPr>
          <w:rFonts w:hint="eastAsia" w:ascii="宋体" w:hAnsi="宋体"/>
          <w:szCs w:val="21"/>
        </w:rPr>
        <w:t>大于2</w:t>
      </w:r>
      <w:r>
        <w:rPr>
          <w:rFonts w:ascii="宋体" w:hAnsi="宋体"/>
          <w:szCs w:val="21"/>
        </w:rPr>
        <w:t>000mm</w:t>
      </w:r>
      <w:r>
        <w:rPr>
          <w:rFonts w:hint="eastAsia" w:ascii="宋体" w:hAnsi="宋体"/>
          <w:szCs w:val="21"/>
        </w:rPr>
        <w:t>时，取2</w:t>
      </w:r>
      <w:r>
        <w:rPr>
          <w:rFonts w:ascii="宋体" w:hAnsi="宋体"/>
          <w:szCs w:val="21"/>
        </w:rPr>
        <w:t>000mm</w:t>
      </w:r>
      <w:r>
        <w:rPr>
          <w:rFonts w:hint="eastAsia" w:ascii="宋体" w:hAnsi="宋体"/>
          <w:szCs w:val="21"/>
        </w:rPr>
        <w:t>；</w:t>
      </w:r>
    </w:p>
    <w:p>
      <w:pPr>
        <w:snapToGrid w:val="0"/>
        <w:spacing w:line="360" w:lineRule="auto"/>
        <w:ind w:firstLine="440"/>
        <w:rPr>
          <w:rFonts w:ascii="宋体" w:hAnsi="宋体"/>
          <w:szCs w:val="21"/>
        </w:rPr>
      </w:pPr>
      <m:oMath>
        <m:sSub>
          <m:sSubPr>
            <m:ctrlPr>
              <w:rPr>
                <w:rFonts w:ascii="Cambria Math" w:hAnsi="Cambria Math"/>
                <w:i/>
                <w:szCs w:val="21"/>
              </w:rPr>
            </m:ctrlPr>
          </m:sSubPr>
          <m:e>
            <m:r>
              <w:rPr>
                <w:rFonts w:ascii="Cambria Math" w:hAnsi="Cambria Math"/>
                <w:szCs w:val="21"/>
              </w:rPr>
              <m:t xml:space="preserve">β</m:t>
            </m:r>
          </m:e>
          <m:sub>
            <m:r>
              <w:rPr>
                <w:rFonts w:ascii="Cambria Math" w:hAnsi="Cambria Math"/>
                <w:szCs w:val="21"/>
              </w:rPr>
              <m:t xml:space="preserve">c</m:t>
            </m:r>
          </m:sub>
        </m:sSub>
      </m:oMath>
      <w:r>
        <w:rPr>
          <w:rFonts w:hint="eastAsia" w:ascii="宋体" w:hAnsi="宋体"/>
          <w:szCs w:val="21"/>
        </w:rPr>
        <w:t>——混凝土强度影响系数：当混凝土强度等级不超过C50时，</w:t>
      </w:r>
      <m:oMath>
        <m:sSub>
          <m:sSubPr>
            <m:ctrlPr>
              <w:rPr>
                <w:rFonts w:ascii="Cambria Math" w:hAnsi="Cambria Math"/>
                <w:i/>
                <w:szCs w:val="21"/>
              </w:rPr>
            </m:ctrlPr>
          </m:sSubPr>
          <m:e>
            <m:r>
              <w:rPr>
                <w:rFonts w:ascii="Cambria Math" w:hAnsi="Cambria Math"/>
                <w:szCs w:val="21"/>
              </w:rPr>
              <m:t xml:space="preserve">β</m:t>
            </m:r>
          </m:e>
          <m:sub>
            <m:r>
              <w:rPr>
                <w:rFonts w:ascii="Cambria Math" w:hAnsi="Cambria Math"/>
                <w:szCs w:val="21"/>
              </w:rPr>
              <m:t xml:space="preserve">c</m:t>
            </m:r>
          </m:sub>
        </m:sSub>
      </m:oMath>
      <w:r>
        <w:rPr>
          <w:rFonts w:hint="eastAsia" w:ascii="宋体" w:hAnsi="宋体"/>
          <w:szCs w:val="21"/>
        </w:rPr>
        <w:t>取1</w:t>
      </w:r>
      <w:r>
        <w:rPr>
          <w:rFonts w:ascii="宋体" w:hAnsi="宋体"/>
          <w:szCs w:val="21"/>
        </w:rPr>
        <w:t>.0</w:t>
      </w:r>
      <w:r>
        <w:rPr>
          <w:rFonts w:hint="eastAsia" w:ascii="宋体" w:hAnsi="宋体"/>
          <w:szCs w:val="21"/>
        </w:rPr>
        <w:t>；当混凝土强度等级为C80时，</w:t>
      </w:r>
      <m:oMath>
        <m:sSub>
          <m:sSubPr>
            <m:ctrlPr>
              <w:rPr>
                <w:rFonts w:ascii="Cambria Math" w:hAnsi="Cambria Math"/>
                <w:i/>
                <w:szCs w:val="21"/>
              </w:rPr>
            </m:ctrlPr>
          </m:sSubPr>
          <m:e>
            <m:r>
              <w:rPr>
                <w:rFonts w:ascii="Cambria Math" w:hAnsi="Cambria Math"/>
                <w:szCs w:val="21"/>
              </w:rPr>
              <m:t xml:space="preserve">β</m:t>
            </m:r>
          </m:e>
          <m:sub>
            <m:r>
              <w:rPr>
                <w:rFonts w:ascii="Cambria Math" w:hAnsi="Cambria Math"/>
                <w:szCs w:val="21"/>
              </w:rPr>
              <m:t xml:space="preserve">c</m:t>
            </m:r>
          </m:sub>
        </m:sSub>
      </m:oMath>
      <w:r>
        <w:rPr>
          <w:rFonts w:hint="eastAsia" w:ascii="宋体" w:hAnsi="宋体"/>
          <w:szCs w:val="21"/>
        </w:rPr>
        <w:t>取</w:t>
      </w:r>
      <w:r>
        <w:rPr>
          <w:rFonts w:ascii="宋体" w:hAnsi="宋体"/>
          <w:szCs w:val="21"/>
        </w:rPr>
        <w:t>0.8</w:t>
      </w:r>
      <w:r>
        <w:rPr>
          <w:rFonts w:hint="eastAsia" w:ascii="宋体" w:hAnsi="宋体"/>
          <w:szCs w:val="21"/>
        </w:rPr>
        <w:t>；其间按线性内插法确定；</w:t>
      </w:r>
    </w:p>
    <w:p>
      <w:pPr>
        <w:snapToGrid w:val="0"/>
        <w:spacing w:line="360" w:lineRule="auto"/>
        <w:ind w:firstLine="480"/>
        <w:rPr>
          <w:rFonts w:hAnsi="宋体"/>
          <w:szCs w:val="21"/>
        </w:rPr>
      </w:pPr>
      <m:oMath>
        <m:sSub>
          <m:sSubPr>
            <m:ctrlPr>
              <w:rPr>
                <w:rFonts w:ascii="Cambria Math" w:hAnsi="Cambria Math"/>
                <w:i/>
                <w:szCs w:val="21"/>
              </w:rPr>
            </m:ctrlPr>
          </m:sSubPr>
          <m:e>
            <m:r>
              <w:rPr>
                <w:rFonts w:ascii="Cambria Math" w:hAnsi="Cambria Math"/>
                <w:szCs w:val="21"/>
              </w:rPr>
              <m:t xml:space="preserve">γ</m:t>
            </m:r>
          </m:e>
          <m:sub>
            <m:r>
              <w:rPr>
                <w:rFonts w:ascii="Cambria Math" w:hAnsi="Cambria Math"/>
                <w:szCs w:val="21"/>
              </w:rPr>
              <m:t xml:space="preserve">RE</m:t>
            </m:r>
          </m:sub>
        </m:sSub>
      </m:oMath>
      <w:r>
        <w:rPr>
          <w:rFonts w:hAnsi="宋体"/>
          <w:szCs w:val="21"/>
        </w:rPr>
        <w:t>——</w:t>
      </w:r>
      <w:r>
        <w:rPr>
          <w:rFonts w:hint="eastAsia" w:hAnsi="宋体"/>
          <w:szCs w:val="21"/>
        </w:rPr>
        <w:t>承载力抗震调整系数，取0</w:t>
      </w:r>
      <w:r>
        <w:rPr>
          <w:rFonts w:hAnsi="宋体"/>
          <w:szCs w:val="21"/>
        </w:rPr>
        <w:t>.85</w:t>
      </w:r>
      <w:r>
        <w:rPr>
          <w:rFonts w:hint="eastAsia" w:hAnsi="宋体"/>
          <w:szCs w:val="21"/>
        </w:rPr>
        <w:t>；</w:t>
      </w:r>
    </w:p>
    <w:p>
      <w:pPr>
        <w:snapToGrid w:val="0"/>
        <w:spacing w:line="360" w:lineRule="auto"/>
        <w:ind w:firstLine="440"/>
        <w:rPr>
          <w:rFonts w:ascii="宋体" w:hAnsi="宋体"/>
          <w:szCs w:val="21"/>
        </w:rPr>
      </w:pPr>
      <m:oMath>
        <m:sSub>
          <m:sSubPr>
            <m:ctrlPr>
              <w:rPr>
                <w:rFonts w:ascii="Cambria Math" w:hAnsi="Cambria Math"/>
                <w:i/>
                <w:szCs w:val="21"/>
              </w:rPr>
            </m:ctrlPr>
          </m:sSubPr>
          <m:e>
            <m:r>
              <w:rPr>
                <w:rFonts w:ascii="Cambria Math" w:hAnsi="Cambria Math"/>
                <w:szCs w:val="21"/>
              </w:rPr>
              <m:t xml:space="preserve">f</m:t>
            </m:r>
          </m:e>
          <m:sub>
            <m:r>
              <w:rPr>
                <w:rFonts w:ascii="Cambria Math" w:hAnsi="Cambria Math"/>
                <w:szCs w:val="21"/>
              </w:rPr>
              <m:t xml:space="preserve">a</m:t>
            </m:r>
          </m:sub>
        </m:sSub>
      </m:oMath>
      <w:r>
        <w:rPr>
          <w:rFonts w:hint="eastAsia" w:ascii="宋体" w:hAnsi="宋体"/>
          <w:szCs w:val="21"/>
        </w:rPr>
        <w:t>——型钢（钢板）抗拉强度；</w:t>
      </w:r>
    </w:p>
    <w:p>
      <w:pPr>
        <w:snapToGrid w:val="0"/>
        <w:spacing w:line="360" w:lineRule="auto"/>
        <w:ind w:firstLine="440"/>
        <w:rPr>
          <w:rFonts w:ascii="宋体" w:hAnsi="宋体"/>
          <w:szCs w:val="21"/>
        </w:rPr>
      </w:pPr>
      <m:oMath>
        <m:sSub>
          <m:sSubPr>
            <m:ctrlPr>
              <w:rPr>
                <w:rFonts w:ascii="Cambria Math" w:hAnsi="Cambria Math"/>
                <w:i/>
                <w:szCs w:val="21"/>
              </w:rPr>
            </m:ctrlPr>
          </m:sSubPr>
          <m:e>
            <m:r>
              <w:rPr>
                <w:rFonts w:ascii="Cambria Math" w:hAnsi="Cambria Math"/>
                <w:szCs w:val="21"/>
              </w:rPr>
              <m:t xml:space="preserve">t</m:t>
            </m:r>
          </m:e>
          <m:sub>
            <m:r>
              <w:rPr>
                <w:rFonts w:ascii="Cambria Math" w:hAnsi="Cambria Math"/>
                <w:szCs w:val="21"/>
              </w:rPr>
              <m:t xml:space="preserve">w</m:t>
            </m:r>
          </m:sub>
        </m:sSub>
      </m:oMath>
      <w:r>
        <w:rPr>
          <w:rFonts w:hint="eastAsia" w:ascii="宋体" w:hAnsi="宋体"/>
          <w:szCs w:val="21"/>
        </w:rPr>
        <w:t>——型钢腹板厚度；</w:t>
      </w:r>
    </w:p>
    <w:p>
      <w:pPr>
        <w:snapToGrid w:val="0"/>
        <w:spacing w:line="360" w:lineRule="auto"/>
        <w:ind w:firstLine="440"/>
        <w:rPr>
          <w:rFonts w:ascii="宋体" w:hAnsi="宋体"/>
          <w:szCs w:val="21"/>
        </w:rPr>
      </w:pPr>
      <m:oMath>
        <m:sSub>
          <m:sSubPr>
            <m:ctrlPr>
              <w:rPr>
                <w:rFonts w:ascii="Cambria Math" w:hAnsi="Cambria Math"/>
                <w:i/>
                <w:szCs w:val="21"/>
              </w:rPr>
            </m:ctrlPr>
          </m:sSubPr>
          <m:e>
            <m:r>
              <w:rPr>
                <w:rFonts w:ascii="Cambria Math" w:hAnsi="Cambria Math"/>
                <w:szCs w:val="21"/>
              </w:rPr>
              <m:t xml:space="preserve">h</m:t>
            </m:r>
          </m:e>
          <m:sub>
            <m:r>
              <w:rPr>
                <w:rFonts w:ascii="Cambria Math" w:hAnsi="Cambria Math"/>
                <w:szCs w:val="21"/>
              </w:rPr>
              <m:t xml:space="preserve">w</m:t>
            </m:r>
          </m:sub>
        </m:sSub>
      </m:oMath>
      <w:r>
        <w:rPr>
          <w:rFonts w:hint="eastAsia" w:ascii="宋体" w:hAnsi="宋体"/>
          <w:szCs w:val="21"/>
        </w:rPr>
        <w:t>——型钢腹板高度。</w:t>
      </w:r>
    </w:p>
    <w:p>
      <w:pPr>
        <w:snapToGrid w:val="0"/>
        <w:spacing w:line="360" w:lineRule="auto"/>
        <w:ind w:firstLine="482"/>
        <w:rPr>
          <w:rFonts w:hAnsi="宋体"/>
        </w:rPr>
      </w:pPr>
      <w:r>
        <w:rPr>
          <w:rFonts w:hint="eastAsia" w:hAnsi="宋体"/>
          <w:b/>
          <w:bCs/>
        </w:rPr>
        <w:t>[条文说明]</w:t>
      </w:r>
      <w:r>
        <w:rPr>
          <w:rFonts w:hint="eastAsia" w:hAnsi="宋体"/>
        </w:rPr>
        <w:t>斜截面抗剪是转换厚板厚度控制的重要条件，这里斜截面指的是主剪应力</w:t>
      </w:r>
      <m:oMath>
        <m:sSub>
          <m:sSubPr>
            <m:ctrlPr>
              <w:rPr>
                <w:rFonts w:ascii="Cambria Math" w:hAnsi="Cambria Math"/>
                <w:i/>
              </w:rPr>
            </m:ctrlPr>
          </m:sSubPr>
          <m:e>
            <m:r>
              <w:rPr>
                <w:rFonts w:ascii="Cambria Math" w:hAnsi="Cambria Math"/>
              </w:rPr>
              <m:t xml:space="preserve">τ</m:t>
            </m:r>
          </m:e>
          <m:sub>
            <m:r>
              <w:rPr>
                <w:rFonts w:ascii="Cambria Math" w:hAnsi="Cambria Math"/>
              </w:rPr>
              <m:t xml:space="preserve">0</m:t>
            </m:r>
          </m:sub>
        </m:sSub>
      </m:oMath>
      <w:r>
        <w:rPr>
          <w:rFonts w:hint="eastAsia" w:hAnsi="宋体"/>
        </w:rPr>
        <w:t>所在的斜截面</w:t>
      </w:r>
      <w:r>
        <w:rPr>
          <w:rFonts w:hint="eastAsia" w:ascii="宋体" w:hAnsi="宋体"/>
          <w:sz w:val="22"/>
          <w:szCs w:val="22"/>
        </w:rPr>
        <w:t>。</w:t>
      </w:r>
      <w:r>
        <w:rPr>
          <w:rFonts w:hint="eastAsia" w:hAnsi="宋体"/>
        </w:rPr>
        <w:t>厚板混凝土截面抗剪表达式采用抗压强度设计值表达，概念更清晰。</w:t>
      </w:r>
    </w:p>
    <w:p>
      <w:pPr>
        <w:snapToGrid w:val="0"/>
        <w:spacing w:line="360" w:lineRule="auto"/>
        <w:ind w:firstLine="482"/>
        <w:rPr>
          <w:rFonts w:hAnsi="宋体"/>
        </w:rPr>
      </w:pPr>
      <w:r>
        <w:rPr>
          <w:rFonts w:hint="eastAsia" w:hAnsi="宋体"/>
        </w:rPr>
        <w:t>基于有限元分析得到的</w:t>
      </w:r>
      <m:oMath>
        <m:sSub>
          <m:sSubPr>
            <m:ctrlPr>
              <w:rPr>
                <w:rFonts w:ascii="Cambria Math" w:hAnsi="Cambria Math"/>
                <w:i/>
              </w:rPr>
            </m:ctrlPr>
          </m:sSubPr>
          <m:e>
            <m:r>
              <w:rPr>
                <w:rFonts w:ascii="Cambria Math" w:hAnsi="Cambria Math"/>
              </w:rPr>
              <m:t xml:space="preserve">τ</m:t>
            </m:r>
          </m:e>
          <m:sub>
            <m:r>
              <w:rPr>
                <w:rFonts w:ascii="Cambria Math" w:hAnsi="Cambria Math"/>
              </w:rPr>
              <m:t xml:space="preserve">0</m:t>
            </m:r>
          </m:sub>
        </m:sSub>
        <m:r>
          <w:rPr>
            <w:rFonts w:ascii="Cambria Math" w:hAnsi="Cambria Math" w:hint="eastAsia"/>
          </w:rPr>
          <m:t xml:space="preserve">、</m:t>
        </m:r>
        <m:sSub>
          <m:sSubPr>
            <m:ctrlPr>
              <w:rPr>
                <w:rFonts w:ascii="Cambria Math" w:hAnsi="Cambria Math"/>
                <w:i/>
              </w:rPr>
            </m:ctrlPr>
          </m:sSubPr>
          <m:e>
            <m:r>
              <w:rPr>
                <w:rFonts w:ascii="Cambria Math" w:hAnsi="Cambria Math"/>
              </w:rPr>
              <m:t xml:space="preserve">τ</m:t>
            </m:r>
          </m:e>
          <m:sub>
            <m:r>
              <w:rPr>
                <w:rFonts w:ascii="Cambria Math" w:hAnsi="Cambria Math"/>
              </w:rPr>
              <m:t xml:space="preserve">xz</m:t>
            </m:r>
          </m:sub>
        </m:sSub>
      </m:oMath>
      <w:r>
        <w:rPr>
          <w:rFonts w:hint="eastAsia" w:hAnsi="宋体"/>
        </w:rPr>
        <w:t>、</w:t>
      </w:r>
      <m:oMath>
        <m:sSub>
          <m:sSubPr>
            <m:ctrlPr>
              <w:rPr>
                <w:rFonts w:ascii="Cambria Math" w:hAnsi="Cambria Math"/>
                <w:i/>
              </w:rPr>
            </m:ctrlPr>
          </m:sSubPr>
          <m:e>
            <m:r>
              <w:rPr>
                <w:rFonts w:ascii="Cambria Math" w:hAnsi="Cambria Math"/>
              </w:rPr>
              <m:t xml:space="preserve">τ</m:t>
            </m:r>
          </m:e>
          <m:sub>
            <m:r>
              <w:rPr>
                <w:rFonts w:ascii="Cambria Math" w:hAnsi="Cambria Math"/>
              </w:rPr>
              <m:t xml:space="preserve">yz</m:t>
            </m:r>
          </m:sub>
        </m:sSub>
      </m:oMath>
      <w:r>
        <w:rPr>
          <w:rFonts w:hint="eastAsia" w:hAnsi="宋体"/>
        </w:rPr>
        <w:t>可根据单元分布，适当“削峰”，从而在板的特定区域内得到较为均匀的应力结果。</w:t>
      </w:r>
    </w:p>
    <w:p>
      <w:pPr>
        <w:snapToGrid w:val="0"/>
        <w:spacing w:line="360" w:lineRule="auto"/>
        <w:ind w:firstLine="482"/>
        <w:rPr>
          <w:rFonts w:hAnsi="宋体"/>
        </w:rPr>
      </w:pPr>
      <w:r>
        <w:rPr>
          <w:rFonts w:hint="eastAsia" w:hAnsi="宋体"/>
        </w:rPr>
        <w:t>配置抗剪钢板的厚板，其型钢剪力架的设计和构造可参考</w:t>
      </w:r>
      <w:r>
        <w:rPr>
          <w:rFonts w:hint="eastAsia"/>
        </w:rPr>
        <w:t>《无粘结预应力混凝土结构技术规程》</w:t>
      </w:r>
      <w:r>
        <w:t>JGJ 92</w:t>
      </w:r>
      <w:r>
        <w:rPr>
          <w:rFonts w:hint="eastAsia"/>
        </w:rPr>
        <w:t>的相关规定。</w:t>
      </w:r>
    </w:p>
    <w:bookmarkEnd w:id="116"/>
    <w:p>
      <w:pPr>
        <w:snapToGrid w:val="0"/>
        <w:spacing w:line="360" w:lineRule="auto"/>
        <w:ind w:firstLine="482"/>
        <w:rPr>
          <w:rFonts w:hAnsi="宋体"/>
        </w:rPr>
      </w:pPr>
      <w:bookmarkStart w:id="117" w:name="_Hlk86926123"/>
      <w:r>
        <w:rPr>
          <w:rFonts w:hint="eastAsia" w:hAnsi="宋体"/>
          <w:b/>
          <w:bCs/>
        </w:rPr>
        <w:t>5.</w:t>
      </w:r>
      <w:r>
        <w:rPr>
          <w:rFonts w:hAnsi="宋体"/>
          <w:b/>
          <w:bCs/>
        </w:rPr>
        <w:t>2.3</w:t>
      </w:r>
      <w:r>
        <w:rPr>
          <w:rFonts w:hint="eastAsia" w:hAnsi="宋体"/>
        </w:rPr>
        <w:t>厚板斜截面受剪承载力可根据划分的交叉板带分别计算，并符合下列公式规定：</w:t>
      </w:r>
    </w:p>
    <w:p>
      <w:pPr>
        <w:snapToGrid w:val="0"/>
        <w:spacing w:line="360" w:lineRule="auto"/>
        <w:ind w:firstLine="480"/>
        <w:jc w:val="center"/>
        <w:rPr>
          <w:rFonts w:asciiTheme="minorEastAsia" w:hAnsiTheme="minorEastAsia" w:eastAsiaTheme="minorEastAsia"/>
        </w:rPr>
      </w:pPr>
      <m:oMath>
        <m:sSub>
          <m:sSubPr>
            <m:ctrlPr>
              <w:rPr>
                <w:rFonts w:ascii="Cambria Math" w:hAnsi="Cambria Math"/>
                <w:i/>
              </w:rPr>
            </m:ctrlPr>
          </m:sSubPr>
          <m:e>
            <m:r>
              <w:rPr>
                <w:rFonts w:ascii="Cambria Math" w:hAnsi="Cambria Math"/>
              </w:rPr>
              <m:t xml:space="preserve">V</m:t>
            </m:r>
          </m:e>
          <m:sub>
            <m:r>
              <w:rPr>
                <w:rFonts w:ascii="Cambria Math" w:hAnsi="Cambria Math"/>
              </w:rPr>
              <m:t xml:space="preserve">x</m:t>
            </m:r>
          </m:sub>
        </m:sSub>
        <m:r>
          <w:rPr>
            <w:rFonts w:ascii="Cambria Math" w:hAnsi="Cambria Math"/>
            <w:sz w:val="22"/>
            <w:szCs w:val="22"/>
          </w:rPr>
          <m:t xml:space="preserve">≤</m:t>
        </m:r>
        <m:sSub>
          <m:sSubPr>
            <m:ctrlPr>
              <w:rPr>
                <w:rFonts w:ascii="Cambria Math" w:hAnsi="Cambria Math"/>
                <w:i/>
              </w:rPr>
            </m:ctrlPr>
          </m:sSubPr>
          <m:e>
            <m:r>
              <w:rPr>
                <w:rFonts w:ascii="Cambria Math" w:hAnsi="Cambria Math"/>
              </w:rPr>
              <m:t xml:space="preserve">V</m:t>
            </m:r>
          </m:e>
          <m:sub>
            <m:r>
              <w:rPr>
                <w:rFonts w:ascii="Cambria Math" w:hAnsi="Cambria Math"/>
              </w:rPr>
              <m:t xml:space="preserve">ux</m:t>
            </m:r>
          </m:sub>
        </m:sSub>
      </m:oMath>
      <w:r>
        <w:rPr>
          <w:rFonts w:hint="eastAsia" w:hAnsi="宋体"/>
          <w:sz w:val="22"/>
          <w:szCs w:val="22"/>
        </w:rPr>
        <w:t xml:space="preserve"> </w:t>
      </w:r>
      <w:r>
        <w:rPr>
          <w:rFonts w:asciiTheme="minorEastAsia" w:hAnsiTheme="minorEastAsia" w:eastAsiaTheme="minorEastAsia"/>
          <w:sz w:val="22"/>
        </w:rPr>
        <w:t xml:space="preserve">     </w:t>
      </w:r>
      <w:r>
        <w:rPr>
          <w:rFonts w:hint="eastAsia" w:asciiTheme="minorEastAsia" w:hAnsiTheme="minorEastAsia" w:eastAsiaTheme="minorEastAsia"/>
          <w:sz w:val="22"/>
        </w:rPr>
        <w:t>（</w:t>
      </w:r>
      <w:r>
        <w:rPr>
          <w:rFonts w:hint="eastAsia"/>
          <w:kern w:val="0"/>
          <w:sz w:val="24"/>
          <w:szCs w:val="22"/>
        </w:rPr>
        <w:t>5</w:t>
      </w:r>
      <w:r>
        <w:rPr>
          <w:kern w:val="0"/>
          <w:sz w:val="24"/>
          <w:szCs w:val="22"/>
        </w:rPr>
        <w:t>.2.3-1</w:t>
      </w:r>
      <w:r>
        <w:rPr>
          <w:rFonts w:hint="eastAsia" w:asciiTheme="minorEastAsia" w:hAnsiTheme="minorEastAsia" w:eastAsiaTheme="minorEastAsia"/>
          <w:sz w:val="22"/>
        </w:rPr>
        <w:t>）</w:t>
      </w:r>
    </w:p>
    <w:p>
      <w:pPr>
        <w:snapToGrid w:val="0"/>
        <w:spacing w:line="360" w:lineRule="auto"/>
        <w:ind w:firstLine="480"/>
        <w:jc w:val="center"/>
        <w:rPr>
          <w:rFonts w:asciiTheme="minorEastAsia" w:hAnsiTheme="minorEastAsia" w:eastAsiaTheme="minorEastAsia"/>
        </w:rPr>
      </w:pPr>
      <m:oMath>
        <m:sSub>
          <m:sSubPr>
            <m:ctrlPr>
              <w:rPr>
                <w:rFonts w:ascii="Cambria Math" w:hAnsi="Cambria Math"/>
                <w:i/>
              </w:rPr>
            </m:ctrlPr>
          </m:sSubPr>
          <m:e>
            <m:r>
              <w:rPr>
                <w:rFonts w:ascii="Cambria Math" w:hAnsi="Cambria Math"/>
              </w:rPr>
              <m:t xml:space="preserve">V</m:t>
            </m:r>
          </m:e>
          <m:sub>
            <m:r>
              <w:rPr>
                <w:rFonts w:ascii="Cambria Math" w:hAnsi="Cambria Math"/>
              </w:rPr>
              <m:t xml:space="preserve">y</m:t>
            </m:r>
          </m:sub>
        </m:sSub>
        <m:r>
          <w:rPr>
            <w:rFonts w:ascii="Cambria Math" w:hAnsi="Cambria Math"/>
            <w:sz w:val="22"/>
            <w:szCs w:val="22"/>
          </w:rPr>
          <m:t xml:space="preserve">≤</m:t>
        </m:r>
        <m:sSub>
          <m:sSubPr>
            <m:ctrlPr>
              <w:rPr>
                <w:rFonts w:ascii="Cambria Math" w:hAnsi="Cambria Math"/>
                <w:i/>
              </w:rPr>
            </m:ctrlPr>
          </m:sSubPr>
          <m:e>
            <m:r>
              <w:rPr>
                <w:rFonts w:ascii="Cambria Math" w:hAnsi="Cambria Math"/>
              </w:rPr>
              <m:t xml:space="preserve">V</m:t>
            </m:r>
          </m:e>
          <m:sub>
            <m:r>
              <w:rPr>
                <w:rFonts w:ascii="Cambria Math" w:hAnsi="Cambria Math"/>
              </w:rPr>
              <m:t xml:space="preserve">uy</m:t>
            </m:r>
          </m:sub>
        </m:sSub>
      </m:oMath>
      <w:r>
        <w:rPr>
          <w:rFonts w:hint="eastAsia" w:hAnsi="宋体"/>
          <w:sz w:val="22"/>
          <w:szCs w:val="22"/>
        </w:rPr>
        <w:t xml:space="preserve"> </w:t>
      </w:r>
      <w:r>
        <w:rPr>
          <w:rFonts w:asciiTheme="minorEastAsia" w:hAnsiTheme="minorEastAsia" w:eastAsiaTheme="minorEastAsia"/>
          <w:sz w:val="22"/>
        </w:rPr>
        <w:t xml:space="preserve">     </w:t>
      </w:r>
      <w:r>
        <w:rPr>
          <w:rFonts w:hint="eastAsia" w:asciiTheme="minorEastAsia" w:hAnsiTheme="minorEastAsia" w:eastAsiaTheme="minorEastAsia"/>
          <w:sz w:val="22"/>
        </w:rPr>
        <w:t>（</w:t>
      </w:r>
      <w:r>
        <w:rPr>
          <w:rFonts w:hint="eastAsia"/>
          <w:kern w:val="0"/>
          <w:sz w:val="24"/>
          <w:szCs w:val="22"/>
        </w:rPr>
        <w:t>5</w:t>
      </w:r>
      <w:r>
        <w:rPr>
          <w:kern w:val="0"/>
          <w:sz w:val="24"/>
          <w:szCs w:val="22"/>
        </w:rPr>
        <w:t>.2.3-2</w:t>
      </w:r>
      <w:r>
        <w:rPr>
          <w:rFonts w:hint="eastAsia" w:asciiTheme="minorEastAsia" w:hAnsiTheme="minorEastAsia" w:eastAsiaTheme="minorEastAsia"/>
          <w:sz w:val="22"/>
        </w:rPr>
        <w:t>）</w:t>
      </w:r>
    </w:p>
    <w:p>
      <w:pPr>
        <w:snapToGrid w:val="0"/>
        <w:spacing w:line="360" w:lineRule="auto"/>
        <w:ind w:firstLine="482"/>
        <w:rPr>
          <w:rFonts w:hAnsi="宋体"/>
        </w:rPr>
      </w:pPr>
      <w:r>
        <w:rPr>
          <w:rFonts w:hint="eastAsia" w:hAnsi="宋体"/>
        </w:rPr>
        <w:t>沿</w:t>
      </w:r>
      <w:r>
        <w:rPr>
          <w:rFonts w:hAnsi="宋体"/>
        </w:rPr>
        <w:t>x</w:t>
      </w:r>
      <w:r>
        <w:rPr>
          <w:rFonts w:hint="eastAsia" w:hAnsi="宋体"/>
        </w:rPr>
        <w:t>轴、y轴方向板带受剪承载力设计值</w:t>
      </w:r>
      <m:oMath>
        <m:sSub>
          <m:sSubPr>
            <m:ctrlPr>
              <w:rPr>
                <w:rFonts w:ascii="Cambria Math" w:hAnsi="Cambria Math"/>
                <w:i/>
              </w:rPr>
            </m:ctrlPr>
          </m:sSubPr>
          <m:e>
            <m:r>
              <w:rPr>
                <w:rFonts w:ascii="Cambria Math" w:hAnsi="Cambria Math"/>
              </w:rPr>
              <m:t xml:space="preserve">V</m:t>
            </m:r>
          </m:e>
          <m:sub>
            <m:r>
              <w:rPr>
                <w:rFonts w:ascii="Cambria Math" w:hAnsi="Cambria Math"/>
              </w:rPr>
              <m:t xml:space="preserve">ux</m:t>
            </m:r>
          </m:sub>
        </m:sSub>
        <m:r>
          <w:rPr>
            <w:rFonts w:ascii="Cambria Math" w:hAnsi="Cambria Math" w:hint="eastAsia"/>
          </w:rPr>
          <m:t xml:space="preserve">、</m:t>
        </m:r>
        <m:sSub>
          <m:sSubPr>
            <m:ctrlPr>
              <w:rPr>
                <w:rFonts w:ascii="Cambria Math" w:hAnsi="Cambria Math"/>
                <w:i/>
              </w:rPr>
            </m:ctrlPr>
          </m:sSubPr>
          <m:e>
            <m:r>
              <w:rPr>
                <w:rFonts w:ascii="Cambria Math" w:hAnsi="Cambria Math"/>
              </w:rPr>
              <m:t xml:space="preserve">V</m:t>
            </m:r>
          </m:e>
          <m:sub>
            <m:r>
              <w:rPr>
                <w:rFonts w:ascii="Cambria Math" w:hAnsi="Cambria Math"/>
              </w:rPr>
              <m:t xml:space="preserve">uy</m:t>
            </m:r>
          </m:sub>
        </m:sSub>
      </m:oMath>
      <w:r>
        <w:rPr>
          <w:rFonts w:hint="eastAsia" w:hAnsi="宋体"/>
        </w:rPr>
        <w:t>可按《混凝土结构设计规范》GB50010及相关规范要求计算。</w:t>
      </w:r>
    </w:p>
    <w:p>
      <w:pPr>
        <w:snapToGrid w:val="0"/>
        <w:spacing w:line="360" w:lineRule="auto"/>
        <w:ind w:firstLine="480"/>
        <w:rPr>
          <w:rFonts w:ascii="宋体" w:hAnsi="宋体"/>
          <w:sz w:val="22"/>
          <w:szCs w:val="22"/>
        </w:rPr>
      </w:pPr>
      <w:r>
        <w:rPr>
          <w:rFonts w:hint="eastAsia" w:ascii="宋体" w:hAnsi="宋体"/>
        </w:rPr>
        <w:t>式中：</w:t>
      </w:r>
      <m:oMath>
        <m:sSub>
          <m:sSubPr>
            <m:ctrlPr>
              <w:rPr>
                <w:rFonts w:ascii="Cambria Math" w:hAnsi="Cambria Math"/>
                <w:i/>
              </w:rPr>
            </m:ctrlPr>
          </m:sSubPr>
          <m:e>
            <m:r>
              <w:rPr>
                <w:rFonts w:ascii="Cambria Math" w:hAnsi="Cambria Math"/>
              </w:rPr>
              <m:t xml:space="preserve">V</m:t>
            </m:r>
          </m:e>
          <m:sub>
            <m:r>
              <w:rPr>
                <w:rFonts w:ascii="Cambria Math" w:hAnsi="Cambria Math"/>
              </w:rPr>
              <m:t xml:space="preserve">x</m:t>
            </m:r>
          </m:sub>
        </m:sSub>
        <m:r>
          <w:rPr>
            <w:rFonts w:ascii="Cambria Math" w:hAnsi="Cambria Math" w:hint="eastAsia"/>
            <w:sz w:val="22"/>
            <w:szCs w:val="22"/>
          </w:rPr>
          <m:t xml:space="preserve">、</m:t>
        </m:r>
        <m:sSub>
          <m:sSubPr>
            <m:ctrlPr>
              <w:rPr>
                <w:rFonts w:ascii="Cambria Math" w:hAnsi="Cambria Math"/>
                <w:i/>
              </w:rPr>
            </m:ctrlPr>
          </m:sSubPr>
          <m:e>
            <m:r>
              <w:rPr>
                <w:rFonts w:ascii="Cambria Math" w:hAnsi="Cambria Math"/>
              </w:rPr>
              <m:t xml:space="preserve">V</m:t>
            </m:r>
          </m:e>
          <m:sub>
            <m:r>
              <w:rPr>
                <w:rFonts w:ascii="Cambria Math" w:hAnsi="Cambria Math"/>
              </w:rPr>
              <m:t xml:space="preserve">y</m:t>
            </m:r>
          </m:sub>
        </m:sSub>
      </m:oMath>
      <w:r>
        <w:rPr>
          <w:rFonts w:hint="eastAsia" w:ascii="宋体" w:hAnsi="宋体"/>
          <w:sz w:val="22"/>
          <w:szCs w:val="22"/>
        </w:rPr>
        <w:t>—</w:t>
      </w:r>
      <w:r>
        <w:rPr>
          <w:rFonts w:hint="eastAsia" w:hAnsi="宋体"/>
        </w:rPr>
        <w:t>分别为</w:t>
      </w:r>
      <w:r>
        <w:rPr>
          <w:rFonts w:hint="eastAsia" w:ascii="宋体" w:hAnsi="宋体"/>
          <w:sz w:val="22"/>
          <w:szCs w:val="22"/>
        </w:rPr>
        <w:t>x向、y向板带斜截面剪力；</w:t>
      </w:r>
    </w:p>
    <w:p>
      <w:pPr>
        <w:snapToGrid w:val="0"/>
        <w:spacing w:line="360" w:lineRule="auto"/>
        <w:ind w:firstLine="480"/>
        <w:rPr>
          <w:rFonts w:ascii="宋体" w:hAnsi="宋体"/>
          <w:sz w:val="22"/>
          <w:szCs w:val="22"/>
        </w:rPr>
      </w:pPr>
      <m:oMath>
        <m:sSub>
          <m:sSubPr>
            <m:ctrlPr>
              <w:rPr>
                <w:rFonts w:ascii="Cambria Math" w:hAnsi="Cambria Math"/>
                <w:i/>
              </w:rPr>
            </m:ctrlPr>
          </m:sSubPr>
          <m:e>
            <m:r>
              <w:rPr>
                <w:rFonts w:ascii="Cambria Math" w:hAnsi="Cambria Math"/>
              </w:rPr>
              <m:t xml:space="preserve">V</m:t>
            </m:r>
          </m:e>
          <m:sub>
            <m:r>
              <w:rPr>
                <w:rFonts w:ascii="Cambria Math" w:hAnsi="Cambria Math"/>
              </w:rPr>
              <m:t xml:space="preserve">ux</m:t>
            </m:r>
          </m:sub>
        </m:sSub>
        <m:r>
          <w:rPr>
            <w:rFonts w:ascii="Cambria Math" w:hAnsi="Cambria Math" w:hint="eastAsia"/>
            <w:sz w:val="22"/>
            <w:szCs w:val="22"/>
          </w:rPr>
          <m:t xml:space="preserve">、</m:t>
        </m:r>
        <m:sSub>
          <m:sSubPr>
            <m:ctrlPr>
              <w:rPr>
                <w:rFonts w:ascii="Cambria Math" w:hAnsi="Cambria Math"/>
                <w:i/>
              </w:rPr>
            </m:ctrlPr>
          </m:sSubPr>
          <m:e>
            <m:r>
              <w:rPr>
                <w:rFonts w:ascii="Cambria Math" w:hAnsi="Cambria Math"/>
              </w:rPr>
              <m:t xml:space="preserve">V</m:t>
            </m:r>
          </m:e>
          <m:sub>
            <m:r>
              <w:rPr>
                <w:rFonts w:ascii="Cambria Math" w:hAnsi="Cambria Math"/>
              </w:rPr>
              <m:t xml:space="preserve">uy</m:t>
            </m:r>
          </m:sub>
        </m:sSub>
      </m:oMath>
      <w:r>
        <w:rPr>
          <w:rFonts w:hint="eastAsia" w:ascii="宋体" w:hAnsi="宋体"/>
          <w:sz w:val="22"/>
          <w:szCs w:val="22"/>
        </w:rPr>
        <w:t>—</w:t>
      </w:r>
      <w:r>
        <w:rPr>
          <w:rFonts w:hint="eastAsia" w:hAnsi="宋体"/>
        </w:rPr>
        <w:t>分别为</w:t>
      </w:r>
      <w:r>
        <w:rPr>
          <w:rFonts w:hint="eastAsia" w:ascii="宋体" w:hAnsi="宋体"/>
          <w:sz w:val="22"/>
          <w:szCs w:val="22"/>
        </w:rPr>
        <w:t>x向、y向板带斜截面受剪承载力设计值。</w:t>
      </w:r>
    </w:p>
    <w:p>
      <w:pPr>
        <w:snapToGrid w:val="0"/>
        <w:spacing w:line="360" w:lineRule="auto"/>
        <w:ind w:firstLine="482"/>
        <w:rPr>
          <w:rFonts w:hAnsi="宋体"/>
        </w:rPr>
      </w:pPr>
      <w:r>
        <w:rPr>
          <w:rFonts w:hint="eastAsia" w:hAnsi="宋体"/>
          <w:b/>
          <w:bCs/>
        </w:rPr>
        <w:t>5.</w:t>
      </w:r>
      <w:r>
        <w:rPr>
          <w:rFonts w:hAnsi="宋体"/>
          <w:b/>
          <w:bCs/>
        </w:rPr>
        <w:t>2.4</w:t>
      </w:r>
      <w:r>
        <w:rPr>
          <w:rFonts w:hint="eastAsia" w:hAnsi="宋体"/>
        </w:rPr>
        <w:t>厚板正截面受弯承载力可根据划分的交叉板带分别计算，并符合下列公式规定：</w:t>
      </w:r>
    </w:p>
    <w:p>
      <w:pPr>
        <w:snapToGrid w:val="0"/>
        <w:spacing w:line="360" w:lineRule="auto"/>
        <w:ind w:firstLine="480"/>
        <w:jc w:val="center"/>
        <w:rPr>
          <w:rFonts w:asciiTheme="minorEastAsia" w:hAnsiTheme="minorEastAsia" w:eastAsiaTheme="minorEastAsia"/>
        </w:rPr>
      </w:pPr>
      <m:oMath>
        <m:sSub>
          <m:sSubPr>
            <m:ctrlPr>
              <w:rPr>
                <w:rFonts w:ascii="Cambria Math" w:hAnsi="Cambria Math"/>
                <w:i/>
              </w:rPr>
            </m:ctrlPr>
          </m:sSubPr>
          <m:e>
            <m:r>
              <w:rPr>
                <w:rFonts w:ascii="Cambria Math" w:hAnsi="Cambria Math"/>
              </w:rPr>
              <m:t xml:space="preserve">M</m:t>
            </m:r>
          </m:e>
          <m:sub>
            <m:r>
              <w:rPr>
                <w:rFonts w:ascii="Cambria Math" w:hAnsi="Cambria Math"/>
              </w:rPr>
              <m:t xml:space="preserve">x</m:t>
            </m:r>
          </m:sub>
        </m:sSub>
        <m:r>
          <w:rPr>
            <w:rFonts w:ascii="Cambria Math" w:hAnsi="Cambria Math"/>
            <w:sz w:val="22"/>
            <w:szCs w:val="22"/>
          </w:rPr>
          <m:t xml:space="preserve">≤</m:t>
        </m:r>
        <m:sSub>
          <m:sSubPr>
            <m:ctrlPr>
              <w:rPr>
                <w:rFonts w:ascii="Cambria Math" w:hAnsi="Cambria Math"/>
                <w:i/>
              </w:rPr>
            </m:ctrlPr>
          </m:sSubPr>
          <m:e>
            <m:r>
              <w:rPr>
                <w:rFonts w:ascii="Cambria Math" w:hAnsi="Cambria Math"/>
              </w:rPr>
              <m:t xml:space="preserve">M</m:t>
            </m:r>
          </m:e>
          <m:sub>
            <m:r>
              <w:rPr>
                <w:rFonts w:ascii="Cambria Math" w:hAnsi="Cambria Math"/>
              </w:rPr>
              <m:t xml:space="preserve">ux</m:t>
            </m:r>
          </m:sub>
        </m:sSub>
      </m:oMath>
      <w:r>
        <w:rPr>
          <w:rFonts w:hint="eastAsia" w:hAnsi="宋体"/>
          <w:sz w:val="22"/>
          <w:szCs w:val="22"/>
        </w:rPr>
        <w:t xml:space="preserve"> </w:t>
      </w:r>
      <w:r>
        <w:rPr>
          <w:rFonts w:asciiTheme="minorEastAsia" w:hAnsiTheme="minorEastAsia" w:eastAsiaTheme="minorEastAsia"/>
          <w:sz w:val="22"/>
        </w:rPr>
        <w:t xml:space="preserve">     </w:t>
      </w:r>
      <w:r>
        <w:rPr>
          <w:rFonts w:hint="eastAsia" w:asciiTheme="minorEastAsia" w:hAnsiTheme="minorEastAsia" w:eastAsiaTheme="minorEastAsia"/>
          <w:sz w:val="22"/>
        </w:rPr>
        <w:t>（</w:t>
      </w:r>
      <w:r>
        <w:rPr>
          <w:rFonts w:hint="eastAsia"/>
          <w:kern w:val="0"/>
          <w:sz w:val="24"/>
          <w:szCs w:val="22"/>
        </w:rPr>
        <w:t>5</w:t>
      </w:r>
      <w:r>
        <w:rPr>
          <w:kern w:val="0"/>
          <w:sz w:val="24"/>
          <w:szCs w:val="22"/>
        </w:rPr>
        <w:t>.2.3-1</w:t>
      </w:r>
      <w:r>
        <w:rPr>
          <w:rFonts w:hint="eastAsia" w:asciiTheme="minorEastAsia" w:hAnsiTheme="minorEastAsia" w:eastAsiaTheme="minorEastAsia"/>
          <w:sz w:val="22"/>
        </w:rPr>
        <w:t>）</w:t>
      </w:r>
    </w:p>
    <w:p>
      <w:pPr>
        <w:snapToGrid w:val="0"/>
        <w:spacing w:line="360" w:lineRule="auto"/>
        <w:ind w:firstLine="480"/>
        <w:jc w:val="center"/>
        <w:rPr>
          <w:rFonts w:asciiTheme="minorEastAsia" w:hAnsiTheme="minorEastAsia" w:eastAsiaTheme="minorEastAsia"/>
        </w:rPr>
      </w:pPr>
      <m:oMath>
        <m:sSub>
          <m:sSubPr>
            <m:ctrlPr>
              <w:rPr>
                <w:rFonts w:ascii="Cambria Math" w:hAnsi="Cambria Math"/>
                <w:i/>
              </w:rPr>
            </m:ctrlPr>
          </m:sSubPr>
          <m:e>
            <m:r>
              <w:rPr>
                <w:rFonts w:ascii="Cambria Math" w:hAnsi="Cambria Math"/>
              </w:rPr>
              <m:t xml:space="preserve">M</m:t>
            </m:r>
          </m:e>
          <m:sub>
            <m:r>
              <w:rPr>
                <w:rFonts w:ascii="Cambria Math" w:hAnsi="Cambria Math"/>
              </w:rPr>
              <m:t xml:space="preserve">y</m:t>
            </m:r>
          </m:sub>
        </m:sSub>
        <m:r>
          <w:rPr>
            <w:rFonts w:ascii="Cambria Math" w:hAnsi="Cambria Math"/>
            <w:sz w:val="22"/>
            <w:szCs w:val="22"/>
          </w:rPr>
          <m:t xml:space="preserve">≤</m:t>
        </m:r>
        <m:sSub>
          <m:sSubPr>
            <m:ctrlPr>
              <w:rPr>
                <w:rFonts w:ascii="Cambria Math" w:hAnsi="Cambria Math"/>
                <w:i/>
              </w:rPr>
            </m:ctrlPr>
          </m:sSubPr>
          <m:e>
            <m:r>
              <w:rPr>
                <w:rFonts w:ascii="Cambria Math" w:hAnsi="Cambria Math"/>
              </w:rPr>
              <m:t xml:space="preserve">M</m:t>
            </m:r>
          </m:e>
          <m:sub>
            <m:r>
              <w:rPr>
                <w:rFonts w:ascii="Cambria Math" w:hAnsi="Cambria Math"/>
              </w:rPr>
              <m:t xml:space="preserve">uy</m:t>
            </m:r>
          </m:sub>
        </m:sSub>
      </m:oMath>
      <w:r>
        <w:rPr>
          <w:rFonts w:hint="eastAsia" w:hAnsi="宋体"/>
          <w:sz w:val="22"/>
          <w:szCs w:val="22"/>
        </w:rPr>
        <w:t xml:space="preserve"> </w:t>
      </w:r>
      <w:r>
        <w:rPr>
          <w:rFonts w:asciiTheme="minorEastAsia" w:hAnsiTheme="minorEastAsia" w:eastAsiaTheme="minorEastAsia"/>
          <w:sz w:val="22"/>
        </w:rPr>
        <w:t xml:space="preserve">     </w:t>
      </w:r>
      <w:r>
        <w:rPr>
          <w:rFonts w:hint="eastAsia" w:asciiTheme="minorEastAsia" w:hAnsiTheme="minorEastAsia" w:eastAsiaTheme="minorEastAsia"/>
          <w:sz w:val="22"/>
        </w:rPr>
        <w:t>（</w:t>
      </w:r>
      <w:r>
        <w:rPr>
          <w:rFonts w:hint="eastAsia"/>
          <w:kern w:val="0"/>
          <w:sz w:val="24"/>
          <w:szCs w:val="22"/>
        </w:rPr>
        <w:t>5</w:t>
      </w:r>
      <w:r>
        <w:rPr>
          <w:kern w:val="0"/>
          <w:sz w:val="24"/>
          <w:szCs w:val="22"/>
        </w:rPr>
        <w:t>.2.3-2</w:t>
      </w:r>
      <w:r>
        <w:rPr>
          <w:rFonts w:hint="eastAsia" w:asciiTheme="minorEastAsia" w:hAnsiTheme="minorEastAsia" w:eastAsiaTheme="minorEastAsia"/>
          <w:sz w:val="22"/>
        </w:rPr>
        <w:t>）</w:t>
      </w:r>
    </w:p>
    <w:p>
      <w:pPr>
        <w:snapToGrid w:val="0"/>
        <w:spacing w:line="360" w:lineRule="auto"/>
        <w:ind w:firstLine="482"/>
        <w:rPr>
          <w:rFonts w:hAnsi="宋体"/>
        </w:rPr>
      </w:pPr>
      <w:r>
        <w:rPr>
          <w:rFonts w:hAnsi="宋体"/>
        </w:rPr>
        <w:t>y</w:t>
      </w:r>
      <w:r>
        <w:rPr>
          <w:rFonts w:hint="eastAsia" w:hAnsi="宋体"/>
        </w:rPr>
        <w:t>向板带绕</w:t>
      </w:r>
      <w:r>
        <w:rPr>
          <w:rFonts w:hAnsi="宋体"/>
        </w:rPr>
        <w:t>x</w:t>
      </w:r>
      <w:r>
        <w:rPr>
          <w:rFonts w:hint="eastAsia" w:hAnsi="宋体"/>
        </w:rPr>
        <w:t>轴、x向板带绕y轴的正截面受弯承载力设计值</w:t>
      </w:r>
      <m:oMath>
        <m:sSub>
          <m:sSubPr>
            <m:ctrlPr>
              <w:rPr>
                <w:rFonts w:ascii="Cambria Math" w:hAnsi="Cambria Math"/>
                <w:i/>
              </w:rPr>
            </m:ctrlPr>
          </m:sSubPr>
          <m:e>
            <m:r>
              <w:rPr>
                <w:rFonts w:ascii="Cambria Math" w:hAnsi="Cambria Math"/>
              </w:rPr>
              <m:t xml:space="preserve">M</m:t>
            </m:r>
          </m:e>
          <m:sub>
            <m:r>
              <w:rPr>
                <w:rFonts w:ascii="Cambria Math" w:hAnsi="Cambria Math"/>
              </w:rPr>
              <m:t xml:space="preserve">ux</m:t>
            </m:r>
          </m:sub>
        </m:sSub>
        <m:r>
          <w:rPr>
            <w:rFonts w:ascii="Cambria Math" w:hAnsi="Cambria Math" w:hint="eastAsia"/>
          </w:rPr>
          <m:t xml:space="preserve">、</m:t>
        </m:r>
        <m:sSub>
          <m:sSubPr>
            <m:ctrlPr>
              <w:rPr>
                <w:rFonts w:ascii="Cambria Math" w:hAnsi="Cambria Math"/>
                <w:i/>
              </w:rPr>
            </m:ctrlPr>
          </m:sSubPr>
          <m:e>
            <m:r>
              <w:rPr>
                <w:rFonts w:ascii="Cambria Math" w:hAnsi="Cambria Math"/>
              </w:rPr>
              <m:t xml:space="preserve">M</m:t>
            </m:r>
          </m:e>
          <m:sub>
            <m:r>
              <w:rPr>
                <w:rFonts w:ascii="Cambria Math" w:hAnsi="Cambria Math"/>
              </w:rPr>
              <m:t xml:space="preserve">uy</m:t>
            </m:r>
          </m:sub>
        </m:sSub>
      </m:oMath>
      <w:r>
        <w:rPr>
          <w:rFonts w:hint="eastAsia" w:hAnsi="宋体"/>
        </w:rPr>
        <w:t>可按《混凝土结构设计规范》GB50010及相关规范要求计算。</w:t>
      </w:r>
    </w:p>
    <w:p>
      <w:pPr>
        <w:snapToGrid w:val="0"/>
        <w:spacing w:line="360" w:lineRule="auto"/>
        <w:ind w:firstLine="480"/>
        <w:rPr>
          <w:rFonts w:ascii="宋体" w:hAnsi="宋体"/>
          <w:sz w:val="22"/>
          <w:szCs w:val="22"/>
        </w:rPr>
      </w:pPr>
      <w:r>
        <w:rPr>
          <w:rFonts w:hint="eastAsia" w:ascii="宋体" w:hAnsi="宋体"/>
        </w:rPr>
        <w:t>式中：</w:t>
      </w:r>
      <m:oMath>
        <m:sSub>
          <m:sSubPr>
            <m:ctrlPr>
              <w:rPr>
                <w:rFonts w:ascii="Cambria Math" w:hAnsi="Cambria Math"/>
                <w:i/>
              </w:rPr>
            </m:ctrlPr>
          </m:sSubPr>
          <m:e>
            <m:r>
              <w:rPr>
                <w:rFonts w:ascii="Cambria Math" w:hAnsi="Cambria Math"/>
              </w:rPr>
              <m:t xml:space="preserve">M</m:t>
            </m:r>
          </m:e>
          <m:sub>
            <m:r>
              <w:rPr>
                <w:rFonts w:ascii="Cambria Math" w:hAnsi="Cambria Math"/>
              </w:rPr>
              <m:t xml:space="preserve">x</m:t>
            </m:r>
          </m:sub>
        </m:sSub>
        <m:r>
          <w:rPr>
            <w:rFonts w:ascii="Cambria Math" w:hAnsi="Cambria Math" w:hint="eastAsia"/>
            <w:sz w:val="22"/>
            <w:szCs w:val="22"/>
          </w:rPr>
          <m:t xml:space="preserve">、</m:t>
        </m:r>
        <m:sSub>
          <m:sSubPr>
            <m:ctrlPr>
              <w:rPr>
                <w:rFonts w:ascii="Cambria Math" w:hAnsi="Cambria Math"/>
                <w:i/>
              </w:rPr>
            </m:ctrlPr>
          </m:sSubPr>
          <m:e>
            <m:r>
              <w:rPr>
                <w:rFonts w:ascii="Cambria Math" w:hAnsi="Cambria Math"/>
              </w:rPr>
              <m:t xml:space="preserve">M</m:t>
            </m:r>
          </m:e>
          <m:sub>
            <m:r>
              <w:rPr>
                <w:rFonts w:ascii="Cambria Math" w:hAnsi="Cambria Math"/>
              </w:rPr>
              <m:t xml:space="preserve">y</m:t>
            </m:r>
          </m:sub>
        </m:sSub>
      </m:oMath>
      <w:r>
        <w:rPr>
          <w:rFonts w:hint="eastAsia" w:ascii="宋体" w:hAnsi="宋体"/>
          <w:sz w:val="22"/>
          <w:szCs w:val="22"/>
        </w:rPr>
        <w:t>—</w:t>
      </w:r>
      <w:r>
        <w:rPr>
          <w:rFonts w:hint="eastAsia" w:hAnsi="宋体"/>
        </w:rPr>
        <w:t>分别为y向板带绕</w:t>
      </w:r>
      <w:r>
        <w:rPr>
          <w:rFonts w:hint="eastAsia" w:ascii="宋体" w:hAnsi="宋体"/>
          <w:sz w:val="22"/>
          <w:szCs w:val="22"/>
        </w:rPr>
        <w:t>x轴、x向板带绕y轴的正截面弯矩；</w:t>
      </w:r>
    </w:p>
    <w:p>
      <w:pPr>
        <w:snapToGrid w:val="0"/>
        <w:spacing w:line="360" w:lineRule="auto"/>
        <w:ind w:firstLine="480"/>
        <w:rPr>
          <w:rFonts w:ascii="宋体" w:hAnsi="宋体"/>
          <w:sz w:val="22"/>
          <w:szCs w:val="22"/>
        </w:rPr>
      </w:pPr>
      <m:oMath>
        <m:sSub>
          <m:sSubPr>
            <m:ctrlPr>
              <w:rPr>
                <w:rFonts w:ascii="Cambria Math" w:hAnsi="Cambria Math"/>
                <w:i/>
              </w:rPr>
            </m:ctrlPr>
          </m:sSubPr>
          <m:e>
            <m:r>
              <w:rPr>
                <w:rFonts w:ascii="Cambria Math" w:hAnsi="Cambria Math"/>
              </w:rPr>
              <m:t xml:space="preserve">M</m:t>
            </m:r>
          </m:e>
          <m:sub>
            <m:r>
              <w:rPr>
                <w:rFonts w:ascii="Cambria Math" w:hAnsi="Cambria Math"/>
              </w:rPr>
              <m:t xml:space="preserve">ux</m:t>
            </m:r>
          </m:sub>
        </m:sSub>
        <m:r>
          <w:rPr>
            <w:rFonts w:ascii="Cambria Math" w:hAnsi="Cambria Math" w:hint="eastAsia"/>
            <w:sz w:val="22"/>
            <w:szCs w:val="22"/>
          </w:rPr>
          <m:t xml:space="preserve">、</m:t>
        </m:r>
        <m:sSub>
          <m:sSubPr>
            <m:ctrlPr>
              <w:rPr>
                <w:rFonts w:ascii="Cambria Math" w:hAnsi="Cambria Math"/>
                <w:i/>
              </w:rPr>
            </m:ctrlPr>
          </m:sSubPr>
          <m:e>
            <m:r>
              <w:rPr>
                <w:rFonts w:ascii="Cambria Math" w:hAnsi="Cambria Math"/>
              </w:rPr>
              <m:t xml:space="preserve">M</m:t>
            </m:r>
          </m:e>
          <m:sub>
            <m:r>
              <w:rPr>
                <w:rFonts w:ascii="Cambria Math" w:hAnsi="Cambria Math"/>
              </w:rPr>
              <m:t xml:space="preserve">uy</m:t>
            </m:r>
          </m:sub>
        </m:sSub>
      </m:oMath>
      <w:r>
        <w:rPr>
          <w:rFonts w:hint="eastAsia" w:ascii="宋体" w:hAnsi="宋体"/>
          <w:sz w:val="22"/>
          <w:szCs w:val="22"/>
        </w:rPr>
        <w:t>—</w:t>
      </w:r>
      <w:r>
        <w:rPr>
          <w:rFonts w:hint="eastAsia" w:hAnsi="宋体"/>
        </w:rPr>
        <w:t>分别为y向板带绕</w:t>
      </w:r>
      <w:r>
        <w:rPr>
          <w:rFonts w:hint="eastAsia" w:ascii="宋体" w:hAnsi="宋体"/>
          <w:sz w:val="22"/>
          <w:szCs w:val="22"/>
        </w:rPr>
        <w:t>x轴、x向板带绕y轴的正截面受弯承载力。</w:t>
      </w:r>
    </w:p>
    <w:bookmarkEnd w:id="117"/>
    <w:p>
      <w:pPr>
        <w:snapToGrid w:val="0"/>
        <w:spacing w:line="360" w:lineRule="auto"/>
        <w:ind w:firstLine="482"/>
        <w:jc w:val="left"/>
        <w:rPr>
          <w:rFonts w:hAnsi="宋体"/>
        </w:rPr>
      </w:pPr>
      <w:r>
        <w:rPr>
          <w:rFonts w:hAnsi="宋体"/>
          <w:b/>
          <w:bCs/>
        </w:rPr>
        <w:t>5</w:t>
      </w:r>
      <w:r>
        <w:rPr>
          <w:rFonts w:hint="eastAsia" w:hAnsi="宋体"/>
          <w:b/>
          <w:bCs/>
        </w:rPr>
        <w:t>.</w:t>
      </w:r>
      <w:r>
        <w:rPr>
          <w:rFonts w:hAnsi="宋体"/>
          <w:b/>
          <w:bCs/>
        </w:rPr>
        <w:t>2.5</w:t>
      </w:r>
      <w:r>
        <w:rPr>
          <w:rFonts w:hint="eastAsia" w:hAnsi="宋体"/>
        </w:rPr>
        <w:t>转换厚板受冲切截面及受冲切承载力验算应包括板上墙、柱对厚板，框支柱对厚板的冲切验算及冲切破坏锥体范围以外截面的抗冲切承载力验算，在地震组合下，配置拉筋或抗剪钢板的板柱节点应符合下列要求：</w:t>
      </w:r>
    </w:p>
    <w:p>
      <w:pPr>
        <w:snapToGrid w:val="0"/>
        <w:spacing w:line="360" w:lineRule="auto"/>
        <w:ind w:firstLine="480"/>
        <w:rPr>
          <w:rFonts w:hAnsi="宋体"/>
        </w:rPr>
      </w:pPr>
      <w:r>
        <w:rPr>
          <w:rFonts w:hAnsi="宋体"/>
        </w:rPr>
        <w:t xml:space="preserve">1  </w:t>
      </w:r>
      <w:r>
        <w:rPr>
          <w:rFonts w:hint="eastAsia" w:hAnsi="宋体"/>
        </w:rPr>
        <w:t>受冲切截面</w:t>
      </w:r>
    </w:p>
    <w:p>
      <w:pPr>
        <w:snapToGrid w:val="0"/>
        <w:spacing w:line="360" w:lineRule="auto"/>
        <w:ind w:firstLine="480"/>
        <w:jc w:val="right"/>
        <w:rPr>
          <w:rFonts w:hAnsi="宋体"/>
        </w:rPr>
      </w:pPr>
      <m:oMath>
        <m:sSub>
          <m:sSubPr>
            <m:ctrlPr>
              <w:rPr>
                <w:rFonts w:ascii="Cambria Math" w:hAnsi="Cambria Math"/>
                <w:i/>
              </w:rPr>
            </m:ctrlPr>
          </m:sSubPr>
          <m:e>
            <m:r>
              <w:rPr>
                <w:rFonts w:ascii="Cambria Math" w:hAnsi="Cambria Math"/>
              </w:rPr>
              <m:t xml:space="preserve">τ</m:t>
            </m:r>
          </m:e>
          <m:sub>
            <m:r>
              <w:rPr>
                <w:rFonts w:ascii="Cambria Math" w:hAnsi="Cambria Math"/>
              </w:rPr>
              <m:t xml:space="preserve">0</m:t>
            </m:r>
          </m:sub>
        </m:sSub>
        <m:r>
          <w:rPr>
            <w:rFonts w:ascii="Cambria Math" w:hAnsi="Cambria Math"/>
          </w:rPr>
          <m:t xml:space="preserve">≤</m:t>
        </m:r>
        <m:f>
          <m:fPr>
            <m:ctrlPr>
              <w:rPr>
                <w:rFonts w:ascii="Cambria Math" w:hAnsi="Cambria Math"/>
                <w:i/>
              </w:rPr>
            </m:ctrlPr>
          </m:fPr>
          <m:num>
            <m:r>
              <w:rPr>
                <w:rFonts w:ascii="Cambria Math" w:hAnsi="Cambria Math"/>
              </w:rPr>
              <m:t xml:space="preserve">1</m:t>
            </m:r>
          </m:num>
          <m:den>
            <m:sSub>
              <m:sSubPr>
                <m:ctrlPr>
                  <w:rPr>
                    <w:rFonts w:ascii="Cambria Math" w:hAnsi="Cambria Math"/>
                    <w:i/>
                  </w:rPr>
                </m:ctrlPr>
              </m:sSubPr>
              <m:e>
                <m:r>
                  <w:rPr>
                    <w:rFonts w:ascii="Cambria Math" w:hAnsi="Cambria Math"/>
                  </w:rPr>
                  <m:t xml:space="preserve">γ</m:t>
                </m:r>
              </m:e>
              <m:sub>
                <m:r>
                  <w:rPr>
                    <w:rFonts w:ascii="Cambria Math" w:hAnsi="Cambria Math"/>
                  </w:rPr>
                  <m:t xml:space="preserve">RE</m:t>
                </m:r>
              </m:sub>
            </m:sSub>
          </m:den>
        </m:f>
        <m:d>
          <m:dPr>
            <m:begChr m:val=""/>
            <m:endChr m:val=""/>
            <m:ctrlPr>
              <w:rPr>
                <w:rFonts w:ascii="Cambria Math" w:hAnsi="Cambria Math"/>
                <w:i/>
              </w:rPr>
            </m:ctrlPr>
          </m:dPr>
          <m:e>
            <m:r>
              <w:rPr>
                <w:rFonts w:ascii="Cambria Math" w:hAnsi="Cambria Math"/>
              </w:rPr>
              <m:t xml:space="preserve">1.2</m:t>
            </m:r>
            <m:sSub>
              <m:sSubPr>
                <m:ctrlPr>
                  <w:rPr>
                    <w:rFonts w:ascii="Cambria Math" w:hAnsi="Cambria Math"/>
                    <w:i/>
                  </w:rPr>
                </m:ctrlPr>
              </m:sSubPr>
              <m:e>
                <m:r>
                  <w:rPr>
                    <w:rFonts w:ascii="Cambria Math" w:hAnsi="Cambria Math"/>
                  </w:rPr>
                  <m:t xml:space="preserve">f</m:t>
                </m:r>
              </m:e>
              <m:sub>
                <m:r>
                  <w:rPr>
                    <w:rFonts w:ascii="Cambria Math" w:hAnsi="Cambria Math"/>
                  </w:rPr>
                  <m:t xml:space="preserve">t</m:t>
                </m:r>
              </m:sub>
            </m:sSub>
            <m:r>
              <w:rPr>
                <w:rFonts w:ascii="Cambria Math" w:hAnsi="Cambria Math"/>
              </w:rPr>
              <m:t xml:space="preserve">η</m:t>
            </m:r>
          </m:e>
        </m:d>
      </m:oMath>
      <w:r>
        <w:rPr>
          <w:rFonts w:hint="eastAsia" w:hAnsi="宋体"/>
        </w:rPr>
        <w:t xml:space="preserve"> </w:t>
      </w:r>
      <w:r>
        <w:rPr>
          <w:rFonts w:hAnsi="宋体"/>
        </w:rPr>
        <w:t xml:space="preserve">                                    (5.2.5-1)</w:t>
      </w:r>
    </w:p>
    <w:p>
      <w:pPr>
        <w:snapToGrid w:val="0"/>
        <w:spacing w:line="360" w:lineRule="auto"/>
        <w:ind w:firstLine="480"/>
        <w:rPr>
          <w:rFonts w:hAnsi="宋体"/>
        </w:rPr>
      </w:pPr>
      <w:r>
        <w:rPr>
          <w:rFonts w:hAnsi="宋体"/>
        </w:rPr>
        <w:t xml:space="preserve">2  </w:t>
      </w:r>
      <w:r>
        <w:rPr>
          <w:rFonts w:hint="eastAsia" w:hAnsi="宋体"/>
        </w:rPr>
        <w:t>当抗冲切钢筋采用拉筋和弯起钢筋时</w:t>
      </w:r>
    </w:p>
    <w:p>
      <w:pPr>
        <w:snapToGrid w:val="0"/>
        <w:spacing w:line="360" w:lineRule="auto"/>
        <w:ind w:firstLine="480"/>
        <w:jc w:val="right"/>
        <w:rPr>
          <w:rFonts w:hAnsi="宋体"/>
        </w:rPr>
      </w:pPr>
      <m:oMath>
        <m:sSub>
          <m:sSubPr>
            <m:ctrlPr>
              <w:rPr>
                <w:rFonts w:ascii="Cambria Math" w:hAnsi="Cambria Math"/>
                <w:i/>
              </w:rPr>
            </m:ctrlPr>
          </m:sSubPr>
          <m:e>
            <m:r>
              <w:rPr>
                <w:rFonts w:ascii="Cambria Math" w:hAnsi="Cambria Math"/>
              </w:rPr>
              <m:t xml:space="preserve">τ</m:t>
            </m:r>
          </m:e>
          <m:sub>
            <m:r>
              <w:rPr>
                <w:rFonts w:ascii="Cambria Math" w:hAnsi="Cambria Math"/>
              </w:rPr>
              <m:t xml:space="preserve">0</m:t>
            </m:r>
          </m:sub>
        </m:sSub>
        <m:r>
          <w:rPr>
            <w:rFonts w:ascii="Cambria Math" w:hAnsi="Cambria Math"/>
          </w:rPr>
          <m:t xml:space="preserve">≤</m:t>
        </m:r>
        <m:f>
          <m:fPr>
            <m:ctrlPr>
              <w:rPr>
                <w:rFonts w:ascii="Cambria Math" w:hAnsi="Cambria Math"/>
                <w:i/>
              </w:rPr>
            </m:ctrlPr>
          </m:fPr>
          <m:num>
            <m:r>
              <w:rPr>
                <w:rFonts w:ascii="Cambria Math" w:hAnsi="Cambria Math"/>
              </w:rPr>
              <m:t xml:space="preserve">1</m:t>
            </m:r>
          </m:num>
          <m:den>
            <m:sSub>
              <m:sSubPr>
                <m:ctrlPr>
                  <w:rPr>
                    <w:rFonts w:ascii="Cambria Math" w:hAnsi="Cambria Math"/>
                    <w:i/>
                  </w:rPr>
                </m:ctrlPr>
              </m:sSubPr>
              <m:e>
                <m:r>
                  <w:rPr>
                    <w:rFonts w:ascii="Cambria Math" w:hAnsi="Cambria Math"/>
                  </w:rPr>
                  <m:t xml:space="preserve">γ</m:t>
                </m:r>
              </m:e>
              <m:sub>
                <m:r>
                  <w:rPr>
                    <w:rFonts w:ascii="Cambria Math" w:hAnsi="Cambria Math"/>
                  </w:rPr>
                  <m:t xml:space="preserve">RE</m:t>
                </m:r>
              </m:sub>
            </m:sSub>
          </m:den>
        </m:f>
        <m:d>
          <m:dPr>
            <m:begChr m:val="["/>
            <m:endChr m:val="]"/>
            <m:ctrlPr>
              <w:rPr>
                <w:rFonts w:ascii="Cambria Math" w:hAnsi="Cambria Math"/>
                <w:i/>
              </w:rPr>
            </m:ctrlPr>
          </m:dPr>
          <m:e>
            <m:d>
              <m:dPr>
                <m:begChr m:val=""/>
                <m:endChr m:val=""/>
                <m:ctrlPr>
                  <w:rPr>
                    <w:rFonts w:ascii="Cambria Math" w:hAnsi="Cambria Math"/>
                    <w:i/>
                  </w:rPr>
                </m:ctrlPr>
              </m:dPr>
              <m:e>
                <m:r>
                  <w:rPr>
                    <w:rFonts w:ascii="Cambria Math" w:hAnsi="Cambria Math"/>
                  </w:rPr>
                  <m:t xml:space="preserve">0.3</m:t>
                </m:r>
                <m:sSub>
                  <m:sSubPr>
                    <m:ctrlPr>
                      <w:rPr>
                        <w:rFonts w:ascii="Cambria Math" w:hAnsi="Cambria Math"/>
                        <w:i/>
                      </w:rPr>
                    </m:ctrlPr>
                  </m:sSubPr>
                  <m:e>
                    <m:r>
                      <w:rPr>
                        <w:rFonts w:ascii="Cambria Math" w:hAnsi="Cambria Math"/>
                      </w:rPr>
                      <m:t xml:space="preserve">f</m:t>
                    </m:r>
                  </m:e>
                  <m:sub>
                    <m:r>
                      <w:rPr>
                        <w:rFonts w:ascii="Cambria Math" w:hAnsi="Cambria Math"/>
                      </w:rPr>
                      <m:t xml:space="preserve">t</m:t>
                    </m:r>
                  </m:sub>
                </m:sSub>
              </m:e>
            </m:d>
            <m:r>
              <w:rPr>
                <w:rFonts w:ascii="Cambria Math" w:hAnsi="Cambria Math"/>
              </w:rPr>
              <m:t xml:space="preserve">η+0.8</m:t>
            </m:r>
            <m:f>
              <m:fPr>
                <m:ctrlPr>
                  <w:rPr>
                    <w:rFonts w:ascii="Cambria Math" w:hAnsi="Cambria Math"/>
                    <w:i/>
                  </w:rPr>
                </m:ctrlPr>
              </m:fPr>
              <m:num>
                <m:sSub>
                  <m:sSubPr>
                    <m:ctrlPr>
                      <w:rPr>
                        <w:rFonts w:ascii="Cambria Math" w:hAnsi="Cambria Math"/>
                        <w:i/>
                      </w:rPr>
                    </m:ctrlPr>
                  </m:sSubPr>
                  <m:e>
                    <m:r>
                      <w:rPr>
                        <w:rFonts w:ascii="Cambria Math" w:hAnsi="Cambria Math"/>
                      </w:rPr>
                      <m:t xml:space="preserve">f</m:t>
                    </m:r>
                  </m:e>
                  <m:sub>
                    <m:r>
                      <w:rPr>
                        <w:rFonts w:ascii="Cambria Math" w:hAnsi="Cambria Math"/>
                      </w:rPr>
                      <m:t xml:space="preserve">yv</m:t>
                    </m:r>
                  </m:sub>
                </m:sSub>
                <m:sSub>
                  <m:sSubPr>
                    <m:ctrlPr>
                      <w:rPr>
                        <w:rFonts w:ascii="Cambria Math" w:hAnsi="Cambria Math"/>
                        <w:i/>
                      </w:rPr>
                    </m:ctrlPr>
                  </m:sSubPr>
                  <m:e>
                    <m:r>
                      <w:rPr>
                        <w:rFonts w:ascii="Cambria Math" w:hAnsi="Cambria Math"/>
                      </w:rPr>
                      <m:t xml:space="preserve">A</m:t>
                    </m:r>
                  </m:e>
                  <m:sub>
                    <m:r>
                      <w:rPr>
                        <w:rFonts w:ascii="Cambria Math" w:hAnsi="Cambria Math"/>
                      </w:rPr>
                      <m:t xml:space="preserve">svu</m:t>
                    </m:r>
                  </m:sub>
                </m:sSub>
              </m:num>
              <m:den>
                <m:sSub>
                  <m:sSubPr>
                    <m:ctrlPr>
                      <w:rPr>
                        <w:rFonts w:ascii="Cambria Math" w:hAnsi="Cambria Math"/>
                        <w:i/>
                      </w:rPr>
                    </m:ctrlPr>
                  </m:sSubPr>
                  <m:e>
                    <m:r>
                      <w:rPr>
                        <w:rFonts w:ascii="Cambria Math" w:hAnsi="Cambria Math"/>
                      </w:rPr>
                      <m:t xml:space="preserve">u</m:t>
                    </m:r>
                  </m:e>
                  <m:sub>
                    <m:r>
                      <w:rPr>
                        <w:rFonts w:ascii="Cambria Math" w:hAnsi="Cambria Math"/>
                      </w:rPr>
                      <m:t xml:space="preserve">m</m:t>
                    </m:r>
                  </m:sub>
                </m:sSub>
                <m:sSub>
                  <m:sSubPr>
                    <m:ctrlPr>
                      <w:rPr>
                        <w:rFonts w:ascii="Cambria Math" w:hAnsi="Cambria Math"/>
                        <w:i/>
                      </w:rPr>
                    </m:ctrlPr>
                  </m:sSubPr>
                  <m:e>
                    <m:r>
                      <w:rPr>
                        <w:rFonts w:ascii="Cambria Math" w:hAnsi="Cambria Math"/>
                      </w:rPr>
                      <m:t xml:space="preserve">h</m:t>
                    </m:r>
                  </m:e>
                  <m:sub>
                    <m:r>
                      <w:rPr>
                        <w:rFonts w:ascii="Cambria Math" w:hAnsi="Cambria Math"/>
                      </w:rPr>
                      <m:t xml:space="preserve">0</m:t>
                    </m:r>
                  </m:sub>
                </m:sSub>
              </m:den>
            </m:f>
            <m:r>
              <w:rPr>
                <w:rFonts w:ascii="Cambria Math" w:hAnsi="Cambria Math"/>
              </w:rPr>
              <m:t xml:space="preserve">+0.8</m:t>
            </m:r>
            <m:f>
              <m:fPr>
                <m:ctrlPr>
                  <w:rPr>
                    <w:rFonts w:ascii="Cambria Math" w:hAnsi="Cambria Math"/>
                    <w:i/>
                  </w:rPr>
                </m:ctrlPr>
              </m:fPr>
              <m:num>
                <m:sSub>
                  <m:sSubPr>
                    <m:ctrlPr>
                      <w:rPr>
                        <w:rFonts w:ascii="Cambria Math" w:hAnsi="Cambria Math"/>
                        <w:i/>
                      </w:rPr>
                    </m:ctrlPr>
                  </m:sSubPr>
                  <m:e>
                    <m:r>
                      <w:rPr>
                        <w:rFonts w:ascii="Cambria Math" w:hAnsi="Cambria Math"/>
                      </w:rPr>
                      <m:t xml:space="preserve">f</m:t>
                    </m:r>
                  </m:e>
                  <m:sub>
                    <m:r>
                      <w:rPr>
                        <w:rFonts w:ascii="Cambria Math" w:hAnsi="Cambria Math"/>
                      </w:rPr>
                      <m:t xml:space="preserve">y</m:t>
                    </m:r>
                  </m:sub>
                </m:sSub>
                <m:sSub>
                  <m:sSubPr>
                    <m:ctrlPr>
                      <w:rPr>
                        <w:rFonts w:ascii="Cambria Math" w:hAnsi="Cambria Math"/>
                        <w:i/>
                      </w:rPr>
                    </m:ctrlPr>
                  </m:sSubPr>
                  <m:e>
                    <m:r>
                      <w:rPr>
                        <w:rFonts w:ascii="Cambria Math" w:hAnsi="Cambria Math"/>
                      </w:rPr>
                      <m:t xml:space="preserve">A</m:t>
                    </m:r>
                  </m:e>
                  <m:sub>
                    <m:r>
                      <w:rPr>
                        <w:rFonts w:ascii="Cambria Math" w:hAnsi="Cambria Math"/>
                      </w:rPr>
                      <m:t xml:space="preserve">sbu</m:t>
                    </m:r>
                  </m:sub>
                </m:sSub>
              </m:num>
              <m:den>
                <m:sSub>
                  <m:sSubPr>
                    <m:ctrlPr>
                      <w:rPr>
                        <w:rFonts w:ascii="Cambria Math" w:hAnsi="Cambria Math"/>
                        <w:i/>
                      </w:rPr>
                    </m:ctrlPr>
                  </m:sSubPr>
                  <m:e>
                    <m:r>
                      <w:rPr>
                        <w:rFonts w:ascii="Cambria Math" w:hAnsi="Cambria Math"/>
                      </w:rPr>
                      <m:t xml:space="preserve">u</m:t>
                    </m:r>
                  </m:e>
                  <m:sub>
                    <m:r>
                      <w:rPr>
                        <w:rFonts w:ascii="Cambria Math" w:hAnsi="Cambria Math"/>
                      </w:rPr>
                      <m:t xml:space="preserve">m</m:t>
                    </m:r>
                  </m:sub>
                </m:sSub>
                <m:sSub>
                  <m:sSubPr>
                    <m:ctrlPr>
                      <w:rPr>
                        <w:rFonts w:ascii="Cambria Math" w:hAnsi="Cambria Math"/>
                        <w:i/>
                      </w:rPr>
                    </m:ctrlPr>
                  </m:sSubPr>
                  <m:e>
                    <m:r>
                      <w:rPr>
                        <w:rFonts w:ascii="Cambria Math" w:hAnsi="Cambria Math"/>
                      </w:rPr>
                      <m:t xml:space="preserve">h</m:t>
                    </m:r>
                  </m:e>
                  <m:sub>
                    <m:r>
                      <w:rPr>
                        <w:rFonts w:ascii="Cambria Math" w:hAnsi="Cambria Math"/>
                      </w:rPr>
                      <m:t xml:space="preserve">0</m:t>
                    </m:r>
                  </m:sub>
                </m:sSub>
              </m:den>
            </m:f>
            <m:func>
              <m:funcPr>
                <m:ctrlPr>
                  <w:rPr>
                    <w:rFonts w:ascii="Cambria Math" w:hAnsi="Cambria Math"/>
                    <w:i/>
                  </w:rPr>
                </m:ctrlPr>
              </m:funcPr>
              <m:fName>
                <m:r>
                  <m:rPr>
                    <m:sty m:val="p"/>
                  </m:rPr>
                  <w:rPr>
                    <w:rFonts w:ascii="Cambria Math" w:hAnsi="Cambria Math"/>
                  </w:rPr>
                  <m:t xml:space="preserve">sin</m:t>
                </m:r>
              </m:fName>
              <m:e>
                <m:r>
                  <w:rPr>
                    <w:rFonts w:ascii="Cambria Math" w:hAnsi="Cambria Math"/>
                  </w:rPr>
                  <m:t xml:space="preserve">α</m:t>
                </m:r>
              </m:e>
            </m:func>
          </m:e>
        </m:d>
      </m:oMath>
      <w:r>
        <w:rPr>
          <w:rFonts w:hint="eastAsia" w:hAnsi="宋体"/>
        </w:rPr>
        <w:t xml:space="preserve"> </w:t>
      </w:r>
      <w:r>
        <w:rPr>
          <w:rFonts w:hAnsi="宋体"/>
        </w:rPr>
        <w:t xml:space="preserve">         (5.2.5-2)</w:t>
      </w:r>
    </w:p>
    <w:p>
      <w:pPr>
        <w:snapToGrid w:val="0"/>
        <w:spacing w:line="360" w:lineRule="auto"/>
        <w:ind w:firstLine="480"/>
        <w:rPr>
          <w:rFonts w:hAnsi="宋体"/>
        </w:rPr>
      </w:pPr>
      <w:r>
        <w:rPr>
          <w:rFonts w:hAnsi="宋体"/>
        </w:rPr>
        <w:t xml:space="preserve">3  </w:t>
      </w:r>
      <w:r>
        <w:rPr>
          <w:rFonts w:hint="eastAsia" w:hAnsi="宋体"/>
        </w:rPr>
        <w:t>冲切破坏锥体范围以外斜截面承载力验算应满足：</w:t>
      </w:r>
    </w:p>
    <w:p>
      <w:pPr>
        <w:snapToGrid w:val="0"/>
        <w:spacing w:line="360" w:lineRule="auto"/>
        <w:ind w:firstLine="480"/>
        <w:jc w:val="right"/>
        <w:rPr>
          <w:rFonts w:hAnsi="宋体"/>
        </w:rPr>
      </w:pPr>
      <m:oMath>
        <m:sSub>
          <m:sSubPr>
            <m:ctrlPr>
              <w:rPr>
                <w:rFonts w:ascii="Cambria Math" w:hAnsi="Cambria Math"/>
                <w:i/>
              </w:rPr>
            </m:ctrlPr>
          </m:sSubPr>
          <m:e>
            <m:r>
              <w:rPr>
                <w:rFonts w:ascii="Cambria Math" w:hAnsi="Cambria Math"/>
              </w:rPr>
              <m:t xml:space="preserve">τ</m:t>
            </m:r>
          </m:e>
          <m:sub>
            <m:r>
              <w:rPr>
                <w:rFonts w:ascii="Cambria Math" w:hAnsi="Cambria Math"/>
              </w:rPr>
              <m:t xml:space="preserve">0</m:t>
            </m:r>
          </m:sub>
        </m:sSub>
        <m:r>
          <w:rPr>
            <w:rFonts w:ascii="Cambria Math" w:hAnsi="Cambria Math"/>
          </w:rPr>
          <m:t xml:space="preserve">≤</m:t>
        </m:r>
        <m:f>
          <m:fPr>
            <m:ctrlPr>
              <w:rPr>
                <w:rFonts w:ascii="Cambria Math" w:hAnsi="Cambria Math"/>
                <w:i/>
              </w:rPr>
            </m:ctrlPr>
          </m:fPr>
          <m:num>
            <m:r>
              <w:rPr>
                <w:rFonts w:ascii="Cambria Math" w:hAnsi="Cambria Math"/>
              </w:rPr>
              <m:t xml:space="preserve">1</m:t>
            </m:r>
          </m:num>
          <m:den>
            <m:sSub>
              <m:sSubPr>
                <m:ctrlPr>
                  <w:rPr>
                    <w:rFonts w:ascii="Cambria Math" w:hAnsi="Cambria Math"/>
                    <w:i/>
                  </w:rPr>
                </m:ctrlPr>
              </m:sSubPr>
              <m:e>
                <m:r>
                  <w:rPr>
                    <w:rFonts w:ascii="Cambria Math" w:hAnsi="Cambria Math"/>
                  </w:rPr>
                  <m:t xml:space="preserve">γ</m:t>
                </m:r>
              </m:e>
              <m:sub>
                <m:r>
                  <w:rPr>
                    <w:rFonts w:ascii="Cambria Math" w:hAnsi="Cambria Math"/>
                  </w:rPr>
                  <m:t xml:space="preserve">RE</m:t>
                </m:r>
              </m:sub>
            </m:sSub>
          </m:den>
        </m:f>
        <m:d>
          <m:dPr>
            <m:begChr m:val=""/>
            <m:endChr m:val=""/>
            <m:ctrlPr>
              <w:rPr>
                <w:rFonts w:ascii="Cambria Math" w:hAnsi="Cambria Math"/>
                <w:i/>
              </w:rPr>
            </m:ctrlPr>
          </m:dPr>
          <m:e>
            <m:r>
              <w:rPr>
                <w:rFonts w:ascii="Cambria Math" w:hAnsi="Cambria Math"/>
              </w:rPr>
              <m:t xml:space="preserve">0.42</m:t>
            </m:r>
            <m:sSub>
              <m:sSubPr>
                <m:ctrlPr>
                  <w:rPr>
                    <w:rFonts w:ascii="Cambria Math" w:hAnsi="Cambria Math"/>
                    <w:i/>
                  </w:rPr>
                </m:ctrlPr>
              </m:sSubPr>
              <m:e>
                <m:r>
                  <w:rPr>
                    <w:rFonts w:ascii="Cambria Math" w:hAnsi="Cambria Math"/>
                  </w:rPr>
                  <m:t xml:space="preserve">f</m:t>
                </m:r>
              </m:e>
              <m:sub>
                <m:r>
                  <w:rPr>
                    <w:rFonts w:ascii="Cambria Math" w:hAnsi="Cambria Math"/>
                  </w:rPr>
                  <m:t xml:space="preserve">t</m:t>
                </m:r>
              </m:sub>
            </m:sSub>
          </m:e>
        </m:d>
        <m:r>
          <w:rPr>
            <w:rFonts w:ascii="Cambria Math" w:hAnsi="Cambria Math"/>
          </w:rPr>
          <m:t xml:space="preserve">η</m:t>
        </m:r>
      </m:oMath>
      <w:r>
        <w:rPr>
          <w:rFonts w:hint="eastAsia" w:hAnsi="宋体"/>
        </w:rPr>
        <w:t xml:space="preserve"> </w:t>
      </w:r>
      <w:r>
        <w:rPr>
          <w:rFonts w:hAnsi="宋体"/>
        </w:rPr>
        <w:t xml:space="preserve">                        (5.2.5-3)</w:t>
      </w:r>
    </w:p>
    <w:p>
      <w:pPr>
        <w:snapToGrid w:val="0"/>
        <w:spacing w:line="360" w:lineRule="auto"/>
        <w:ind w:firstLine="480"/>
        <w:jc w:val="left"/>
        <w:rPr>
          <w:rFonts w:hAnsi="宋体"/>
        </w:rPr>
      </w:pPr>
      <w:r>
        <w:rPr>
          <w:rFonts w:hint="eastAsia" w:hAnsi="宋体"/>
        </w:rPr>
        <w:t>式中：</w:t>
      </w:r>
      <m:oMath>
        <m:sSub>
          <m:sSubPr>
            <m:ctrlPr>
              <w:rPr>
                <w:rFonts w:ascii="Cambria Math" w:hAnsi="Cambria Math"/>
                <w:i/>
              </w:rPr>
            </m:ctrlPr>
          </m:sSubPr>
          <m:e>
            <m:r>
              <w:rPr>
                <w:rFonts w:ascii="Cambria Math" w:hAnsi="Cambria Math"/>
              </w:rPr>
              <m:t xml:space="preserve">τ</m:t>
            </m:r>
          </m:e>
          <m:sub>
            <m:r>
              <w:rPr>
                <w:rFonts w:ascii="Cambria Math" w:hAnsi="Cambria Math"/>
              </w:rPr>
              <m:t xml:space="preserve">0</m:t>
            </m:r>
          </m:sub>
        </m:sSub>
      </m:oMath>
      <w:r>
        <w:rPr>
          <w:rFonts w:hint="eastAsia" w:hAnsi="宋体"/>
        </w:rPr>
        <w:t xml:space="preserve"> </w:t>
      </w:r>
      <w:r>
        <w:rPr>
          <w:rFonts w:hAnsi="宋体"/>
        </w:rPr>
        <w:t xml:space="preserve"> ——</w:t>
      </w:r>
      <w:r>
        <w:rPr>
          <w:rFonts w:hint="eastAsia" w:hAnsi="宋体"/>
        </w:rPr>
        <w:t>混凝土受冲切截面主剪应力设计值，</w:t>
      </w:r>
      <m:oMath>
        <m:sSub>
          <m:sSubPr>
            <m:ctrlPr>
              <w:rPr>
                <w:rFonts w:ascii="Cambria Math" w:hAnsi="Cambria Math"/>
                <w:i/>
              </w:rPr>
            </m:ctrlPr>
          </m:sSubPr>
          <m:e>
            <m:r>
              <w:rPr>
                <w:rFonts w:ascii="Cambria Math" w:hAnsi="Cambria Math"/>
              </w:rPr>
              <m:t xml:space="preserve">τ</m:t>
            </m:r>
          </m:e>
          <m:sub>
            <m:r>
              <w:rPr>
                <w:rFonts w:ascii="Cambria Math" w:hAnsi="Cambria Math"/>
              </w:rPr>
              <m:t xml:space="preserve">0</m:t>
            </m:r>
          </m:sub>
        </m:sSub>
        <m:r>
          <w:rPr>
            <w:rFonts w:ascii="Cambria Math" w:hAnsi="Cambria Math"/>
          </w:rPr>
          <m:t xml:space="preserve">=</m:t>
        </m:r>
        <m:rad>
          <m:radPr>
            <m:degHide m:val="1"/>
            <m:ctrlPr>
              <w:rPr>
                <w:rFonts w:ascii="Cambria Math" w:hAnsi="Cambria Math"/>
                <w:i/>
              </w:rPr>
            </m:ctrlPr>
          </m:radPr>
          <m:deg/>
          <m:e>
            <m:sSubSup>
              <m:sSubSupPr>
                <m:ctrlPr>
                  <w:rPr>
                    <w:rFonts w:ascii="Cambria Math" w:hAnsi="Cambria Math"/>
                    <w:i/>
                  </w:rPr>
                </m:ctrlPr>
              </m:sSubSupPr>
              <m:e>
                <m:r>
                  <w:rPr>
                    <w:rFonts w:ascii="Cambria Math" w:hAnsi="Cambria Math"/>
                  </w:rPr>
                  <m:t xml:space="preserve">τ</m:t>
                </m:r>
              </m:e>
              <m:sub>
                <m:r>
                  <w:rPr>
                    <w:rFonts w:ascii="Cambria Math" w:hAnsi="Cambria Math"/>
                  </w:rPr>
                  <m:t xml:space="preserve">xz</m:t>
                </m:r>
              </m:sub>
              <m:sup>
                <m:r>
                  <w:rPr>
                    <w:rFonts w:ascii="Cambria Math" w:hAnsi="Cambria Math"/>
                  </w:rPr>
                  <m:t xml:space="preserve">2</m:t>
                </m:r>
              </m:sup>
            </m:sSubSup>
            <m:r>
              <w:rPr>
                <w:rFonts w:ascii="Cambria Math" w:hAnsi="Cambria Math"/>
              </w:rPr>
              <m:t xml:space="preserve">+</m:t>
            </m:r>
            <m:sSubSup>
              <m:sSubSupPr>
                <m:ctrlPr>
                  <w:rPr>
                    <w:rFonts w:ascii="Cambria Math" w:hAnsi="Cambria Math"/>
                    <w:i/>
                  </w:rPr>
                </m:ctrlPr>
              </m:sSubSupPr>
              <m:e>
                <m:r>
                  <w:rPr>
                    <w:rFonts w:ascii="Cambria Math" w:hAnsi="Cambria Math"/>
                  </w:rPr>
                  <m:t xml:space="preserve">τ</m:t>
                </m:r>
              </m:e>
              <m:sub>
                <m:r>
                  <w:rPr>
                    <w:rFonts w:ascii="Cambria Math" w:hAnsi="Cambria Math"/>
                  </w:rPr>
                  <m:t xml:space="preserve">yz</m:t>
                </m:r>
              </m:sub>
              <m:sup>
                <m:r>
                  <w:rPr>
                    <w:rFonts w:ascii="Cambria Math" w:hAnsi="Cambria Math"/>
                  </w:rPr>
                  <m:t xml:space="preserve">2</m:t>
                </m:r>
              </m:sup>
            </m:sSubSup>
          </m:e>
        </m:rad>
      </m:oMath>
      <w:r>
        <w:rPr>
          <w:rFonts w:hint="eastAsia" w:hAnsi="宋体"/>
        </w:rPr>
        <w:t>；</w:t>
      </w:r>
    </w:p>
    <w:p>
      <w:pPr>
        <w:snapToGrid w:val="0"/>
        <w:spacing w:line="360" w:lineRule="auto"/>
        <w:ind w:firstLine="480"/>
        <w:jc w:val="left"/>
        <w:rPr>
          <w:rFonts w:hAnsi="宋体"/>
        </w:rPr>
      </w:pPr>
      <w:r>
        <w:rPr>
          <w:rFonts w:hint="eastAsia" w:hAnsi="宋体"/>
        </w:rPr>
        <w:t xml:space="preserve"> </w:t>
      </w:r>
      <w:r>
        <w:rPr>
          <w:rFonts w:hAnsi="宋体"/>
        </w:rPr>
        <w:t xml:space="preserve">     </w:t>
      </w:r>
      <m:oMath>
        <m:r>
          <w:rPr>
            <w:rFonts w:ascii="Cambria Math" w:hAnsi="Cambria Math"/>
          </w:rPr>
          <m:t xml:space="preserve">η</m:t>
        </m:r>
      </m:oMath>
      <w:r>
        <w:rPr>
          <w:rFonts w:hint="eastAsia" w:hAnsi="宋体"/>
        </w:rPr>
        <w:t xml:space="preserve"> </w:t>
      </w:r>
      <w:r>
        <w:rPr>
          <w:rFonts w:hAnsi="宋体"/>
        </w:rPr>
        <w:t xml:space="preserve"> </w:t>
      </w:r>
      <w:r>
        <w:rPr>
          <w:rFonts w:hint="eastAsia" w:hAnsi="宋体"/>
        </w:rPr>
        <w:t xml:space="preserve"> </w:t>
      </w:r>
      <w:r>
        <w:rPr>
          <w:rFonts w:hAnsi="宋体"/>
        </w:rPr>
        <w:t>——</w:t>
      </w:r>
      <w:r>
        <w:rPr>
          <w:rFonts w:hint="eastAsia" w:hAnsi="宋体"/>
        </w:rPr>
        <w:t>冲切承载力调整系数，按《混凝土结构设计规范》GB50010相关规定取值；</w:t>
      </w:r>
    </w:p>
    <w:p>
      <w:pPr>
        <w:snapToGrid w:val="0"/>
        <w:spacing w:line="360" w:lineRule="auto"/>
        <w:ind w:firstLine="480"/>
        <w:jc w:val="left"/>
        <w:rPr>
          <w:rFonts w:hAnsi="宋体"/>
        </w:rPr>
      </w:pPr>
      <w:r>
        <w:rPr>
          <w:rFonts w:hint="eastAsia" w:hAnsi="宋体"/>
        </w:rPr>
        <w:t xml:space="preserve"> </w:t>
      </w:r>
      <w:r>
        <w:rPr>
          <w:rFonts w:hAnsi="宋体"/>
        </w:rPr>
        <w:t xml:space="preserve">      </w:t>
      </w:r>
      <m:oMath>
        <m:sSub>
          <m:sSubPr>
            <m:ctrlPr>
              <w:rPr>
                <w:rFonts w:ascii="Cambria Math" w:hAnsi="Cambria Math"/>
                <w:i/>
              </w:rPr>
            </m:ctrlPr>
          </m:sSubPr>
          <m:e>
            <m:r>
              <w:rPr>
                <w:rFonts w:ascii="Cambria Math" w:hAnsi="Cambria Math"/>
              </w:rPr>
              <m:t xml:space="preserve">γ</m:t>
            </m:r>
          </m:e>
          <m:sub>
            <m:r>
              <w:rPr>
                <w:rFonts w:ascii="Cambria Math" w:hAnsi="Cambria Math"/>
              </w:rPr>
              <m:t xml:space="preserve">RE</m:t>
            </m:r>
          </m:sub>
        </m:sSub>
      </m:oMath>
      <w:r>
        <w:rPr>
          <w:rFonts w:hAnsi="宋体"/>
        </w:rPr>
        <w:t>——</w:t>
      </w:r>
      <w:r>
        <w:rPr>
          <w:rFonts w:hint="eastAsia" w:hAnsi="宋体"/>
        </w:rPr>
        <w:t>承载力抗震调整系数，取0</w:t>
      </w:r>
      <w:r>
        <w:rPr>
          <w:rFonts w:hAnsi="宋体"/>
        </w:rPr>
        <w:t>.85</w:t>
      </w:r>
      <w:r>
        <w:rPr>
          <w:rFonts w:hint="eastAsia" w:hAnsi="宋体"/>
        </w:rPr>
        <w:t>；</w:t>
      </w:r>
    </w:p>
    <w:p>
      <w:pPr>
        <w:snapToGrid w:val="0"/>
        <w:spacing w:line="360" w:lineRule="auto"/>
        <w:ind w:firstLine="480"/>
        <w:jc w:val="left"/>
        <w:rPr>
          <w:rFonts w:hAnsi="宋体"/>
        </w:rPr>
      </w:pPr>
      <w:r>
        <w:rPr>
          <w:rFonts w:hint="eastAsia" w:hAnsi="宋体"/>
        </w:rPr>
        <w:t xml:space="preserve"> </w:t>
      </w:r>
      <w:r>
        <w:rPr>
          <w:rFonts w:hAnsi="宋体"/>
        </w:rPr>
        <w:t xml:space="preserve">     </w:t>
      </w:r>
      <m:oMath>
        <m:sSub>
          <m:sSubPr>
            <m:ctrlPr>
              <w:rPr>
                <w:rFonts w:ascii="Cambria Math" w:hAnsi="Cambria Math"/>
                <w:i/>
              </w:rPr>
            </m:ctrlPr>
          </m:sSubPr>
          <m:e>
            <m:r>
              <w:rPr>
                <w:rFonts w:ascii="Cambria Math" w:hAnsi="Cambria Math"/>
              </w:rPr>
              <m:t xml:space="preserve">u</m:t>
            </m:r>
          </m:e>
          <m:sub>
            <m:r>
              <w:rPr>
                <w:rFonts w:ascii="Cambria Math" w:hAnsi="Cambria Math"/>
              </w:rPr>
              <m:t xml:space="preserve">m</m:t>
            </m:r>
          </m:sub>
        </m:sSub>
      </m:oMath>
      <w:r>
        <w:rPr>
          <w:rFonts w:hint="eastAsia" w:hAnsi="宋体"/>
        </w:rPr>
        <w:t xml:space="preserve"> </w:t>
      </w:r>
      <w:r>
        <w:rPr>
          <w:rFonts w:hAnsi="宋体"/>
        </w:rPr>
        <w:t xml:space="preserve"> ——</w:t>
      </w:r>
      <w:r>
        <w:rPr>
          <w:rFonts w:hint="eastAsia" w:hAnsi="宋体"/>
        </w:rPr>
        <w:t>临界截面的周长，取距离局部荷载或集中反力作用面积周边</w:t>
      </w:r>
      <m:oMath>
        <m:sSub>
          <m:sSubPr>
            <m:ctrlPr>
              <w:rPr>
                <w:rFonts w:ascii="Cambria Math" w:hAnsi="Cambria Math"/>
                <w:i/>
              </w:rPr>
            </m:ctrlPr>
          </m:sSubPr>
          <m:e>
            <m:r>
              <w:rPr>
                <w:rFonts w:ascii="Cambria Math" w:hAnsi="Cambria Math"/>
              </w:rPr>
              <m:t xml:space="preserve">h</m:t>
            </m:r>
          </m:e>
          <m:sub>
            <m:r>
              <w:rPr>
                <w:rFonts w:ascii="Cambria Math" w:hAnsi="Cambria Math"/>
              </w:rPr>
              <m:t xml:space="preserve">0</m:t>
            </m:r>
          </m:sub>
        </m:sSub>
      </m:oMath>
      <w:r>
        <w:rPr>
          <w:rFonts w:hint="eastAsia" w:hAnsi="宋体"/>
        </w:rPr>
        <w:t>/</w:t>
      </w:r>
      <w:r>
        <w:rPr>
          <w:rFonts w:hAnsi="宋体"/>
        </w:rPr>
        <w:t>2</w:t>
      </w:r>
      <w:r>
        <w:rPr>
          <w:rFonts w:hint="eastAsia" w:hAnsi="宋体"/>
        </w:rPr>
        <w:t>处板垂直截面的最不利周长。</w:t>
      </w:r>
    </w:p>
    <w:p>
      <w:pPr>
        <w:snapToGrid w:val="0"/>
        <w:spacing w:line="360" w:lineRule="auto"/>
        <w:ind w:firstLine="480"/>
        <w:jc w:val="center"/>
        <w:rPr>
          <w:rFonts w:hAnsi="宋体"/>
        </w:rPr>
      </w:pPr>
      <w:r>
        <w:drawing>
          <wp:inline distT="0" distB="0" distL="0" distR="0">
            <wp:extent cx="1979295" cy="2876550"/>
            <wp:effectExtent l="0" t="0" r="190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2003053" cy="2910718"/>
                    </a:xfrm>
                    <a:prstGeom prst="rect">
                      <a:avLst/>
                    </a:prstGeom>
                    <a:noFill/>
                    <a:ln>
                      <a:noFill/>
                    </a:ln>
                  </pic:spPr>
                </pic:pic>
              </a:graphicData>
            </a:graphic>
          </wp:inline>
        </w:drawing>
      </w:r>
    </w:p>
    <w:p>
      <w:pPr>
        <w:pStyle w:val="91"/>
      </w:pPr>
      <w:r>
        <w:rPr>
          <w:rFonts w:hint="eastAsia"/>
        </w:rPr>
        <w:t>图5</w:t>
      </w:r>
      <w:r>
        <w:t xml:space="preserve">.2.5 </w:t>
      </w:r>
      <w:r>
        <w:rPr>
          <w:rFonts w:hint="eastAsia"/>
        </w:rPr>
        <w:t>板受冲切承载力计算</w:t>
      </w:r>
    </w:p>
    <w:p>
      <w:pPr>
        <w:pStyle w:val="91"/>
      </w:pPr>
    </w:p>
    <w:p>
      <w:pPr>
        <w:pStyle w:val="91"/>
        <w:spacing w:line="360" w:lineRule="auto"/>
      </w:pPr>
      <w:r>
        <w:rPr>
          <w:rFonts w:hint="eastAsia"/>
        </w:rPr>
        <w:t>1</w:t>
      </w:r>
      <w:r>
        <w:t xml:space="preserve"> —</w:t>
      </w:r>
      <w:r>
        <w:rPr>
          <w:rFonts w:hint="eastAsia"/>
        </w:rPr>
        <w:t>冲切破坏锥体的斜截面；2</w:t>
      </w:r>
      <w:r>
        <w:t xml:space="preserve"> —</w:t>
      </w:r>
      <w:r>
        <w:rPr>
          <w:rFonts w:hint="eastAsia"/>
        </w:rPr>
        <w:t>计算截面；</w:t>
      </w:r>
    </w:p>
    <w:p>
      <w:pPr>
        <w:pStyle w:val="91"/>
        <w:spacing w:line="360" w:lineRule="auto"/>
      </w:pPr>
      <w:r>
        <w:rPr>
          <w:rFonts w:hint="eastAsia"/>
        </w:rPr>
        <w:t>3</w:t>
      </w:r>
      <w:r>
        <w:t xml:space="preserve"> —</w:t>
      </w:r>
      <w:r>
        <w:rPr>
          <w:rFonts w:hint="eastAsia"/>
        </w:rPr>
        <w:t xml:space="preserve">计算截面的周长； </w:t>
      </w:r>
      <w:r>
        <w:t>4 —</w:t>
      </w:r>
      <w:r>
        <w:rPr>
          <w:rFonts w:hint="eastAsia"/>
        </w:rPr>
        <w:t>冲切破坏锥体的底面线</w:t>
      </w:r>
    </w:p>
    <w:p>
      <w:pPr>
        <w:snapToGrid w:val="0"/>
        <w:spacing w:line="360" w:lineRule="auto"/>
        <w:ind w:firstLine="480"/>
        <w:jc w:val="left"/>
        <w:rPr>
          <w:rFonts w:hAnsi="宋体"/>
        </w:rPr>
      </w:pPr>
      <w:r>
        <w:rPr>
          <w:rFonts w:hint="eastAsia" w:eastAsia="等线"/>
          <w:b/>
          <w:bCs/>
        </w:rPr>
        <w:t>[条文说明]</w:t>
      </w:r>
      <w:r>
        <w:rPr>
          <w:rFonts w:hint="eastAsia" w:hAnsi="宋体"/>
        </w:rPr>
        <w:t>本条为《混凝土结构设计规范》GB50010-2010相关公式的应力表达，方便计算机分析结果使用。当厚板内既有抗剪拉筋又有抗冲切拉筋时，应以抗剪或抗冲切验算的最不利控制条件布置拉筋，不应叠加。</w:t>
      </w:r>
    </w:p>
    <w:p>
      <w:pPr>
        <w:snapToGrid w:val="0"/>
        <w:spacing w:line="360" w:lineRule="auto"/>
        <w:ind w:firstLine="482"/>
        <w:rPr>
          <w:rFonts w:hAnsi="宋体"/>
        </w:rPr>
      </w:pPr>
      <w:r>
        <w:rPr>
          <w:rFonts w:hint="eastAsia" w:hAnsi="宋体"/>
          <w:b/>
          <w:bCs/>
        </w:rPr>
        <w:t>5.</w:t>
      </w:r>
      <w:r>
        <w:rPr>
          <w:rFonts w:hAnsi="宋体"/>
          <w:b/>
          <w:bCs/>
        </w:rPr>
        <w:t>2.6</w:t>
      </w:r>
      <w:r>
        <w:rPr>
          <w:rFonts w:hint="eastAsia" w:hAnsi="宋体"/>
        </w:rPr>
        <w:t>在地震组合下，当</w:t>
      </w:r>
      <w:r>
        <w:rPr>
          <w:rFonts w:hint="eastAsia"/>
        </w:rPr>
        <w:t>考虑板柱节点</w:t>
      </w:r>
      <w:r>
        <w:rPr>
          <w:rFonts w:hint="eastAsia" w:hAnsi="宋体"/>
        </w:rPr>
        <w:t>临界截面上的剪应力传递不平衡弯矩时，其抗震等级的等效集中反力设计值</w:t>
      </w:r>
      <m:oMath>
        <m:sSub>
          <m:sSubPr>
            <m:ctrlPr>
              <w:rPr>
                <w:rFonts w:ascii="Cambria Math" w:hAnsi="Cambria Math"/>
                <w:i/>
              </w:rPr>
            </m:ctrlPr>
          </m:sSubPr>
          <m:e>
            <m:r>
              <w:rPr>
                <w:rFonts w:ascii="Cambria Math" w:hAnsi="Cambria Math"/>
              </w:rPr>
              <m:t xml:space="preserve">F</m:t>
            </m:r>
          </m:e>
          <m:sub>
            <m:r>
              <w:rPr>
                <w:rFonts w:ascii="Cambria Math" w:hAnsi="Cambria Math"/>
              </w:rPr>
              <m:t xml:space="preserve">l,eq</m:t>
            </m:r>
          </m:sub>
        </m:sSub>
      </m:oMath>
      <w:r>
        <w:rPr>
          <w:rFonts w:hint="eastAsia" w:hAnsi="宋体"/>
        </w:rPr>
        <w:t>可按《混凝土结构设计规范》GB50010-2010附录F的规定计算，此时</w:t>
      </w:r>
      <m:oMath>
        <m:sSub>
          <m:sSubPr>
            <m:ctrlPr>
              <w:rPr>
                <w:rFonts w:ascii="Cambria Math" w:hAnsi="Cambria Math"/>
                <w:i/>
              </w:rPr>
            </m:ctrlPr>
          </m:sSubPr>
          <m:e>
            <m:r>
              <w:rPr>
                <w:rFonts w:ascii="Cambria Math" w:hAnsi="Cambria Math"/>
              </w:rPr>
              <m:t xml:space="preserve">F</m:t>
            </m:r>
          </m:e>
          <m:sub>
            <m:r>
              <w:rPr>
                <w:rFonts w:ascii="Cambria Math" w:hAnsi="Cambria Math"/>
              </w:rPr>
              <m:t xml:space="preserve">l</m:t>
            </m:r>
          </m:sub>
        </m:sSub>
      </m:oMath>
      <w:r>
        <w:rPr>
          <w:rFonts w:hint="eastAsia" w:hAnsi="宋体"/>
        </w:rPr>
        <w:t>为板柱节点临界截面所承受的竖向力设计值。由地震组合的不平衡弯矩在板柱节点处引起的等效集中反力设计值应乘以增大系数，对特一、一、二级抗震等级的板柱节点，该增大系数可分别取1</w:t>
      </w:r>
      <w:r>
        <w:rPr>
          <w:rFonts w:hAnsi="宋体"/>
        </w:rPr>
        <w:t>.9</w:t>
      </w:r>
      <w:r>
        <w:rPr>
          <w:rFonts w:hint="eastAsia" w:hAnsi="宋体"/>
        </w:rPr>
        <w:t>，1</w:t>
      </w:r>
      <w:r>
        <w:rPr>
          <w:rFonts w:hAnsi="宋体"/>
        </w:rPr>
        <w:t>.6</w:t>
      </w:r>
      <w:r>
        <w:rPr>
          <w:rFonts w:hint="eastAsia" w:hAnsi="宋体"/>
        </w:rPr>
        <w:t>，1</w:t>
      </w:r>
      <w:r>
        <w:rPr>
          <w:rFonts w:hAnsi="宋体"/>
        </w:rPr>
        <w:t>.3</w:t>
      </w:r>
      <w:r>
        <w:rPr>
          <w:rFonts w:hint="eastAsia" w:hAnsi="宋体"/>
        </w:rPr>
        <w:t>；受冲切承载力计算的抗震调整系数为0</w:t>
      </w:r>
      <w:r>
        <w:rPr>
          <w:rFonts w:hAnsi="宋体"/>
        </w:rPr>
        <w:t>.85</w:t>
      </w:r>
      <w:r>
        <w:rPr>
          <w:rFonts w:hint="eastAsia" w:hAnsi="宋体"/>
        </w:rPr>
        <w:t>。</w:t>
      </w:r>
    </w:p>
    <w:p>
      <w:pPr>
        <w:snapToGrid w:val="0"/>
        <w:spacing w:line="360" w:lineRule="auto"/>
        <w:ind w:firstLine="480"/>
        <w:rPr>
          <w:rFonts w:hAnsi="宋体"/>
        </w:rPr>
      </w:pPr>
      <w:r>
        <w:rPr>
          <w:rFonts w:hint="eastAsia" w:eastAsia="等线"/>
          <w:b/>
          <w:bCs/>
        </w:rPr>
        <w:t>[条文说明]</w:t>
      </w:r>
      <w:r>
        <w:rPr>
          <w:rFonts w:hint="eastAsia" w:hAnsi="宋体"/>
        </w:rPr>
        <w:t>本条参考《混凝土结构设计规范》GB50010关于板柱节点抗震设计的相关要求，对于由地震组合的不平衡弯矩在转换厚板</w:t>
      </w:r>
      <w:r>
        <w:rPr>
          <w:rFonts w:hint="eastAsia" w:hAnsi="宋体"/>
          <w:color w:val="000000" w:themeColor="text1"/>
          <w14:textFill>
            <w14:solidFill>
              <w14:schemeClr w14:val="tx1"/>
            </w14:solidFill>
          </w14:textFill>
        </w:rPr>
        <w:t>的</w:t>
      </w:r>
      <w:r>
        <w:rPr>
          <w:rFonts w:hint="eastAsia" w:hAnsi="宋体"/>
        </w:rPr>
        <w:t>板柱节点处引起的等效集中反力设计值，按《高层建筑混凝土结构技术规程》JGJ3对转换构件内力计算要求进行放大。</w:t>
      </w:r>
    </w:p>
    <w:p>
      <w:pPr>
        <w:snapToGrid w:val="0"/>
        <w:spacing w:line="360" w:lineRule="auto"/>
        <w:ind w:firstLine="482"/>
        <w:rPr>
          <w:rFonts w:hAnsi="宋体"/>
        </w:rPr>
      </w:pPr>
      <w:r>
        <w:rPr>
          <w:b/>
          <w:bCs/>
        </w:rPr>
        <w:t>5.2.7</w:t>
      </w:r>
      <w:r>
        <w:rPr>
          <w:rFonts w:hint="eastAsia" w:hAnsi="宋体"/>
        </w:rPr>
        <w:t>转换厚板的板柱节点核芯区组合的剪力设计值，应按公式（5</w:t>
      </w:r>
      <w:r>
        <w:rPr>
          <w:rFonts w:hAnsi="宋体"/>
        </w:rPr>
        <w:t>.2.7-1</w:t>
      </w:r>
      <w:r>
        <w:rPr>
          <w:rFonts w:hint="eastAsia" w:hAnsi="宋体"/>
        </w:rPr>
        <w:t>）确定，并符合公式（5</w:t>
      </w:r>
      <w:r>
        <w:rPr>
          <w:rFonts w:hAnsi="宋体"/>
        </w:rPr>
        <w:t>.2.7-2</w:t>
      </w:r>
      <w:r>
        <w:rPr>
          <w:rFonts w:hint="eastAsia" w:hAnsi="宋体"/>
        </w:rPr>
        <w:t>）的要求；节点核心区截面抗震受剪承载力，矩形柱应采用公式（5</w:t>
      </w:r>
      <w:r>
        <w:rPr>
          <w:rFonts w:hAnsi="宋体"/>
        </w:rPr>
        <w:t>.2.7-3</w:t>
      </w:r>
      <w:r>
        <w:rPr>
          <w:rFonts w:hint="eastAsia" w:hAnsi="宋体"/>
        </w:rPr>
        <w:t>）验算，圆形柱应采用公式（5</w:t>
      </w:r>
      <w:r>
        <w:rPr>
          <w:rFonts w:hAnsi="宋体"/>
        </w:rPr>
        <w:t>.2.7-4</w:t>
      </w:r>
      <w:r>
        <w:rPr>
          <w:rFonts w:hint="eastAsia" w:hAnsi="宋体"/>
        </w:rPr>
        <w:t>）验算：</w:t>
      </w:r>
    </w:p>
    <w:p>
      <w:pPr>
        <w:snapToGrid w:val="0"/>
        <w:spacing w:line="360" w:lineRule="auto"/>
        <w:ind w:firstLine="480"/>
        <w:jc w:val="right"/>
        <w:rPr>
          <w:rFonts w:hAnsi="宋体"/>
        </w:rPr>
      </w:pPr>
      <m:oMath>
        <m:sSub>
          <m:sSubPr>
            <m:ctrlPr>
              <w:rPr>
                <w:rFonts w:ascii="Cambria Math" w:hAnsi="Cambria Math"/>
                <w:i/>
              </w:rPr>
            </m:ctrlPr>
          </m:sSubPr>
          <m:e>
            <m:r>
              <w:rPr>
                <w:rFonts w:ascii="Cambria Math" w:hAnsi="Cambria Math"/>
              </w:rPr>
              <m:t xml:space="preserve">V</m:t>
            </m:r>
          </m:e>
          <m:sub>
            <m:r>
              <w:rPr>
                <w:rFonts w:ascii="Cambria Math" w:hAnsi="Cambria Math"/>
              </w:rPr>
              <m:t xml:space="preserve">j</m:t>
            </m:r>
          </m:sub>
        </m:sSub>
        <m:r>
          <w:rPr>
            <w:rFonts w:ascii="Cambria Math" w:hAnsi="Cambria Math"/>
          </w:rPr>
          <m:t xml:space="preserve">=</m:t>
        </m:r>
        <m:f>
          <m:fPr>
            <m:ctrlPr>
              <w:rPr>
                <w:rFonts w:ascii="Cambria Math" w:hAnsi="Cambria Math"/>
                <w:i/>
              </w:rPr>
            </m:ctrlPr>
          </m:fPr>
          <m:num>
            <m:r>
              <w:rPr>
                <w:rFonts w:ascii="Cambria Math" w:hAnsi="Cambria Math"/>
              </w:rPr>
              <m:t xml:space="preserve">1.15</m:t>
            </m:r>
            <m:nary>
              <m:naryPr>
                <m:chr m:val="∑"/>
                <m:limLoc m:val="undOvr"/>
                <m:subHide m:val="1"/>
                <m:supHide m:val="1"/>
                <m:ctrlPr>
                  <w:rPr>
                    <w:rFonts w:ascii="Cambria Math" w:hAnsi="Cambria Math"/>
                    <w:i/>
                  </w:rPr>
                </m:ctrlPr>
              </m:naryPr>
              <m:sub/>
              <m:sup/>
              <m:e>
                <m:sSub>
                  <m:sSubPr>
                    <m:ctrlPr>
                      <w:rPr>
                        <w:rFonts w:ascii="Cambria Math" w:hAnsi="Cambria Math"/>
                        <w:i/>
                      </w:rPr>
                    </m:ctrlPr>
                  </m:sSubPr>
                  <m:e>
                    <m:r>
                      <w:rPr>
                        <w:rFonts w:ascii="Cambria Math" w:hAnsi="Cambria Math"/>
                      </w:rPr>
                      <m:t xml:space="preserve">M</m:t>
                    </m:r>
                  </m:e>
                  <m:sub>
                    <m:r>
                      <w:rPr>
                        <w:rFonts w:ascii="Cambria Math" w:hAnsi="Cambria Math"/>
                      </w:rPr>
                      <m:t xml:space="preserve">bua</m:t>
                    </m:r>
                  </m:sub>
                </m:sSub>
              </m:e>
            </m:nary>
          </m:num>
          <m:den>
            <m:sSub>
              <m:sSubPr>
                <m:ctrlPr>
                  <w:rPr>
                    <w:rFonts w:ascii="Cambria Math" w:hAnsi="Cambria Math"/>
                    <w:i/>
                  </w:rPr>
                </m:ctrlPr>
              </m:sSubPr>
              <m:e>
                <m:r>
                  <w:rPr>
                    <w:rFonts w:ascii="Cambria Math" w:hAnsi="Cambria Math"/>
                  </w:rPr>
                  <m:t xml:space="preserve">h</m:t>
                </m:r>
              </m:e>
              <m:sub>
                <m:r>
                  <w:rPr>
                    <w:rFonts w:ascii="Cambria Math" w:hAnsi="Cambria Math"/>
                  </w:rPr>
                  <m:t xml:space="preserve">s0</m:t>
                </m:r>
              </m:sub>
            </m:sSub>
            <m:r>
              <w:rPr>
                <w:rFonts w:ascii="Cambria Math" w:hAnsi="Cambria Math"/>
              </w:rPr>
              <m:t xml:space="preserve">-</m:t>
            </m:r>
            <m:sSubSup>
              <m:sSubSupPr>
                <m:ctrlPr>
                  <w:rPr>
                    <w:rFonts w:ascii="Cambria Math" w:hAnsi="Cambria Math"/>
                    <w:i/>
                  </w:rPr>
                </m:ctrlPr>
              </m:sSubSupPr>
              <m:e>
                <m:r>
                  <w:rPr>
                    <w:rFonts w:ascii="Cambria Math" w:hAnsi="Cambria Math"/>
                  </w:rPr>
                  <m:t xml:space="preserve">a</m:t>
                </m:r>
              </m:e>
              <m:sub>
                <m:r>
                  <w:rPr>
                    <w:rFonts w:ascii="Cambria Math" w:hAnsi="Cambria Math"/>
                  </w:rPr>
                  <m:t xml:space="preserve">s</m:t>
                </m:r>
              </m:sub>
              <m:sup>
                <m:r>
                  <w:rPr>
                    <w:rFonts w:ascii="Cambria Math" w:hAnsi="Cambria Math"/>
                  </w:rPr>
                  <m:t xml:space="preserve">'</m:t>
                </m:r>
              </m:sup>
            </m:sSubSup>
          </m:den>
        </m:f>
        <m:d>
          <m:dPr>
            <m:ctrlPr>
              <w:rPr>
                <w:rFonts w:ascii="Cambria Math" w:hAnsi="Cambria Math"/>
                <w:i/>
              </w:rPr>
            </m:ctrlPr>
          </m:dPr>
          <m:e>
            <m:r>
              <w:rPr>
                <w:rFonts w:ascii="Cambria Math" w:hAnsi="Cambria Math"/>
              </w:rPr>
              <m:t xml:space="preserve">1-</m:t>
            </m:r>
            <m:f>
              <m:fPr>
                <m:ctrlPr>
                  <w:rPr>
                    <w:rFonts w:ascii="Cambria Math" w:hAnsi="Cambria Math"/>
                    <w:i/>
                  </w:rPr>
                </m:ctrlPr>
              </m:fPr>
              <m:num>
                <m:sSub>
                  <m:sSubPr>
                    <m:ctrlPr>
                      <w:rPr>
                        <w:rFonts w:ascii="Cambria Math" w:hAnsi="Cambria Math"/>
                        <w:i/>
                      </w:rPr>
                    </m:ctrlPr>
                  </m:sSubPr>
                  <m:e>
                    <m:r>
                      <w:rPr>
                        <w:rFonts w:ascii="Cambria Math" w:hAnsi="Cambria Math"/>
                      </w:rPr>
                      <m:t xml:space="preserve">h</m:t>
                    </m:r>
                  </m:e>
                  <m:sub>
                    <m:r>
                      <w:rPr>
                        <w:rFonts w:ascii="Cambria Math" w:hAnsi="Cambria Math"/>
                      </w:rPr>
                      <m:t xml:space="preserve">s0</m:t>
                    </m:r>
                  </m:sub>
                </m:sSub>
                <m:r>
                  <w:rPr>
                    <w:rFonts w:ascii="Cambria Math" w:hAnsi="Cambria Math"/>
                  </w:rPr>
                  <m:t xml:space="preserve">-</m:t>
                </m:r>
                <m:sSubSup>
                  <m:sSubSupPr>
                    <m:ctrlPr>
                      <w:rPr>
                        <w:rFonts w:ascii="Cambria Math" w:hAnsi="Cambria Math"/>
                        <w:i/>
                      </w:rPr>
                    </m:ctrlPr>
                  </m:sSubSupPr>
                  <m:e>
                    <m:r>
                      <w:rPr>
                        <w:rFonts w:ascii="Cambria Math" w:hAnsi="Cambria Math"/>
                      </w:rPr>
                      <m:t xml:space="preserve">a</m:t>
                    </m:r>
                  </m:e>
                  <m:sub>
                    <m:r>
                      <w:rPr>
                        <w:rFonts w:ascii="Cambria Math" w:hAnsi="Cambria Math"/>
                      </w:rPr>
                      <m:t xml:space="preserve">s</m:t>
                    </m:r>
                  </m:sub>
                  <m:sup>
                    <m:r>
                      <w:rPr>
                        <w:rFonts w:ascii="Cambria Math" w:hAnsi="Cambria Math"/>
                      </w:rPr>
                      <m:t xml:space="preserve">'</m:t>
                    </m:r>
                  </m:sup>
                </m:sSubSup>
              </m:num>
              <m:den>
                <m:sSub>
                  <m:sSubPr>
                    <m:ctrlPr>
                      <w:rPr>
                        <w:rFonts w:ascii="Cambria Math" w:hAnsi="Cambria Math"/>
                        <w:i/>
                      </w:rPr>
                    </m:ctrlPr>
                  </m:sSubPr>
                  <m:e>
                    <m:r>
                      <w:rPr>
                        <w:rFonts w:ascii="Cambria Math" w:hAnsi="Cambria Math"/>
                      </w:rPr>
                      <m:t xml:space="preserve">H</m:t>
                    </m:r>
                  </m:e>
                  <m:sub>
                    <m:r>
                      <w:rPr>
                        <w:rFonts w:ascii="Cambria Math" w:hAnsi="Cambria Math"/>
                      </w:rPr>
                      <m:t xml:space="preserve">c</m:t>
                    </m:r>
                  </m:sub>
                </m:sSub>
                <m:r>
                  <w:rPr>
                    <w:rFonts w:ascii="Cambria Math" w:hAnsi="Cambria Math"/>
                  </w:rPr>
                  <m:t xml:space="preserve">-</m:t>
                </m:r>
                <m:sSub>
                  <m:sSubPr>
                    <m:ctrlPr>
                      <w:rPr>
                        <w:rFonts w:ascii="Cambria Math" w:hAnsi="Cambria Math"/>
                        <w:i/>
                      </w:rPr>
                    </m:ctrlPr>
                  </m:sSubPr>
                  <m:e>
                    <m:r>
                      <w:rPr>
                        <w:rFonts w:ascii="Cambria Math" w:hAnsi="Cambria Math"/>
                      </w:rPr>
                      <m:t xml:space="preserve">h</m:t>
                    </m:r>
                  </m:e>
                  <m:sub>
                    <m:r>
                      <w:rPr>
                        <w:rFonts w:ascii="Cambria Math" w:hAnsi="Cambria Math"/>
                      </w:rPr>
                      <m:t xml:space="preserve">s</m:t>
                    </m:r>
                  </m:sub>
                </m:sSub>
              </m:den>
            </m:f>
          </m:e>
        </m:d>
      </m:oMath>
      <w:r>
        <w:rPr>
          <w:rFonts w:hint="eastAsia" w:hAnsi="宋体"/>
        </w:rPr>
        <w:t xml:space="preserve"> </w:t>
      </w:r>
      <w:r>
        <w:rPr>
          <w:rFonts w:hAnsi="宋体"/>
        </w:rPr>
        <w:t xml:space="preserve">                        (5.2.7-1)</w:t>
      </w:r>
    </w:p>
    <w:p>
      <w:pPr>
        <w:snapToGrid w:val="0"/>
        <w:spacing w:line="360" w:lineRule="auto"/>
        <w:ind w:firstLine="480"/>
        <w:jc w:val="right"/>
        <w:rPr>
          <w:rFonts w:hAnsi="宋体"/>
        </w:rPr>
      </w:pPr>
      <m:oMath>
        <m:sSub>
          <m:sSubPr>
            <m:ctrlPr>
              <w:rPr>
                <w:rFonts w:ascii="Cambria Math" w:hAnsi="Cambria Math"/>
                <w:i/>
              </w:rPr>
            </m:ctrlPr>
          </m:sSubPr>
          <m:e>
            <m:r>
              <w:rPr>
                <w:rFonts w:ascii="Cambria Math" w:hAnsi="Cambria Math"/>
              </w:rPr>
              <m:t xml:space="preserve">V</m:t>
            </m:r>
          </m:e>
          <m:sub>
            <m:r>
              <w:rPr>
                <w:rFonts w:ascii="Cambria Math" w:hAnsi="Cambria Math"/>
              </w:rPr>
              <m:t xml:space="preserve">j</m:t>
            </m:r>
          </m:sub>
        </m:sSub>
        <m:r>
          <w:rPr>
            <w:rFonts w:ascii="Cambria Math" w:hAnsi="Cambria Math"/>
          </w:rPr>
          <m:t xml:space="preserve">≤</m:t>
        </m:r>
        <m:f>
          <m:fPr>
            <m:ctrlPr>
              <w:rPr>
                <w:rFonts w:ascii="Cambria Math" w:hAnsi="Cambria Math"/>
                <w:i/>
              </w:rPr>
            </m:ctrlPr>
          </m:fPr>
          <m:num>
            <m:r>
              <w:rPr>
                <w:rFonts w:ascii="Cambria Math" w:hAnsi="Cambria Math"/>
              </w:rPr>
              <m:t xml:space="preserve">1</m:t>
            </m:r>
          </m:num>
          <m:den>
            <m:sSub>
              <m:sSubPr>
                <m:ctrlPr>
                  <w:rPr>
                    <w:rFonts w:ascii="Cambria Math" w:hAnsi="Cambria Math"/>
                    <w:i/>
                  </w:rPr>
                </m:ctrlPr>
              </m:sSubPr>
              <m:e>
                <m:r>
                  <w:rPr>
                    <w:rFonts w:ascii="Cambria Math" w:hAnsi="Cambria Math"/>
                  </w:rPr>
                  <m:t xml:space="preserve">γ</m:t>
                </m:r>
              </m:e>
              <m:sub>
                <m:r>
                  <w:rPr>
                    <w:rFonts w:ascii="Cambria Math" w:hAnsi="Cambria Math"/>
                  </w:rPr>
                  <m:t xml:space="preserve">RE</m:t>
                </m:r>
              </m:sub>
            </m:sSub>
          </m:den>
        </m:f>
        <m:d>
          <m:dPr>
            <m:ctrlPr>
              <w:rPr>
                <w:rFonts w:ascii="Cambria Math" w:hAnsi="Cambria Math"/>
                <w:i/>
              </w:rPr>
            </m:ctrlPr>
          </m:dPr>
          <m:e>
            <m:r>
              <w:rPr>
                <w:rFonts w:ascii="Cambria Math" w:hAnsi="Cambria Math"/>
              </w:rPr>
              <m:t xml:space="preserve">0.30</m:t>
            </m:r>
            <m:sSub>
              <m:sSubPr>
                <m:ctrlPr>
                  <w:rPr>
                    <w:rFonts w:ascii="Cambria Math" w:hAnsi="Cambria Math"/>
                    <w:i/>
                  </w:rPr>
                </m:ctrlPr>
              </m:sSubPr>
              <m:e>
                <m:r>
                  <w:rPr>
                    <w:rFonts w:ascii="Cambria Math" w:hAnsi="Cambria Math"/>
                  </w:rPr>
                  <m:t xml:space="preserve">η</m:t>
                </m:r>
              </m:e>
              <m:sub>
                <m:r>
                  <w:rPr>
                    <w:rFonts w:ascii="Cambria Math" w:hAnsi="Cambria Math"/>
                  </w:rPr>
                  <m:t xml:space="preserve">j</m:t>
                </m:r>
              </m:sub>
            </m:sSub>
            <m:sSub>
              <m:sSubPr>
                <m:ctrlPr>
                  <w:rPr>
                    <w:rFonts w:ascii="Cambria Math" w:hAnsi="Cambria Math"/>
                    <w:i/>
                  </w:rPr>
                </m:ctrlPr>
              </m:sSubPr>
              <m:e>
                <m:r>
                  <w:rPr>
                    <w:rFonts w:ascii="Cambria Math" w:hAnsi="Cambria Math"/>
                  </w:rPr>
                  <m:t xml:space="preserve">f</m:t>
                </m:r>
              </m:e>
              <m:sub>
                <m:r>
                  <w:rPr>
                    <w:rFonts w:ascii="Cambria Math" w:hAnsi="Cambria Math"/>
                  </w:rPr>
                  <m:t xml:space="preserve">c</m:t>
                </m:r>
              </m:sub>
            </m:sSub>
            <m:sSub>
              <m:sSubPr>
                <m:ctrlPr>
                  <w:rPr>
                    <w:rFonts w:ascii="Cambria Math" w:hAnsi="Cambria Math"/>
                    <w:i/>
                  </w:rPr>
                </m:ctrlPr>
              </m:sSubPr>
              <m:e>
                <m:r>
                  <w:rPr>
                    <w:rFonts w:ascii="Cambria Math" w:hAnsi="Cambria Math"/>
                  </w:rPr>
                  <m:t xml:space="preserve">A</m:t>
                </m:r>
              </m:e>
              <m:sub>
                <m:r>
                  <w:rPr>
                    <w:rFonts w:ascii="Cambria Math" w:hAnsi="Cambria Math"/>
                  </w:rPr>
                  <m:t xml:space="preserve">j</m:t>
                </m:r>
              </m:sub>
            </m:sSub>
          </m:e>
        </m:d>
      </m:oMath>
      <w:r>
        <w:rPr>
          <w:rFonts w:hint="eastAsia" w:hAnsi="宋体"/>
          <w:i/>
        </w:rPr>
        <w:t xml:space="preserve"> </w:t>
      </w:r>
      <w:r>
        <w:rPr>
          <w:rFonts w:hAnsi="宋体"/>
          <w:i/>
        </w:rPr>
        <w:t xml:space="preserve">      </w:t>
      </w:r>
      <w:r>
        <w:rPr>
          <w:rFonts w:hAnsi="宋体"/>
          <w:iCs/>
        </w:rPr>
        <w:t xml:space="preserve">             </w:t>
      </w:r>
      <w:r>
        <w:rPr>
          <w:rFonts w:hAnsi="宋体"/>
          <w:i/>
        </w:rPr>
        <w:t xml:space="preserve">      </w:t>
      </w:r>
      <w:r>
        <w:rPr>
          <w:rFonts w:hAnsi="宋体"/>
        </w:rPr>
        <w:t>(5.2.7-2)</w:t>
      </w:r>
    </w:p>
    <w:p>
      <w:pPr>
        <w:snapToGrid w:val="0"/>
        <w:spacing w:line="360" w:lineRule="auto"/>
        <w:ind w:firstLine="480"/>
        <w:jc w:val="right"/>
        <w:rPr>
          <w:rFonts w:hAnsi="宋体"/>
        </w:rPr>
      </w:pPr>
      <m:oMath>
        <m:sSub>
          <m:sSubPr>
            <m:ctrlPr>
              <w:rPr>
                <w:rFonts w:ascii="Cambria Math" w:hAnsi="Cambria Math"/>
                <w:i/>
              </w:rPr>
            </m:ctrlPr>
          </m:sSubPr>
          <m:e>
            <m:r>
              <w:rPr>
                <w:rFonts w:ascii="Cambria Math" w:hAnsi="Cambria Math"/>
              </w:rPr>
              <m:t xml:space="preserve">V</m:t>
            </m:r>
          </m:e>
          <m:sub>
            <m:r>
              <w:rPr>
                <w:rFonts w:ascii="Cambria Math" w:hAnsi="Cambria Math"/>
              </w:rPr>
              <m:t xml:space="preserve">j</m:t>
            </m:r>
          </m:sub>
        </m:sSub>
        <m:r>
          <w:rPr>
            <w:rFonts w:ascii="Cambria Math" w:hAnsi="Cambria Math"/>
          </w:rPr>
          <m:t xml:space="preserve">≤</m:t>
        </m:r>
        <m:f>
          <m:fPr>
            <m:ctrlPr>
              <w:rPr>
                <w:rFonts w:ascii="Cambria Math" w:hAnsi="Cambria Math"/>
                <w:i/>
              </w:rPr>
            </m:ctrlPr>
          </m:fPr>
          <m:num>
            <m:r>
              <w:rPr>
                <w:rFonts w:ascii="Cambria Math" w:hAnsi="Cambria Math"/>
              </w:rPr>
              <m:t xml:space="preserve">1</m:t>
            </m:r>
          </m:num>
          <m:den>
            <m:sSub>
              <m:sSubPr>
                <m:ctrlPr>
                  <w:rPr>
                    <w:rFonts w:ascii="Cambria Math" w:hAnsi="Cambria Math"/>
                    <w:i/>
                  </w:rPr>
                </m:ctrlPr>
              </m:sSubPr>
              <m:e>
                <m:r>
                  <w:rPr>
                    <w:rFonts w:ascii="Cambria Math" w:hAnsi="Cambria Math"/>
                  </w:rPr>
                  <m:t xml:space="preserve">γ</m:t>
                </m:r>
              </m:e>
              <m:sub>
                <m:r>
                  <w:rPr>
                    <w:rFonts w:ascii="Cambria Math" w:hAnsi="Cambria Math"/>
                  </w:rPr>
                  <m:t xml:space="preserve">RE</m:t>
                </m:r>
              </m:sub>
            </m:sSub>
          </m:den>
        </m:f>
        <m:d>
          <m:dPr>
            <m:ctrlPr>
              <w:rPr>
                <w:rFonts w:ascii="Cambria Math" w:hAnsi="Cambria Math"/>
                <w:i/>
              </w:rPr>
            </m:ctrlPr>
          </m:dPr>
          <m:e>
            <m:r>
              <w:rPr>
                <w:rFonts w:ascii="Cambria Math" w:hAnsi="Cambria Math"/>
              </w:rPr>
              <m:t xml:space="preserve">0.9</m:t>
            </m:r>
            <m:sSub>
              <m:sSubPr>
                <m:ctrlPr>
                  <w:rPr>
                    <w:rFonts w:ascii="Cambria Math" w:hAnsi="Cambria Math"/>
                    <w:i/>
                  </w:rPr>
                </m:ctrlPr>
              </m:sSubPr>
              <m:e>
                <m:r>
                  <w:rPr>
                    <w:rFonts w:ascii="Cambria Math" w:hAnsi="Cambria Math"/>
                  </w:rPr>
                  <m:t xml:space="preserve">η</m:t>
                </m:r>
              </m:e>
              <m:sub>
                <m:r>
                  <w:rPr>
                    <w:rFonts w:ascii="Cambria Math" w:hAnsi="Cambria Math"/>
                  </w:rPr>
                  <m:t xml:space="preserve">j</m:t>
                </m:r>
              </m:sub>
            </m:sSub>
            <m:sSub>
              <m:sSubPr>
                <m:ctrlPr>
                  <w:rPr>
                    <w:rFonts w:ascii="Cambria Math" w:hAnsi="Cambria Math"/>
                    <w:i/>
                  </w:rPr>
                </m:ctrlPr>
              </m:sSubPr>
              <m:e>
                <m:r>
                  <w:rPr>
                    <w:rFonts w:ascii="Cambria Math" w:hAnsi="Cambria Math"/>
                  </w:rPr>
                  <m:t xml:space="preserve">f</m:t>
                </m:r>
              </m:e>
              <m:sub>
                <m:r>
                  <w:rPr>
                    <w:rFonts w:ascii="Cambria Math" w:hAnsi="Cambria Math"/>
                  </w:rPr>
                  <m:t xml:space="preserve">t</m:t>
                </m:r>
              </m:sub>
            </m:sSub>
            <m:sSub>
              <m:sSubPr>
                <m:ctrlPr>
                  <w:rPr>
                    <w:rFonts w:ascii="Cambria Math" w:hAnsi="Cambria Math"/>
                    <w:i/>
                  </w:rPr>
                </m:ctrlPr>
              </m:sSubPr>
              <m:e>
                <m:r>
                  <w:rPr>
                    <w:rFonts w:ascii="Cambria Math" w:hAnsi="Cambria Math"/>
                  </w:rPr>
                  <m:t xml:space="preserve">A</m:t>
                </m:r>
              </m:e>
              <m:sub>
                <m:r>
                  <w:rPr>
                    <w:rFonts w:ascii="Cambria Math" w:hAnsi="Cambria Math"/>
                  </w:rPr>
                  <m:t xml:space="preserve">j</m:t>
                </m:r>
              </m:sub>
            </m:sSub>
            <m:r>
              <w:rPr>
                <w:rFonts w:ascii="Cambria Math" w:hAnsi="Cambria Math"/>
              </w:rPr>
              <m:t xml:space="preserve">+</m:t>
            </m:r>
            <m:sSub>
              <m:sSubPr>
                <m:ctrlPr>
                  <w:rPr>
                    <w:rFonts w:ascii="Cambria Math" w:hAnsi="Cambria Math"/>
                    <w:i/>
                  </w:rPr>
                </m:ctrlPr>
              </m:sSubPr>
              <m:e>
                <m:r>
                  <w:rPr>
                    <w:rFonts w:ascii="Cambria Math" w:hAnsi="Cambria Math"/>
                  </w:rPr>
                  <m:t xml:space="preserve">f</m:t>
                </m:r>
              </m:e>
              <m:sub>
                <m:r>
                  <w:rPr>
                    <w:rFonts w:ascii="Cambria Math" w:hAnsi="Cambria Math"/>
                  </w:rPr>
                  <m:t xml:space="preserve">yv</m:t>
                </m:r>
              </m:sub>
            </m:sSub>
            <m:sSub>
              <m:sSubPr>
                <m:ctrlPr>
                  <w:rPr>
                    <w:rFonts w:ascii="Cambria Math" w:hAnsi="Cambria Math"/>
                    <w:i/>
                  </w:rPr>
                </m:ctrlPr>
              </m:sSubPr>
              <m:e>
                <m:r>
                  <w:rPr>
                    <w:rFonts w:ascii="Cambria Math" w:hAnsi="Cambria Math"/>
                  </w:rPr>
                  <m:t xml:space="preserve">A</m:t>
                </m:r>
              </m:e>
              <m:sub>
                <m:r>
                  <w:rPr>
                    <w:rFonts w:ascii="Cambria Math" w:hAnsi="Cambria Math"/>
                  </w:rPr>
                  <m:t xml:space="preserve">svj</m:t>
                </m:r>
              </m:sub>
            </m:sSub>
            <m:f>
              <m:fPr>
                <m:ctrlPr>
                  <w:rPr>
                    <w:rFonts w:ascii="Cambria Math" w:hAnsi="Cambria Math"/>
                    <w:i/>
                  </w:rPr>
                </m:ctrlPr>
              </m:fPr>
              <m:num>
                <m:sSub>
                  <m:sSubPr>
                    <m:ctrlPr>
                      <w:rPr>
                        <w:rFonts w:ascii="Cambria Math" w:hAnsi="Cambria Math"/>
                        <w:i/>
                      </w:rPr>
                    </m:ctrlPr>
                  </m:sSubPr>
                  <m:e>
                    <m:r>
                      <w:rPr>
                        <w:rFonts w:ascii="Cambria Math" w:hAnsi="Cambria Math"/>
                      </w:rPr>
                      <m:t xml:space="preserve">h</m:t>
                    </m:r>
                  </m:e>
                  <m:sub>
                    <m:r>
                      <w:rPr>
                        <w:rFonts w:ascii="Cambria Math" w:hAnsi="Cambria Math"/>
                      </w:rPr>
                      <m:t xml:space="preserve">s0</m:t>
                    </m:r>
                  </m:sub>
                </m:sSub>
                <m:r>
                  <w:rPr>
                    <w:rFonts w:ascii="Cambria Math" w:hAnsi="Cambria Math"/>
                  </w:rPr>
                  <m:t xml:space="preserve">-</m:t>
                </m:r>
                <m:sSubSup>
                  <m:sSubSupPr>
                    <m:ctrlPr>
                      <w:rPr>
                        <w:rFonts w:ascii="Cambria Math" w:hAnsi="Cambria Math"/>
                        <w:i/>
                      </w:rPr>
                    </m:ctrlPr>
                  </m:sSubSupPr>
                  <m:e>
                    <m:r>
                      <w:rPr>
                        <w:rFonts w:ascii="Cambria Math" w:hAnsi="Cambria Math"/>
                      </w:rPr>
                      <m:t xml:space="preserve">a</m:t>
                    </m:r>
                  </m:e>
                  <m:sub>
                    <m:r>
                      <w:rPr>
                        <w:rFonts w:ascii="Cambria Math" w:hAnsi="Cambria Math"/>
                      </w:rPr>
                      <m:t xml:space="preserve">s</m:t>
                    </m:r>
                  </m:sub>
                  <m:sup>
                    <m:r>
                      <w:rPr>
                        <w:rFonts w:ascii="Cambria Math" w:hAnsi="Cambria Math"/>
                      </w:rPr>
                      <m:t xml:space="preserve">'</m:t>
                    </m:r>
                  </m:sup>
                </m:sSubSup>
              </m:num>
              <m:den>
                <m:r>
                  <w:rPr>
                    <w:rFonts w:ascii="Cambria Math" w:hAnsi="Cambria Math"/>
                  </w:rPr>
                  <m:t xml:space="preserve">s</m:t>
                </m:r>
              </m:den>
            </m:f>
          </m:e>
        </m:d>
      </m:oMath>
      <w:r>
        <w:rPr>
          <w:rFonts w:hint="eastAsia" w:hAnsi="宋体"/>
          <w:i/>
        </w:rPr>
        <w:t xml:space="preserve"> </w:t>
      </w:r>
      <w:r>
        <w:rPr>
          <w:rFonts w:hAnsi="宋体"/>
          <w:i/>
        </w:rPr>
        <w:t xml:space="preserve"> </w:t>
      </w:r>
      <w:r>
        <w:rPr>
          <w:rFonts w:hAnsi="宋体"/>
          <w:iCs/>
        </w:rPr>
        <w:t xml:space="preserve">            </w:t>
      </w:r>
      <w:r>
        <w:rPr>
          <w:rFonts w:hAnsi="宋体"/>
          <w:i/>
        </w:rPr>
        <w:t xml:space="preserve">      </w:t>
      </w:r>
      <w:r>
        <w:rPr>
          <w:rFonts w:hAnsi="宋体"/>
        </w:rPr>
        <w:t>(5.2.7-3)</w:t>
      </w:r>
    </w:p>
    <w:p>
      <w:pPr>
        <w:snapToGrid w:val="0"/>
        <w:spacing w:line="360" w:lineRule="auto"/>
        <w:ind w:firstLine="480"/>
        <w:jc w:val="right"/>
        <w:rPr>
          <w:rFonts w:hAnsi="宋体"/>
        </w:rPr>
      </w:pPr>
      <m:oMath>
        <m:sSub>
          <m:sSubPr>
            <m:ctrlPr>
              <w:rPr>
                <w:rFonts w:ascii="Cambria Math" w:hAnsi="Cambria Math"/>
                <w:i/>
              </w:rPr>
            </m:ctrlPr>
          </m:sSubPr>
          <m:e>
            <m:r>
              <w:rPr>
                <w:rFonts w:ascii="Cambria Math" w:hAnsi="Cambria Math"/>
              </w:rPr>
              <m:t xml:space="preserve">V</m:t>
            </m:r>
          </m:e>
          <m:sub>
            <m:r>
              <w:rPr>
                <w:rFonts w:ascii="Cambria Math" w:hAnsi="Cambria Math"/>
              </w:rPr>
              <m:t xml:space="preserve">j</m:t>
            </m:r>
          </m:sub>
        </m:sSub>
        <m:r>
          <w:rPr>
            <w:rFonts w:ascii="Cambria Math" w:hAnsi="Cambria Math"/>
          </w:rPr>
          <m:t xml:space="preserve">≤</m:t>
        </m:r>
        <m:f>
          <m:fPr>
            <m:ctrlPr>
              <w:rPr>
                <w:rFonts w:ascii="Cambria Math" w:hAnsi="Cambria Math"/>
                <w:i/>
              </w:rPr>
            </m:ctrlPr>
          </m:fPr>
          <m:num>
            <m:r>
              <w:rPr>
                <w:rFonts w:ascii="Cambria Math" w:hAnsi="Cambria Math"/>
              </w:rPr>
              <m:t xml:space="preserve">1</m:t>
            </m:r>
          </m:num>
          <m:den>
            <m:sSub>
              <m:sSubPr>
                <m:ctrlPr>
                  <w:rPr>
                    <w:rFonts w:ascii="Cambria Math" w:hAnsi="Cambria Math"/>
                    <w:i/>
                  </w:rPr>
                </m:ctrlPr>
              </m:sSubPr>
              <m:e>
                <m:r>
                  <w:rPr>
                    <w:rFonts w:ascii="Cambria Math" w:hAnsi="Cambria Math"/>
                  </w:rPr>
                  <m:t xml:space="preserve">γ</m:t>
                </m:r>
              </m:e>
              <m:sub>
                <m:r>
                  <w:rPr>
                    <w:rFonts w:ascii="Cambria Math" w:hAnsi="Cambria Math"/>
                  </w:rPr>
                  <m:t xml:space="preserve">RE</m:t>
                </m:r>
              </m:sub>
            </m:sSub>
          </m:den>
        </m:f>
        <m:d>
          <m:dPr>
            <m:ctrlPr>
              <w:rPr>
                <w:rFonts w:ascii="Cambria Math" w:hAnsi="Cambria Math"/>
                <w:i/>
              </w:rPr>
            </m:ctrlPr>
          </m:dPr>
          <m:e>
            <m:r>
              <w:rPr>
                <w:rFonts w:ascii="Cambria Math" w:hAnsi="Cambria Math"/>
              </w:rPr>
              <m:t xml:space="preserve">1.2</m:t>
            </m:r>
            <m:sSub>
              <m:sSubPr>
                <m:ctrlPr>
                  <w:rPr>
                    <w:rFonts w:ascii="Cambria Math" w:hAnsi="Cambria Math"/>
                    <w:i/>
                  </w:rPr>
                </m:ctrlPr>
              </m:sSubPr>
              <m:e>
                <m:r>
                  <w:rPr>
                    <w:rFonts w:ascii="Cambria Math" w:hAnsi="Cambria Math"/>
                  </w:rPr>
                  <m:t xml:space="preserve">η</m:t>
                </m:r>
              </m:e>
              <m:sub>
                <m:r>
                  <w:rPr>
                    <w:rFonts w:ascii="Cambria Math" w:hAnsi="Cambria Math"/>
                  </w:rPr>
                  <m:t xml:space="preserve">j</m:t>
                </m:r>
              </m:sub>
            </m:sSub>
            <m:sSub>
              <m:sSubPr>
                <m:ctrlPr>
                  <w:rPr>
                    <w:rFonts w:ascii="Cambria Math" w:hAnsi="Cambria Math"/>
                    <w:i/>
                  </w:rPr>
                </m:ctrlPr>
              </m:sSubPr>
              <m:e>
                <m:r>
                  <w:rPr>
                    <w:rFonts w:ascii="Cambria Math" w:hAnsi="Cambria Math"/>
                  </w:rPr>
                  <m:t xml:space="preserve">f</m:t>
                </m:r>
              </m:e>
              <m:sub>
                <m:r>
                  <w:rPr>
                    <w:rFonts w:ascii="Cambria Math" w:hAnsi="Cambria Math"/>
                  </w:rPr>
                  <m:t xml:space="preserve">t</m:t>
                </m:r>
              </m:sub>
            </m:sSub>
            <m:sSub>
              <m:sSubPr>
                <m:ctrlPr>
                  <w:rPr>
                    <w:rFonts w:ascii="Cambria Math" w:hAnsi="Cambria Math"/>
                    <w:i/>
                  </w:rPr>
                </m:ctrlPr>
              </m:sSubPr>
              <m:e>
                <m:r>
                  <w:rPr>
                    <w:rFonts w:ascii="Cambria Math" w:hAnsi="Cambria Math"/>
                  </w:rPr>
                  <m:t xml:space="preserve">A</m:t>
                </m:r>
              </m:e>
              <m:sub>
                <m:r>
                  <w:rPr>
                    <w:rFonts w:ascii="Cambria Math" w:hAnsi="Cambria Math"/>
                  </w:rPr>
                  <m:t xml:space="preserve">j</m:t>
                </m:r>
              </m:sub>
            </m:sSub>
            <m:r>
              <w:rPr>
                <w:rFonts w:ascii="Cambria Math" w:hAnsi="Cambria Math"/>
              </w:rPr>
              <m:t xml:space="preserve">+1.57</m:t>
            </m:r>
            <m:sSub>
              <m:sSubPr>
                <m:ctrlPr>
                  <w:rPr>
                    <w:rFonts w:ascii="Cambria Math" w:hAnsi="Cambria Math"/>
                    <w:i/>
                  </w:rPr>
                </m:ctrlPr>
              </m:sSubPr>
              <m:e>
                <m:r>
                  <w:rPr>
                    <w:rFonts w:ascii="Cambria Math" w:hAnsi="Cambria Math"/>
                  </w:rPr>
                  <m:t xml:space="preserve">f</m:t>
                </m:r>
              </m:e>
              <m:sub>
                <m:r>
                  <w:rPr>
                    <w:rFonts w:ascii="Cambria Math" w:hAnsi="Cambria Math"/>
                  </w:rPr>
                  <m:t xml:space="preserve">yv</m:t>
                </m:r>
              </m:sub>
            </m:sSub>
            <m:sSub>
              <m:sSubPr>
                <m:ctrlPr>
                  <w:rPr>
                    <w:rFonts w:ascii="Cambria Math" w:hAnsi="Cambria Math"/>
                    <w:i/>
                  </w:rPr>
                </m:ctrlPr>
              </m:sSubPr>
              <m:e>
                <m:r>
                  <w:rPr>
                    <w:rFonts w:ascii="Cambria Math" w:hAnsi="Cambria Math"/>
                  </w:rPr>
                  <m:t xml:space="preserve">A</m:t>
                </m:r>
              </m:e>
              <m:sub>
                <m:r>
                  <w:rPr>
                    <w:rFonts w:ascii="Cambria Math" w:hAnsi="Cambria Math"/>
                  </w:rPr>
                  <m:t xml:space="preserve">sh</m:t>
                </m:r>
              </m:sub>
            </m:sSub>
            <m:f>
              <m:fPr>
                <m:ctrlPr>
                  <w:rPr>
                    <w:rFonts w:ascii="Cambria Math" w:hAnsi="Cambria Math"/>
                    <w:i/>
                  </w:rPr>
                </m:ctrlPr>
              </m:fPr>
              <m:num>
                <m:sSub>
                  <m:sSubPr>
                    <m:ctrlPr>
                      <w:rPr>
                        <w:rFonts w:ascii="Cambria Math" w:hAnsi="Cambria Math"/>
                        <w:i/>
                      </w:rPr>
                    </m:ctrlPr>
                  </m:sSubPr>
                  <m:e>
                    <m:r>
                      <w:rPr>
                        <w:rFonts w:ascii="Cambria Math" w:hAnsi="Cambria Math"/>
                      </w:rPr>
                      <m:t xml:space="preserve">h</m:t>
                    </m:r>
                  </m:e>
                  <m:sub>
                    <m:r>
                      <w:rPr>
                        <w:rFonts w:ascii="Cambria Math" w:hAnsi="Cambria Math"/>
                      </w:rPr>
                      <m:t xml:space="preserve">s0</m:t>
                    </m:r>
                  </m:sub>
                </m:sSub>
                <m:r>
                  <w:rPr>
                    <w:rFonts w:ascii="Cambria Math" w:hAnsi="Cambria Math"/>
                  </w:rPr>
                  <m:t xml:space="preserve">-</m:t>
                </m:r>
                <m:sSubSup>
                  <m:sSubSupPr>
                    <m:ctrlPr>
                      <w:rPr>
                        <w:rFonts w:ascii="Cambria Math" w:hAnsi="Cambria Math"/>
                        <w:i/>
                      </w:rPr>
                    </m:ctrlPr>
                  </m:sSubSupPr>
                  <m:e>
                    <m:r>
                      <w:rPr>
                        <w:rFonts w:ascii="Cambria Math" w:hAnsi="Cambria Math"/>
                      </w:rPr>
                      <m:t xml:space="preserve">a</m:t>
                    </m:r>
                  </m:e>
                  <m:sub>
                    <m:r>
                      <w:rPr>
                        <w:rFonts w:ascii="Cambria Math" w:hAnsi="Cambria Math"/>
                      </w:rPr>
                      <m:t xml:space="preserve">s</m:t>
                    </m:r>
                  </m:sub>
                  <m:sup>
                    <m:r>
                      <w:rPr>
                        <w:rFonts w:ascii="Cambria Math" w:hAnsi="Cambria Math"/>
                      </w:rPr>
                      <m:t xml:space="preserve">'</m:t>
                    </m:r>
                  </m:sup>
                </m:sSubSup>
              </m:num>
              <m:den>
                <m:r>
                  <w:rPr>
                    <w:rFonts w:ascii="Cambria Math" w:hAnsi="Cambria Math"/>
                  </w:rPr>
                  <m:t xml:space="preserve">s</m:t>
                </m:r>
              </m:den>
            </m:f>
            <m:r>
              <w:rPr>
                <w:rFonts w:ascii="Cambria Math" w:hAnsi="Cambria Math"/>
              </w:rPr>
              <m:t xml:space="preserve">+</m:t>
            </m:r>
            <m:sSub>
              <m:sSubPr>
                <m:ctrlPr>
                  <w:rPr>
                    <w:rFonts w:ascii="Cambria Math" w:hAnsi="Cambria Math"/>
                    <w:i/>
                  </w:rPr>
                </m:ctrlPr>
              </m:sSubPr>
              <m:e>
                <m:r>
                  <w:rPr>
                    <w:rFonts w:ascii="Cambria Math" w:hAnsi="Cambria Math"/>
                  </w:rPr>
                  <m:t xml:space="preserve">f</m:t>
                </m:r>
              </m:e>
              <m:sub>
                <m:r>
                  <w:rPr>
                    <w:rFonts w:ascii="Cambria Math" w:hAnsi="Cambria Math"/>
                  </w:rPr>
                  <m:t xml:space="preserve">yv</m:t>
                </m:r>
              </m:sub>
            </m:sSub>
            <m:sSub>
              <m:sSubPr>
                <m:ctrlPr>
                  <w:rPr>
                    <w:rFonts w:ascii="Cambria Math" w:hAnsi="Cambria Math"/>
                    <w:i/>
                  </w:rPr>
                </m:ctrlPr>
              </m:sSubPr>
              <m:e>
                <m:r>
                  <w:rPr>
                    <w:rFonts w:ascii="Cambria Math" w:hAnsi="Cambria Math"/>
                  </w:rPr>
                  <m:t xml:space="preserve">A</m:t>
                </m:r>
              </m:e>
              <m:sub>
                <m:r>
                  <w:rPr>
                    <w:rFonts w:ascii="Cambria Math" w:hAnsi="Cambria Math"/>
                  </w:rPr>
                  <m:t xml:space="preserve">svj</m:t>
                </m:r>
              </m:sub>
            </m:sSub>
            <m:f>
              <m:fPr>
                <m:ctrlPr>
                  <w:rPr>
                    <w:rFonts w:ascii="Cambria Math" w:hAnsi="Cambria Math"/>
                    <w:i/>
                  </w:rPr>
                </m:ctrlPr>
              </m:fPr>
              <m:num>
                <m:sSub>
                  <m:sSubPr>
                    <m:ctrlPr>
                      <w:rPr>
                        <w:rFonts w:ascii="Cambria Math" w:hAnsi="Cambria Math"/>
                        <w:i/>
                      </w:rPr>
                    </m:ctrlPr>
                  </m:sSubPr>
                  <m:e>
                    <m:r>
                      <w:rPr>
                        <w:rFonts w:ascii="Cambria Math" w:hAnsi="Cambria Math"/>
                      </w:rPr>
                      <m:t xml:space="preserve">h</m:t>
                    </m:r>
                  </m:e>
                  <m:sub>
                    <m:r>
                      <w:rPr>
                        <w:rFonts w:ascii="Cambria Math" w:hAnsi="Cambria Math"/>
                      </w:rPr>
                      <m:t xml:space="preserve">s0</m:t>
                    </m:r>
                  </m:sub>
                </m:sSub>
                <m:r>
                  <w:rPr>
                    <w:rFonts w:ascii="Cambria Math" w:hAnsi="Cambria Math"/>
                  </w:rPr>
                  <m:t xml:space="preserve">-</m:t>
                </m:r>
                <m:sSubSup>
                  <m:sSubSupPr>
                    <m:ctrlPr>
                      <w:rPr>
                        <w:rFonts w:ascii="Cambria Math" w:hAnsi="Cambria Math"/>
                        <w:i/>
                      </w:rPr>
                    </m:ctrlPr>
                  </m:sSubSupPr>
                  <m:e>
                    <m:r>
                      <w:rPr>
                        <w:rFonts w:ascii="Cambria Math" w:hAnsi="Cambria Math"/>
                      </w:rPr>
                      <m:t xml:space="preserve">a</m:t>
                    </m:r>
                  </m:e>
                  <m:sub>
                    <m:r>
                      <w:rPr>
                        <w:rFonts w:ascii="Cambria Math" w:hAnsi="Cambria Math"/>
                      </w:rPr>
                      <m:t xml:space="preserve">s</m:t>
                    </m:r>
                  </m:sub>
                  <m:sup>
                    <m:r>
                      <w:rPr>
                        <w:rFonts w:ascii="Cambria Math" w:hAnsi="Cambria Math"/>
                      </w:rPr>
                      <m:t xml:space="preserve">'</m:t>
                    </m:r>
                  </m:sup>
                </m:sSubSup>
              </m:num>
              <m:den>
                <m:r>
                  <w:rPr>
                    <w:rFonts w:ascii="Cambria Math" w:hAnsi="Cambria Math"/>
                  </w:rPr>
                  <m:t xml:space="preserve">s</m:t>
                </m:r>
              </m:den>
            </m:f>
          </m:e>
        </m:d>
      </m:oMath>
      <w:r>
        <w:rPr>
          <w:rFonts w:hint="eastAsia" w:hAnsi="宋体"/>
          <w:i/>
        </w:rPr>
        <w:t xml:space="preserve"> </w:t>
      </w:r>
      <w:r>
        <w:rPr>
          <w:rFonts w:hAnsi="宋体"/>
          <w:i/>
        </w:rPr>
        <w:t xml:space="preserve"> </w:t>
      </w:r>
      <w:r>
        <w:rPr>
          <w:rFonts w:hAnsi="宋体"/>
          <w:iCs/>
        </w:rPr>
        <w:t xml:space="preserve">   </w:t>
      </w:r>
      <w:r>
        <w:rPr>
          <w:rFonts w:hAnsi="宋体"/>
          <w:i/>
        </w:rPr>
        <w:t xml:space="preserve">      </w:t>
      </w:r>
      <w:r>
        <w:rPr>
          <w:rFonts w:hAnsi="宋体"/>
        </w:rPr>
        <w:t>(5.2.7-4)</w:t>
      </w:r>
    </w:p>
    <w:p>
      <w:pPr>
        <w:snapToGrid w:val="0"/>
        <w:spacing w:line="360" w:lineRule="auto"/>
        <w:ind w:firstLine="480"/>
        <w:jc w:val="left"/>
        <w:rPr>
          <w:rFonts w:hAnsi="宋体"/>
        </w:rPr>
      </w:pPr>
      <w:r>
        <w:rPr>
          <w:rFonts w:hint="eastAsia" w:hAnsi="宋体"/>
        </w:rPr>
        <w:t>式中：</w:t>
      </w:r>
      <m:oMath>
        <m:sSub>
          <m:sSubPr>
            <m:ctrlPr>
              <w:rPr>
                <w:rFonts w:ascii="Cambria Math" w:hAnsi="Cambria Math"/>
                <w:i/>
              </w:rPr>
            </m:ctrlPr>
          </m:sSubPr>
          <m:e>
            <m:r>
              <w:rPr>
                <w:rFonts w:ascii="Cambria Math" w:hAnsi="Cambria Math"/>
              </w:rPr>
              <m:t xml:space="preserve">V</m:t>
            </m:r>
          </m:e>
          <m:sub>
            <m:r>
              <w:rPr>
                <w:rFonts w:ascii="Cambria Math" w:hAnsi="Cambria Math"/>
              </w:rPr>
              <m:t xml:space="preserve">j</m:t>
            </m:r>
          </m:sub>
        </m:sSub>
      </m:oMath>
      <w:r>
        <w:rPr>
          <w:rFonts w:hint="eastAsia" w:hAnsi="宋体"/>
        </w:rPr>
        <w:t xml:space="preserve"> </w:t>
      </w:r>
      <w:r>
        <w:rPr>
          <w:rFonts w:hAnsi="宋体"/>
        </w:rPr>
        <w:t xml:space="preserve"> ——</w:t>
      </w:r>
      <w:r>
        <w:rPr>
          <w:rFonts w:hint="eastAsia" w:hAnsi="宋体"/>
        </w:rPr>
        <w:t>板柱节点核芯区组合的剪力设计值；</w:t>
      </w:r>
    </w:p>
    <w:p>
      <w:pPr>
        <w:snapToGrid w:val="0"/>
        <w:spacing w:line="360" w:lineRule="auto"/>
        <w:ind w:firstLine="480"/>
        <w:jc w:val="left"/>
        <w:rPr>
          <w:rFonts w:hAnsi="宋体"/>
        </w:rPr>
      </w:pPr>
      <w:r>
        <w:rPr>
          <w:rFonts w:hint="eastAsia" w:hAnsi="宋体"/>
        </w:rPr>
        <w:t xml:space="preserve"> </w:t>
      </w:r>
      <w:r>
        <w:rPr>
          <w:rFonts w:hAnsi="宋体"/>
        </w:rPr>
        <w:t xml:space="preserve">     </w:t>
      </w:r>
      <m:oMath>
        <m:sSub>
          <m:sSubPr>
            <m:ctrlPr>
              <w:rPr>
                <w:rFonts w:ascii="Cambria Math" w:hAnsi="Cambria Math"/>
                <w:i/>
              </w:rPr>
            </m:ctrlPr>
          </m:sSubPr>
          <m:e>
            <m:r>
              <w:rPr>
                <w:rFonts w:ascii="Cambria Math" w:hAnsi="Cambria Math"/>
              </w:rPr>
              <m:t xml:space="preserve">h</m:t>
            </m:r>
          </m:e>
          <m:sub>
            <m:r>
              <w:rPr>
                <w:rFonts w:ascii="Cambria Math" w:hAnsi="Cambria Math"/>
              </w:rPr>
              <m:t xml:space="preserve">s0</m:t>
            </m:r>
          </m:sub>
        </m:sSub>
      </m:oMath>
      <w:r>
        <w:rPr>
          <w:rFonts w:hAnsi="宋体"/>
        </w:rPr>
        <w:t>——</w:t>
      </w:r>
      <w:r>
        <w:rPr>
          <w:rFonts w:hint="eastAsia" w:hAnsi="宋体"/>
        </w:rPr>
        <w:t>厚板截面的有效高度；</w:t>
      </w:r>
    </w:p>
    <w:p>
      <w:pPr>
        <w:snapToGrid w:val="0"/>
        <w:spacing w:line="360" w:lineRule="auto"/>
        <w:ind w:firstLine="480"/>
        <w:jc w:val="left"/>
        <w:rPr>
          <w:rFonts w:hAnsi="宋体"/>
        </w:rPr>
      </w:pPr>
      <w:r>
        <w:rPr>
          <w:rFonts w:hint="eastAsia" w:hAnsi="宋体"/>
        </w:rPr>
        <w:t xml:space="preserve"> </w:t>
      </w:r>
      <w:r>
        <w:rPr>
          <w:rFonts w:hAnsi="宋体"/>
        </w:rPr>
        <w:t xml:space="preserve">      </w:t>
      </w:r>
      <m:oMath>
        <m:sSubSup>
          <m:sSubSupPr>
            <m:ctrlPr>
              <w:rPr>
                <w:rFonts w:ascii="Cambria Math" w:hAnsi="Cambria Math"/>
                <w:i/>
              </w:rPr>
            </m:ctrlPr>
          </m:sSubSupPr>
          <m:e>
            <m:r>
              <w:rPr>
                <w:rFonts w:ascii="Cambria Math" w:hAnsi="Cambria Math"/>
              </w:rPr>
              <m:t xml:space="preserve">a</m:t>
            </m:r>
          </m:e>
          <m:sub>
            <m:r>
              <w:rPr>
                <w:rFonts w:ascii="Cambria Math" w:hAnsi="Cambria Math"/>
              </w:rPr>
              <m:t xml:space="preserve">s</m:t>
            </m:r>
          </m:sub>
          <m:sup>
            <m:r>
              <w:rPr>
                <w:rFonts w:ascii="Cambria Math" w:hAnsi="Cambria Math"/>
              </w:rPr>
              <m:t xml:space="preserve">'</m:t>
            </m:r>
          </m:sup>
        </m:sSubSup>
      </m:oMath>
      <w:r>
        <w:rPr>
          <w:rFonts w:hAnsi="宋体"/>
        </w:rPr>
        <w:t>——</w:t>
      </w:r>
      <w:r>
        <w:rPr>
          <w:rFonts w:hint="eastAsia" w:hAnsi="宋体"/>
        </w:rPr>
        <w:t>板受压钢筋合力点至受压边缘的距离；</w:t>
      </w:r>
    </w:p>
    <w:p>
      <w:pPr>
        <w:snapToGrid w:val="0"/>
        <w:spacing w:line="360" w:lineRule="auto"/>
        <w:ind w:firstLine="480"/>
        <w:jc w:val="left"/>
        <w:rPr>
          <w:rFonts w:hAnsi="宋体"/>
        </w:rPr>
      </w:pPr>
      <w:r>
        <w:rPr>
          <w:rFonts w:hint="eastAsia" w:hAnsi="宋体"/>
        </w:rPr>
        <w:t xml:space="preserve"> </w:t>
      </w:r>
      <w:r>
        <w:rPr>
          <w:rFonts w:hAnsi="宋体"/>
        </w:rPr>
        <w:t xml:space="preserve">      </w:t>
      </w:r>
      <m:oMath>
        <m:sSub>
          <m:sSubPr>
            <m:ctrlPr>
              <w:rPr>
                <w:rFonts w:ascii="Cambria Math" w:hAnsi="Cambria Math"/>
                <w:i/>
              </w:rPr>
            </m:ctrlPr>
          </m:sSubPr>
          <m:e>
            <m:r>
              <w:rPr>
                <w:rFonts w:ascii="Cambria Math" w:hAnsi="Cambria Math"/>
              </w:rPr>
              <m:t xml:space="preserve">H</m:t>
            </m:r>
          </m:e>
          <m:sub>
            <m:r>
              <w:rPr>
                <w:rFonts w:ascii="Cambria Math" w:hAnsi="Cambria Math"/>
              </w:rPr>
              <m:t xml:space="preserve">c</m:t>
            </m:r>
          </m:sub>
        </m:sSub>
      </m:oMath>
      <w:r>
        <w:rPr>
          <w:rFonts w:hAnsi="宋体"/>
        </w:rPr>
        <w:t>——</w:t>
      </w:r>
      <w:r>
        <w:rPr>
          <w:rFonts w:hint="eastAsia" w:hAnsi="宋体"/>
        </w:rPr>
        <w:t>柱的计算高度，可采用节点和下柱反弯点之间的距离</w:t>
      </w:r>
    </w:p>
    <w:p>
      <w:pPr>
        <w:snapToGrid w:val="0"/>
        <w:spacing w:line="360" w:lineRule="auto"/>
        <w:ind w:firstLine="480"/>
        <w:jc w:val="left"/>
        <w:rPr>
          <w:rFonts w:hAnsi="宋体"/>
        </w:rPr>
      </w:pPr>
      <w:r>
        <w:rPr>
          <w:rFonts w:hint="eastAsia" w:hAnsi="宋体"/>
        </w:rPr>
        <w:t xml:space="preserve"> </w:t>
      </w:r>
      <w:r>
        <w:rPr>
          <w:rFonts w:hAnsi="宋体"/>
        </w:rPr>
        <w:t xml:space="preserve">      </w:t>
      </w:r>
      <m:oMath>
        <m:sSub>
          <m:sSubPr>
            <m:ctrlPr>
              <w:rPr>
                <w:rFonts w:ascii="Cambria Math" w:hAnsi="Cambria Math"/>
                <w:i/>
              </w:rPr>
            </m:ctrlPr>
          </m:sSubPr>
          <m:e>
            <m:r>
              <w:rPr>
                <w:rFonts w:ascii="Cambria Math" w:hAnsi="Cambria Math"/>
              </w:rPr>
              <m:t xml:space="preserve">h</m:t>
            </m:r>
          </m:e>
          <m:sub>
            <m:r>
              <w:rPr>
                <w:rFonts w:ascii="Cambria Math" w:hAnsi="Cambria Math"/>
              </w:rPr>
              <m:t xml:space="preserve">s</m:t>
            </m:r>
          </m:sub>
        </m:sSub>
      </m:oMath>
      <w:r>
        <w:rPr>
          <w:rFonts w:hAnsi="宋体"/>
        </w:rPr>
        <w:t>——</w:t>
      </w:r>
      <w:r>
        <w:rPr>
          <w:rFonts w:hint="eastAsia" w:hAnsi="宋体"/>
        </w:rPr>
        <w:t>厚板截面的板厚；</w:t>
      </w:r>
    </w:p>
    <w:p>
      <w:pPr>
        <w:snapToGrid w:val="0"/>
        <w:spacing w:line="360" w:lineRule="auto"/>
        <w:ind w:firstLine="480"/>
        <w:jc w:val="left"/>
        <w:rPr>
          <w:rFonts w:hAnsi="宋体"/>
        </w:rPr>
      </w:pPr>
      <w:r>
        <w:rPr>
          <w:rFonts w:hint="eastAsia" w:hAnsi="宋体"/>
        </w:rPr>
        <w:t xml:space="preserve"> </w:t>
      </w:r>
      <w:r>
        <w:rPr>
          <w:rFonts w:hAnsi="宋体"/>
        </w:rPr>
        <w:t xml:space="preserve">  </w:t>
      </w:r>
      <m:oMath>
        <m:nary>
          <m:naryPr>
            <m:chr m:val="∑"/>
            <m:limLoc m:val="undOvr"/>
            <m:subHide m:val="1"/>
            <m:supHide m:val="1"/>
            <m:ctrlPr>
              <w:rPr>
                <w:rFonts w:ascii="Cambria Math" w:hAnsi="Cambria Math"/>
                <w:i/>
              </w:rPr>
            </m:ctrlPr>
          </m:naryPr>
          <m:sub/>
          <m:sup/>
          <m:e>
            <m:sSub>
              <m:sSubPr>
                <m:ctrlPr>
                  <w:rPr>
                    <w:rFonts w:ascii="Cambria Math" w:hAnsi="Cambria Math"/>
                    <w:i/>
                  </w:rPr>
                </m:ctrlPr>
              </m:sSubPr>
              <m:e>
                <m:r>
                  <w:rPr>
                    <w:rFonts w:ascii="Cambria Math" w:hAnsi="Cambria Math"/>
                  </w:rPr>
                  <m:t xml:space="preserve">M</m:t>
                </m:r>
              </m:e>
              <m:sub>
                <m:r>
                  <w:rPr>
                    <w:rFonts w:ascii="Cambria Math" w:hAnsi="Cambria Math"/>
                  </w:rPr>
                  <m:t xml:space="preserve">bua</m:t>
                </m:r>
              </m:sub>
            </m:sSub>
          </m:e>
        </m:nary>
      </m:oMath>
      <w:r>
        <w:rPr>
          <w:rFonts w:hAnsi="宋体"/>
        </w:rPr>
        <w:t>——</w:t>
      </w:r>
      <w:r>
        <w:rPr>
          <w:rFonts w:hint="eastAsia" w:hAnsi="宋体"/>
        </w:rPr>
        <w:t>节点左右穿过柱截面宽度范围板带反时针或顺时针方向实配的正截面抗震受弯承载力所对应的弯矩之和，可根据实配钢筋面积和材料强度标准值确定；</w:t>
      </w:r>
    </w:p>
    <w:p>
      <w:pPr>
        <w:snapToGrid w:val="0"/>
        <w:spacing w:line="360" w:lineRule="auto"/>
        <w:ind w:firstLine="480"/>
        <w:jc w:val="left"/>
        <w:rPr>
          <w:rFonts w:hAnsi="宋体"/>
        </w:rPr>
      </w:pPr>
      <w:r>
        <w:rPr>
          <w:rFonts w:hint="eastAsia" w:hAnsi="宋体"/>
        </w:rPr>
        <w:t xml:space="preserve"> </w:t>
      </w:r>
      <w:r>
        <w:rPr>
          <w:rFonts w:hAnsi="宋体"/>
        </w:rPr>
        <w:t xml:space="preserve">      </w:t>
      </w:r>
      <m:oMath>
        <m:sSub>
          <m:sSubPr>
            <m:ctrlPr>
              <w:rPr>
                <w:rFonts w:ascii="Cambria Math" w:hAnsi="Cambria Math"/>
                <w:i/>
              </w:rPr>
            </m:ctrlPr>
          </m:sSubPr>
          <m:e>
            <m:r>
              <w:rPr>
                <w:rFonts w:ascii="Cambria Math" w:hAnsi="Cambria Math"/>
              </w:rPr>
              <m:t xml:space="preserve">A</m:t>
            </m:r>
          </m:e>
          <m:sub>
            <m:r>
              <w:rPr>
                <w:rFonts w:ascii="Cambria Math" w:hAnsi="Cambria Math"/>
              </w:rPr>
              <m:t xml:space="preserve">j</m:t>
            </m:r>
          </m:sub>
        </m:sSub>
      </m:oMath>
      <w:r>
        <w:rPr>
          <w:rFonts w:hAnsi="宋体"/>
        </w:rPr>
        <w:t>——</w:t>
      </w:r>
      <w:r>
        <w:rPr>
          <w:rFonts w:hint="eastAsia" w:hAnsi="宋体"/>
        </w:rPr>
        <w:t>节点核芯区有效截面面积，矩形柱可采用柱截面面积，圆柱可取0</w:t>
      </w:r>
      <w:r>
        <w:rPr>
          <w:rFonts w:hAnsi="宋体"/>
        </w:rPr>
        <w:t>.8</w:t>
      </w:r>
      <m:oMath>
        <m:sSup>
          <m:sSupPr>
            <m:ctrlPr>
              <w:rPr>
                <w:rFonts w:ascii="Cambria Math" w:hAnsi="Cambria Math"/>
                <w:i/>
              </w:rPr>
            </m:ctrlPr>
          </m:sSupPr>
          <m:e>
            <m:r>
              <w:rPr>
                <w:rFonts w:ascii="Cambria Math" w:hAnsi="Cambria Math"/>
              </w:rPr>
              <m:t xml:space="preserve">D</m:t>
            </m:r>
          </m:e>
          <m:sup>
            <m:r>
              <w:rPr>
                <w:rFonts w:ascii="Cambria Math" w:hAnsi="Cambria Math"/>
              </w:rPr>
              <m:t xml:space="preserve">2</m:t>
            </m:r>
          </m:sup>
        </m:sSup>
      </m:oMath>
      <w:r>
        <w:rPr>
          <w:rFonts w:hint="eastAsia" w:hAnsi="宋体"/>
        </w:rPr>
        <w:t>，D为圆柱直径；</w:t>
      </w:r>
    </w:p>
    <w:p>
      <w:pPr>
        <w:snapToGrid w:val="0"/>
        <w:spacing w:line="360" w:lineRule="auto"/>
        <w:ind w:firstLine="480"/>
        <w:jc w:val="left"/>
        <w:rPr>
          <w:rFonts w:hAnsi="宋体"/>
        </w:rPr>
      </w:pPr>
      <w:r>
        <w:rPr>
          <w:rFonts w:hint="eastAsia" w:hAnsi="宋体"/>
        </w:rPr>
        <w:t xml:space="preserve"> </w:t>
      </w:r>
      <w:r>
        <w:rPr>
          <w:rFonts w:hAnsi="宋体"/>
        </w:rPr>
        <w:t xml:space="preserve">      </w:t>
      </w:r>
      <m:oMath>
        <m:sSub>
          <m:sSubPr>
            <m:ctrlPr>
              <w:rPr>
                <w:rFonts w:ascii="Cambria Math" w:hAnsi="Cambria Math"/>
                <w:i/>
              </w:rPr>
            </m:ctrlPr>
          </m:sSubPr>
          <m:e>
            <m:r>
              <w:rPr>
                <w:rFonts w:ascii="Cambria Math" w:hAnsi="Cambria Math"/>
              </w:rPr>
              <m:t xml:space="preserve">A</m:t>
            </m:r>
          </m:e>
          <m:sub>
            <m:r>
              <w:rPr>
                <w:rFonts w:ascii="Cambria Math" w:hAnsi="Cambria Math"/>
              </w:rPr>
              <m:t xml:space="preserve">svj</m:t>
            </m:r>
          </m:sub>
        </m:sSub>
      </m:oMath>
      <w:r>
        <w:rPr>
          <w:rFonts w:hAnsi="宋体"/>
        </w:rPr>
        <w:t>——</w:t>
      </w:r>
      <w:r>
        <w:rPr>
          <w:rFonts w:hint="eastAsia" w:hAnsi="宋体"/>
        </w:rPr>
        <w:t>核芯区有效验算宽度范围内同一截面验算方向箍筋的总截面面积，对于圆柱为同一截面验算方向的拉筋和非圆形箍筋的总截面面积；</w:t>
      </w:r>
    </w:p>
    <w:p>
      <w:pPr>
        <w:snapToGrid w:val="0"/>
        <w:spacing w:line="360" w:lineRule="auto"/>
        <w:ind w:firstLine="480"/>
        <w:jc w:val="left"/>
        <w:rPr>
          <w:rFonts w:hAnsi="宋体"/>
        </w:rPr>
      </w:pPr>
      <w:r>
        <w:rPr>
          <w:rFonts w:hint="eastAsia" w:hAnsi="宋体"/>
        </w:rPr>
        <w:t xml:space="preserve"> </w:t>
      </w:r>
      <w:r>
        <w:rPr>
          <w:rFonts w:hAnsi="宋体"/>
        </w:rPr>
        <w:t xml:space="preserve">      </w:t>
      </w:r>
      <m:oMath>
        <m:sSub>
          <m:sSubPr>
            <m:ctrlPr>
              <w:rPr>
                <w:rFonts w:ascii="Cambria Math" w:hAnsi="Cambria Math"/>
                <w:i/>
              </w:rPr>
            </m:ctrlPr>
          </m:sSubPr>
          <m:e>
            <m:r>
              <w:rPr>
                <w:rFonts w:ascii="Cambria Math" w:hAnsi="Cambria Math"/>
              </w:rPr>
              <m:t xml:space="preserve">γ</m:t>
            </m:r>
          </m:e>
          <m:sub>
            <m:r>
              <w:rPr>
                <w:rFonts w:ascii="Cambria Math" w:hAnsi="Cambria Math"/>
              </w:rPr>
              <m:t xml:space="preserve">RE</m:t>
            </m:r>
          </m:sub>
        </m:sSub>
      </m:oMath>
      <w:r>
        <w:rPr>
          <w:rFonts w:hAnsi="宋体"/>
        </w:rPr>
        <w:t>——</w:t>
      </w:r>
      <w:r>
        <w:rPr>
          <w:rFonts w:hint="eastAsia" w:hAnsi="宋体"/>
        </w:rPr>
        <w:t>承载力抗震调整系数，取0</w:t>
      </w:r>
      <w:r>
        <w:rPr>
          <w:rFonts w:hAnsi="宋体"/>
        </w:rPr>
        <w:t>.85</w:t>
      </w:r>
      <w:r>
        <w:rPr>
          <w:rFonts w:hint="eastAsia" w:hAnsi="宋体"/>
        </w:rPr>
        <w:t>；</w:t>
      </w:r>
    </w:p>
    <w:p>
      <w:pPr>
        <w:snapToGrid w:val="0"/>
        <w:spacing w:line="360" w:lineRule="auto"/>
        <w:ind w:firstLine="480"/>
        <w:jc w:val="left"/>
        <w:rPr>
          <w:rFonts w:hAnsi="宋体"/>
        </w:rPr>
      </w:pPr>
      <w:r>
        <w:rPr>
          <w:rFonts w:hint="eastAsia" w:hAnsi="宋体"/>
        </w:rPr>
        <w:t xml:space="preserve"> </w:t>
      </w:r>
      <w:r>
        <w:rPr>
          <w:rFonts w:hAnsi="宋体"/>
        </w:rPr>
        <w:t xml:space="preserve">      </w:t>
      </w:r>
      <m:oMath>
        <m:sSub>
          <m:sSubPr>
            <m:ctrlPr>
              <w:rPr>
                <w:rFonts w:ascii="Cambria Math" w:hAnsi="Cambria Math"/>
                <w:i/>
              </w:rPr>
            </m:ctrlPr>
          </m:sSubPr>
          <m:e>
            <m:r>
              <w:rPr>
                <w:rFonts w:ascii="Cambria Math" w:hAnsi="Cambria Math"/>
              </w:rPr>
              <m:t xml:space="preserve">η</m:t>
            </m:r>
          </m:e>
          <m:sub>
            <m:r>
              <w:rPr>
                <w:rFonts w:ascii="Cambria Math" w:hAnsi="Cambria Math"/>
              </w:rPr>
              <m:t xml:space="preserve">j</m:t>
            </m:r>
          </m:sub>
        </m:sSub>
      </m:oMath>
      <w:r>
        <w:rPr>
          <w:rFonts w:hAnsi="宋体"/>
        </w:rPr>
        <w:t>——</w:t>
      </w:r>
      <w:r>
        <w:rPr>
          <w:rFonts w:hint="eastAsia" w:hAnsi="宋体"/>
        </w:rPr>
        <w:t>厚板约束影响系数，中柱可取</w:t>
      </w:r>
      <w:r>
        <w:rPr>
          <w:rFonts w:hAnsi="宋体"/>
        </w:rPr>
        <w:t>1.25</w:t>
      </w:r>
      <w:r>
        <w:rPr>
          <w:rFonts w:hint="eastAsia" w:hAnsi="宋体"/>
        </w:rPr>
        <w:t>，边柱和角柱宜取1</w:t>
      </w:r>
      <w:r>
        <w:rPr>
          <w:rFonts w:hAnsi="宋体"/>
        </w:rPr>
        <w:t>.0</w:t>
      </w:r>
      <w:r>
        <w:rPr>
          <w:rFonts w:hint="eastAsia" w:hAnsi="宋体"/>
        </w:rPr>
        <w:t>；</w:t>
      </w:r>
    </w:p>
    <w:p>
      <w:pPr>
        <w:snapToGrid w:val="0"/>
        <w:spacing w:line="360" w:lineRule="auto"/>
        <w:ind w:firstLine="480"/>
        <w:jc w:val="left"/>
        <w:rPr>
          <w:rFonts w:hAnsi="宋体"/>
          <w:i/>
        </w:rPr>
      </w:pPr>
      <w:r>
        <w:rPr>
          <w:rFonts w:hint="eastAsia" w:hAnsi="宋体"/>
        </w:rPr>
        <w:t xml:space="preserve"> </w:t>
      </w:r>
      <w:r>
        <w:rPr>
          <w:rFonts w:hAnsi="宋体"/>
        </w:rPr>
        <w:t xml:space="preserve">     </w:t>
      </w:r>
      <m:oMath>
        <m:sSub>
          <m:sSubPr>
            <m:ctrlPr>
              <w:rPr>
                <w:rFonts w:ascii="Cambria Math" w:hAnsi="Cambria Math"/>
                <w:i/>
              </w:rPr>
            </m:ctrlPr>
          </m:sSubPr>
          <m:e>
            <m:r>
              <w:rPr>
                <w:rFonts w:ascii="Cambria Math" w:hAnsi="Cambria Math"/>
              </w:rPr>
              <m:t xml:space="preserve">A</m:t>
            </m:r>
          </m:e>
          <m:sub>
            <m:r>
              <w:rPr>
                <w:rFonts w:ascii="Cambria Math" w:hAnsi="Cambria Math"/>
              </w:rPr>
              <m:t xml:space="preserve">sh</m:t>
            </m:r>
          </m:sub>
        </m:sSub>
      </m:oMath>
      <w:r>
        <w:rPr>
          <w:rFonts w:hAnsi="宋体"/>
        </w:rPr>
        <w:t>——</w:t>
      </w:r>
      <w:r>
        <w:rPr>
          <w:rFonts w:hint="eastAsia" w:hAnsi="宋体"/>
        </w:rPr>
        <w:t>单根圆形箍筋的截面面积。</w:t>
      </w:r>
    </w:p>
    <w:p>
      <w:pPr>
        <w:snapToGrid w:val="0"/>
        <w:spacing w:line="360" w:lineRule="auto"/>
        <w:ind w:firstLine="480"/>
        <w:rPr>
          <w:rFonts w:hAnsi="宋体"/>
        </w:rPr>
      </w:pPr>
      <w:r>
        <w:rPr>
          <w:rFonts w:hint="eastAsia" w:hAnsi="宋体"/>
        </w:rPr>
        <w:t xml:space="preserve"> </w:t>
      </w:r>
      <w:r>
        <w:rPr>
          <w:rFonts w:hint="eastAsia" w:eastAsia="等线"/>
          <w:b/>
          <w:bCs/>
        </w:rPr>
        <w:t>[条文说明]</w:t>
      </w:r>
      <w:r>
        <w:rPr>
          <w:rFonts w:hint="eastAsia" w:hAnsi="宋体"/>
        </w:rPr>
        <w:t>根据强节点设计要求，应进行节点核心区受剪承载力验算，参考《建筑抗震设计规范》GB50011关于框架梁柱节点核芯区截面抗震验算的相关规定调整，节点核芯区仅考虑柱截面宽度范围区域。</w:t>
      </w:r>
    </w:p>
    <w:p>
      <w:pPr>
        <w:snapToGrid w:val="0"/>
        <w:spacing w:line="360" w:lineRule="auto"/>
        <w:ind w:firstLine="482"/>
        <w:rPr>
          <w:rFonts w:hAnsi="宋体"/>
        </w:rPr>
      </w:pPr>
      <w:r>
        <w:rPr>
          <w:b/>
          <w:bCs/>
        </w:rPr>
        <w:t>5.2.8</w:t>
      </w:r>
      <w:r>
        <w:rPr>
          <w:rFonts w:hint="eastAsia" w:hAnsi="宋体"/>
        </w:rPr>
        <w:t>转换厚板设计应符合下列规定：</w:t>
      </w:r>
    </w:p>
    <w:p>
      <w:pPr>
        <w:snapToGrid w:val="0"/>
        <w:spacing w:line="360" w:lineRule="auto"/>
        <w:ind w:firstLine="480"/>
        <w:rPr>
          <w:rFonts w:hAnsi="宋体"/>
        </w:rPr>
      </w:pPr>
      <w:r>
        <w:rPr>
          <w:rFonts w:hAnsi="宋体"/>
        </w:rPr>
        <w:t xml:space="preserve">1  </w:t>
      </w:r>
      <w:r>
        <w:rPr>
          <w:rFonts w:hint="eastAsia" w:hAnsi="宋体"/>
        </w:rPr>
        <w:t>受弯纵向钢筋可沿转换板上、下部双层双向配置，钢筋间距不宜小于</w:t>
      </w:r>
      <w:r>
        <w:rPr>
          <w:rFonts w:hAnsi="宋体"/>
        </w:rPr>
        <w:t>150mm</w:t>
      </w:r>
      <w:r>
        <w:rPr>
          <w:rFonts w:hint="eastAsia" w:hAnsi="宋体"/>
        </w:rPr>
        <w:t>，不宜大于2</w:t>
      </w:r>
      <w:r>
        <w:rPr>
          <w:rFonts w:hAnsi="宋体"/>
        </w:rPr>
        <w:t>50mm</w:t>
      </w:r>
      <w:r>
        <w:rPr>
          <w:rFonts w:hint="eastAsia" w:hAnsi="宋体"/>
        </w:rPr>
        <w:t>，板顶、板底受力钢筋配筋率不宜小于0</w:t>
      </w:r>
      <w:r>
        <w:rPr>
          <w:rFonts w:hAnsi="宋体"/>
        </w:rPr>
        <w:t>.2%</w:t>
      </w:r>
      <w:r>
        <w:rPr>
          <w:rFonts w:hint="eastAsia" w:hAnsi="宋体"/>
        </w:rPr>
        <w:t>。</w:t>
      </w:r>
    </w:p>
    <w:p>
      <w:pPr>
        <w:snapToGrid w:val="0"/>
        <w:spacing w:line="360" w:lineRule="auto"/>
        <w:ind w:firstLine="480"/>
        <w:rPr>
          <w:rFonts w:hAnsi="宋体"/>
        </w:rPr>
      </w:pPr>
      <w:r>
        <w:rPr>
          <w:rFonts w:hint="eastAsia" w:eastAsia="等线"/>
          <w:b/>
          <w:bCs/>
        </w:rPr>
        <w:t>[条文说明]</w:t>
      </w:r>
      <w:r>
        <w:rPr>
          <w:rFonts w:hint="eastAsia" w:hAnsi="宋体"/>
        </w:rPr>
        <w:t>根据香港转换板工程经验，为方便混凝土浇筑，转换</w:t>
      </w:r>
      <w:r>
        <w:rPr>
          <w:rFonts w:hint="eastAsia"/>
        </w:rPr>
        <w:t>板纵筋优先采用大直径钢筋，按大间距布置，当单层</w:t>
      </w:r>
      <w:r>
        <w:t>钢筋不能满足计算需要</w:t>
      </w:r>
      <w:r>
        <w:rPr>
          <w:rFonts w:hint="eastAsia"/>
        </w:rPr>
        <w:t>时，可增加钢筋层数。</w:t>
      </w:r>
    </w:p>
    <w:p>
      <w:pPr>
        <w:snapToGrid w:val="0"/>
        <w:spacing w:line="360" w:lineRule="auto"/>
        <w:ind w:firstLine="480"/>
        <w:rPr>
          <w:rFonts w:hAnsi="宋体"/>
        </w:rPr>
      </w:pPr>
      <w:r>
        <w:rPr>
          <w:rFonts w:hAnsi="宋体"/>
        </w:rPr>
        <w:t xml:space="preserve">2  </w:t>
      </w:r>
      <w:r>
        <w:rPr>
          <w:rFonts w:hint="eastAsia" w:hAnsi="宋体"/>
        </w:rPr>
        <w:t>厚板的抗冲切横向钢筋可采用拉筋、弯起钢筋、锚栓或型钢剪力架等多种型式。拉筋应按计算所需的截面面积配置在冲切破坏锥体内，并应按相同的拉筋直径和间距向外延伸，配置在不小于</w:t>
      </w:r>
      <w:r>
        <w:rPr>
          <w:rFonts w:hAnsi="宋体"/>
        </w:rPr>
        <w:t>1.5</w:t>
      </w:r>
      <m:oMath>
        <m:sSub>
          <m:sSubPr>
            <m:ctrlPr>
              <w:rPr>
                <w:rFonts w:ascii="Cambria Math" w:hAnsi="Cambria Math"/>
                <w:i/>
              </w:rPr>
            </m:ctrlPr>
          </m:sSubPr>
          <m:e>
            <m:r>
              <w:rPr>
                <w:rFonts w:ascii="Cambria Math" w:hAnsi="Cambria Math"/>
              </w:rPr>
              <m:t xml:space="preserve">h</m:t>
            </m:r>
          </m:e>
          <m:sub>
            <m:r>
              <w:rPr>
                <w:rFonts w:ascii="Cambria Math" w:hAnsi="Cambria Math"/>
              </w:rPr>
              <m:t xml:space="preserve">0</m:t>
            </m:r>
          </m:sub>
        </m:sSub>
      </m:oMath>
      <w:r>
        <w:rPr>
          <w:rFonts w:hint="eastAsia" w:hAnsi="宋体"/>
        </w:rPr>
        <w:t>范围内，其间距不应大于</w:t>
      </w:r>
      <m:oMath>
        <m:sSub>
          <m:sSubPr>
            <m:ctrlPr>
              <w:rPr>
                <w:rFonts w:ascii="Cambria Math" w:hAnsi="Cambria Math"/>
                <w:i/>
              </w:rPr>
            </m:ctrlPr>
          </m:sSubPr>
          <m:e>
            <m:r>
              <w:rPr>
                <w:rFonts w:ascii="Cambria Math" w:hAnsi="Cambria Math"/>
              </w:rPr>
              <m:t xml:space="preserve">h</m:t>
            </m:r>
          </m:e>
          <m:sub>
            <m:r>
              <w:rPr>
                <w:rFonts w:ascii="Cambria Math" w:hAnsi="Cambria Math"/>
              </w:rPr>
              <m:t xml:space="preserve">0</m:t>
            </m:r>
          </m:sub>
        </m:sSub>
        <m:r>
          <w:rPr>
            <w:rFonts w:ascii="Cambria Math" w:hAnsi="Cambria Math"/>
          </w:rPr>
          <m:t xml:space="preserve">/3</m:t>
        </m:r>
      </m:oMath>
      <w:r>
        <w:rPr>
          <w:rFonts w:hint="eastAsia" w:hAnsi="宋体"/>
        </w:rPr>
        <w:t>，其中距柱边0</w:t>
      </w:r>
      <w:r>
        <w:rPr>
          <w:rFonts w:hAnsi="宋体"/>
        </w:rPr>
        <w:t>.5</w:t>
      </w:r>
      <m:oMath>
        <m:sSub>
          <m:sSubPr>
            <m:ctrlPr>
              <w:rPr>
                <w:rFonts w:ascii="Cambria Math" w:hAnsi="Cambria Math"/>
                <w:i/>
              </w:rPr>
            </m:ctrlPr>
          </m:sSubPr>
          <m:e>
            <m:r>
              <w:rPr>
                <w:rFonts w:ascii="Cambria Math" w:hAnsi="Cambria Math"/>
              </w:rPr>
              <m:t xml:space="preserve">h</m:t>
            </m:r>
          </m:e>
          <m:sub>
            <m:r>
              <w:rPr>
                <w:rFonts w:ascii="Cambria Math" w:hAnsi="Cambria Math"/>
              </w:rPr>
              <m:t xml:space="preserve">0</m:t>
            </m:r>
          </m:sub>
        </m:sSub>
      </m:oMath>
      <w:r>
        <w:rPr>
          <w:rFonts w:hint="eastAsia" w:hAnsi="宋体"/>
        </w:rPr>
        <w:t>范围内拉筋总面积占比不少于</w:t>
      </w:r>
      <w:r>
        <w:rPr>
          <w:rFonts w:hAnsi="宋体"/>
        </w:rPr>
        <w:t>20%</w:t>
      </w:r>
      <w:r>
        <w:rPr>
          <w:rFonts w:hint="eastAsia" w:hAnsi="宋体"/>
        </w:rPr>
        <w:t>，0</w:t>
      </w:r>
      <w:r>
        <w:rPr>
          <w:rFonts w:hAnsi="宋体"/>
        </w:rPr>
        <w:t>.5</w:t>
      </w:r>
      <m:oMath>
        <m:sSub>
          <m:sSubPr>
            <m:ctrlPr>
              <w:rPr>
                <w:rFonts w:ascii="Cambria Math" w:hAnsi="Cambria Math"/>
                <w:i/>
              </w:rPr>
            </m:ctrlPr>
          </m:sSubPr>
          <m:e>
            <m:r>
              <w:rPr>
                <w:rFonts w:ascii="Cambria Math" w:hAnsi="Cambria Math"/>
              </w:rPr>
              <m:t xml:space="preserve">h</m:t>
            </m:r>
          </m:e>
          <m:sub>
            <m:r>
              <w:rPr>
                <w:rFonts w:ascii="Cambria Math" w:hAnsi="Cambria Math"/>
              </w:rPr>
              <m:t xml:space="preserve">0</m:t>
            </m:r>
          </m:sub>
        </m:sSub>
      </m:oMath>
      <w:r>
        <w:rPr>
          <w:rFonts w:hint="eastAsia" w:hAnsi="宋体"/>
        </w:rPr>
        <w:t>～1</w:t>
      </w:r>
      <w:r>
        <w:rPr>
          <w:rFonts w:hAnsi="宋体"/>
        </w:rPr>
        <w:t>.0</w:t>
      </w:r>
      <m:oMath>
        <m:sSub>
          <m:sSubPr>
            <m:ctrlPr>
              <w:rPr>
                <w:rFonts w:ascii="Cambria Math" w:hAnsi="Cambria Math"/>
                <w:i/>
              </w:rPr>
            </m:ctrlPr>
          </m:sSubPr>
          <m:e>
            <m:r>
              <w:rPr>
                <w:rFonts w:ascii="Cambria Math" w:hAnsi="Cambria Math"/>
              </w:rPr>
              <m:t xml:space="preserve">h</m:t>
            </m:r>
          </m:e>
          <m:sub>
            <m:r>
              <w:rPr>
                <w:rFonts w:ascii="Cambria Math" w:hAnsi="Cambria Math"/>
              </w:rPr>
              <m:t xml:space="preserve">0</m:t>
            </m:r>
          </m:sub>
        </m:sSub>
      </m:oMath>
      <w:r>
        <w:rPr>
          <w:rFonts w:hint="eastAsia" w:hAnsi="宋体"/>
        </w:rPr>
        <w:t>范围内拉筋总面积占比不少于</w:t>
      </w:r>
      <w:r>
        <w:rPr>
          <w:rFonts w:hAnsi="宋体"/>
        </w:rPr>
        <w:t>40%</w:t>
      </w:r>
      <w:r>
        <w:rPr>
          <w:rFonts w:hint="eastAsia" w:hAnsi="宋体"/>
        </w:rPr>
        <w:t>。</w:t>
      </w:r>
    </w:p>
    <w:p>
      <w:pPr>
        <w:pStyle w:val="91"/>
      </w:pPr>
      <w:r>
        <w:drawing>
          <wp:inline distT="0" distB="0" distL="0" distR="0">
            <wp:extent cx="5274310" cy="4686935"/>
            <wp:effectExtent l="0" t="0" r="254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5274310" cy="4686935"/>
                    </a:xfrm>
                    <a:prstGeom prst="rect">
                      <a:avLst/>
                    </a:prstGeom>
                    <a:noFill/>
                    <a:ln>
                      <a:noFill/>
                    </a:ln>
                  </pic:spPr>
                </pic:pic>
              </a:graphicData>
            </a:graphic>
          </wp:inline>
        </w:drawing>
      </w:r>
      <w:r>
        <w:rPr>
          <w:rFonts w:hint="eastAsia"/>
        </w:rPr>
        <w:t>图5</w:t>
      </w:r>
      <w:r>
        <w:t xml:space="preserve">.2.8 </w:t>
      </w:r>
      <w:r>
        <w:rPr>
          <w:rFonts w:hint="eastAsia"/>
        </w:rPr>
        <w:t>厚板抗冲切拉筋布置</w:t>
      </w:r>
    </w:p>
    <w:p>
      <w:pPr>
        <w:pStyle w:val="91"/>
        <w:rPr>
          <w:rFonts w:hAnsi="宋体"/>
        </w:rPr>
      </w:pPr>
    </w:p>
    <w:p>
      <w:pPr>
        <w:snapToGrid w:val="0"/>
        <w:spacing w:line="360" w:lineRule="auto"/>
        <w:ind w:firstLine="480"/>
        <w:rPr>
          <w:rFonts w:hAnsi="宋体"/>
        </w:rPr>
      </w:pPr>
      <w:r>
        <w:rPr>
          <w:rFonts w:hint="eastAsia" w:eastAsia="等线"/>
          <w:b/>
          <w:bCs/>
        </w:rPr>
        <w:t>[条文说明]</w:t>
      </w:r>
      <w:r>
        <w:rPr>
          <w:rFonts w:hint="eastAsia" w:hAnsi="宋体"/>
        </w:rPr>
        <w:t>本条参考了香港《混凝土结构作业守则》Cop</w:t>
      </w:r>
      <w:r>
        <w:rPr>
          <w:rFonts w:hAnsi="宋体"/>
        </w:rPr>
        <w:t>_SUC2013</w:t>
      </w:r>
      <w:r>
        <w:rPr>
          <w:rFonts w:hint="eastAsia" w:hAnsi="宋体"/>
        </w:rPr>
        <w:t>的相关规定。香港厚板设计抗冲切钢筋布置除布置在与柱截面正交的柱上板带，也可布置在破坏锥体的整个影响范围内，与有限元分析结果的冲切应力分布云图一致。</w:t>
      </w:r>
    </w:p>
    <w:p>
      <w:pPr>
        <w:snapToGrid w:val="0"/>
        <w:spacing w:line="360" w:lineRule="auto"/>
        <w:ind w:firstLine="480"/>
        <w:rPr>
          <w:rFonts w:hAnsi="宋体"/>
        </w:rPr>
      </w:pPr>
      <w:r>
        <w:rPr>
          <w:rFonts w:hint="eastAsia" w:hAnsi="宋体"/>
        </w:rPr>
        <w:t>3</w:t>
      </w:r>
      <w:r>
        <w:rPr>
          <w:rFonts w:hAnsi="宋体"/>
        </w:rPr>
        <w:t xml:space="preserve">  </w:t>
      </w:r>
      <w:r>
        <w:rPr>
          <w:rFonts w:hint="eastAsia" w:hAnsi="宋体"/>
        </w:rPr>
        <w:t>厚板外周边宜设置暗梁，暗梁的截面宽度不宜小于板厚的1</w:t>
      </w:r>
      <w:r>
        <w:rPr>
          <w:rFonts w:hAnsi="宋体"/>
        </w:rPr>
        <w:t>/4</w:t>
      </w:r>
      <w:r>
        <w:rPr>
          <w:rFonts w:hint="eastAsia" w:hAnsi="宋体"/>
        </w:rPr>
        <w:t>，暗梁上、下部纵向钢筋的配筋率不宜小于0</w:t>
      </w:r>
      <w:r>
        <w:rPr>
          <w:rFonts w:hAnsi="宋体"/>
        </w:rPr>
        <w:t>.40%</w:t>
      </w:r>
      <w:r>
        <w:rPr>
          <w:rFonts w:hint="eastAsia" w:hAnsi="宋体"/>
        </w:rPr>
        <w:t>，抗剪拉筋面积配筋率不宜小于0</w:t>
      </w:r>
      <w:r>
        <w:rPr>
          <w:rFonts w:hAnsi="宋体"/>
        </w:rPr>
        <w:t>.45%</w:t>
      </w:r>
      <w:r>
        <w:rPr>
          <w:rFonts w:hint="eastAsia" w:hAnsi="宋体"/>
        </w:rPr>
        <w:t>，腰筋间距不大于2</w:t>
      </w:r>
      <w:r>
        <w:rPr>
          <w:rFonts w:hAnsi="宋体"/>
        </w:rPr>
        <w:t>00mm</w:t>
      </w:r>
      <w:r>
        <w:rPr>
          <w:rFonts w:hint="eastAsia" w:hAnsi="宋体"/>
        </w:rPr>
        <w:t>，直径不小于1</w:t>
      </w:r>
      <w:r>
        <w:rPr>
          <w:rFonts w:hAnsi="宋体"/>
        </w:rPr>
        <w:t>2mm</w:t>
      </w:r>
      <w:r>
        <w:rPr>
          <w:rFonts w:hint="eastAsia" w:hAnsi="宋体"/>
        </w:rPr>
        <w:t>；当暗梁通过框支柱时，暗梁宽度不宜小于柱截面宽度的1</w:t>
      </w:r>
      <w:r>
        <w:rPr>
          <w:rFonts w:hAnsi="宋体"/>
        </w:rPr>
        <w:t>/2</w:t>
      </w:r>
      <w:r>
        <w:rPr>
          <w:rFonts w:hint="eastAsia" w:hAnsi="宋体"/>
        </w:rPr>
        <w:t>，不大于柱宽，配筋应满足柱上板带抗弯及抗剪要求，腰筋间距不大于2</w:t>
      </w:r>
      <w:r>
        <w:rPr>
          <w:rFonts w:hAnsi="宋体"/>
        </w:rPr>
        <w:t>00mm</w:t>
      </w:r>
      <w:r>
        <w:rPr>
          <w:rFonts w:hint="eastAsia" w:hAnsi="宋体"/>
        </w:rPr>
        <w:t>，直径不小于1</w:t>
      </w:r>
      <w:r>
        <w:rPr>
          <w:rFonts w:hAnsi="宋体"/>
        </w:rPr>
        <w:t>6mm</w:t>
      </w:r>
      <w:r>
        <w:rPr>
          <w:rFonts w:hint="eastAsia" w:hAnsi="宋体"/>
        </w:rPr>
        <w:t>。</w:t>
      </w:r>
    </w:p>
    <w:p>
      <w:pPr>
        <w:snapToGrid w:val="0"/>
        <w:spacing w:line="360" w:lineRule="auto"/>
        <w:ind w:firstLine="480"/>
        <w:rPr>
          <w:rFonts w:hAnsi="宋体"/>
        </w:rPr>
      </w:pPr>
      <w:r>
        <w:rPr>
          <w:rFonts w:hAnsi="宋体"/>
        </w:rPr>
        <w:t xml:space="preserve">4  </w:t>
      </w:r>
      <w:r>
        <w:rPr>
          <w:rFonts w:hint="eastAsia" w:hAnsi="宋体"/>
        </w:rPr>
        <w:t>厚板板厚中间部位应设置双向钢筋网，内力</w:t>
      </w:r>
      <w:r>
        <w:rPr>
          <w:rFonts w:hAnsi="宋体"/>
        </w:rPr>
        <w:t>计</w:t>
      </w:r>
      <w:r>
        <w:rPr>
          <w:rFonts w:hint="eastAsia" w:hAnsi="宋体"/>
        </w:rPr>
        <w:t>算可近似取有限元分析得到全截面轴力的1/</w:t>
      </w:r>
      <w:r>
        <w:rPr>
          <w:rFonts w:hAnsi="宋体"/>
        </w:rPr>
        <w:t>3</w:t>
      </w:r>
      <w:r>
        <w:rPr>
          <w:rFonts w:hint="eastAsia" w:hAnsi="宋体"/>
        </w:rPr>
        <w:t>，按轴心受拉计算配筋，钢筋直径不宜小于</w:t>
      </w:r>
      <w:r>
        <w:rPr>
          <w:rFonts w:hAnsi="宋体"/>
        </w:rPr>
        <w:t>12mm</w:t>
      </w:r>
      <w:r>
        <w:rPr>
          <w:rFonts w:hint="eastAsia" w:hAnsi="宋体"/>
        </w:rPr>
        <w:t>，间距不大于3</w:t>
      </w:r>
      <w:r>
        <w:rPr>
          <w:rFonts w:hAnsi="宋体"/>
        </w:rPr>
        <w:t>00mm</w:t>
      </w:r>
      <w:r>
        <w:rPr>
          <w:rFonts w:hint="eastAsia" w:hAnsi="宋体"/>
        </w:rPr>
        <w:t>。</w:t>
      </w:r>
    </w:p>
    <w:p>
      <w:pPr>
        <w:snapToGrid w:val="0"/>
        <w:spacing w:line="360" w:lineRule="auto"/>
        <w:ind w:firstLine="480"/>
        <w:rPr>
          <w:rFonts w:hAnsi="宋体"/>
          <w:color w:val="C00000"/>
        </w:rPr>
      </w:pPr>
      <w:r>
        <w:rPr>
          <w:rFonts w:hint="eastAsia" w:eastAsia="等线"/>
          <w:b/>
          <w:bCs/>
        </w:rPr>
        <w:t>[条文说明]</w:t>
      </w:r>
      <w:r>
        <w:rPr>
          <w:rFonts w:hint="eastAsia" w:hAnsi="宋体"/>
        </w:rPr>
        <w:t>在水平荷载作用下，厚板平面内会产生一定的面内轴向力，简化设计时通常通过在板顶及板底适当增加纵筋来抵抗此轴力。因为厚板本身厚度远大于普通楼板，轴力属于全截面受力，适当分配部分抗拉钢筋到板中，配筋更合理。此外，有限元实体单元分析结果表明水平力作用下厚板中部存在拉力，并在广州大学完成的厚板拟静力试验中得到证实。在板中设置钢筋网便于厚板施工。</w:t>
      </w:r>
    </w:p>
    <w:p>
      <w:pPr>
        <w:snapToGrid w:val="0"/>
        <w:spacing w:line="360" w:lineRule="auto"/>
        <w:ind w:firstLine="480"/>
        <w:rPr>
          <w:rFonts w:hAnsi="宋体"/>
        </w:rPr>
      </w:pPr>
      <w:r>
        <w:rPr>
          <w:rFonts w:hAnsi="宋体"/>
        </w:rPr>
        <w:t xml:space="preserve">5  </w:t>
      </w:r>
      <w:r>
        <w:rPr>
          <w:rFonts w:hint="eastAsia" w:hAnsi="宋体"/>
        </w:rPr>
        <w:t>厚板纵向钢筋接头宜采用机械连接，同一连接区段内接头钢筋截面面积不宜超过全部纵筋截面面积的5</w:t>
      </w:r>
      <w:r>
        <w:rPr>
          <w:rFonts w:hAnsi="宋体"/>
        </w:rPr>
        <w:t>0%</w:t>
      </w:r>
      <w:r>
        <w:rPr>
          <w:rFonts w:hint="eastAsia" w:hAnsi="宋体"/>
        </w:rPr>
        <w:t>，接头位置应避开上部墙体开洞部位、板上托柱、</w:t>
      </w:r>
      <w:r>
        <w:rPr>
          <w:rFonts w:hAnsi="宋体"/>
        </w:rPr>
        <w:t>托墙</w:t>
      </w:r>
      <w:r>
        <w:rPr>
          <w:rFonts w:hint="eastAsia" w:hAnsi="宋体"/>
        </w:rPr>
        <w:t>部位和受力较大部位。</w:t>
      </w:r>
    </w:p>
    <w:p>
      <w:pPr>
        <w:snapToGrid w:val="0"/>
        <w:spacing w:line="360" w:lineRule="auto"/>
        <w:ind w:firstLine="480"/>
        <w:rPr>
          <w:rFonts w:hAnsi="宋体"/>
        </w:rPr>
      </w:pPr>
      <w:r>
        <w:rPr>
          <w:rFonts w:hAnsi="宋体"/>
        </w:rPr>
        <w:t xml:space="preserve">6  </w:t>
      </w:r>
      <w:r>
        <w:rPr>
          <w:rFonts w:hint="eastAsia" w:hAnsi="宋体"/>
        </w:rPr>
        <w:t>穿过转换边柱、角柱的纵向钢筋应在节点区可靠锚固，水平段应伸至柱边，且不小于0</w:t>
      </w:r>
      <w:r>
        <w:rPr>
          <w:rFonts w:hAnsi="宋体"/>
        </w:rPr>
        <w:t>.4</w:t>
      </w:r>
      <m:oMath>
        <m:sSub>
          <m:sSubPr>
            <m:ctrlPr>
              <w:rPr>
                <w:rFonts w:ascii="Cambria Math" w:hAnsi="Cambria Math"/>
                <w:i/>
              </w:rPr>
            </m:ctrlPr>
          </m:sSubPr>
          <m:e>
            <m:r>
              <w:rPr>
                <w:rFonts w:ascii="Cambria Math" w:hAnsi="Cambria Math"/>
              </w:rPr>
              <m:t xml:space="preserve">l</m:t>
            </m:r>
          </m:e>
          <m:sub>
            <m:r>
              <w:rPr>
                <w:rFonts w:ascii="Cambria Math" w:hAnsi="Cambria Math"/>
              </w:rPr>
              <m:t xml:space="preserve">abE</m:t>
            </m:r>
          </m:sub>
        </m:sSub>
      </m:oMath>
      <w:r>
        <w:rPr>
          <w:rFonts w:hint="eastAsia" w:hAnsi="宋体"/>
        </w:rPr>
        <w:t>，板上部第一排纵向钢筋应向柱内弯折锚固，且应延伸过板底不小于</w:t>
      </w:r>
      <m:oMath>
        <m:sSub>
          <m:sSubPr>
            <m:ctrlPr>
              <w:rPr>
                <w:rFonts w:ascii="Cambria Math" w:hAnsi="Cambria Math"/>
                <w:i/>
              </w:rPr>
            </m:ctrlPr>
          </m:sSubPr>
          <m:e>
            <m:r>
              <w:rPr>
                <w:rFonts w:ascii="Cambria Math" w:hAnsi="Cambria Math"/>
              </w:rPr>
              <m:t xml:space="preserve">l</m:t>
            </m:r>
          </m:e>
          <m:sub>
            <m:r>
              <w:rPr>
                <w:rFonts w:ascii="Cambria Math" w:hAnsi="Cambria Math"/>
              </w:rPr>
              <m:t xml:space="preserve">aE</m:t>
            </m:r>
          </m:sub>
        </m:sSub>
      </m:oMath>
      <w:r>
        <w:rPr>
          <w:rFonts w:hint="eastAsia" w:hAnsi="宋体"/>
        </w:rPr>
        <w:t>；当板上部配置多排纵向钢筋时，其内排钢筋锚入柱内的长度可适当减小，但水平段长度和弯下段长度之和不应小于钢筋锚固长度</w:t>
      </w:r>
      <m:oMath>
        <m:sSub>
          <m:sSubPr>
            <m:ctrlPr>
              <w:rPr>
                <w:rFonts w:ascii="Cambria Math" w:hAnsi="Cambria Math"/>
                <w:i/>
              </w:rPr>
            </m:ctrlPr>
          </m:sSubPr>
          <m:e>
            <m:r>
              <w:rPr>
                <w:rFonts w:ascii="Cambria Math" w:hAnsi="Cambria Math"/>
              </w:rPr>
              <m:t xml:space="preserve">l</m:t>
            </m:r>
          </m:e>
          <m:sub>
            <m:r>
              <w:rPr>
                <w:rFonts w:ascii="Cambria Math" w:hAnsi="Cambria Math"/>
              </w:rPr>
              <m:t xml:space="preserve">aE</m:t>
            </m:r>
          </m:sub>
        </m:sSub>
      </m:oMath>
      <w:r>
        <w:rPr>
          <w:rFonts w:hint="eastAsia" w:hAnsi="宋体"/>
        </w:rPr>
        <w:t>。</w:t>
      </w:r>
    </w:p>
    <w:p>
      <w:pPr>
        <w:snapToGrid w:val="0"/>
        <w:spacing w:line="360" w:lineRule="auto"/>
        <w:ind w:firstLine="480"/>
        <w:rPr>
          <w:rFonts w:hAnsi="宋体"/>
        </w:rPr>
      </w:pPr>
      <w:r>
        <w:rPr>
          <w:rFonts w:hAnsi="宋体"/>
        </w:rPr>
        <w:t xml:space="preserve">7  </w:t>
      </w:r>
      <w:r>
        <w:rPr>
          <w:rFonts w:hint="eastAsia" w:hAnsi="宋体"/>
        </w:rPr>
        <w:t>框支柱在上部墙体范围内的纵向钢筋应伸入上部墙体内不少于一层，其余柱纵筋应伸至厚板顶部，从板底边计算的锚固长度不小于</w:t>
      </w:r>
      <m:oMath>
        <m:sSub>
          <m:sSubPr>
            <m:ctrlPr>
              <w:rPr>
                <w:rFonts w:ascii="Cambria Math" w:hAnsi="Cambria Math"/>
                <w:i/>
              </w:rPr>
            </m:ctrlPr>
          </m:sSubPr>
          <m:e>
            <m:r>
              <w:rPr>
                <w:rFonts w:ascii="Cambria Math" w:hAnsi="Cambria Math"/>
              </w:rPr>
              <m:t xml:space="preserve">l</m:t>
            </m:r>
          </m:e>
          <m:sub>
            <m:r>
              <w:rPr>
                <w:rFonts w:ascii="Cambria Math" w:hAnsi="Cambria Math"/>
              </w:rPr>
              <m:t xml:space="preserve">aE</m:t>
            </m:r>
          </m:sub>
        </m:sSub>
      </m:oMath>
      <w:r>
        <w:rPr>
          <w:rFonts w:hint="eastAsia" w:hAnsi="宋体"/>
        </w:rPr>
        <w:t>。</w:t>
      </w:r>
    </w:p>
    <w:p>
      <w:pPr>
        <w:snapToGrid w:val="0"/>
        <w:spacing w:line="360" w:lineRule="auto"/>
        <w:ind w:firstLine="480"/>
        <w:rPr>
          <w:rFonts w:hAnsi="宋体"/>
        </w:rPr>
      </w:pPr>
      <w:r>
        <w:rPr>
          <w:rFonts w:hAnsi="宋体"/>
        </w:rPr>
        <w:t xml:space="preserve">8  </w:t>
      </w:r>
      <w:r>
        <w:rPr>
          <w:rFonts w:hint="eastAsia" w:hAnsi="宋体"/>
        </w:rPr>
        <w:t>特一、一、二级板柱节点核芯区配箍特征值分别不宜小于0</w:t>
      </w:r>
      <w:r>
        <w:rPr>
          <w:rFonts w:hAnsi="宋体"/>
        </w:rPr>
        <w:t>.15</w:t>
      </w:r>
      <w:r>
        <w:rPr>
          <w:rFonts w:hint="eastAsia" w:hAnsi="宋体"/>
        </w:rPr>
        <w:t>、0</w:t>
      </w:r>
      <w:r>
        <w:rPr>
          <w:rFonts w:hAnsi="宋体"/>
        </w:rPr>
        <w:t>.12</w:t>
      </w:r>
      <w:r>
        <w:rPr>
          <w:rFonts w:hint="eastAsia" w:hAnsi="宋体"/>
        </w:rPr>
        <w:t>和0</w:t>
      </w:r>
      <w:r>
        <w:rPr>
          <w:rFonts w:hAnsi="宋体"/>
        </w:rPr>
        <w:t>.10</w:t>
      </w:r>
      <w:r>
        <w:rPr>
          <w:rFonts w:hint="eastAsia" w:hAnsi="宋体"/>
        </w:rPr>
        <w:t>，且箍筋体积配箍率不宜小于0</w:t>
      </w:r>
      <w:r>
        <w:rPr>
          <w:rFonts w:hAnsi="宋体"/>
        </w:rPr>
        <w:t>.8%</w:t>
      </w:r>
      <w:r>
        <w:rPr>
          <w:rFonts w:hint="eastAsia" w:hAnsi="宋体"/>
        </w:rPr>
        <w:t>、0</w:t>
      </w:r>
      <w:r>
        <w:rPr>
          <w:rFonts w:hAnsi="宋体"/>
        </w:rPr>
        <w:t>.6%</w:t>
      </w:r>
      <w:r>
        <w:rPr>
          <w:rFonts w:hint="eastAsia" w:hAnsi="宋体"/>
        </w:rPr>
        <w:t>和0</w:t>
      </w:r>
      <w:r>
        <w:rPr>
          <w:rFonts w:hAnsi="宋体"/>
        </w:rPr>
        <w:t>.5%</w:t>
      </w:r>
      <w:r>
        <w:rPr>
          <w:rFonts w:hint="eastAsia" w:hAnsi="宋体"/>
        </w:rPr>
        <w:t>。框支柱剪跨比不大于2的节点核心区的体积配箍率不宜小于下柱端体积配箍率。</w:t>
      </w:r>
    </w:p>
    <w:p>
      <w:pPr>
        <w:snapToGrid w:val="0"/>
        <w:spacing w:line="360" w:lineRule="auto"/>
        <w:ind w:firstLine="482"/>
        <w:rPr>
          <w:rFonts w:hAnsi="宋体"/>
        </w:rPr>
      </w:pPr>
      <w:r>
        <w:rPr>
          <w:b/>
          <w:bCs/>
        </w:rPr>
        <w:t>5.2.9</w:t>
      </w:r>
      <w:r>
        <w:rPr>
          <w:rFonts w:hint="eastAsia" w:hAnsi="宋体"/>
        </w:rPr>
        <w:t>当转换厚板上部结构抗侧力构件主轴方向与矩形框支柱主轴x方向夹角</w:t>
      </w:r>
      <m:oMath>
        <m:r>
          <w:rPr>
            <w:rFonts w:ascii="Cambria Math" w:hAnsi="Cambria Math"/>
          </w:rPr>
          <m:t xml:space="preserve">θ</m:t>
        </m:r>
      </m:oMath>
      <w:r>
        <w:rPr>
          <w:rFonts w:hint="eastAsia" w:hAnsi="宋体"/>
        </w:rPr>
        <w:t>在</w:t>
      </w:r>
      <w:r>
        <w:rPr>
          <w:rFonts w:hAnsi="宋体"/>
        </w:rPr>
        <w:t>10°</w:t>
      </w:r>
      <w:r>
        <w:rPr>
          <w:rFonts w:hint="eastAsia" w:hAnsi="宋体"/>
        </w:rPr>
        <w:t>～8</w:t>
      </w:r>
      <w:r>
        <w:rPr>
          <w:rFonts w:hAnsi="宋体"/>
        </w:rPr>
        <w:t>0°</w:t>
      </w:r>
      <w:r>
        <w:rPr>
          <w:rFonts w:hint="eastAsia" w:hAnsi="宋体"/>
        </w:rPr>
        <w:t>之间时，矩形截面柱宜按双向受剪构件进行截面承载力计算。</w:t>
      </w:r>
    </w:p>
    <w:p>
      <w:pPr>
        <w:snapToGrid w:val="0"/>
        <w:spacing w:line="360" w:lineRule="auto"/>
        <w:ind w:firstLine="480"/>
        <w:rPr>
          <w:b/>
          <w:bCs/>
        </w:rPr>
      </w:pPr>
      <w:r>
        <w:rPr>
          <w:rFonts w:hint="eastAsia" w:eastAsia="等线"/>
          <w:b/>
          <w:bCs/>
        </w:rPr>
        <w:t>[条文说明]</w:t>
      </w:r>
      <w:r>
        <w:rPr>
          <w:rFonts w:hint="eastAsia" w:hAnsi="宋体"/>
        </w:rPr>
        <w:t>本条参考《混凝土结构设计规范》GB50010，考虑到现有软件地震作用计算多考虑正交方向，而厚板转换可能存在转换层上下结构主轴斜交的情况，容易出现矩形截面柱双向受剪的情形，建议按《混凝土结构设计规范》GB50010的规定对柱截面进行承载力验算。</w:t>
      </w:r>
    </w:p>
    <w:p>
      <w:pPr>
        <w:snapToGrid w:val="0"/>
        <w:spacing w:line="360" w:lineRule="auto"/>
        <w:ind w:firstLine="482"/>
        <w:rPr>
          <w:rFonts w:hAnsi="宋体"/>
        </w:rPr>
      </w:pPr>
      <w:r>
        <w:rPr>
          <w:b/>
          <w:bCs/>
        </w:rPr>
        <w:t>5.2.10</w:t>
      </w:r>
      <w:r>
        <w:rPr>
          <w:rFonts w:hint="eastAsia" w:hAnsi="宋体"/>
        </w:rPr>
        <w:t>转换板上部墙体及框架柱的竖向钢筋宜伸至厚板底部，不应小于</w:t>
      </w:r>
      <m:oMath>
        <m:sSub>
          <m:sSubPr>
            <m:ctrlPr>
              <w:rPr>
                <w:rFonts w:ascii="Cambria Math" w:hAnsi="Cambria Math"/>
                <w:i/>
              </w:rPr>
            </m:ctrlPr>
          </m:sSubPr>
          <m:e>
            <m:r>
              <w:rPr>
                <w:rFonts w:ascii="Cambria Math" w:hAnsi="Cambria Math"/>
              </w:rPr>
              <m:t xml:space="preserve">l</m:t>
            </m:r>
          </m:e>
          <m:sub>
            <m:r>
              <w:rPr>
                <w:rFonts w:ascii="Cambria Math" w:hAnsi="Cambria Math"/>
              </w:rPr>
              <m:t xml:space="preserve">aE</m:t>
            </m:r>
          </m:sub>
        </m:sSub>
      </m:oMath>
      <w:r>
        <w:rPr>
          <w:rFonts w:hint="eastAsia" w:hAnsi="宋体"/>
        </w:rPr>
        <w:t>；当板厚小于</w:t>
      </w:r>
      <m:oMath>
        <m:sSub>
          <m:sSubPr>
            <m:ctrlPr>
              <w:rPr>
                <w:rFonts w:ascii="Cambria Math" w:hAnsi="Cambria Math"/>
                <w:i/>
              </w:rPr>
            </m:ctrlPr>
          </m:sSubPr>
          <m:e>
            <m:r>
              <w:rPr>
                <w:rFonts w:ascii="Cambria Math" w:hAnsi="Cambria Math"/>
              </w:rPr>
              <m:t xml:space="preserve">l</m:t>
            </m:r>
          </m:e>
          <m:sub>
            <m:r>
              <w:rPr>
                <w:rFonts w:ascii="Cambria Math" w:hAnsi="Cambria Math"/>
              </w:rPr>
              <m:t xml:space="preserve">aE</m:t>
            </m:r>
          </m:sub>
        </m:sSub>
      </m:oMath>
      <w:r>
        <w:rPr>
          <w:rFonts w:hint="eastAsia" w:hAnsi="宋体"/>
        </w:rPr>
        <w:t>时，最小直锚长度不应小于2</w:t>
      </w:r>
      <w:r>
        <w:rPr>
          <w:rFonts w:hAnsi="宋体"/>
        </w:rPr>
        <w:t>0d</w:t>
      </w:r>
      <w:r>
        <w:rPr>
          <w:rFonts w:hint="eastAsia" w:hAnsi="宋体"/>
        </w:rPr>
        <w:t>，弯折段长度不应小于1</w:t>
      </w:r>
      <w:r>
        <w:rPr>
          <w:rFonts w:hAnsi="宋体"/>
        </w:rPr>
        <w:t>50mm</w:t>
      </w:r>
      <w:r>
        <w:rPr>
          <w:rFonts w:hint="eastAsia" w:hAnsi="宋体"/>
        </w:rPr>
        <w:t>。</w:t>
      </w:r>
    </w:p>
    <w:p>
      <w:pPr>
        <w:snapToGrid w:val="0"/>
        <w:spacing w:line="360" w:lineRule="auto"/>
        <w:ind w:firstLine="480"/>
        <w:rPr>
          <w:rFonts w:hAnsi="宋体"/>
        </w:rPr>
      </w:pPr>
      <w:r>
        <w:rPr>
          <w:rFonts w:hint="eastAsia" w:eastAsia="等线"/>
          <w:b/>
          <w:bCs/>
        </w:rPr>
        <w:t>[条文说明]</w:t>
      </w:r>
      <w:r>
        <w:rPr>
          <w:rFonts w:hint="eastAsia" w:hAnsi="宋体"/>
        </w:rPr>
        <w:t>可将转换板视为上部结构的基础，将钢筋伸至板底，墙、柱插筋亦可为厚板分层浇筑施工缝提供抗剪钢筋。</w:t>
      </w:r>
    </w:p>
    <w:p>
      <w:pPr>
        <w:snapToGrid w:val="0"/>
        <w:spacing w:line="360" w:lineRule="auto"/>
        <w:ind w:firstLine="482"/>
        <w:rPr>
          <w:rFonts w:hAnsi="宋体"/>
        </w:rPr>
      </w:pPr>
      <w:r>
        <w:rPr>
          <w:b/>
          <w:bCs/>
        </w:rPr>
        <w:t>5.2.11</w:t>
      </w:r>
      <w:r>
        <w:rPr>
          <w:rFonts w:hint="eastAsia" w:hAnsi="宋体"/>
        </w:rPr>
        <w:t>转换厚板上部一层墙体的配筋宜按下列规定进行校核：</w:t>
      </w:r>
    </w:p>
    <w:p>
      <w:pPr>
        <w:snapToGrid w:val="0"/>
        <w:spacing w:line="360" w:lineRule="auto"/>
        <w:ind w:firstLine="480"/>
        <w:rPr>
          <w:rFonts w:hAnsi="宋体"/>
        </w:rPr>
      </w:pPr>
      <w:r>
        <w:rPr>
          <w:rFonts w:hint="eastAsia" w:hAnsi="宋体"/>
        </w:rPr>
        <w:t>1</w:t>
      </w:r>
      <w:r>
        <w:rPr>
          <w:rFonts w:hAnsi="宋体"/>
        </w:rPr>
        <w:t xml:space="preserve">  </w:t>
      </w:r>
      <w:r>
        <w:rPr>
          <w:rFonts w:hint="eastAsia" w:hAnsi="宋体"/>
        </w:rPr>
        <w:t>柱上墙体的端部竖向钢筋面积</w:t>
      </w:r>
      <m:oMath>
        <m:sSub>
          <m:sSubPr>
            <m:ctrlPr>
              <w:rPr>
                <w:rFonts w:ascii="Cambria Math" w:hAnsi="Cambria Math"/>
                <w:i/>
              </w:rPr>
            </m:ctrlPr>
          </m:sSubPr>
          <m:e>
            <m:r>
              <w:rPr>
                <w:rFonts w:ascii="Cambria Math" w:hAnsi="Cambria Math"/>
              </w:rPr>
              <m:t xml:space="preserve">A</m:t>
            </m:r>
          </m:e>
          <m:sub>
            <m:r>
              <w:rPr>
                <w:rFonts w:ascii="Cambria Math" w:hAnsi="Cambria Math"/>
              </w:rPr>
              <m:t xml:space="preserve">s</m:t>
            </m:r>
          </m:sub>
        </m:sSub>
      </m:oMath>
      <w:r>
        <w:rPr>
          <w:rFonts w:hint="eastAsia" w:hAnsi="宋体"/>
        </w:rPr>
        <w:t>：</w:t>
      </w:r>
    </w:p>
    <w:p>
      <w:pPr>
        <w:snapToGrid w:val="0"/>
        <w:spacing w:line="360" w:lineRule="auto"/>
        <w:ind w:firstLine="480"/>
        <w:jc w:val="right"/>
        <w:rPr>
          <w:rFonts w:hAnsi="宋体"/>
        </w:rPr>
      </w:pPr>
      <m:oMath>
        <m:sSub>
          <m:sSubPr>
            <m:ctrlPr>
              <w:rPr>
                <w:rFonts w:ascii="Cambria Math" w:hAnsi="Cambria Math"/>
                <w:i/>
              </w:rPr>
            </m:ctrlPr>
          </m:sSubPr>
          <m:e>
            <m:r>
              <w:rPr>
                <w:rFonts w:ascii="Cambria Math" w:hAnsi="Cambria Math"/>
              </w:rPr>
              <m:t xml:space="preserve">A</m:t>
            </m:r>
          </m:e>
          <m:sub>
            <m:r>
              <w:rPr>
                <w:rFonts w:ascii="Cambria Math" w:hAnsi="Cambria Math"/>
              </w:rPr>
              <m:t xml:space="preserve">s</m:t>
            </m:r>
          </m:sub>
        </m:sSub>
        <m:r>
          <w:rPr>
            <w:rFonts w:ascii="Cambria Math" w:hAnsi="Cambria Math"/>
          </w:rPr>
          <m:t xml:space="preserve">=</m:t>
        </m:r>
        <m:sSub>
          <m:sSubPr>
            <m:ctrlPr>
              <w:rPr>
                <w:rFonts w:ascii="Cambria Math" w:hAnsi="Cambria Math"/>
                <w:i/>
              </w:rPr>
            </m:ctrlPr>
          </m:sSubPr>
          <m:e>
            <m:r>
              <w:rPr>
                <w:rFonts w:ascii="Cambria Math" w:hAnsi="Cambria Math"/>
              </w:rPr>
              <m:t xml:space="preserve">h</m:t>
            </m:r>
          </m:e>
          <m:sub>
            <m:r>
              <w:rPr>
                <w:rFonts w:ascii="Cambria Math" w:hAnsi="Cambria Math"/>
              </w:rPr>
              <m:t xml:space="preserve">c</m:t>
            </m:r>
          </m:sub>
        </m:sSub>
        <m:sSub>
          <m:sSubPr>
            <m:ctrlPr>
              <w:rPr>
                <w:rFonts w:ascii="Cambria Math" w:hAnsi="Cambria Math"/>
                <w:i/>
              </w:rPr>
            </m:ctrlPr>
          </m:sSubPr>
          <m:e>
            <m:r>
              <w:rPr>
                <w:rFonts w:ascii="Cambria Math" w:hAnsi="Cambria Math"/>
              </w:rPr>
              <m:t xml:space="preserve">b</m:t>
            </m:r>
          </m:e>
          <m:sub>
            <m:r>
              <w:rPr>
                <w:rFonts w:ascii="Cambria Math" w:hAnsi="Cambria Math"/>
              </w:rPr>
              <m:t xml:space="preserve">w</m:t>
            </m:r>
          </m:sub>
        </m:sSub>
        <m:d>
          <m:dPr>
            <m:ctrlPr>
              <w:rPr>
                <w:rFonts w:ascii="Cambria Math" w:hAnsi="Cambria Math"/>
                <w:i/>
              </w:rPr>
            </m:ctrlPr>
          </m:dPr>
          <m:e>
            <m:sSub>
              <m:sSubPr>
                <m:ctrlPr>
                  <w:rPr>
                    <w:rFonts w:ascii="Cambria Math" w:hAnsi="Cambria Math"/>
                    <w:i/>
                  </w:rPr>
                </m:ctrlPr>
              </m:sSubPr>
              <m:e>
                <m:r>
                  <w:rPr>
                    <w:rFonts w:ascii="Cambria Math" w:hAnsi="Cambria Math"/>
                  </w:rPr>
                  <m:t xml:space="preserve">σ</m:t>
                </m:r>
              </m:e>
              <m:sub>
                <m:r>
                  <w:rPr>
                    <w:rFonts w:ascii="Cambria Math" w:hAnsi="Cambria Math"/>
                  </w:rPr>
                  <m:t xml:space="preserve">01</m:t>
                </m:r>
              </m:sub>
            </m:sSub>
            <m:r>
              <w:rPr>
                <w:rFonts w:ascii="Cambria Math" w:hAnsi="Cambria Math"/>
              </w:rPr>
              <m:t xml:space="preserve">-</m:t>
            </m:r>
            <m:sSub>
              <m:sSubPr>
                <m:ctrlPr>
                  <w:rPr>
                    <w:rFonts w:ascii="Cambria Math" w:hAnsi="Cambria Math"/>
                    <w:i/>
                  </w:rPr>
                </m:ctrlPr>
              </m:sSubPr>
              <m:e>
                <m:r>
                  <w:rPr>
                    <w:rFonts w:ascii="Cambria Math" w:hAnsi="Cambria Math"/>
                  </w:rPr>
                  <m:t xml:space="preserve">f</m:t>
                </m:r>
              </m:e>
              <m:sub>
                <m:r>
                  <w:rPr>
                    <w:rFonts w:ascii="Cambria Math" w:hAnsi="Cambria Math"/>
                  </w:rPr>
                  <m:t xml:space="preserve">c</m:t>
                </m:r>
              </m:sub>
            </m:sSub>
          </m:e>
        </m:d>
        <m:r>
          <w:rPr>
            <w:rFonts w:ascii="Cambria Math" w:hAnsi="Cambria Math"/>
          </w:rPr>
          <m:t xml:space="preserve">∕</m:t>
        </m:r>
        <m:sSub>
          <m:sSubPr>
            <m:ctrlPr>
              <w:rPr>
                <w:rFonts w:ascii="Cambria Math" w:hAnsi="Cambria Math"/>
                <w:i/>
              </w:rPr>
            </m:ctrlPr>
          </m:sSubPr>
          <m:e>
            <m:r>
              <w:rPr>
                <w:rFonts w:ascii="Cambria Math" w:hAnsi="Cambria Math"/>
              </w:rPr>
              <m:t xml:space="preserve">f</m:t>
            </m:r>
          </m:e>
          <m:sub>
            <m:r>
              <w:rPr>
                <w:rFonts w:ascii="Cambria Math" w:hAnsi="Cambria Math"/>
              </w:rPr>
              <m:t xml:space="preserve">y</m:t>
            </m:r>
          </m:sub>
        </m:sSub>
      </m:oMath>
      <w:r>
        <w:rPr>
          <w:rFonts w:hint="eastAsia" w:hAnsi="宋体"/>
        </w:rPr>
        <w:t xml:space="preserve"> </w:t>
      </w:r>
      <w:r>
        <w:rPr>
          <w:rFonts w:hAnsi="宋体"/>
        </w:rPr>
        <w:t xml:space="preserve">                               (5.2.11-1)</w:t>
      </w:r>
    </w:p>
    <w:p>
      <w:pPr>
        <w:snapToGrid w:val="0"/>
        <w:spacing w:line="360" w:lineRule="auto"/>
        <w:ind w:firstLine="480"/>
        <w:rPr>
          <w:rFonts w:hAnsi="宋体"/>
        </w:rPr>
      </w:pPr>
      <w:r>
        <w:rPr>
          <w:rFonts w:hAnsi="宋体"/>
        </w:rPr>
        <w:t xml:space="preserve">2  </w:t>
      </w:r>
      <w:r>
        <w:rPr>
          <w:rFonts w:hint="eastAsia" w:hAnsi="宋体"/>
        </w:rPr>
        <w:t>柱边</w:t>
      </w:r>
      <m:oMath>
        <m:r>
          <w:rPr>
            <w:rFonts w:ascii="Cambria Math" w:hAnsi="Cambria Math"/>
          </w:rPr>
          <m:t xml:space="preserve">0.2</m:t>
        </m:r>
        <m:sSub>
          <m:sSubPr>
            <m:ctrlPr>
              <w:rPr>
                <w:rFonts w:ascii="Cambria Math" w:hAnsi="Cambria Math"/>
                <w:i/>
              </w:rPr>
            </m:ctrlPr>
          </m:sSubPr>
          <m:e>
            <m:r>
              <w:rPr>
                <w:rFonts w:ascii="Cambria Math" w:hAnsi="Cambria Math"/>
              </w:rPr>
              <m:t xml:space="preserve">l</m:t>
            </m:r>
          </m:e>
          <m:sub>
            <m:r>
              <w:rPr>
                <w:rFonts w:ascii="Cambria Math" w:hAnsi="Cambria Math"/>
              </w:rPr>
              <m:t xml:space="preserve">n</m:t>
            </m:r>
          </m:sub>
        </m:sSub>
      </m:oMath>
      <w:r>
        <w:rPr>
          <w:rFonts w:hint="eastAsia" w:hAnsi="宋体"/>
        </w:rPr>
        <w:t>宽度范围内竖向分布钢筋面积</w:t>
      </w:r>
      <m:oMath>
        <m:sSub>
          <m:sSubPr>
            <m:ctrlPr>
              <w:rPr>
                <w:rFonts w:ascii="Cambria Math" w:hAnsi="Cambria Math"/>
                <w:i/>
              </w:rPr>
            </m:ctrlPr>
          </m:sSubPr>
          <m:e>
            <m:r>
              <w:rPr>
                <w:rFonts w:ascii="Cambria Math" w:hAnsi="Cambria Math"/>
              </w:rPr>
              <m:t xml:space="preserve">A</m:t>
            </m:r>
          </m:e>
          <m:sub>
            <m:r>
              <w:rPr>
                <w:rFonts w:ascii="Cambria Math" w:hAnsi="Cambria Math"/>
              </w:rPr>
              <m:t xml:space="preserve">sw</m:t>
            </m:r>
          </m:sub>
        </m:sSub>
      </m:oMath>
      <w:r>
        <w:rPr>
          <w:rFonts w:hint="eastAsia" w:hAnsi="宋体"/>
        </w:rPr>
        <w:t>：</w:t>
      </w:r>
    </w:p>
    <w:p>
      <w:pPr>
        <w:snapToGrid w:val="0"/>
        <w:spacing w:line="360" w:lineRule="auto"/>
        <w:ind w:firstLine="480"/>
        <w:jc w:val="right"/>
        <w:rPr>
          <w:rFonts w:hAnsi="宋体"/>
        </w:rPr>
      </w:pPr>
      <m:oMath>
        <m:sSub>
          <m:sSubPr>
            <m:ctrlPr>
              <w:rPr>
                <w:rFonts w:ascii="Cambria Math" w:hAnsi="Cambria Math"/>
                <w:i/>
              </w:rPr>
            </m:ctrlPr>
          </m:sSubPr>
          <m:e>
            <m:r>
              <w:rPr>
                <w:rFonts w:ascii="Cambria Math" w:hAnsi="Cambria Math"/>
              </w:rPr>
              <m:t xml:space="preserve">A</m:t>
            </m:r>
          </m:e>
          <m:sub>
            <m:r>
              <w:rPr>
                <w:rFonts w:ascii="Cambria Math" w:hAnsi="Cambria Math"/>
              </w:rPr>
              <m:t xml:space="preserve">sw</m:t>
            </m:r>
          </m:sub>
        </m:sSub>
        <m:r>
          <w:rPr>
            <w:rFonts w:ascii="Cambria Math" w:hAnsi="Cambria Math"/>
          </w:rPr>
          <m:t xml:space="preserve">=0.2</m:t>
        </m:r>
        <m:sSub>
          <m:sSubPr>
            <m:ctrlPr>
              <w:rPr>
                <w:rFonts w:ascii="Cambria Math" w:hAnsi="Cambria Math"/>
                <w:i/>
              </w:rPr>
            </m:ctrlPr>
          </m:sSubPr>
          <m:e>
            <m:r>
              <w:rPr>
                <w:rFonts w:ascii="Cambria Math" w:hAnsi="Cambria Math"/>
              </w:rPr>
              <m:t xml:space="preserve">l</m:t>
            </m:r>
          </m:e>
          <m:sub>
            <m:r>
              <w:rPr>
                <w:rFonts w:ascii="Cambria Math" w:hAnsi="Cambria Math"/>
              </w:rPr>
              <m:t xml:space="preserve">n</m:t>
            </m:r>
          </m:sub>
        </m:sSub>
        <m:sSub>
          <m:sSubPr>
            <m:ctrlPr>
              <w:rPr>
                <w:rFonts w:ascii="Cambria Math" w:hAnsi="Cambria Math"/>
                <w:i/>
              </w:rPr>
            </m:ctrlPr>
          </m:sSubPr>
          <m:e>
            <m:r>
              <w:rPr>
                <w:rFonts w:ascii="Cambria Math" w:hAnsi="Cambria Math"/>
              </w:rPr>
              <m:t xml:space="preserve">b</m:t>
            </m:r>
          </m:e>
          <m:sub>
            <m:r>
              <w:rPr>
                <w:rFonts w:ascii="Cambria Math" w:hAnsi="Cambria Math"/>
              </w:rPr>
              <m:t xml:space="preserve">w</m:t>
            </m:r>
          </m:sub>
        </m:sSub>
        <m:d>
          <m:dPr>
            <m:ctrlPr>
              <w:rPr>
                <w:rFonts w:ascii="Cambria Math" w:hAnsi="Cambria Math"/>
                <w:i/>
              </w:rPr>
            </m:ctrlPr>
          </m:dPr>
          <m:e>
            <m:sSub>
              <m:sSubPr>
                <m:ctrlPr>
                  <w:rPr>
                    <w:rFonts w:ascii="Cambria Math" w:hAnsi="Cambria Math"/>
                    <w:i/>
                  </w:rPr>
                </m:ctrlPr>
              </m:sSubPr>
              <m:e>
                <m:r>
                  <w:rPr>
                    <w:rFonts w:ascii="Cambria Math" w:hAnsi="Cambria Math"/>
                  </w:rPr>
                  <m:t xml:space="preserve">σ</m:t>
                </m:r>
              </m:e>
              <m:sub>
                <m:r>
                  <w:rPr>
                    <w:rFonts w:ascii="Cambria Math" w:hAnsi="Cambria Math"/>
                  </w:rPr>
                  <m:t xml:space="preserve">02</m:t>
                </m:r>
              </m:sub>
            </m:sSub>
            <m:r>
              <w:rPr>
                <w:rFonts w:ascii="Cambria Math" w:hAnsi="Cambria Math"/>
              </w:rPr>
              <m:t xml:space="preserve">-</m:t>
            </m:r>
            <m:sSub>
              <m:sSubPr>
                <m:ctrlPr>
                  <w:rPr>
                    <w:rFonts w:ascii="Cambria Math" w:hAnsi="Cambria Math"/>
                    <w:i/>
                  </w:rPr>
                </m:ctrlPr>
              </m:sSubPr>
              <m:e>
                <m:r>
                  <w:rPr>
                    <w:rFonts w:ascii="Cambria Math" w:hAnsi="Cambria Math"/>
                  </w:rPr>
                  <m:t xml:space="preserve">f</m:t>
                </m:r>
              </m:e>
              <m:sub>
                <m:r>
                  <w:rPr>
                    <w:rFonts w:ascii="Cambria Math" w:hAnsi="Cambria Math"/>
                  </w:rPr>
                  <m:t xml:space="preserve">c</m:t>
                </m:r>
              </m:sub>
            </m:sSub>
          </m:e>
        </m:d>
        <m:r>
          <w:rPr>
            <w:rFonts w:ascii="Cambria Math" w:hAnsi="Cambria Math"/>
          </w:rPr>
          <m:t xml:space="preserve">∕</m:t>
        </m:r>
        <m:sSub>
          <m:sSubPr>
            <m:ctrlPr>
              <w:rPr>
                <w:rFonts w:ascii="Cambria Math" w:hAnsi="Cambria Math"/>
                <w:i/>
              </w:rPr>
            </m:ctrlPr>
          </m:sSubPr>
          <m:e>
            <m:r>
              <w:rPr>
                <w:rFonts w:ascii="Cambria Math" w:hAnsi="Cambria Math"/>
              </w:rPr>
              <m:t xml:space="preserve">f</m:t>
            </m:r>
          </m:e>
          <m:sub>
            <m:r>
              <w:rPr>
                <w:rFonts w:ascii="Cambria Math" w:hAnsi="Cambria Math"/>
              </w:rPr>
              <m:t xml:space="preserve">yw</m:t>
            </m:r>
          </m:sub>
        </m:sSub>
      </m:oMath>
      <w:r>
        <w:rPr>
          <w:rFonts w:hint="eastAsia" w:hAnsi="宋体"/>
        </w:rPr>
        <w:t xml:space="preserve"> </w:t>
      </w:r>
      <w:r>
        <w:rPr>
          <w:rFonts w:hAnsi="宋体"/>
        </w:rPr>
        <w:t xml:space="preserve">                           (5.2.11-2)</w:t>
      </w:r>
    </w:p>
    <w:p>
      <w:pPr>
        <w:snapToGrid w:val="0"/>
        <w:spacing w:line="360" w:lineRule="auto"/>
        <w:ind w:firstLine="480"/>
        <w:jc w:val="right"/>
        <w:rPr>
          <w:rFonts w:hAnsi="宋体"/>
        </w:rPr>
      </w:pPr>
    </w:p>
    <w:p>
      <w:pPr>
        <w:snapToGrid w:val="0"/>
        <w:spacing w:line="360" w:lineRule="auto"/>
        <w:ind w:firstLine="480"/>
        <w:rPr>
          <w:rFonts w:hAnsi="宋体"/>
        </w:rPr>
      </w:pPr>
      <w:r>
        <w:rPr>
          <w:rFonts w:hAnsi="宋体"/>
        </w:rPr>
        <w:t xml:space="preserve">3  </w:t>
      </w:r>
      <w:r>
        <w:rPr>
          <w:rFonts w:hint="eastAsia" w:hAnsi="宋体"/>
        </w:rPr>
        <w:t>转换板上部</w:t>
      </w:r>
      <m:oMath>
        <m:r>
          <w:rPr>
            <w:rFonts w:ascii="Cambria Math" w:hAnsi="Cambria Math"/>
          </w:rPr>
          <m:t xml:space="preserve">0.2</m:t>
        </m:r>
        <m:sSub>
          <m:sSubPr>
            <m:ctrlPr>
              <w:rPr>
                <w:rFonts w:ascii="Cambria Math" w:hAnsi="Cambria Math"/>
                <w:i/>
              </w:rPr>
            </m:ctrlPr>
          </m:sSubPr>
          <m:e>
            <m:r>
              <w:rPr>
                <w:rFonts w:ascii="Cambria Math" w:hAnsi="Cambria Math"/>
              </w:rPr>
              <m:t xml:space="preserve">l</m:t>
            </m:r>
          </m:e>
          <m:sub>
            <m:r>
              <w:rPr>
                <w:rFonts w:ascii="Cambria Math" w:hAnsi="Cambria Math"/>
              </w:rPr>
              <m:t xml:space="preserve">n</m:t>
            </m:r>
          </m:sub>
        </m:sSub>
      </m:oMath>
      <w:r>
        <w:rPr>
          <w:rFonts w:hint="eastAsia" w:hAnsi="宋体"/>
        </w:rPr>
        <w:t>高度范围内墙体水平分布钢筋面积</w:t>
      </w:r>
      <m:oMath>
        <m:sSub>
          <m:sSubPr>
            <m:ctrlPr>
              <w:rPr>
                <w:rFonts w:ascii="Cambria Math" w:hAnsi="Cambria Math"/>
                <w:i/>
              </w:rPr>
            </m:ctrlPr>
          </m:sSubPr>
          <m:e>
            <m:r>
              <w:rPr>
                <w:rFonts w:ascii="Cambria Math" w:hAnsi="Cambria Math"/>
              </w:rPr>
              <m:t xml:space="preserve">A</m:t>
            </m:r>
          </m:e>
          <m:sub>
            <m:r>
              <w:rPr>
                <w:rFonts w:ascii="Cambria Math" w:hAnsi="Cambria Math"/>
              </w:rPr>
              <m:t xml:space="preserve">sh</m:t>
            </m:r>
          </m:sub>
        </m:sSub>
      </m:oMath>
      <w:r>
        <w:rPr>
          <w:rFonts w:hint="eastAsia" w:hAnsi="宋体"/>
        </w:rPr>
        <w:t>：</w:t>
      </w:r>
    </w:p>
    <w:p>
      <w:pPr>
        <w:snapToGrid w:val="0"/>
        <w:spacing w:line="360" w:lineRule="auto"/>
        <w:ind w:firstLine="480"/>
        <w:jc w:val="right"/>
        <w:rPr>
          <w:rFonts w:hAnsi="宋体"/>
        </w:rPr>
      </w:pPr>
      <m:oMath>
        <m:sSub>
          <m:sSubPr>
            <m:ctrlPr>
              <w:rPr>
                <w:rFonts w:ascii="Cambria Math" w:hAnsi="Cambria Math"/>
                <w:i/>
              </w:rPr>
            </m:ctrlPr>
          </m:sSubPr>
          <m:e>
            <m:r>
              <w:rPr>
                <w:rFonts w:ascii="Cambria Math" w:hAnsi="Cambria Math"/>
              </w:rPr>
              <m:t xml:space="preserve">A</m:t>
            </m:r>
          </m:e>
          <m:sub>
            <m:r>
              <w:rPr>
                <w:rFonts w:ascii="Cambria Math" w:hAnsi="Cambria Math"/>
              </w:rPr>
              <m:t xml:space="preserve">sh</m:t>
            </m:r>
          </m:sub>
        </m:sSub>
        <m:r>
          <w:rPr>
            <w:rFonts w:ascii="Cambria Math" w:hAnsi="Cambria Math"/>
          </w:rPr>
          <m:t xml:space="preserve">=0.2</m:t>
        </m:r>
        <m:sSub>
          <m:sSubPr>
            <m:ctrlPr>
              <w:rPr>
                <w:rFonts w:ascii="Cambria Math" w:hAnsi="Cambria Math"/>
                <w:i/>
              </w:rPr>
            </m:ctrlPr>
          </m:sSubPr>
          <m:e>
            <m:r>
              <w:rPr>
                <w:rFonts w:ascii="Cambria Math" w:hAnsi="Cambria Math"/>
              </w:rPr>
              <m:t xml:space="preserve">l</m:t>
            </m:r>
          </m:e>
          <m:sub>
            <m:r>
              <w:rPr>
                <w:rFonts w:ascii="Cambria Math" w:hAnsi="Cambria Math"/>
              </w:rPr>
              <m:t xml:space="preserve">n</m:t>
            </m:r>
          </m:sub>
        </m:sSub>
        <m:sSub>
          <m:sSubPr>
            <m:ctrlPr>
              <w:rPr>
                <w:rFonts w:ascii="Cambria Math" w:hAnsi="Cambria Math"/>
                <w:i/>
              </w:rPr>
            </m:ctrlPr>
          </m:sSubPr>
          <m:e>
            <m:r>
              <w:rPr>
                <w:rFonts w:ascii="Cambria Math" w:hAnsi="Cambria Math"/>
              </w:rPr>
              <m:t xml:space="preserve">b</m:t>
            </m:r>
          </m:e>
          <m:sub>
            <m:r>
              <w:rPr>
                <w:rFonts w:ascii="Cambria Math" w:hAnsi="Cambria Math"/>
              </w:rPr>
              <m:t xml:space="preserve">w</m:t>
            </m:r>
          </m:sub>
        </m:sSub>
        <m:sSub>
          <m:sSubPr>
            <m:ctrlPr>
              <w:rPr>
                <w:rFonts w:ascii="Cambria Math" w:hAnsi="Cambria Math"/>
                <w:i/>
              </w:rPr>
            </m:ctrlPr>
          </m:sSubPr>
          <m:e>
            <m:r>
              <w:rPr>
                <w:rFonts w:ascii="Cambria Math" w:hAnsi="Cambria Math"/>
              </w:rPr>
              <m:t xml:space="preserve">σ</m:t>
            </m:r>
          </m:e>
          <m:sub>
            <m:r>
              <w:rPr>
                <w:rFonts w:ascii="Cambria Math" w:hAnsi="Cambria Math"/>
              </w:rPr>
              <m:t xml:space="preserve">xmax</m:t>
            </m:r>
          </m:sub>
        </m:sSub>
        <m:r>
          <w:rPr>
            <w:rFonts w:ascii="Cambria Math" w:hAnsi="Cambria Math"/>
          </w:rPr>
          <m:t xml:space="preserve">∕</m:t>
        </m:r>
        <m:sSub>
          <m:sSubPr>
            <m:ctrlPr>
              <w:rPr>
                <w:rFonts w:ascii="Cambria Math" w:hAnsi="Cambria Math"/>
                <w:i/>
              </w:rPr>
            </m:ctrlPr>
          </m:sSubPr>
          <m:e>
            <m:r>
              <w:rPr>
                <w:rFonts w:ascii="Cambria Math" w:hAnsi="Cambria Math"/>
              </w:rPr>
              <m:t xml:space="preserve">f</m:t>
            </m:r>
          </m:e>
          <m:sub>
            <m:r>
              <w:rPr>
                <w:rFonts w:ascii="Cambria Math" w:hAnsi="Cambria Math"/>
              </w:rPr>
              <m:t xml:space="preserve">yh</m:t>
            </m:r>
          </m:sub>
        </m:sSub>
      </m:oMath>
      <w:r>
        <w:rPr>
          <w:rFonts w:hint="eastAsia" w:hAnsi="宋体"/>
        </w:rPr>
        <w:t xml:space="preserve"> </w:t>
      </w:r>
      <w:r>
        <w:rPr>
          <w:rFonts w:hAnsi="宋体"/>
        </w:rPr>
        <w:t xml:space="preserve">                               (5.2.11-3)</w:t>
      </w:r>
    </w:p>
    <w:p>
      <w:pPr>
        <w:snapToGrid w:val="0"/>
        <w:spacing w:line="360" w:lineRule="auto"/>
        <w:ind w:firstLine="480"/>
        <w:jc w:val="left"/>
        <w:rPr>
          <w:rFonts w:hAnsi="宋体"/>
        </w:rPr>
      </w:pPr>
      <w:r>
        <w:rPr>
          <w:rFonts w:hint="eastAsia" w:hAnsi="宋体"/>
        </w:rPr>
        <w:t>式中：</w:t>
      </w:r>
      <m:oMath>
        <m:sSub>
          <m:sSubPr>
            <m:ctrlPr>
              <w:rPr>
                <w:rFonts w:ascii="Cambria Math" w:hAnsi="Cambria Math"/>
                <w:i/>
              </w:rPr>
            </m:ctrlPr>
          </m:sSubPr>
          <m:e>
            <m:r>
              <w:rPr>
                <w:rFonts w:ascii="Cambria Math" w:hAnsi="Cambria Math"/>
              </w:rPr>
              <m:t xml:space="preserve">l</m:t>
            </m:r>
          </m:e>
          <m:sub>
            <m:r>
              <w:rPr>
                <w:rFonts w:ascii="Cambria Math" w:hAnsi="Cambria Math"/>
              </w:rPr>
              <m:t xml:space="preserve">n</m:t>
            </m:r>
          </m:sub>
        </m:sSub>
      </m:oMath>
      <w:r>
        <w:rPr>
          <w:rFonts w:hint="eastAsia" w:hAnsi="宋体"/>
        </w:rPr>
        <w:t xml:space="preserve"> </w:t>
      </w:r>
      <w:r>
        <w:rPr>
          <w:rFonts w:hAnsi="宋体"/>
        </w:rPr>
        <w:t>——</w:t>
      </w:r>
      <w:r>
        <w:rPr>
          <w:rFonts w:hint="eastAsia" w:hAnsi="宋体"/>
        </w:rPr>
        <w:t>转换板净跨度</w:t>
      </w:r>
      <m:oMath>
        <m:d>
          <m:dPr>
            <m:ctrlPr>
              <w:rPr>
                <w:rFonts w:ascii="Cambria Math" w:hAnsi="Cambria Math"/>
                <w:i/>
              </w:rPr>
            </m:ctrlPr>
          </m:dPr>
          <m:e>
            <m:r>
              <w:rPr>
                <w:rFonts w:ascii="Cambria Math" w:hAnsi="Cambria Math"/>
              </w:rPr>
              <m:t xml:space="preserve">mm</m:t>
            </m:r>
          </m:e>
        </m:d>
      </m:oMath>
      <w:r>
        <w:rPr>
          <w:rFonts w:hint="eastAsia" w:hAnsi="宋体"/>
        </w:rPr>
        <w:t>；</w:t>
      </w:r>
    </w:p>
    <w:p>
      <w:pPr>
        <w:snapToGrid w:val="0"/>
        <w:spacing w:line="360" w:lineRule="auto"/>
        <w:ind w:firstLine="480"/>
        <w:jc w:val="left"/>
        <w:rPr>
          <w:rFonts w:hAnsi="宋体"/>
        </w:rPr>
      </w:pPr>
      <w:r>
        <w:rPr>
          <w:rFonts w:hint="eastAsia" w:hAnsi="宋体"/>
        </w:rPr>
        <w:t xml:space="preserve"> </w:t>
      </w:r>
      <w:r>
        <w:rPr>
          <w:rFonts w:hAnsi="宋体"/>
        </w:rPr>
        <w:t xml:space="preserve">     </w:t>
      </w:r>
      <m:oMath>
        <m:sSub>
          <m:sSubPr>
            <m:ctrlPr>
              <w:rPr>
                <w:rFonts w:ascii="Cambria Math" w:hAnsi="Cambria Math"/>
                <w:i/>
              </w:rPr>
            </m:ctrlPr>
          </m:sSubPr>
          <m:e>
            <m:r>
              <w:rPr>
                <w:rFonts w:ascii="Cambria Math" w:hAnsi="Cambria Math"/>
              </w:rPr>
              <m:t xml:space="preserve">h</m:t>
            </m:r>
          </m:e>
          <m:sub>
            <m:r>
              <w:rPr>
                <w:rFonts w:ascii="Cambria Math" w:hAnsi="Cambria Math"/>
              </w:rPr>
              <m:t xml:space="preserve">c</m:t>
            </m:r>
          </m:sub>
        </m:sSub>
      </m:oMath>
      <w:r>
        <w:rPr>
          <w:rFonts w:hint="eastAsia" w:hAnsi="宋体"/>
        </w:rPr>
        <w:t xml:space="preserve"> </w:t>
      </w:r>
      <w:r>
        <w:rPr>
          <w:rFonts w:hAnsi="宋体"/>
        </w:rPr>
        <w:t>——</w:t>
      </w:r>
      <w:r>
        <w:rPr>
          <w:rFonts w:hint="eastAsia" w:hAnsi="宋体"/>
        </w:rPr>
        <w:t>框支柱截面高度</w:t>
      </w:r>
      <m:oMath>
        <m:d>
          <m:dPr>
            <m:ctrlPr>
              <w:rPr>
                <w:rFonts w:ascii="Cambria Math" w:hAnsi="Cambria Math"/>
                <w:i/>
              </w:rPr>
            </m:ctrlPr>
          </m:dPr>
          <m:e>
            <m:r>
              <w:rPr>
                <w:rFonts w:ascii="Cambria Math" w:hAnsi="Cambria Math"/>
              </w:rPr>
              <m:t xml:space="preserve">mm</m:t>
            </m:r>
          </m:e>
        </m:d>
      </m:oMath>
      <w:r>
        <w:rPr>
          <w:rFonts w:hint="eastAsia" w:hAnsi="宋体"/>
        </w:rPr>
        <w:t>；</w:t>
      </w:r>
    </w:p>
    <w:p>
      <w:pPr>
        <w:snapToGrid w:val="0"/>
        <w:spacing w:line="360" w:lineRule="auto"/>
        <w:ind w:firstLine="480"/>
        <w:jc w:val="left"/>
        <w:rPr>
          <w:rFonts w:hAnsi="宋体"/>
        </w:rPr>
      </w:pPr>
      <w:r>
        <w:rPr>
          <w:rFonts w:hint="eastAsia" w:hAnsi="宋体"/>
        </w:rPr>
        <w:t xml:space="preserve"> </w:t>
      </w:r>
      <w:r>
        <w:rPr>
          <w:rFonts w:hAnsi="宋体"/>
        </w:rPr>
        <w:t xml:space="preserve">     </w:t>
      </w:r>
      <m:oMath>
        <m:sSub>
          <m:sSubPr>
            <m:ctrlPr>
              <w:rPr>
                <w:rFonts w:ascii="Cambria Math" w:hAnsi="Cambria Math"/>
                <w:i/>
              </w:rPr>
            </m:ctrlPr>
          </m:sSubPr>
          <m:e>
            <m:r>
              <w:rPr>
                <w:rFonts w:ascii="Cambria Math" w:hAnsi="Cambria Math"/>
              </w:rPr>
              <m:t xml:space="preserve">b</m:t>
            </m:r>
          </m:e>
          <m:sub>
            <m:r>
              <w:rPr>
                <w:rFonts w:ascii="Cambria Math" w:hAnsi="Cambria Math"/>
              </w:rPr>
              <m:t xml:space="preserve">w</m:t>
            </m:r>
          </m:sub>
        </m:sSub>
      </m:oMath>
      <w:r>
        <w:rPr>
          <w:rFonts w:hint="eastAsia" w:hAnsi="宋体"/>
        </w:rPr>
        <w:t xml:space="preserve"> </w:t>
      </w:r>
      <w:r>
        <w:rPr>
          <w:rFonts w:hAnsi="宋体"/>
        </w:rPr>
        <w:t>——</w:t>
      </w:r>
      <w:r>
        <w:rPr>
          <w:rFonts w:hint="eastAsia" w:hAnsi="宋体"/>
        </w:rPr>
        <w:t>墙肢截面厚度</w:t>
      </w:r>
      <m:oMath>
        <m:d>
          <m:dPr>
            <m:ctrlPr>
              <w:rPr>
                <w:rFonts w:ascii="Cambria Math" w:hAnsi="Cambria Math"/>
                <w:i/>
              </w:rPr>
            </m:ctrlPr>
          </m:dPr>
          <m:e>
            <m:r>
              <w:rPr>
                <w:rFonts w:ascii="Cambria Math" w:hAnsi="Cambria Math"/>
              </w:rPr>
              <m:t xml:space="preserve">mm</m:t>
            </m:r>
          </m:e>
        </m:d>
      </m:oMath>
      <w:r>
        <w:rPr>
          <w:rFonts w:hint="eastAsia" w:hAnsi="宋体"/>
        </w:rPr>
        <w:t>；</w:t>
      </w:r>
    </w:p>
    <w:p>
      <w:pPr>
        <w:snapToGrid w:val="0"/>
        <w:spacing w:line="360" w:lineRule="auto"/>
        <w:ind w:firstLine="480"/>
        <w:jc w:val="left"/>
        <w:rPr>
          <w:rFonts w:hAnsi="宋体"/>
        </w:rPr>
      </w:pPr>
      <w:r>
        <w:rPr>
          <w:rFonts w:hint="eastAsia" w:hAnsi="宋体"/>
        </w:rPr>
        <w:t xml:space="preserve"> </w:t>
      </w:r>
      <w:r>
        <w:rPr>
          <w:rFonts w:hAnsi="宋体"/>
        </w:rPr>
        <w:t xml:space="preserve">     </w:t>
      </w:r>
      <m:oMath>
        <m:sSub>
          <m:sSubPr>
            <m:ctrlPr>
              <w:rPr>
                <w:rFonts w:ascii="Cambria Math" w:hAnsi="Cambria Math"/>
                <w:i/>
              </w:rPr>
            </m:ctrlPr>
          </m:sSubPr>
          <m:e>
            <m:r>
              <w:rPr>
                <w:rFonts w:ascii="Cambria Math" w:hAnsi="Cambria Math"/>
              </w:rPr>
              <m:t xml:space="preserve">σ</m:t>
            </m:r>
          </m:e>
          <m:sub>
            <m:r>
              <w:rPr>
                <w:rFonts w:ascii="Cambria Math" w:hAnsi="Cambria Math"/>
              </w:rPr>
              <m:t xml:space="preserve">01</m:t>
            </m:r>
          </m:sub>
        </m:sSub>
      </m:oMath>
      <w:r>
        <w:rPr>
          <w:rFonts w:hAnsi="宋体"/>
        </w:rPr>
        <w:t xml:space="preserve"> ——</w:t>
      </w:r>
      <w:r>
        <w:rPr>
          <w:rFonts w:hint="eastAsia" w:hAnsi="宋体"/>
        </w:rPr>
        <w:t>柱上墙体</w:t>
      </w:r>
      <m:oMath>
        <m:sSub>
          <m:sSubPr>
            <m:ctrlPr>
              <w:rPr>
                <w:rFonts w:ascii="Cambria Math" w:hAnsi="Cambria Math"/>
                <w:i/>
              </w:rPr>
            </m:ctrlPr>
          </m:sSubPr>
          <m:e>
            <m:r>
              <w:rPr>
                <w:rFonts w:ascii="Cambria Math" w:hAnsi="Cambria Math"/>
              </w:rPr>
              <m:t xml:space="preserve">h</m:t>
            </m:r>
          </m:e>
          <m:sub>
            <m:r>
              <w:rPr>
                <w:rFonts w:ascii="Cambria Math" w:hAnsi="Cambria Math"/>
              </w:rPr>
              <m:t xml:space="preserve">c</m:t>
            </m:r>
          </m:sub>
        </m:sSub>
      </m:oMath>
      <w:r>
        <w:rPr>
          <w:rFonts w:hint="eastAsia" w:hAnsi="宋体"/>
        </w:rPr>
        <w:t>范围内考虑风荷载、地震作用组合的平均压应力设计值</w:t>
      </w:r>
      <m:oMath>
        <m:d>
          <m:dPr>
            <m:ctrlPr>
              <w:rPr>
                <w:rFonts w:ascii="Cambria Math" w:hAnsi="Cambria Math"/>
                <w:i/>
              </w:rPr>
            </m:ctrlPr>
          </m:dPr>
          <m:e>
            <m:r>
              <w:rPr>
                <w:rFonts w:ascii="Cambria Math" w:hAnsi="Cambria Math"/>
              </w:rPr>
              <m:t xml:space="preserve">N∕</m:t>
            </m:r>
            <m:sSup>
              <m:sSupPr>
                <m:ctrlPr>
                  <w:rPr>
                    <w:rFonts w:ascii="Cambria Math" w:hAnsi="Cambria Math"/>
                    <w:i/>
                  </w:rPr>
                </m:ctrlPr>
              </m:sSupPr>
              <m:e>
                <m:r>
                  <w:rPr>
                    <w:rFonts w:ascii="Cambria Math" w:hAnsi="Cambria Math"/>
                  </w:rPr>
                  <m:t xml:space="preserve">mm</m:t>
                </m:r>
              </m:e>
              <m:sup>
                <m:r>
                  <w:rPr>
                    <w:rFonts w:ascii="Cambria Math" w:hAnsi="Cambria Math"/>
                  </w:rPr>
                  <m:t xml:space="preserve">2</m:t>
                </m:r>
              </m:sup>
            </m:sSup>
          </m:e>
        </m:d>
      </m:oMath>
      <w:r>
        <w:rPr>
          <w:rFonts w:hint="eastAsia" w:hAnsi="宋体"/>
        </w:rPr>
        <w:t>；</w:t>
      </w:r>
    </w:p>
    <w:p>
      <w:pPr>
        <w:snapToGrid w:val="0"/>
        <w:spacing w:line="360" w:lineRule="auto"/>
        <w:ind w:firstLine="480"/>
        <w:jc w:val="left"/>
        <w:rPr>
          <w:rFonts w:hAnsi="宋体"/>
        </w:rPr>
      </w:pPr>
      <w:r>
        <w:rPr>
          <w:rFonts w:hint="eastAsia" w:hAnsi="宋体"/>
        </w:rPr>
        <w:t xml:space="preserve"> </w:t>
      </w:r>
      <w:r>
        <w:rPr>
          <w:rFonts w:hAnsi="宋体"/>
        </w:rPr>
        <w:t xml:space="preserve">     </w:t>
      </w:r>
      <m:oMath>
        <m:sSub>
          <m:sSubPr>
            <m:ctrlPr>
              <w:rPr>
                <w:rFonts w:ascii="Cambria Math" w:hAnsi="Cambria Math"/>
                <w:i/>
              </w:rPr>
            </m:ctrlPr>
          </m:sSubPr>
          <m:e>
            <m:r>
              <w:rPr>
                <w:rFonts w:ascii="Cambria Math" w:hAnsi="Cambria Math"/>
              </w:rPr>
              <m:t xml:space="preserve">σ</m:t>
            </m:r>
          </m:e>
          <m:sub>
            <m:r>
              <w:rPr>
                <w:rFonts w:ascii="Cambria Math" w:hAnsi="Cambria Math"/>
              </w:rPr>
              <m:t xml:space="preserve">02</m:t>
            </m:r>
          </m:sub>
        </m:sSub>
      </m:oMath>
      <w:r>
        <w:rPr>
          <w:rFonts w:hint="eastAsia" w:hAnsi="宋体"/>
        </w:rPr>
        <w:t xml:space="preserve"> </w:t>
      </w:r>
      <w:r>
        <w:rPr>
          <w:rFonts w:hAnsi="宋体"/>
        </w:rPr>
        <w:t>——</w:t>
      </w:r>
      <w:r>
        <w:rPr>
          <w:rFonts w:hint="eastAsia" w:hAnsi="宋体"/>
        </w:rPr>
        <w:t>柱边墙体0</w:t>
      </w:r>
      <w:r>
        <w:rPr>
          <w:rFonts w:hAnsi="宋体"/>
        </w:rPr>
        <w:t>.2</w:t>
      </w:r>
      <m:oMath>
        <m:sSub>
          <m:sSubPr>
            <m:ctrlPr>
              <w:rPr>
                <w:rFonts w:ascii="Cambria Math" w:hAnsi="Cambria Math"/>
                <w:i/>
              </w:rPr>
            </m:ctrlPr>
          </m:sSubPr>
          <m:e>
            <m:r>
              <w:rPr>
                <w:rFonts w:ascii="Cambria Math" w:hAnsi="Cambria Math"/>
              </w:rPr>
              <m:t xml:space="preserve">l</m:t>
            </m:r>
          </m:e>
          <m:sub>
            <m:r>
              <w:rPr>
                <w:rFonts w:ascii="Cambria Math" w:hAnsi="Cambria Math"/>
              </w:rPr>
              <m:t xml:space="preserve">n</m:t>
            </m:r>
          </m:sub>
        </m:sSub>
      </m:oMath>
      <w:r>
        <w:rPr>
          <w:rFonts w:hint="eastAsia" w:hAnsi="宋体"/>
        </w:rPr>
        <w:t>范围内考虑风荷载、地震作用组合的平均压应力设计值</w:t>
      </w:r>
      <m:oMath>
        <m:d>
          <m:dPr>
            <m:ctrlPr>
              <w:rPr>
                <w:rFonts w:ascii="Cambria Math" w:hAnsi="Cambria Math"/>
                <w:i/>
              </w:rPr>
            </m:ctrlPr>
          </m:dPr>
          <m:e>
            <m:r>
              <w:rPr>
                <w:rFonts w:ascii="Cambria Math" w:hAnsi="Cambria Math"/>
              </w:rPr>
              <m:t xml:space="preserve">N∕</m:t>
            </m:r>
            <m:sSup>
              <m:sSupPr>
                <m:ctrlPr>
                  <w:rPr>
                    <w:rFonts w:ascii="Cambria Math" w:hAnsi="Cambria Math"/>
                    <w:i/>
                  </w:rPr>
                </m:ctrlPr>
              </m:sSupPr>
              <m:e>
                <m:r>
                  <w:rPr>
                    <w:rFonts w:ascii="Cambria Math" w:hAnsi="Cambria Math"/>
                  </w:rPr>
                  <m:t xml:space="preserve">mm</m:t>
                </m:r>
              </m:e>
              <m:sup>
                <m:r>
                  <w:rPr>
                    <w:rFonts w:ascii="Cambria Math" w:hAnsi="Cambria Math"/>
                  </w:rPr>
                  <m:t xml:space="preserve">2</m:t>
                </m:r>
              </m:sup>
            </m:sSup>
          </m:e>
        </m:d>
      </m:oMath>
      <w:r>
        <w:rPr>
          <w:rFonts w:hint="eastAsia" w:hAnsi="宋体"/>
        </w:rPr>
        <w:t>；</w:t>
      </w:r>
    </w:p>
    <w:p>
      <w:pPr>
        <w:snapToGrid w:val="0"/>
        <w:spacing w:line="360" w:lineRule="auto"/>
        <w:ind w:firstLine="480"/>
        <w:jc w:val="left"/>
        <w:rPr>
          <w:rFonts w:hAnsi="宋体"/>
        </w:rPr>
      </w:pPr>
      <w:r>
        <w:rPr>
          <w:rFonts w:hint="eastAsia" w:hAnsi="宋体"/>
        </w:rPr>
        <w:t xml:space="preserve"> </w:t>
      </w:r>
      <w:r>
        <w:rPr>
          <w:rFonts w:hAnsi="宋体"/>
        </w:rPr>
        <w:t xml:space="preserve">     </w:t>
      </w:r>
      <m:oMath>
        <m:sSub>
          <m:sSubPr>
            <m:ctrlPr>
              <w:rPr>
                <w:rFonts w:ascii="Cambria Math" w:hAnsi="Cambria Math"/>
                <w:i/>
              </w:rPr>
            </m:ctrlPr>
          </m:sSubPr>
          <m:e>
            <m:r>
              <w:rPr>
                <w:rFonts w:ascii="Cambria Math" w:hAnsi="Cambria Math"/>
              </w:rPr>
              <m:t xml:space="preserve">σ</m:t>
            </m:r>
          </m:e>
          <m:sub>
            <m:r>
              <w:rPr>
                <w:rFonts w:ascii="Cambria Math" w:hAnsi="Cambria Math"/>
              </w:rPr>
              <m:t xml:space="preserve">xmax</m:t>
            </m:r>
          </m:sub>
        </m:sSub>
      </m:oMath>
      <w:r>
        <w:rPr>
          <w:rFonts w:hAnsi="宋体"/>
        </w:rPr>
        <w:t>——</w:t>
      </w:r>
      <w:r>
        <w:rPr>
          <w:rFonts w:hint="eastAsia" w:hAnsi="宋体"/>
        </w:rPr>
        <w:t>转换板与墙体交接面上考虑风荷载、地震作用组合的水平拉应力设计值</w:t>
      </w:r>
      <m:oMath>
        <m:d>
          <m:dPr>
            <m:ctrlPr>
              <w:rPr>
                <w:rFonts w:ascii="Cambria Math" w:hAnsi="Cambria Math"/>
                <w:i/>
              </w:rPr>
            </m:ctrlPr>
          </m:dPr>
          <m:e>
            <m:r>
              <w:rPr>
                <w:rFonts w:ascii="Cambria Math" w:hAnsi="Cambria Math"/>
              </w:rPr>
              <m:t xml:space="preserve">N∕</m:t>
            </m:r>
            <m:sSup>
              <m:sSupPr>
                <m:ctrlPr>
                  <w:rPr>
                    <w:rFonts w:ascii="Cambria Math" w:hAnsi="Cambria Math"/>
                    <w:i/>
                  </w:rPr>
                </m:ctrlPr>
              </m:sSupPr>
              <m:e>
                <m:r>
                  <w:rPr>
                    <w:rFonts w:ascii="Cambria Math" w:hAnsi="Cambria Math"/>
                  </w:rPr>
                  <m:t xml:space="preserve">mm</m:t>
                </m:r>
              </m:e>
              <m:sup>
                <m:r>
                  <w:rPr>
                    <w:rFonts w:ascii="Cambria Math" w:hAnsi="Cambria Math"/>
                  </w:rPr>
                  <m:t xml:space="preserve">2</m:t>
                </m:r>
              </m:sup>
            </m:sSup>
          </m:e>
        </m:d>
      </m:oMath>
      <w:r>
        <w:rPr>
          <w:rFonts w:hint="eastAsia" w:hAnsi="宋体"/>
        </w:rPr>
        <w:t>。</w:t>
      </w:r>
    </w:p>
    <w:p>
      <w:pPr>
        <w:snapToGrid w:val="0"/>
        <w:spacing w:line="360" w:lineRule="auto"/>
        <w:ind w:firstLine="480"/>
        <w:jc w:val="left"/>
        <w:rPr>
          <w:rFonts w:hAnsi="宋体"/>
        </w:rPr>
      </w:pPr>
      <w:r>
        <w:rPr>
          <w:rFonts w:hint="eastAsia" w:hAnsi="宋体"/>
        </w:rPr>
        <w:t>有地震作用组合时，公式</w:t>
      </w:r>
      <w:r>
        <w:rPr>
          <w:rFonts w:hAnsi="宋体"/>
        </w:rPr>
        <w:t>(5.2.11-1)</w:t>
      </w:r>
      <w:r>
        <w:rPr>
          <w:rFonts w:hint="eastAsia" w:hAnsi="宋体"/>
        </w:rPr>
        <w:t>～</w:t>
      </w:r>
      <w:r>
        <w:rPr>
          <w:rFonts w:hAnsi="宋体"/>
        </w:rPr>
        <w:t>(5.2.11-3)</w:t>
      </w:r>
      <w:r>
        <w:rPr>
          <w:rFonts w:hint="eastAsia" w:hAnsi="宋体"/>
        </w:rPr>
        <w:t>中的</w:t>
      </w:r>
      <m:oMath>
        <m:sSub>
          <m:sSubPr>
            <m:ctrlPr>
              <w:rPr>
                <w:rFonts w:ascii="Cambria Math" w:hAnsi="Cambria Math"/>
                <w:i/>
              </w:rPr>
            </m:ctrlPr>
          </m:sSubPr>
          <m:e>
            <m:r>
              <w:rPr>
                <w:rFonts w:ascii="Cambria Math" w:hAnsi="Cambria Math"/>
              </w:rPr>
              <m:t xml:space="preserve">σ</m:t>
            </m:r>
          </m:e>
          <m:sub>
            <m:r>
              <w:rPr>
                <w:rFonts w:ascii="Cambria Math" w:hAnsi="Cambria Math"/>
              </w:rPr>
              <m:t xml:space="preserve">01</m:t>
            </m:r>
          </m:sub>
        </m:sSub>
      </m:oMath>
      <w:r>
        <w:rPr>
          <w:rFonts w:hint="eastAsia" w:hAnsi="宋体"/>
        </w:rPr>
        <w:t>、</w:t>
      </w:r>
      <m:oMath>
        <m:sSub>
          <m:sSubPr>
            <m:ctrlPr>
              <w:rPr>
                <w:rFonts w:ascii="Cambria Math" w:hAnsi="Cambria Math"/>
                <w:i/>
              </w:rPr>
            </m:ctrlPr>
          </m:sSubPr>
          <m:e>
            <m:r>
              <w:rPr>
                <w:rFonts w:ascii="Cambria Math" w:hAnsi="Cambria Math"/>
              </w:rPr>
              <m:t xml:space="preserve">σ</m:t>
            </m:r>
          </m:e>
          <m:sub>
            <m:r>
              <w:rPr>
                <w:rFonts w:ascii="Cambria Math" w:hAnsi="Cambria Math"/>
              </w:rPr>
              <m:t xml:space="preserve">02</m:t>
            </m:r>
          </m:sub>
        </m:sSub>
      </m:oMath>
      <w:r>
        <w:rPr>
          <w:rFonts w:hint="eastAsia" w:hAnsi="宋体"/>
        </w:rPr>
        <w:t>、</w:t>
      </w:r>
      <m:oMath>
        <m:sSub>
          <m:sSubPr>
            <m:ctrlPr>
              <w:rPr>
                <w:rFonts w:ascii="Cambria Math" w:hAnsi="Cambria Math"/>
                <w:i/>
              </w:rPr>
            </m:ctrlPr>
          </m:sSubPr>
          <m:e>
            <m:r>
              <w:rPr>
                <w:rFonts w:ascii="Cambria Math" w:hAnsi="Cambria Math"/>
              </w:rPr>
              <m:t xml:space="preserve">σ</m:t>
            </m:r>
          </m:e>
          <m:sub>
            <m:r>
              <w:rPr>
                <w:rFonts w:ascii="Cambria Math" w:hAnsi="Cambria Math"/>
              </w:rPr>
              <m:t xml:space="preserve">xmax</m:t>
            </m:r>
          </m:sub>
        </m:sSub>
      </m:oMath>
      <w:r>
        <w:rPr>
          <w:rFonts w:hint="eastAsia" w:hAnsi="宋体"/>
        </w:rPr>
        <w:t>均应乘以</w:t>
      </w:r>
      <m:oMath>
        <m:sSub>
          <m:sSubPr>
            <m:ctrlPr>
              <w:rPr>
                <w:rFonts w:ascii="Cambria Math" w:hAnsi="Cambria Math"/>
                <w:i/>
              </w:rPr>
            </m:ctrlPr>
          </m:sSubPr>
          <m:e>
            <m:r>
              <w:rPr>
                <w:rFonts w:ascii="Cambria Math" w:hAnsi="Cambria Math"/>
              </w:rPr>
              <m:t xml:space="preserve">γ</m:t>
            </m:r>
          </m:e>
          <m:sub>
            <m:r>
              <w:rPr>
                <w:rFonts w:ascii="Cambria Math" w:hAnsi="Cambria Math"/>
              </w:rPr>
              <m:t xml:space="preserve">RE</m:t>
            </m:r>
          </m:sub>
        </m:sSub>
      </m:oMath>
      <w:r>
        <w:rPr>
          <w:rFonts w:hint="eastAsia" w:hAnsi="宋体"/>
        </w:rPr>
        <w:t>，</w:t>
      </w:r>
      <m:oMath>
        <m:sSub>
          <m:sSubPr>
            <m:ctrlPr>
              <w:rPr>
                <w:rFonts w:ascii="Cambria Math" w:hAnsi="Cambria Math"/>
                <w:i/>
              </w:rPr>
            </m:ctrlPr>
          </m:sSubPr>
          <m:e>
            <m:r>
              <w:rPr>
                <w:rFonts w:ascii="Cambria Math" w:hAnsi="Cambria Math"/>
              </w:rPr>
              <m:t xml:space="preserve">γ</m:t>
            </m:r>
          </m:e>
          <m:sub>
            <m:r>
              <w:rPr>
                <w:rFonts w:ascii="Cambria Math" w:hAnsi="Cambria Math"/>
              </w:rPr>
              <m:t xml:space="preserve">RE</m:t>
            </m:r>
          </m:sub>
        </m:sSub>
      </m:oMath>
      <w:r>
        <w:rPr>
          <w:rFonts w:hint="eastAsia" w:hAnsi="宋体"/>
        </w:rPr>
        <w:t>取0</w:t>
      </w:r>
      <w:r>
        <w:rPr>
          <w:rFonts w:hAnsi="宋体"/>
        </w:rPr>
        <w:t>.85</w:t>
      </w:r>
      <w:r>
        <w:rPr>
          <w:rFonts w:hint="eastAsia" w:hAnsi="宋体"/>
        </w:rPr>
        <w:t>。</w:t>
      </w:r>
    </w:p>
    <w:p>
      <w:pPr>
        <w:snapToGrid w:val="0"/>
        <w:spacing w:line="360" w:lineRule="auto"/>
        <w:ind w:firstLine="482"/>
        <w:rPr>
          <w:rFonts w:hAnsi="宋体"/>
        </w:rPr>
      </w:pPr>
      <w:r>
        <w:rPr>
          <w:b/>
          <w:bCs/>
        </w:rPr>
        <w:t>5.2.12</w:t>
      </w:r>
      <w:r>
        <w:rPr>
          <w:rFonts w:hAnsi="宋体"/>
        </w:rPr>
        <w:t xml:space="preserve"> </w:t>
      </w:r>
      <w:r>
        <w:rPr>
          <w:rFonts w:hint="eastAsia" w:hAnsi="宋体"/>
        </w:rPr>
        <w:t>转换厚板其上部墙体抗震等级为一级或特一级时，水平施工缝的抗滑移应符合下式要求：</w:t>
      </w:r>
    </w:p>
    <w:p>
      <w:pPr>
        <w:snapToGrid w:val="0"/>
        <w:spacing w:line="360" w:lineRule="auto"/>
        <w:ind w:firstLine="480"/>
        <w:jc w:val="right"/>
        <w:rPr>
          <w:rFonts w:hAnsi="宋体"/>
        </w:rPr>
      </w:pPr>
      <m:oMath>
        <m:sSub>
          <m:sSubPr>
            <m:ctrlPr>
              <w:rPr>
                <w:rFonts w:ascii="Cambria Math" w:hAnsi="Cambria Math"/>
                <w:i/>
              </w:rPr>
            </m:ctrlPr>
          </m:sSubPr>
          <m:e>
            <m:r>
              <w:rPr>
                <w:rFonts w:ascii="Cambria Math" w:hAnsi="Cambria Math"/>
              </w:rPr>
              <m:t xml:space="preserve">V</m:t>
            </m:r>
          </m:e>
          <m:sub>
            <m:r>
              <w:rPr>
                <w:rFonts w:ascii="Cambria Math" w:hAnsi="Cambria Math"/>
              </w:rPr>
              <m:t xml:space="preserve">wj</m:t>
            </m:r>
          </m:sub>
        </m:sSub>
        <m:r>
          <w:rPr>
            <w:rFonts w:ascii="Cambria Math" w:hAnsi="Cambria Math"/>
          </w:rPr>
          <m:t xml:space="preserve">≤</m:t>
        </m:r>
        <m:f>
          <m:fPr>
            <m:ctrlPr>
              <w:rPr>
                <w:rFonts w:ascii="Cambria Math" w:hAnsi="Cambria Math"/>
                <w:i/>
              </w:rPr>
            </m:ctrlPr>
          </m:fPr>
          <m:num>
            <m:r>
              <w:rPr>
                <w:rFonts w:ascii="Cambria Math" w:hAnsi="Cambria Math"/>
              </w:rPr>
              <m:t xml:space="preserve">1</m:t>
            </m:r>
          </m:num>
          <m:den>
            <m:sSub>
              <m:sSubPr>
                <m:ctrlPr>
                  <w:rPr>
                    <w:rFonts w:ascii="Cambria Math" w:hAnsi="Cambria Math"/>
                    <w:i/>
                  </w:rPr>
                </m:ctrlPr>
              </m:sSubPr>
              <m:e>
                <m:r>
                  <w:rPr>
                    <w:rFonts w:ascii="Cambria Math" w:hAnsi="Cambria Math"/>
                  </w:rPr>
                  <m:t xml:space="preserve">γ</m:t>
                </m:r>
              </m:e>
              <m:sub>
                <m:r>
                  <w:rPr>
                    <w:rFonts w:ascii="Cambria Math" w:hAnsi="Cambria Math"/>
                  </w:rPr>
                  <m:t xml:space="preserve">RE</m:t>
                </m:r>
              </m:sub>
            </m:sSub>
          </m:den>
        </m:f>
        <m:d>
          <m:dPr>
            <m:ctrlPr>
              <w:rPr>
                <w:rFonts w:ascii="Cambria Math" w:hAnsi="Cambria Math"/>
                <w:i/>
              </w:rPr>
            </m:ctrlPr>
          </m:dPr>
          <m:e>
            <m:r>
              <w:rPr>
                <w:rFonts w:ascii="Cambria Math" w:hAnsi="Cambria Math"/>
              </w:rPr>
              <m:t xml:space="preserve">0.6</m:t>
            </m:r>
            <m:sSub>
              <m:sSubPr>
                <m:ctrlPr>
                  <w:rPr>
                    <w:rFonts w:ascii="Cambria Math" w:hAnsi="Cambria Math"/>
                    <w:i/>
                  </w:rPr>
                </m:ctrlPr>
              </m:sSubPr>
              <m:e>
                <m:r>
                  <w:rPr>
                    <w:rFonts w:ascii="Cambria Math" w:hAnsi="Cambria Math"/>
                  </w:rPr>
                  <m:t xml:space="preserve">f</m:t>
                </m:r>
              </m:e>
              <m:sub>
                <m:r>
                  <w:rPr>
                    <w:rFonts w:ascii="Cambria Math" w:hAnsi="Cambria Math"/>
                  </w:rPr>
                  <m:t xml:space="preserve">y</m:t>
                </m:r>
              </m:sub>
            </m:sSub>
            <m:sSub>
              <m:sSubPr>
                <m:ctrlPr>
                  <w:rPr>
                    <w:rFonts w:ascii="Cambria Math" w:hAnsi="Cambria Math"/>
                    <w:i/>
                  </w:rPr>
                </m:ctrlPr>
              </m:sSubPr>
              <m:e>
                <m:r>
                  <w:rPr>
                    <w:rFonts w:ascii="Cambria Math" w:hAnsi="Cambria Math"/>
                  </w:rPr>
                  <m:t xml:space="preserve">A</m:t>
                </m:r>
              </m:e>
              <m:sub>
                <m:r>
                  <w:rPr>
                    <w:rFonts w:ascii="Cambria Math" w:hAnsi="Cambria Math"/>
                  </w:rPr>
                  <m:t xml:space="preserve">s</m:t>
                </m:r>
              </m:sub>
            </m:sSub>
            <m:r>
              <w:rPr>
                <w:rFonts w:ascii="Cambria Math" w:hAnsi="Cambria Math"/>
              </w:rPr>
              <m:t xml:space="preserve">+0.8N</m:t>
            </m:r>
          </m:e>
        </m:d>
      </m:oMath>
      <w:r>
        <w:rPr>
          <w:rFonts w:hAnsi="宋体"/>
        </w:rPr>
        <w:t xml:space="preserve">                              (5.2.12)</w:t>
      </w:r>
    </w:p>
    <w:p>
      <w:pPr>
        <w:snapToGrid w:val="0"/>
        <w:spacing w:line="360" w:lineRule="auto"/>
        <w:ind w:firstLine="480"/>
        <w:rPr>
          <w:rFonts w:hAnsi="宋体"/>
          <w:color w:val="FF0000"/>
        </w:rPr>
      </w:pPr>
    </w:p>
    <w:p>
      <w:pPr>
        <w:snapToGrid w:val="0"/>
        <w:spacing w:line="360" w:lineRule="auto"/>
        <w:ind w:firstLine="480"/>
        <w:jc w:val="left"/>
        <w:rPr>
          <w:rFonts w:hAnsi="宋体"/>
        </w:rPr>
      </w:pPr>
      <w:r>
        <w:rPr>
          <w:rFonts w:hint="eastAsia" w:hAnsi="宋体"/>
        </w:rPr>
        <w:t>式中：</w:t>
      </w:r>
      <m:oMath>
        <m:sSub>
          <m:sSubPr>
            <m:ctrlPr>
              <w:rPr>
                <w:rFonts w:ascii="Cambria Math" w:hAnsi="Cambria Math"/>
                <w:i/>
              </w:rPr>
            </m:ctrlPr>
          </m:sSubPr>
          <m:e>
            <m:r>
              <w:rPr>
                <w:rFonts w:ascii="Cambria Math" w:hAnsi="Cambria Math"/>
              </w:rPr>
              <m:t xml:space="preserve">V</m:t>
            </m:r>
          </m:e>
          <m:sub>
            <m:r>
              <w:rPr>
                <w:rFonts w:ascii="Cambria Math" w:hAnsi="Cambria Math"/>
              </w:rPr>
              <m:t xml:space="preserve">wj</m:t>
            </m:r>
          </m:sub>
        </m:sSub>
      </m:oMath>
      <w:r>
        <w:rPr>
          <w:rFonts w:hAnsi="宋体"/>
        </w:rPr>
        <w:t>——</w:t>
      </w:r>
      <w:r>
        <w:rPr>
          <w:rFonts w:hint="eastAsia" w:hAnsi="宋体"/>
        </w:rPr>
        <w:t>剪力墙水平施工缝处剪力设计值；</w:t>
      </w:r>
    </w:p>
    <w:p>
      <w:pPr>
        <w:snapToGrid w:val="0"/>
        <w:spacing w:line="360" w:lineRule="auto"/>
        <w:ind w:firstLine="480"/>
        <w:jc w:val="left"/>
        <w:rPr>
          <w:rFonts w:hAnsi="宋体"/>
        </w:rPr>
      </w:pPr>
      <w:r>
        <w:rPr>
          <w:rFonts w:hint="eastAsia" w:hAnsi="宋体"/>
        </w:rPr>
        <w:t xml:space="preserve"> </w:t>
      </w:r>
      <w:r>
        <w:rPr>
          <w:rFonts w:hAnsi="宋体"/>
        </w:rPr>
        <w:t xml:space="preserve">     </w:t>
      </w:r>
      <m:oMath>
        <m:sSub>
          <m:sSubPr>
            <m:ctrlPr>
              <w:rPr>
                <w:rFonts w:ascii="Cambria Math" w:hAnsi="Cambria Math"/>
                <w:i/>
              </w:rPr>
            </m:ctrlPr>
          </m:sSubPr>
          <m:e>
            <m:r>
              <w:rPr>
                <w:rFonts w:ascii="Cambria Math" w:hAnsi="Cambria Math"/>
              </w:rPr>
              <m:t xml:space="preserve">A</m:t>
            </m:r>
          </m:e>
          <m:sub>
            <m:r>
              <w:rPr>
                <w:rFonts w:ascii="Cambria Math" w:hAnsi="Cambria Math"/>
              </w:rPr>
              <m:t xml:space="preserve">s</m:t>
            </m:r>
          </m:sub>
        </m:sSub>
      </m:oMath>
      <w:r>
        <w:rPr>
          <w:rFonts w:hint="eastAsia" w:hAnsi="宋体"/>
        </w:rPr>
        <w:t xml:space="preserve"> </w:t>
      </w:r>
      <w:r>
        <w:rPr>
          <w:rFonts w:hAnsi="宋体"/>
        </w:rPr>
        <w:t>——</w:t>
      </w:r>
      <w:r>
        <w:rPr>
          <w:rFonts w:hint="eastAsia" w:hAnsi="宋体"/>
        </w:rPr>
        <w:t>水平施工缝处剪力墙腹板内竖向分布钢筋和边缘构件中的竖向钢筋总面积（不包括两侧翼墙），以及在墙体中有足够锚固长度的附加竖向插筋面积；</w:t>
      </w:r>
    </w:p>
    <w:p>
      <w:pPr>
        <w:snapToGrid w:val="0"/>
        <w:spacing w:line="360" w:lineRule="auto"/>
        <w:ind w:firstLine="480"/>
        <w:jc w:val="left"/>
        <w:rPr>
          <w:rFonts w:hAnsi="宋体"/>
        </w:rPr>
      </w:pPr>
      <w:r>
        <w:rPr>
          <w:rFonts w:hint="eastAsia" w:hAnsi="宋体"/>
        </w:rPr>
        <w:t xml:space="preserve"> </w:t>
      </w:r>
      <w:r>
        <w:rPr>
          <w:rFonts w:hAnsi="宋体"/>
        </w:rPr>
        <w:t xml:space="preserve">     </w:t>
      </w:r>
      <m:oMath>
        <m:sSub>
          <m:sSubPr>
            <m:ctrlPr>
              <w:rPr>
                <w:rFonts w:ascii="Cambria Math" w:hAnsi="Cambria Math"/>
                <w:i/>
              </w:rPr>
            </m:ctrlPr>
          </m:sSubPr>
          <m:e>
            <m:r>
              <w:rPr>
                <w:rFonts w:ascii="Cambria Math" w:hAnsi="Cambria Math"/>
              </w:rPr>
              <m:t xml:space="preserve">f</m:t>
            </m:r>
          </m:e>
          <m:sub>
            <m:r>
              <w:rPr>
                <w:rFonts w:ascii="Cambria Math" w:hAnsi="Cambria Math"/>
              </w:rPr>
              <m:t xml:space="preserve">y</m:t>
            </m:r>
          </m:sub>
        </m:sSub>
      </m:oMath>
      <w:r>
        <w:rPr>
          <w:rFonts w:hint="eastAsia" w:hAnsi="宋体"/>
        </w:rPr>
        <w:t xml:space="preserve"> </w:t>
      </w:r>
      <w:r>
        <w:rPr>
          <w:rFonts w:hAnsi="宋体"/>
        </w:rPr>
        <w:t>——</w:t>
      </w:r>
      <w:r>
        <w:rPr>
          <w:rFonts w:hint="eastAsia" w:hAnsi="宋体"/>
        </w:rPr>
        <w:t>竖向钢筋抗拉强度设计值；</w:t>
      </w:r>
    </w:p>
    <w:p>
      <w:pPr>
        <w:snapToGrid w:val="0"/>
        <w:spacing w:line="360" w:lineRule="auto"/>
        <w:ind w:firstLine="480"/>
        <w:jc w:val="left"/>
        <w:rPr>
          <w:rFonts w:hAnsi="宋体"/>
        </w:rPr>
      </w:pPr>
      <w:r>
        <w:rPr>
          <w:rFonts w:hint="eastAsia" w:hAnsi="宋体"/>
        </w:rPr>
        <w:t xml:space="preserve"> </w:t>
      </w:r>
      <w:r>
        <w:rPr>
          <w:rFonts w:hAnsi="宋体"/>
        </w:rPr>
        <w:t xml:space="preserve">     </w:t>
      </w:r>
      <m:oMath>
        <m:r>
          <w:rPr>
            <w:rFonts w:ascii="Cambria Math" w:hAnsi="Cambria Math"/>
          </w:rPr>
          <m:t xml:space="preserve">N</m:t>
        </m:r>
      </m:oMath>
      <w:r>
        <w:rPr>
          <w:rFonts w:hAnsi="宋体"/>
        </w:rPr>
        <w:t xml:space="preserve"> ——</w:t>
      </w:r>
      <w:r>
        <w:rPr>
          <w:rFonts w:hint="eastAsia" w:hAnsi="宋体"/>
        </w:rPr>
        <w:t>水平施工缝处考虑地震作用组合的轴向力设计值，压力取正值，拉力取负值。</w:t>
      </w:r>
    </w:p>
    <w:p>
      <w:pPr>
        <w:snapToGrid w:val="0"/>
        <w:spacing w:line="360" w:lineRule="auto"/>
        <w:ind w:firstLine="482"/>
        <w:jc w:val="left"/>
      </w:pPr>
      <w:r>
        <w:rPr>
          <w:b/>
          <w:bCs/>
        </w:rPr>
        <w:t>5.2.13</w:t>
      </w:r>
      <w:r>
        <w:rPr>
          <w:rFonts w:hint="eastAsia" w:hAnsi="宋体"/>
        </w:rPr>
        <w:t>转换厚板的最大挠度应按荷载的准永久组合，并考虑荷载长期作用的影响进行计算，在不考虑起拱的条件下，其计算值不应超过计算跨度的1</w:t>
      </w:r>
      <w:r>
        <w:rPr>
          <w:rFonts w:hAnsi="宋体"/>
        </w:rPr>
        <w:t>/400</w:t>
      </w:r>
      <w:r>
        <w:rPr>
          <w:rFonts w:hint="eastAsia" w:hAnsi="宋体"/>
        </w:rPr>
        <w:t>；对于悬臂段，其计算值不应超过伸臂段长度的1</w:t>
      </w:r>
      <w:r>
        <w:rPr>
          <w:rFonts w:hAnsi="宋体"/>
        </w:rPr>
        <w:t>/200</w:t>
      </w:r>
      <w:r>
        <w:rPr>
          <w:rFonts w:hint="eastAsia" w:hAnsi="宋体"/>
        </w:rPr>
        <w:t>。</w:t>
      </w:r>
      <w:r>
        <w:rPr>
          <w:rFonts w:hAnsi="宋体"/>
        </w:rPr>
        <w:br w:type="page"/>
      </w:r>
    </w:p>
    <w:bookmarkEnd w:id="112"/>
    <w:p>
      <w:pPr>
        <w:pStyle w:val="2"/>
        <w:numPr>
          <w:ilvl w:val="0"/>
          <w:numId w:val="0"/>
        </w:numPr>
        <w:spacing w:line="400" w:lineRule="exact"/>
        <w:rPr>
          <w:rFonts w:ascii="Times New Roman" w:hAnsi="宋体"/>
          <w:bCs w:val="0"/>
        </w:rPr>
      </w:pPr>
      <w:bookmarkStart w:id="118" w:name="_Toc118864936"/>
      <w:bookmarkStart w:id="119" w:name="_Toc118797693"/>
      <w:bookmarkStart w:id="120" w:name="_Toc118779313"/>
      <w:bookmarkStart w:id="121" w:name="_Toc118790265"/>
      <w:bookmarkStart w:id="122" w:name="_Toc118791295"/>
      <w:bookmarkStart w:id="123" w:name="_Toc118790907"/>
      <w:bookmarkStart w:id="124" w:name="_Toc118780452"/>
      <w:bookmarkStart w:id="125" w:name="_Toc257127765"/>
      <w:bookmarkStart w:id="126" w:name="_Toc90922378"/>
      <w:r>
        <w:rPr>
          <w:rFonts w:ascii="Times New Roman" w:hAnsi="Times New Roman"/>
          <w:color w:val="000000"/>
        </w:rPr>
        <mc:AlternateContent>
          <mc:Choice Requires="wps">
            <w:drawing>
              <wp:anchor distT="0" distB="0" distL="114300" distR="114300" simplePos="0" relativeHeight="251661312" behindDoc="0" locked="0" layoutInCell="1" allowOverlap="1">
                <wp:simplePos x="0" y="0"/>
                <wp:positionH relativeFrom="column">
                  <wp:posOffset>2971800</wp:posOffset>
                </wp:positionH>
                <wp:positionV relativeFrom="paragraph">
                  <wp:posOffset>4655820</wp:posOffset>
                </wp:positionV>
                <wp:extent cx="635" cy="0"/>
                <wp:effectExtent l="5080" t="6985" r="13335" b="12065"/>
                <wp:wrapNone/>
                <wp:docPr id="72" name="直接连接符 72"/>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234pt;margin-top:366.6pt;height:0pt;width:0.05pt;z-index:251661312;mso-width-relative:page;mso-height-relative:page;" filled="f" stroked="t" coordsize="21600,21600" o:gfxdata="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APXE0F1wAAAAsBAAAPAAAAAAAAAAEAIAAAACIAAABkcnMvZG93bnJl&#10;di54bWxQSwECFAAUAAAACACHTuJAMqByb8UBAABaAwAADgAAAAAAAAABACAAAAAmAQAAZHJzL2Uy&#10;b0RvYy54bWxQSwUGAAAAAAYABgBZAQAAXQUAAAAA&#10;">
                <v:fill on="f" focussize="0,0"/>
                <v:stroke color="#000000" joinstyle="round"/>
                <v:imagedata o:title=""/>
                <o:lock v:ext="edit" aspectratio="f"/>
              </v:line>
            </w:pict>
          </mc:Fallback>
        </mc:AlternateContent>
      </w:r>
      <w:r>
        <w:rPr>
          <w:rFonts w:ascii="Times New Roman" w:hAnsi="Times New Roman"/>
          <w:color w:val="000000"/>
        </w:rPr>
        <mc:AlternateContent>
          <mc:Choice Requires="wps">
            <w:drawing>
              <wp:anchor distT="0" distB="0" distL="114300" distR="114300" simplePos="0" relativeHeight="251660288" behindDoc="0" locked="0" layoutInCell="1" allowOverlap="1">
                <wp:simplePos x="0" y="0"/>
                <wp:positionH relativeFrom="column">
                  <wp:posOffset>2971800</wp:posOffset>
                </wp:positionH>
                <wp:positionV relativeFrom="paragraph">
                  <wp:posOffset>4655820</wp:posOffset>
                </wp:positionV>
                <wp:extent cx="635" cy="0"/>
                <wp:effectExtent l="5080" t="6985" r="13335" b="12065"/>
                <wp:wrapNone/>
                <wp:docPr id="71" name="直接连接符 71"/>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234pt;margin-top:366.6pt;height:0pt;width:0.05pt;z-index:251660288;mso-width-relative:page;mso-height-relative:page;" filled="f" stroked="t" coordsize="21600,21600" o:gfxdata="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D1xNBdcAAAALAQAADwAAAAAAAAABACAAAAAiAAAAZHJzL2Rvd25y&#10;ZXYueG1sUEsBAhQAFAAAAAgAh07iQLd/fyrGAQAAWgMAAA4AAAAAAAAAAQAgAAAAJgEAAGRycy9l&#10;Mm9Eb2MueG1sUEsFBgAAAAAGAAYAWQEAAF4FAAAAAA==&#10;">
                <v:fill on="f" focussize="0,0"/>
                <v:stroke color="#000000" joinstyle="round"/>
                <v:imagedata o:title=""/>
                <o:lock v:ext="edit" aspectratio="f"/>
              </v:line>
            </w:pict>
          </mc:Fallback>
        </mc:AlternateContent>
      </w:r>
      <w:r>
        <w:rPr>
          <w:rFonts w:ascii="Times New Roman" w:hAnsi="Times New Roman"/>
          <w:color w:val="000000"/>
        </w:rPr>
        <mc:AlternateContent>
          <mc:Choice Requires="wps">
            <w:drawing>
              <wp:anchor distT="0" distB="0" distL="114300" distR="114300" simplePos="0" relativeHeight="251659264" behindDoc="0" locked="0" layoutInCell="1" allowOverlap="1">
                <wp:simplePos x="0" y="0"/>
                <wp:positionH relativeFrom="column">
                  <wp:posOffset>2971800</wp:posOffset>
                </wp:positionH>
                <wp:positionV relativeFrom="paragraph">
                  <wp:posOffset>4655820</wp:posOffset>
                </wp:positionV>
                <wp:extent cx="635" cy="0"/>
                <wp:effectExtent l="5080" t="6985" r="13335" b="12065"/>
                <wp:wrapNone/>
                <wp:docPr id="70" name="直接连接符 70"/>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234pt;margin-top:366.6pt;height:0pt;width:0.05pt;z-index:251659264;mso-width-relative:page;mso-height-relative:page;" filled="f" stroked="t" coordsize="21600,21600" o:gfxdata="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APXE0F1wAAAAsBAAAPAAAAAAAAAAEAIAAAACIAAABkcnMvZG93bnJl&#10;di54bWxQSwECFAAUAAAACACHTuJANDWEFsUBAABaAwAADgAAAAAAAAABACAAAAAmAQAAZHJzL2Uy&#10;b0RvYy54bWxQSwUGAAAAAAYABgBZAQAAXQUAAAAA&#10;">
                <v:fill on="f" focussize="0,0"/>
                <v:stroke color="#000000" joinstyle="round"/>
                <v:imagedata o:title=""/>
                <o:lock v:ext="edit" aspectratio="f"/>
              </v:line>
            </w:pict>
          </mc:Fallback>
        </mc:AlternateContent>
      </w:r>
      <w:r>
        <w:rPr>
          <w:rFonts w:ascii="Times New Roman" w:hAnsi="Times New Roman"/>
          <w:color w:val="000000"/>
        </w:rPr>
        <w:t xml:space="preserve">6  </w:t>
      </w:r>
      <w:bookmarkEnd w:id="118"/>
      <w:bookmarkEnd w:id="119"/>
      <w:bookmarkEnd w:id="120"/>
      <w:bookmarkEnd w:id="121"/>
      <w:bookmarkEnd w:id="122"/>
      <w:bookmarkEnd w:id="123"/>
      <w:bookmarkEnd w:id="124"/>
      <w:bookmarkEnd w:id="125"/>
      <w:r>
        <w:rPr>
          <w:rFonts w:hint="eastAsia" w:ascii="Times New Roman" w:hAnsi="Times New Roman"/>
          <w:color w:val="000000"/>
        </w:rPr>
        <w:t>车辆基地上盖</w:t>
      </w:r>
      <w:r>
        <w:rPr>
          <w:rFonts w:ascii="Times New Roman" w:hAnsi="宋体"/>
          <w:bCs w:val="0"/>
        </w:rPr>
        <w:t>隔震</w:t>
      </w:r>
      <w:r>
        <w:rPr>
          <w:rFonts w:hint="eastAsia" w:ascii="Times New Roman" w:hAnsi="宋体"/>
          <w:bCs w:val="0"/>
        </w:rPr>
        <w:t>设计</w:t>
      </w:r>
      <w:bookmarkEnd w:id="126"/>
    </w:p>
    <w:p>
      <w:pPr>
        <w:pStyle w:val="3"/>
      </w:pPr>
      <w:bookmarkStart w:id="127" w:name="_Toc90922379"/>
      <w:r>
        <mc:AlternateContent>
          <mc:Choice Requires="wps">
            <w:drawing>
              <wp:anchor distT="0" distB="0" distL="114300" distR="114300" simplePos="0" relativeHeight="251670528" behindDoc="0" locked="0" layoutInCell="1" allowOverlap="1">
                <wp:simplePos x="0" y="0"/>
                <wp:positionH relativeFrom="column">
                  <wp:posOffset>2971800</wp:posOffset>
                </wp:positionH>
                <wp:positionV relativeFrom="paragraph">
                  <wp:posOffset>4655820</wp:posOffset>
                </wp:positionV>
                <wp:extent cx="635" cy="0"/>
                <wp:effectExtent l="5080" t="6985" r="13335" b="12065"/>
                <wp:wrapNone/>
                <wp:docPr id="5" name="直接连接符 5"/>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234pt;margin-top:366.6pt;height:0pt;width:0.05pt;z-index:251670528;mso-width-relative:page;mso-height-relative:page;" filled="f" stroked="t" coordsize="21600,21600" o:gfxdata="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A9cTQXXAAAACwEAAA8AAAAAAAAAAQAgAAAAIgAAAGRycy9kb3ducmV2&#10;LnhtbFBLAQIUABQAAAAIAIdO4kDCWBCsxAEAAFgDAAAOAAAAAAAAAAEAIAAAACYBAABkcnMvZTJv&#10;RG9jLnhtbFBLBQYAAAAABgAGAFkBAABcBQAAAAA=&#10;">
                <v:fill on="f" focussize="0,0"/>
                <v:stroke color="#000000" joinstyle="round"/>
                <v:imagedata o:title=""/>
                <o:lock v:ext="edit" aspectratio="f"/>
              </v:line>
            </w:pict>
          </mc:Fallback>
        </mc:AlternateContent>
      </w:r>
      <w:r>
        <mc:AlternateContent>
          <mc:Choice Requires="wps">
            <w:drawing>
              <wp:anchor distT="0" distB="0" distL="114300" distR="114300" simplePos="0" relativeHeight="251669504" behindDoc="0" locked="0" layoutInCell="1" allowOverlap="1">
                <wp:simplePos x="0" y="0"/>
                <wp:positionH relativeFrom="column">
                  <wp:posOffset>2971800</wp:posOffset>
                </wp:positionH>
                <wp:positionV relativeFrom="paragraph">
                  <wp:posOffset>4655820</wp:posOffset>
                </wp:positionV>
                <wp:extent cx="635" cy="0"/>
                <wp:effectExtent l="5080" t="6985" r="13335" b="12065"/>
                <wp:wrapNone/>
                <wp:docPr id="6" name="直接连接符 6"/>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234pt;margin-top:366.6pt;height:0pt;width:0.05pt;z-index:251669504;mso-width-relative:page;mso-height-relative:page;" filled="f" stroked="t" coordsize="21600,21600" o:gfxdata="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A9cTQXXAAAACwEAAA8AAAAAAAAAAQAgAAAAIgAAAGRycy9kb3ducmV2&#10;LnhtbFBLAQIUABQAAAAIAIdO4kBfiLURxAEAAFgDAAAOAAAAAAAAAAEAIAAAACYBAABkcnMvZTJv&#10;RG9jLnhtbFBLBQYAAAAABgAGAFkBAABcBQAAAAA=&#10;">
                <v:fill on="f" focussize="0,0"/>
                <v:stroke color="#000000" joinstyle="round"/>
                <v:imagedata o:title=""/>
                <o:lock v:ext="edit" aspectratio="f"/>
              </v:line>
            </w:pict>
          </mc:Fallback>
        </mc:AlternateContent>
      </w:r>
      <w:r>
        <mc:AlternateContent>
          <mc:Choice Requires="wps">
            <w:drawing>
              <wp:anchor distT="0" distB="0" distL="114300" distR="114300" simplePos="0" relativeHeight="251668480" behindDoc="0" locked="0" layoutInCell="1" allowOverlap="1">
                <wp:simplePos x="0" y="0"/>
                <wp:positionH relativeFrom="column">
                  <wp:posOffset>2971800</wp:posOffset>
                </wp:positionH>
                <wp:positionV relativeFrom="paragraph">
                  <wp:posOffset>4655820</wp:posOffset>
                </wp:positionV>
                <wp:extent cx="635" cy="0"/>
                <wp:effectExtent l="5080" t="6985" r="13335" b="12065"/>
                <wp:wrapNone/>
                <wp:docPr id="7" name="直接连接符 7"/>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234pt;margin-top:366.6pt;height:0pt;width:0.05pt;z-index:251668480;mso-width-relative:page;mso-height-relative:page;" filled="f" stroked="t" coordsize="21600,21600" o:gfxdata="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APXE0F1wAAAAsBAAAPAAAAAAAAAAEAIAAAACIAAABkcnMvZG93bnJl&#10;di54bWxQSwECFAAUAAAACACHTuJA1MfWesUBAABYAwAADgAAAAAAAAABACAAAAAmAQAAZHJzL2Uy&#10;b0RvYy54bWxQSwUGAAAAAAYABgBZAQAAXQUAAAAA&#10;">
                <v:fill on="f" focussize="0,0"/>
                <v:stroke color="#000000" joinstyle="round"/>
                <v:imagedata o:title=""/>
                <o:lock v:ext="edit" aspectratio="f"/>
              </v:line>
            </w:pict>
          </mc:Fallback>
        </mc:AlternateContent>
      </w:r>
      <w:r>
        <w:t xml:space="preserve">6.1 </w:t>
      </w:r>
      <w:r>
        <w:rPr>
          <w:rFonts w:hint="eastAsia"/>
        </w:rPr>
        <w:t>一般规定</w:t>
      </w:r>
      <w:bookmarkEnd w:id="127"/>
    </w:p>
    <w:p>
      <w:pPr>
        <w:adjustRightInd w:val="0"/>
        <w:snapToGrid w:val="0"/>
        <w:spacing w:before="156" w:beforeLines="50" w:line="360" w:lineRule="auto"/>
        <w:ind w:firstLine="482"/>
        <w:rPr>
          <w:szCs w:val="21"/>
        </w:rPr>
      </w:pPr>
      <w:bookmarkStart w:id="128" w:name="_Hlk86926557"/>
      <w:r>
        <w:rPr>
          <w:b/>
          <w:bCs/>
          <w:szCs w:val="21"/>
        </w:rPr>
        <w:t xml:space="preserve">6.1.1 </w:t>
      </w:r>
      <w:r>
        <w:rPr>
          <w:rFonts w:hint="eastAsia"/>
          <w:szCs w:val="21"/>
        </w:rPr>
        <w:t>车辆基地上盖建筑可采用层间隔震技术进行设计，宜符合</w:t>
      </w:r>
      <w:r>
        <w:rPr>
          <w:rStyle w:val="50"/>
          <w:rFonts w:hint="default" w:ascii="Times New Roman" w:hAnsi="Times New Roman"/>
          <w:bCs/>
        </w:rPr>
        <w:t>《建筑隔震设计标准》GB/T 51408的相关规定。</w:t>
      </w:r>
    </w:p>
    <w:p>
      <w:pPr>
        <w:adjustRightInd w:val="0"/>
        <w:snapToGrid w:val="0"/>
        <w:spacing w:before="156" w:beforeLines="50" w:line="360" w:lineRule="auto"/>
        <w:ind w:firstLine="482"/>
        <w:rPr>
          <w:rStyle w:val="50"/>
          <w:rFonts w:hint="default" w:ascii="Times New Roman" w:hAnsi="Times New Roman"/>
          <w:bCs/>
          <w:sz w:val="24"/>
          <w:szCs w:val="24"/>
        </w:rPr>
      </w:pPr>
      <w:r>
        <w:rPr>
          <w:rFonts w:eastAsia="等线"/>
          <w:b/>
          <w:bCs/>
          <w:szCs w:val="21"/>
        </w:rPr>
        <w:t>[</w:t>
      </w:r>
      <w:r>
        <w:rPr>
          <w:rFonts w:hint="eastAsia" w:eastAsia="等线"/>
          <w:b/>
          <w:bCs/>
          <w:szCs w:val="21"/>
        </w:rPr>
        <w:t>条文说明</w:t>
      </w:r>
      <w:r>
        <w:rPr>
          <w:rFonts w:eastAsia="等线"/>
          <w:b/>
          <w:bCs/>
          <w:szCs w:val="21"/>
        </w:rPr>
        <w:t>]</w:t>
      </w:r>
      <w:r>
        <w:rPr>
          <w:rFonts w:hint="eastAsia"/>
          <w:szCs w:val="21"/>
        </w:rPr>
        <w:t>在车辆基地上盖建筑采用隔震</w:t>
      </w:r>
      <w:r>
        <w:rPr>
          <w:szCs w:val="21"/>
        </w:rPr>
        <w:t>技术</w:t>
      </w:r>
      <w:r>
        <w:rPr>
          <w:rFonts w:hint="eastAsia"/>
          <w:szCs w:val="21"/>
        </w:rPr>
        <w:t>主要是解决</w:t>
      </w:r>
      <w:r>
        <w:rPr>
          <w:szCs w:val="21"/>
        </w:rPr>
        <w:t>构件</w:t>
      </w:r>
      <w:r>
        <w:rPr>
          <w:rFonts w:hint="eastAsia"/>
          <w:szCs w:val="21"/>
        </w:rPr>
        <w:t>间断</w:t>
      </w:r>
      <w:r>
        <w:rPr>
          <w:szCs w:val="21"/>
        </w:rPr>
        <w:t>、刚度突变</w:t>
      </w:r>
      <w:r>
        <w:rPr>
          <w:rFonts w:hint="eastAsia"/>
          <w:szCs w:val="21"/>
        </w:rPr>
        <w:t>、尺寸突变</w:t>
      </w:r>
      <w:r>
        <w:rPr>
          <w:szCs w:val="21"/>
        </w:rPr>
        <w:t>等不规则</w:t>
      </w:r>
      <w:r>
        <w:rPr>
          <w:rFonts w:hint="eastAsia"/>
          <w:szCs w:val="21"/>
        </w:rPr>
        <w:t>项</w:t>
      </w:r>
      <w:r>
        <w:rPr>
          <w:szCs w:val="21"/>
        </w:rPr>
        <w:t>的重要技术手段</w:t>
      </w:r>
      <w:r>
        <w:rPr>
          <w:rFonts w:hint="eastAsia"/>
          <w:szCs w:val="21"/>
        </w:rPr>
        <w:t>，在7度</w:t>
      </w:r>
      <w:r>
        <w:rPr>
          <w:szCs w:val="21"/>
        </w:rPr>
        <w:t>设防地区不一定能够</w:t>
      </w:r>
      <w:r>
        <w:rPr>
          <w:rFonts w:hint="eastAsia"/>
          <w:szCs w:val="21"/>
        </w:rPr>
        <w:t>达到</w:t>
      </w:r>
      <w:r>
        <w:rPr>
          <w:szCs w:val="21"/>
        </w:rPr>
        <w:t>使隔震层上部结构地震作用降低一度</w:t>
      </w:r>
      <w:r>
        <w:rPr>
          <w:rFonts w:hint="eastAsia"/>
          <w:szCs w:val="21"/>
        </w:rPr>
        <w:t>的</w:t>
      </w:r>
      <w:r>
        <w:rPr>
          <w:szCs w:val="21"/>
        </w:rPr>
        <w:t>目标</w:t>
      </w:r>
      <w:r>
        <w:rPr>
          <w:rFonts w:hint="eastAsia"/>
          <w:szCs w:val="21"/>
        </w:rPr>
        <w:t>，</w:t>
      </w:r>
      <w:r>
        <w:rPr>
          <w:szCs w:val="21"/>
        </w:rPr>
        <w:t>但是可以降低隔震层上部结构和下</w:t>
      </w:r>
      <w:r>
        <w:rPr>
          <w:rFonts w:hint="eastAsia"/>
          <w:szCs w:val="21"/>
        </w:rPr>
        <w:t>部</w:t>
      </w:r>
      <w:r>
        <w:rPr>
          <w:szCs w:val="21"/>
        </w:rPr>
        <w:t>结构的地震作用</w:t>
      </w:r>
      <w:r>
        <w:rPr>
          <w:rFonts w:hint="eastAsia"/>
          <w:szCs w:val="21"/>
        </w:rPr>
        <w:t>，</w:t>
      </w:r>
      <w:r>
        <w:rPr>
          <w:rStyle w:val="50"/>
          <w:rFonts w:hint="default"/>
        </w:rPr>
        <w:t>使盖下建筑抗震性能相对提高，保证结构实现既定性能目标</w:t>
      </w:r>
      <w:r>
        <w:rPr>
          <w:rFonts w:hint="eastAsia"/>
          <w:szCs w:val="21"/>
        </w:rPr>
        <w:t>。隔震设计方案应在满足</w:t>
      </w:r>
      <w:r>
        <w:rPr>
          <w:rStyle w:val="50"/>
          <w:rFonts w:hint="default" w:ascii="Times New Roman" w:hAnsi="Times New Roman"/>
          <w:bCs/>
        </w:rPr>
        <w:t>《建筑隔震设计标准》GB/T 51408相关规定的基础上，根据车辆基地及其上盖建筑的抗震性能需求和使用功能需求，综合考虑技术、经济和使用条件来确定</w:t>
      </w:r>
      <w:r>
        <w:rPr>
          <w:rStyle w:val="50"/>
          <w:rFonts w:hint="default" w:ascii="Times New Roman" w:hAnsi="Times New Roman"/>
          <w:bCs/>
          <w:sz w:val="24"/>
          <w:szCs w:val="24"/>
        </w:rPr>
        <w:t>。</w:t>
      </w:r>
    </w:p>
    <w:p>
      <w:pPr>
        <w:tabs>
          <w:tab w:val="center" w:pos="4200"/>
          <w:tab w:val="right" w:pos="8400"/>
        </w:tabs>
        <w:adjustRightInd w:val="0"/>
        <w:snapToGrid w:val="0"/>
        <w:spacing w:line="360" w:lineRule="auto"/>
        <w:ind w:firstLine="482"/>
        <w:rPr>
          <w:rFonts w:hAnsi="宋体"/>
          <w:szCs w:val="21"/>
        </w:rPr>
      </w:pPr>
      <w:r>
        <w:rPr>
          <w:b/>
          <w:bCs/>
          <w:szCs w:val="21"/>
        </w:rPr>
        <w:t>6.1.2</w:t>
      </w:r>
      <w:r>
        <w:rPr>
          <w:rFonts w:hint="eastAsia" w:hAnsi="宋体"/>
          <w:szCs w:val="21"/>
        </w:rPr>
        <w:t>层间隔震结构宜按</w:t>
      </w:r>
      <w:r>
        <w:rPr>
          <w:rStyle w:val="50"/>
          <w:rFonts w:hint="default" w:ascii="Times New Roman" w:hAnsi="Times New Roman"/>
          <w:bCs/>
        </w:rPr>
        <w:t>《建筑隔震设计标准》GB/T 51408的相关规定进行</w:t>
      </w:r>
      <w:r>
        <w:rPr>
          <w:rFonts w:hint="eastAsia" w:hAnsi="宋体"/>
          <w:szCs w:val="21"/>
        </w:rPr>
        <w:t>设防地震、罕遇地震计算，也可区分结构不同部位分别进行多遇地震、设防地震、罕遇地震计算。当采用“三个水准”设计时：</w:t>
      </w:r>
    </w:p>
    <w:p>
      <w:pPr>
        <w:adjustRightInd w:val="0"/>
        <w:snapToGrid w:val="0"/>
        <w:spacing w:line="360" w:lineRule="auto"/>
        <w:ind w:firstLine="420" w:firstLineChars="200"/>
        <w:textAlignment w:val="baseline"/>
        <w:rPr>
          <w:szCs w:val="21"/>
        </w:rPr>
      </w:pPr>
      <w:r>
        <w:rPr>
          <w:rFonts w:hint="eastAsia"/>
          <w:szCs w:val="21"/>
        </w:rPr>
        <w:t>1</w:t>
      </w:r>
      <w:r>
        <w:rPr>
          <w:szCs w:val="21"/>
        </w:rPr>
        <w:t xml:space="preserve">  </w:t>
      </w:r>
      <w:r>
        <w:rPr>
          <w:rFonts w:hint="eastAsia"/>
          <w:szCs w:val="21"/>
        </w:rPr>
        <w:t>隔震层上部结构在多遇地震作用下的水平地震作用可适当折减，折减系数可取设防地震作用下建筑结构隔震后与隔震前上部结构底部剪力之比值，但不应低于非隔震结构在6度设防时的总水平地震作用；各楼层的水平地震剪力尚应符合</w:t>
      </w:r>
      <w:r>
        <w:rPr>
          <w:rFonts w:hint="eastAsia" w:hAnsi="宋体"/>
        </w:rPr>
        <w:t>《建筑抗震设计规范》</w:t>
      </w:r>
      <w:r>
        <w:rPr>
          <w:rFonts w:hint="eastAsia"/>
          <w:szCs w:val="21"/>
        </w:rPr>
        <w:t>GB50011对隔震后上部结构相应设防烈度的最小地震剪力系数的规定。</w:t>
      </w:r>
    </w:p>
    <w:p>
      <w:pPr>
        <w:adjustRightInd w:val="0"/>
        <w:snapToGrid w:val="0"/>
        <w:spacing w:line="360" w:lineRule="auto"/>
        <w:ind w:firstLine="420" w:firstLineChars="200"/>
        <w:rPr>
          <w:b/>
          <w:bCs/>
          <w:szCs w:val="21"/>
        </w:rPr>
      </w:pPr>
      <w:r>
        <w:rPr>
          <w:rFonts w:hint="eastAsia"/>
          <w:szCs w:val="21"/>
        </w:rPr>
        <w:t>2</w:t>
      </w:r>
      <w:r>
        <w:rPr>
          <w:szCs w:val="21"/>
        </w:rPr>
        <w:t xml:space="preserve">  </w:t>
      </w:r>
      <w:r>
        <w:rPr>
          <w:rFonts w:hint="eastAsia"/>
          <w:szCs w:val="21"/>
        </w:rPr>
        <w:t>隔震支座应满足重力荷载代表值及罕遇地震作用下的承载力和变形要求；</w:t>
      </w:r>
    </w:p>
    <w:p>
      <w:pPr>
        <w:adjustRightInd w:val="0"/>
        <w:snapToGrid w:val="0"/>
        <w:spacing w:line="360" w:lineRule="auto"/>
        <w:ind w:firstLine="412" w:firstLineChars="196"/>
        <w:rPr>
          <w:szCs w:val="21"/>
        </w:rPr>
      </w:pPr>
      <w:r>
        <w:rPr>
          <w:rFonts w:hint="eastAsia"/>
          <w:szCs w:val="21"/>
        </w:rPr>
        <w:t>3</w:t>
      </w:r>
      <w:r>
        <w:rPr>
          <w:szCs w:val="21"/>
        </w:rPr>
        <w:t xml:space="preserve">  </w:t>
      </w:r>
      <w:r>
        <w:rPr>
          <w:rFonts w:hint="eastAsia"/>
          <w:szCs w:val="21"/>
        </w:rPr>
        <w:t>隔震层下部结构应进行隔震后设防地震和罕遇地震作用下的承载力和变形验算；多遇</w:t>
      </w:r>
      <w:r>
        <w:rPr>
          <w:rFonts w:hint="eastAsia" w:hAnsi="宋体"/>
        </w:rPr>
        <w:t>地震作用计算和抗震构造措施应满足《建筑抗震设计规范》GB50011的相关规定。</w:t>
      </w:r>
    </w:p>
    <w:p>
      <w:pPr>
        <w:adjustRightInd w:val="0"/>
        <w:snapToGrid w:val="0"/>
        <w:spacing w:line="360" w:lineRule="auto"/>
        <w:ind w:firstLine="412" w:firstLineChars="196"/>
        <w:rPr>
          <w:szCs w:val="21"/>
        </w:rPr>
      </w:pPr>
      <w:r>
        <w:rPr>
          <w:szCs w:val="21"/>
        </w:rPr>
        <w:t xml:space="preserve">4  </w:t>
      </w:r>
      <w:r>
        <w:rPr>
          <w:rFonts w:hint="eastAsia"/>
          <w:szCs w:val="21"/>
        </w:rPr>
        <w:t>隔震建筑地基基础的抗震验算和地基处理仍应按本地区设防烈度进行。</w:t>
      </w:r>
    </w:p>
    <w:p>
      <w:pPr>
        <w:adjustRightInd w:val="0"/>
        <w:snapToGrid w:val="0"/>
        <w:spacing w:before="156" w:beforeLines="50" w:line="360" w:lineRule="auto"/>
        <w:ind w:firstLine="480"/>
        <w:rPr>
          <w:rStyle w:val="50"/>
          <w:rFonts w:hint="default"/>
        </w:rPr>
      </w:pPr>
      <w:r>
        <w:rPr>
          <w:rFonts w:hint="eastAsia" w:eastAsia="等线"/>
          <w:b/>
          <w:bCs/>
        </w:rPr>
        <w:t>[条文说明]</w:t>
      </w:r>
      <w:r>
        <w:rPr>
          <w:rStyle w:val="50"/>
          <w:rFonts w:hint="default" w:ascii="Times New Roman" w:hAnsi="Times New Roman"/>
          <w:bCs/>
        </w:rPr>
        <w:t>《建筑隔震设计标准》</w:t>
      </w:r>
      <w:r>
        <w:rPr>
          <w:rStyle w:val="50"/>
          <w:rFonts w:hint="default"/>
        </w:rPr>
        <w:t>GB/T51408基本设防目标是：当遭受相当于本地区设防烈度的设防地震时，隔震建筑基本完好；当遭受罕遇地震时，可能发生损坏，经修复后可继续使用；当遭受极罕遇地震时，不致倒塌或发生危及生命的严重破坏。本标准适用的车辆基地上盖建筑为重点设防类和一般设防类建筑，故不对极罕遇地震设计作出要求，对于特殊设防类建筑，宜进行专门研究。考虑到车辆基地上盖多采用大底盘多塔结构，现阶段极少存在多塔均采用隔震设计的结构方案，</w:t>
      </w:r>
      <w:r>
        <w:rPr>
          <w:rFonts w:hint="eastAsia"/>
          <w:szCs w:val="21"/>
        </w:rPr>
        <w:t>当车辆基地同一结构单元内既有隔震结构，又有抗震结构时，</w:t>
      </w:r>
      <w:r>
        <w:rPr>
          <w:rStyle w:val="50"/>
          <w:rFonts w:hint="default"/>
        </w:rPr>
        <w:t>上盖建筑隔震设计也可按多遇地震、设防地震、罕遇地震三水准进行设计，多遇地震控制指标可按本标准相关条文执行。</w:t>
      </w:r>
    </w:p>
    <w:bookmarkEnd w:id="128"/>
    <w:p>
      <w:pPr>
        <w:adjustRightInd w:val="0"/>
        <w:snapToGrid w:val="0"/>
        <w:spacing w:before="156" w:beforeLines="50" w:line="360" w:lineRule="auto"/>
        <w:ind w:firstLine="482"/>
        <w:rPr>
          <w:szCs w:val="21"/>
        </w:rPr>
      </w:pPr>
      <w:r>
        <w:rPr>
          <w:b/>
          <w:bCs/>
          <w:szCs w:val="21"/>
        </w:rPr>
        <w:t xml:space="preserve">6.1.3 </w:t>
      </w:r>
      <w:r>
        <w:rPr>
          <w:rFonts w:hint="eastAsia"/>
          <w:szCs w:val="21"/>
        </w:rPr>
        <w:t>车辆基地上盖建筑所采用的隔震（振）装置，当仅考虑地震作用的隔震设计时，可选用天然橡胶支座（</w:t>
      </w:r>
      <w:r>
        <w:rPr>
          <w:szCs w:val="21"/>
        </w:rPr>
        <w:t>LNR</w:t>
      </w:r>
      <w:r>
        <w:rPr>
          <w:rFonts w:hint="eastAsia"/>
          <w:szCs w:val="21"/>
        </w:rPr>
        <w:t>）、铅芯橡胶支座（</w:t>
      </w:r>
      <w:r>
        <w:rPr>
          <w:szCs w:val="21"/>
        </w:rPr>
        <w:t>LRB</w:t>
      </w:r>
      <w:r>
        <w:rPr>
          <w:rFonts w:hint="eastAsia"/>
          <w:szCs w:val="21"/>
        </w:rPr>
        <w:t>）、高阻尼橡胶支座（</w:t>
      </w:r>
      <w:r>
        <w:rPr>
          <w:szCs w:val="21"/>
        </w:rPr>
        <w:t>HDR</w:t>
      </w:r>
      <w:r>
        <w:rPr>
          <w:rFonts w:hint="eastAsia"/>
          <w:szCs w:val="21"/>
        </w:rPr>
        <w:t>）、</w:t>
      </w:r>
      <w:r>
        <w:rPr>
          <w:szCs w:val="21"/>
        </w:rPr>
        <w:t>弹性滑板支座(ESB)和摩擦摆隔震支座(FPS)</w:t>
      </w:r>
      <w:r>
        <w:rPr>
          <w:rFonts w:hint="eastAsia"/>
          <w:szCs w:val="21"/>
        </w:rPr>
        <w:t>。当考虑振震双控设计时，可选用具有竖向隔振和水平隔震的多功能支座，并经专门研究。</w:t>
      </w:r>
    </w:p>
    <w:p>
      <w:pPr>
        <w:pStyle w:val="90"/>
        <w:spacing w:before="50" w:line="360" w:lineRule="auto"/>
        <w:ind w:firstLine="420" w:firstLineChars="200"/>
        <w:rPr>
          <w:rFonts w:ascii="Times New Roman" w:hAnsi="Times New Roman" w:cs="Times New Roman"/>
        </w:rPr>
      </w:pPr>
      <w:r>
        <w:rPr>
          <w:rFonts w:ascii="Times New Roman" w:hAnsi="Times New Roman" w:eastAsia="等线" w:cs="Times New Roman"/>
          <w:b/>
          <w:bCs/>
          <w:color w:val="auto"/>
          <w:kern w:val="2"/>
          <w:sz w:val="21"/>
          <w:szCs w:val="21"/>
        </w:rPr>
        <w:t>[</w:t>
      </w:r>
      <w:r>
        <w:rPr>
          <w:rFonts w:hint="eastAsia" w:ascii="Times New Roman" w:hAnsi="Times New Roman" w:eastAsia="等线" w:cs="Times New Roman"/>
          <w:b/>
          <w:bCs/>
          <w:color w:val="auto"/>
          <w:kern w:val="2"/>
          <w:sz w:val="21"/>
          <w:szCs w:val="21"/>
        </w:rPr>
        <w:t>条文说明</w:t>
      </w:r>
      <w:r>
        <w:rPr>
          <w:rFonts w:ascii="Times New Roman" w:hAnsi="Times New Roman" w:eastAsia="等线" w:cs="Times New Roman"/>
          <w:b/>
          <w:bCs/>
          <w:color w:val="auto"/>
          <w:kern w:val="2"/>
          <w:sz w:val="21"/>
          <w:szCs w:val="21"/>
        </w:rPr>
        <w:t xml:space="preserve">] </w:t>
      </w:r>
      <w:r>
        <w:rPr>
          <w:rFonts w:hint="eastAsia" w:ascii="Times New Roman" w:hAnsi="Times New Roman" w:cs="Times New Roman"/>
          <w:sz w:val="21"/>
          <w:szCs w:val="21"/>
        </w:rPr>
        <w:t>车辆基地上盖建筑的隔震层装置和部件，宜选用成熟的产品，成熟的产品是指已有国家或行业相关标准、并具有合格的第三方型式检验和出厂检验报告的产品。具有竖向隔振和水平隔震的多功能支座，是指通过合理设计支座竖向刚度和水平刚度，实现对交通环境振动作用和水平地震作用的部分隔离，达到降低结构地震响应、提高舒适度的目的，对于这类特殊型式的隔震（振）产品，在没有对应的国家或行业标准前，应经专门研究论证和试验验证。</w:t>
      </w:r>
    </w:p>
    <w:p>
      <w:pPr>
        <w:adjustRightInd w:val="0"/>
        <w:snapToGrid w:val="0"/>
        <w:spacing w:before="156" w:beforeLines="50" w:line="360" w:lineRule="auto"/>
        <w:ind w:firstLine="482"/>
        <w:rPr>
          <w:szCs w:val="21"/>
        </w:rPr>
      </w:pPr>
      <w:r>
        <w:rPr>
          <w:b/>
          <w:bCs/>
          <w:szCs w:val="21"/>
        </w:rPr>
        <w:t xml:space="preserve">6.1.4 </w:t>
      </w:r>
      <w:r>
        <w:rPr>
          <w:rFonts w:hint="eastAsia"/>
          <w:szCs w:val="21"/>
        </w:rPr>
        <w:t>车辆基地上盖建筑所采用的隔震装置，应符合</w:t>
      </w:r>
      <w:r>
        <w:rPr>
          <w:szCs w:val="21"/>
        </w:rPr>
        <w:t>《橡胶支座第3部分建筑隔震橡胶支座》GB 20688.3、《橡胶支座第5部分建筑隔震弹性滑板支座》GB 20688.5、《建筑摩擦摆隔震支座》GB/T 37358 的相关要求。</w:t>
      </w:r>
    </w:p>
    <w:p>
      <w:pPr>
        <w:adjustRightInd w:val="0"/>
        <w:snapToGrid w:val="0"/>
        <w:spacing w:before="156" w:beforeLines="50" w:line="360" w:lineRule="auto"/>
        <w:ind w:firstLine="482"/>
        <w:rPr>
          <w:b/>
          <w:bCs/>
          <w:szCs w:val="21"/>
        </w:rPr>
      </w:pPr>
      <w:r>
        <w:rPr>
          <w:rFonts w:eastAsia="等线"/>
          <w:b/>
          <w:bCs/>
          <w:szCs w:val="21"/>
        </w:rPr>
        <w:t>[</w:t>
      </w:r>
      <w:r>
        <w:rPr>
          <w:rFonts w:hint="eastAsia" w:eastAsia="等线"/>
          <w:b/>
          <w:bCs/>
          <w:szCs w:val="21"/>
        </w:rPr>
        <w:t>条文说明</w:t>
      </w:r>
      <w:r>
        <w:rPr>
          <w:rFonts w:eastAsia="等线"/>
          <w:b/>
          <w:bCs/>
          <w:szCs w:val="21"/>
        </w:rPr>
        <w:t>]</w:t>
      </w:r>
      <w:r>
        <w:rPr>
          <w:szCs w:val="21"/>
        </w:rPr>
        <w:t xml:space="preserve"> </w:t>
      </w:r>
      <w:r>
        <w:rPr>
          <w:rFonts w:hint="eastAsia"/>
          <w:szCs w:val="21"/>
        </w:rPr>
        <w:t>对于具有振震双控功能的隔震支座，其支座的水平隔震性能，应满足</w:t>
      </w:r>
      <w:r>
        <w:rPr>
          <w:szCs w:val="21"/>
        </w:rPr>
        <w:t>《橡胶支座第3部分建筑隔震橡胶支座》GB 20688.3</w:t>
      </w:r>
      <w:r>
        <w:rPr>
          <w:rFonts w:hint="eastAsia"/>
          <w:szCs w:val="21"/>
        </w:rPr>
        <w:t>、</w:t>
      </w:r>
      <w:r>
        <w:rPr>
          <w:szCs w:val="21"/>
        </w:rPr>
        <w:t>《橡胶支座第5部分建筑隔震弹性滑板支座》GB 20688.5</w:t>
      </w:r>
      <w:r>
        <w:rPr>
          <w:rFonts w:hint="eastAsia"/>
          <w:szCs w:val="21"/>
        </w:rPr>
        <w:t>、</w:t>
      </w:r>
      <w:r>
        <w:rPr>
          <w:szCs w:val="21"/>
        </w:rPr>
        <w:t xml:space="preserve">《建筑摩擦摆隔震支座》GB/T 37358 </w:t>
      </w:r>
      <w:r>
        <w:rPr>
          <w:rFonts w:hint="eastAsia"/>
          <w:szCs w:val="21"/>
        </w:rPr>
        <w:t>的相关要求，其支座的竖向隔振性能，应经专门研究和试验，并充分考虑支座竖向性能和水平性能的相互影响，预留服役过程的检修和更换条件。</w:t>
      </w:r>
    </w:p>
    <w:p>
      <w:pPr>
        <w:adjustRightInd w:val="0"/>
        <w:snapToGrid w:val="0"/>
        <w:spacing w:before="156" w:beforeLines="50" w:line="360" w:lineRule="auto"/>
        <w:ind w:firstLine="482"/>
        <w:rPr>
          <w:szCs w:val="21"/>
        </w:rPr>
      </w:pPr>
      <w:r>
        <w:rPr>
          <w:b/>
          <w:bCs/>
          <w:szCs w:val="21"/>
        </w:rPr>
        <w:t xml:space="preserve">6.1.5 </w:t>
      </w:r>
      <w:r>
        <w:rPr>
          <w:rFonts w:hint="eastAsia"/>
          <w:szCs w:val="21"/>
        </w:rPr>
        <w:t>车辆基地上盖建筑隔震结构的地震作用应采用振型分解反应谱法进行</w:t>
      </w:r>
      <w:r>
        <w:rPr>
          <w:szCs w:val="21"/>
        </w:rPr>
        <w:t>分析</w:t>
      </w:r>
      <w:r>
        <w:rPr>
          <w:rFonts w:hint="eastAsia"/>
          <w:szCs w:val="21"/>
        </w:rPr>
        <w:t>，并采用时程分析法进行补充计算。车辆基地上盖建筑隔震（振）结构受交通环境振动的作用计算，应采用时程分析法计算。计算所采用的分析模型应能合理反映结构的地震响应和环境振动响应。</w:t>
      </w:r>
    </w:p>
    <w:p>
      <w:pPr>
        <w:adjustRightInd w:val="0"/>
        <w:snapToGrid w:val="0"/>
        <w:spacing w:before="156" w:beforeLines="50" w:line="360" w:lineRule="auto"/>
        <w:ind w:firstLine="482"/>
        <w:rPr>
          <w:rFonts w:eastAsia="等线"/>
          <w:b/>
          <w:bCs/>
          <w:szCs w:val="21"/>
        </w:rPr>
      </w:pPr>
      <w:r>
        <w:rPr>
          <w:rFonts w:eastAsia="等线"/>
          <w:b/>
          <w:bCs/>
          <w:szCs w:val="21"/>
        </w:rPr>
        <w:t>[</w:t>
      </w:r>
      <w:r>
        <w:rPr>
          <w:rFonts w:hint="eastAsia" w:eastAsia="等线"/>
          <w:b/>
          <w:bCs/>
          <w:szCs w:val="21"/>
        </w:rPr>
        <w:t>条文说明</w:t>
      </w:r>
      <w:r>
        <w:rPr>
          <w:rFonts w:eastAsia="等线"/>
          <w:b/>
          <w:bCs/>
          <w:szCs w:val="21"/>
        </w:rPr>
        <w:t xml:space="preserve">] </w:t>
      </w:r>
      <w:r>
        <w:rPr>
          <w:rFonts w:hint="eastAsia"/>
          <w:szCs w:val="21"/>
        </w:rPr>
        <w:t>一般情况，由于振幅尺度不同，结构在地震作用下的动力特性，如阻尼比等，与结构在环境振动下是不同的，不可一概而论，此时，应分别选择相符的结构力学模型和动力特性参数进行分析。</w:t>
      </w:r>
    </w:p>
    <w:p>
      <w:pPr>
        <w:adjustRightInd w:val="0"/>
        <w:snapToGrid w:val="0"/>
        <w:spacing w:before="156" w:beforeLines="50" w:line="360" w:lineRule="auto"/>
        <w:ind w:firstLine="482"/>
        <w:rPr>
          <w:szCs w:val="21"/>
        </w:rPr>
      </w:pPr>
      <w:r>
        <w:rPr>
          <w:b/>
          <w:bCs/>
          <w:szCs w:val="21"/>
        </w:rPr>
        <w:t xml:space="preserve">6.1.6 </w:t>
      </w:r>
      <w:r>
        <w:rPr>
          <w:rFonts w:hint="eastAsia"/>
          <w:szCs w:val="21"/>
        </w:rPr>
        <w:t>隔震结构分析模型应为包含隔震层上部结构、隔震层和隔震层下部结构的整体结构，隔震层下部结构的范围宜取为上盖塔楼结构投影并至少向外延伸一跨。</w:t>
      </w:r>
    </w:p>
    <w:p>
      <w:pPr>
        <w:adjustRightInd w:val="0"/>
        <w:snapToGrid w:val="0"/>
        <w:spacing w:before="156" w:beforeLines="50" w:line="360" w:lineRule="auto"/>
        <w:ind w:firstLine="482"/>
        <w:rPr>
          <w:szCs w:val="21"/>
        </w:rPr>
      </w:pPr>
      <w:r>
        <w:rPr>
          <w:rFonts w:eastAsia="等线"/>
          <w:b/>
          <w:bCs/>
          <w:szCs w:val="21"/>
        </w:rPr>
        <w:t>[</w:t>
      </w:r>
      <w:r>
        <w:rPr>
          <w:rFonts w:hint="eastAsia" w:eastAsia="等线"/>
          <w:b/>
          <w:bCs/>
          <w:szCs w:val="21"/>
        </w:rPr>
        <w:t>条文说明</w:t>
      </w:r>
      <w:r>
        <w:rPr>
          <w:rFonts w:eastAsia="等线"/>
          <w:b/>
          <w:bCs/>
          <w:szCs w:val="21"/>
        </w:rPr>
        <w:t xml:space="preserve">] </w:t>
      </w:r>
      <w:r>
        <w:rPr>
          <w:rFonts w:hint="eastAsia"/>
          <w:szCs w:val="21"/>
        </w:rPr>
        <w:t>采用振震双控的结构隔震（振）层，计算模型应考虑其竖向刚度对结构整体地震响应的影响。对于大底盘上设置多隔震塔楼的结构，宜补充大底盘多塔楼整体模型的时程分析计算。</w:t>
      </w:r>
    </w:p>
    <w:p>
      <w:pPr>
        <w:pStyle w:val="3"/>
      </w:pPr>
      <w:bookmarkStart w:id="129" w:name="_Toc90922380"/>
      <w:r>
        <mc:AlternateContent>
          <mc:Choice Requires="wps">
            <w:drawing>
              <wp:anchor distT="0" distB="0" distL="114300" distR="114300" simplePos="0" relativeHeight="251673600" behindDoc="0" locked="0" layoutInCell="1" allowOverlap="1">
                <wp:simplePos x="0" y="0"/>
                <wp:positionH relativeFrom="column">
                  <wp:posOffset>2971800</wp:posOffset>
                </wp:positionH>
                <wp:positionV relativeFrom="paragraph">
                  <wp:posOffset>4655820</wp:posOffset>
                </wp:positionV>
                <wp:extent cx="635" cy="0"/>
                <wp:effectExtent l="5080" t="6985" r="13335" b="12065"/>
                <wp:wrapNone/>
                <wp:docPr id="11" name="直接连接符 11"/>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234pt;margin-top:366.6pt;height:0pt;width:0.05pt;z-index:251673600;mso-width-relative:page;mso-height-relative:page;" filled="f" stroked="t" coordsize="21600,21600" o:gfxdata="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APXE0F1wAAAAsBAAAPAAAAAAAAAAEAIAAAACIAAABkcnMvZG93bnJl&#10;di54bWxQSwECFAAUAAAACACHTuJAFo0gysUBAABaAwAADgAAAAAAAAABACAAAAAmAQAAZHJzL2Uy&#10;b0RvYy54bWxQSwUGAAAAAAYABgBZAQAAXQUAAAAA&#10;">
                <v:fill on="f" focussize="0,0"/>
                <v:stroke color="#000000" joinstyle="round"/>
                <v:imagedata o:title=""/>
                <o:lock v:ext="edit" aspectratio="f"/>
              </v:line>
            </w:pict>
          </mc:Fallback>
        </mc:AlternateContent>
      </w:r>
      <w:r>
        <mc:AlternateContent>
          <mc:Choice Requires="wps">
            <w:drawing>
              <wp:anchor distT="0" distB="0" distL="114300" distR="114300" simplePos="0" relativeHeight="251672576" behindDoc="0" locked="0" layoutInCell="1" allowOverlap="1">
                <wp:simplePos x="0" y="0"/>
                <wp:positionH relativeFrom="column">
                  <wp:posOffset>2971800</wp:posOffset>
                </wp:positionH>
                <wp:positionV relativeFrom="paragraph">
                  <wp:posOffset>4655820</wp:posOffset>
                </wp:positionV>
                <wp:extent cx="635" cy="0"/>
                <wp:effectExtent l="5080" t="6985" r="13335" b="12065"/>
                <wp:wrapNone/>
                <wp:docPr id="12" name="直接连接符 12"/>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234pt;margin-top:366.6pt;height:0pt;width:0.05pt;z-index:251672576;mso-width-relative:page;mso-height-relative:page;" filled="f" stroked="t" coordsize="21600,21600" o:gfxdata="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APXE0F1wAAAAsBAAAPAAAAAAAAAAEAIAAAACIAAABkcnMvZG93bnJl&#10;di54bWxQSwECFAAUAAAACACHTuJAk1Itj8UBAABaAwAADgAAAAAAAAABACAAAAAmAQAAZHJzL2Uy&#10;b0RvYy54bWxQSwUGAAAAAAYABgBZAQAAXQUAAAAA&#10;">
                <v:fill on="f" focussize="0,0"/>
                <v:stroke color="#000000" joinstyle="round"/>
                <v:imagedata o:title=""/>
                <o:lock v:ext="edit" aspectratio="f"/>
              </v:line>
            </w:pict>
          </mc:Fallback>
        </mc:AlternateContent>
      </w:r>
      <w:r>
        <mc:AlternateContent>
          <mc:Choice Requires="wps">
            <w:drawing>
              <wp:anchor distT="0" distB="0" distL="114300" distR="114300" simplePos="0" relativeHeight="251671552" behindDoc="0" locked="0" layoutInCell="1" allowOverlap="1">
                <wp:simplePos x="0" y="0"/>
                <wp:positionH relativeFrom="column">
                  <wp:posOffset>2971800</wp:posOffset>
                </wp:positionH>
                <wp:positionV relativeFrom="paragraph">
                  <wp:posOffset>4655820</wp:posOffset>
                </wp:positionV>
                <wp:extent cx="635" cy="0"/>
                <wp:effectExtent l="5080" t="6985" r="13335" b="12065"/>
                <wp:wrapNone/>
                <wp:docPr id="13" name="直接连接符 13"/>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234pt;margin-top:366.6pt;height:0pt;width:0.05pt;z-index:251671552;mso-width-relative:page;mso-height-relative:page;" filled="f" stroked="t" coordsize="21600,21600" o:gfxdata="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APXE0F1wAAAAsBAAAPAAAAAAAAAAEAIAAAACIAAABkcnMvZG93bnJl&#10;di54bWxQSwECFAAUAAAACACHTuJAEBjWs8UBAABaAwAADgAAAAAAAAABACAAAAAmAQAAZHJzL2Uy&#10;b0RvYy54bWxQSwUGAAAAAAYABgBZAQAAXQUAAAAA&#10;">
                <v:fill on="f" focussize="0,0"/>
                <v:stroke color="#000000" joinstyle="round"/>
                <v:imagedata o:title=""/>
                <o:lock v:ext="edit" aspectratio="f"/>
              </v:line>
            </w:pict>
          </mc:Fallback>
        </mc:AlternateContent>
      </w:r>
      <w:r>
        <w:t xml:space="preserve">6.2 </w:t>
      </w:r>
      <w:r>
        <w:rPr>
          <w:rFonts w:hint="eastAsia"/>
        </w:rPr>
        <w:t>隔震结构设计</w:t>
      </w:r>
      <w:bookmarkEnd w:id="129"/>
    </w:p>
    <w:p>
      <w:pPr>
        <w:tabs>
          <w:tab w:val="right" w:pos="8400"/>
        </w:tabs>
        <w:adjustRightInd w:val="0"/>
        <w:snapToGrid w:val="0"/>
        <w:spacing w:line="360" w:lineRule="auto"/>
        <w:ind w:firstLine="482"/>
        <w:rPr>
          <w:rFonts w:hAnsi="宋体"/>
          <w:szCs w:val="21"/>
        </w:rPr>
      </w:pPr>
      <w:r>
        <w:rPr>
          <w:b/>
          <w:szCs w:val="21"/>
        </w:rPr>
        <w:t>6.2.1</w:t>
      </w:r>
      <w:r>
        <w:rPr>
          <w:rFonts w:hint="eastAsia" w:hAnsi="宋体"/>
          <w:szCs w:val="21"/>
        </w:rPr>
        <w:t>层高较高，跨度较大的架修库区域，隔震层宜设置在架修库屋面层或架修库屋面上一层。当隔震层设置在架修库屋面上一层时，可将架修库屋面及其上一层形成的桁架</w:t>
      </w:r>
      <w:r>
        <w:rPr>
          <w:rFonts w:hAnsi="宋体"/>
          <w:szCs w:val="21"/>
        </w:rPr>
        <w:t>、</w:t>
      </w:r>
      <w:r>
        <w:rPr>
          <w:rFonts w:hint="eastAsia" w:hAnsi="宋体"/>
          <w:szCs w:val="21"/>
        </w:rPr>
        <w:t>空腹桁架、混合空腹桁架作为立体桁架屋面进行分析；在多遇地震作用下，作为桁架屋面的楼层层间位移角不应超过1/2</w:t>
      </w:r>
      <w:r>
        <w:rPr>
          <w:rFonts w:hAnsi="宋体"/>
          <w:szCs w:val="21"/>
        </w:rPr>
        <w:t>0</w:t>
      </w:r>
      <w:r>
        <w:rPr>
          <w:rFonts w:hint="eastAsia" w:hAnsi="宋体"/>
          <w:szCs w:val="21"/>
        </w:rPr>
        <w:t>00。</w:t>
      </w:r>
    </w:p>
    <w:p>
      <w:pPr>
        <w:adjustRightInd w:val="0"/>
        <w:snapToGrid w:val="0"/>
        <w:spacing w:before="156" w:beforeLines="50" w:line="360" w:lineRule="auto"/>
        <w:ind w:firstLine="482"/>
        <w:rPr>
          <w:rStyle w:val="50"/>
          <w:rFonts w:hint="default" w:ascii="Times New Roman" w:hAnsi="Times New Roman"/>
        </w:rPr>
      </w:pPr>
      <w:r>
        <w:rPr>
          <w:rFonts w:hint="eastAsia" w:eastAsia="等线"/>
          <w:b/>
          <w:bCs/>
          <w:szCs w:val="21"/>
        </w:rPr>
        <w:t>[条文说明]</w:t>
      </w:r>
      <w:r>
        <w:rPr>
          <w:rFonts w:hint="eastAsia"/>
          <w:szCs w:val="21"/>
        </w:rPr>
        <w:t>架修库跨度18m以上，层高16m左右，一般会超过上一层结构层高3倍以上。框梁作为上部隔震层支座时需增加截面高度，或增设桁架来转换隔震层的支墩。当两层之间位移角很小时，可将混合空腹桁架视为架修库的刚性楼盖。研究发现，在多遇地震作用下，桁架层层间位移角一般不会超过1/3000，由于盖下多为大底盘，考虑到与结构变形条件协调，取变形控制值为1</w:t>
      </w:r>
      <w:r>
        <w:rPr>
          <w:szCs w:val="21"/>
        </w:rPr>
        <w:t>/2000</w:t>
      </w:r>
      <w:r>
        <w:rPr>
          <w:rFonts w:hint="eastAsia"/>
          <w:szCs w:val="21"/>
        </w:rPr>
        <w:t>。</w:t>
      </w:r>
    </w:p>
    <w:p>
      <w:pPr>
        <w:tabs>
          <w:tab w:val="center" w:pos="4200"/>
          <w:tab w:val="right" w:pos="8400"/>
        </w:tabs>
        <w:adjustRightInd w:val="0"/>
        <w:snapToGrid w:val="0"/>
        <w:spacing w:before="156" w:beforeLines="50" w:line="360" w:lineRule="auto"/>
        <w:ind w:firstLine="482"/>
        <w:rPr>
          <w:szCs w:val="21"/>
        </w:rPr>
      </w:pPr>
      <w:r>
        <w:rPr>
          <w:b/>
          <w:szCs w:val="21"/>
        </w:rPr>
        <w:t>6.2.2</w:t>
      </w:r>
      <w:r>
        <w:rPr>
          <w:rFonts w:hint="eastAsia"/>
          <w:szCs w:val="21"/>
        </w:rPr>
        <w:t>车辆基地上盖高层建筑隔震结构，应进行抗倾覆验算，包括上部结构整体倾覆验算和隔震支座承载力验算。结构整体倾覆验算应按罕遇地震计算倾覆力矩，按上部结构重力荷载代表值计算抗倾覆力矩，安全系数不宜小于</w:t>
      </w:r>
      <w:r>
        <w:rPr>
          <w:szCs w:val="21"/>
        </w:rPr>
        <w:t>1.5</w:t>
      </w:r>
      <w:r>
        <w:rPr>
          <w:rFonts w:hint="eastAsia"/>
          <w:szCs w:val="21"/>
        </w:rPr>
        <w:t>。橡胶支座在罕遇地震作用下，拉应力不应大于</w:t>
      </w:r>
      <w:r>
        <w:rPr>
          <w:szCs w:val="21"/>
        </w:rPr>
        <w:t>1Mpa</w:t>
      </w:r>
      <w:r>
        <w:rPr>
          <w:rFonts w:hint="eastAsia"/>
          <w:szCs w:val="21"/>
        </w:rPr>
        <w:t>，出现拉应力的支座数量不宜超过支座总数的</w:t>
      </w:r>
      <w:r>
        <w:rPr>
          <w:szCs w:val="21"/>
        </w:rPr>
        <w:t>30%</w:t>
      </w:r>
      <w:r>
        <w:rPr>
          <w:rFonts w:hint="eastAsia"/>
          <w:szCs w:val="21"/>
        </w:rPr>
        <w:t>。当不能满足时，隔震层应采取相应的抗倾覆措施，使结构抗倾覆安全系数不小于</w:t>
      </w:r>
      <w:r>
        <w:rPr>
          <w:szCs w:val="21"/>
        </w:rPr>
        <w:t>1.5</w:t>
      </w:r>
      <w:r>
        <w:rPr>
          <w:rFonts w:hint="eastAsia"/>
          <w:szCs w:val="21"/>
        </w:rPr>
        <w:t>。</w:t>
      </w:r>
    </w:p>
    <w:p>
      <w:pPr>
        <w:tabs>
          <w:tab w:val="center" w:pos="4200"/>
          <w:tab w:val="right" w:pos="8400"/>
        </w:tabs>
        <w:adjustRightInd w:val="0"/>
        <w:snapToGrid w:val="0"/>
        <w:spacing w:before="156" w:beforeLines="50" w:line="360" w:lineRule="auto"/>
        <w:ind w:firstLine="482"/>
        <w:rPr>
          <w:szCs w:val="21"/>
        </w:rPr>
      </w:pPr>
      <w:r>
        <w:rPr>
          <w:rFonts w:eastAsia="等线"/>
          <w:b/>
          <w:bCs/>
          <w:szCs w:val="21"/>
        </w:rPr>
        <w:t>[</w:t>
      </w:r>
      <w:r>
        <w:rPr>
          <w:rFonts w:hint="eastAsia" w:eastAsia="等线"/>
          <w:b/>
          <w:bCs/>
          <w:szCs w:val="21"/>
        </w:rPr>
        <w:t>条文说明</w:t>
      </w:r>
      <w:r>
        <w:rPr>
          <w:rFonts w:eastAsia="等线"/>
          <w:b/>
          <w:bCs/>
          <w:szCs w:val="21"/>
        </w:rPr>
        <w:t>]</w:t>
      </w:r>
      <w:r>
        <w:rPr>
          <w:rFonts w:hint="eastAsia"/>
          <w:szCs w:val="21"/>
        </w:rPr>
        <w:t>抗倾覆安全系数比</w:t>
      </w:r>
      <w:r>
        <w:rPr>
          <w:rStyle w:val="50"/>
          <w:rFonts w:hint="default" w:ascii="Times New Roman" w:hAnsi="Times New Roman"/>
          <w:bCs/>
        </w:rPr>
        <w:t>《建筑隔</w:t>
      </w:r>
      <w:r>
        <w:rPr>
          <w:rFonts w:hAnsi="宋体"/>
        </w:rPr>
        <w:t>震设计标准》</w:t>
      </w:r>
      <w:r>
        <w:rPr>
          <w:szCs w:val="21"/>
        </w:rPr>
        <w:t>GB/T51408</w:t>
      </w:r>
      <w:r>
        <w:rPr>
          <w:rFonts w:hint="eastAsia"/>
          <w:szCs w:val="21"/>
        </w:rPr>
        <w:t>的建议值</w:t>
      </w:r>
      <w:r>
        <w:rPr>
          <w:szCs w:val="21"/>
        </w:rPr>
        <w:t>1.1</w:t>
      </w:r>
      <w:r>
        <w:rPr>
          <w:rFonts w:hint="eastAsia"/>
          <w:szCs w:val="21"/>
        </w:rPr>
        <w:t>大，相比</w:t>
      </w:r>
      <w:r>
        <w:rPr>
          <w:rFonts w:hint="eastAsia" w:hAnsi="宋体"/>
        </w:rPr>
        <w:t>《建筑地基基础设计规范》</w:t>
      </w:r>
      <w:r>
        <w:rPr>
          <w:szCs w:val="21"/>
        </w:rPr>
        <w:t>GB50007-2011</w:t>
      </w:r>
      <w:r>
        <w:rPr>
          <w:rFonts w:hint="eastAsia"/>
          <w:szCs w:val="21"/>
        </w:rPr>
        <w:t>关于挡土墙抗倾覆稳定安全系数</w:t>
      </w:r>
      <w:r>
        <w:rPr>
          <w:szCs w:val="21"/>
        </w:rPr>
        <w:t>1.6</w:t>
      </w:r>
      <w:r>
        <w:rPr>
          <w:rFonts w:hint="eastAsia"/>
          <w:szCs w:val="21"/>
        </w:rPr>
        <w:t>偏小，因受力条件不同，按</w:t>
      </w:r>
      <w:r>
        <w:rPr>
          <w:rFonts w:hint="eastAsia" w:hAnsi="宋体"/>
        </w:rPr>
        <w:t>《高层建筑混凝土结构技术规程》</w:t>
      </w:r>
      <w:r>
        <w:rPr>
          <w:szCs w:val="21"/>
        </w:rPr>
        <w:t>JGJ3-2010</w:t>
      </w:r>
      <w:r>
        <w:rPr>
          <w:rFonts w:hint="eastAsia"/>
          <w:szCs w:val="21"/>
        </w:rPr>
        <w:t>取值更适合。隔震层可通过采用抗拉装置或具有抗拉功能的隔震支座来实现抗倾覆安全系数的提高。此外，对于具有振震双控的支座，罕遇地震作用下不宜出现拉应力。</w:t>
      </w:r>
    </w:p>
    <w:p>
      <w:pPr>
        <w:tabs>
          <w:tab w:val="center" w:pos="4200"/>
          <w:tab w:val="right" w:pos="8400"/>
        </w:tabs>
        <w:adjustRightInd w:val="0"/>
        <w:snapToGrid w:val="0"/>
        <w:spacing w:before="156" w:beforeLines="50" w:line="360" w:lineRule="auto"/>
        <w:ind w:firstLine="482"/>
        <w:rPr>
          <w:szCs w:val="21"/>
        </w:rPr>
      </w:pPr>
      <w:r>
        <w:rPr>
          <w:b/>
          <w:szCs w:val="21"/>
        </w:rPr>
        <w:t>6.2.3</w:t>
      </w:r>
      <w:r>
        <w:rPr>
          <w:szCs w:val="21"/>
        </w:rPr>
        <w:t>车辆基地上盖建筑</w:t>
      </w:r>
      <w:r>
        <w:rPr>
          <w:rFonts w:hint="eastAsia"/>
          <w:szCs w:val="21"/>
        </w:rPr>
        <w:t>隔震层的抗风承载力，应符合下式要求：</w:t>
      </w:r>
    </w:p>
    <w:p>
      <w:pPr>
        <w:snapToGrid w:val="0"/>
        <w:spacing w:before="156" w:beforeLines="50" w:line="360" w:lineRule="auto"/>
        <w:ind w:firstLine="480"/>
        <w:jc w:val="right"/>
        <w:rPr>
          <w:szCs w:val="21"/>
        </w:rPr>
      </w:pPr>
      <m:oMath>
        <m:sSub>
          <m:sSubPr>
            <m:ctrlPr>
              <w:rPr>
                <w:rFonts w:ascii="Cambria Math" w:hAnsi="Cambria Math"/>
                <w:szCs w:val="21"/>
              </w:rPr>
            </m:ctrlPr>
          </m:sSubPr>
          <m:e>
            <m:r>
              <m:rPr>
                <m:sty m:val="p"/>
              </m:rPr>
              <w:rPr>
                <w:rFonts w:ascii="Cambria Math" w:hAnsi="Cambria Math"/>
                <w:szCs w:val="21"/>
              </w:rPr>
              <m:t xml:space="preserve">γ</m:t>
            </m:r>
          </m:e>
          <m:sub>
            <m:r>
              <w:rPr>
                <w:rFonts w:ascii="Cambria Math" w:hAnsi="Cambria Math"/>
                <w:szCs w:val="21"/>
              </w:rPr>
              <m:t xml:space="preserve">w</m:t>
            </m:r>
          </m:sub>
        </m:sSub>
        <m:sSub>
          <m:sSubPr>
            <m:ctrlPr>
              <w:rPr>
                <w:rFonts w:ascii="Cambria Math" w:hAnsi="Cambria Math"/>
                <w:i/>
                <w:szCs w:val="21"/>
              </w:rPr>
            </m:ctrlPr>
          </m:sSubPr>
          <m:e>
            <m:r>
              <w:rPr>
                <w:rFonts w:ascii="Cambria Math" w:hAnsi="Cambria Math"/>
                <w:szCs w:val="21"/>
              </w:rPr>
              <m:t xml:space="preserve">V</m:t>
            </m:r>
          </m:e>
          <m:sub>
            <m:r>
              <w:rPr>
                <w:rFonts w:ascii="Cambria Math" w:hAnsi="Cambria Math"/>
                <w:szCs w:val="21"/>
              </w:rPr>
              <m:t xml:space="preserve">wk</m:t>
            </m:r>
          </m:sub>
        </m:sSub>
        <m:r>
          <w:rPr>
            <w:rFonts w:ascii="Cambria Math" w:hAnsi="Cambria Math"/>
            <w:szCs w:val="21"/>
          </w:rPr>
          <m:t xml:space="preserve">≤</m:t>
        </m:r>
        <m:sSub>
          <m:sSubPr>
            <m:ctrlPr>
              <w:rPr>
                <w:rFonts w:ascii="Cambria Math" w:hAnsi="Cambria Math"/>
                <w:i/>
                <w:szCs w:val="21"/>
              </w:rPr>
            </m:ctrlPr>
          </m:sSubPr>
          <m:e>
            <m:r>
              <w:rPr>
                <w:rFonts w:ascii="Cambria Math" w:hAnsi="Cambria Math"/>
                <w:szCs w:val="21"/>
              </w:rPr>
              <m:t xml:space="preserve">V</m:t>
            </m:r>
          </m:e>
          <m:sub>
            <m:r>
              <w:rPr>
                <w:rFonts w:ascii="Cambria Math" w:hAnsi="Cambria Math"/>
                <w:szCs w:val="21"/>
              </w:rPr>
              <m:t xml:space="preserve">Rw</m:t>
            </m:r>
          </m:sub>
        </m:sSub>
      </m:oMath>
      <w:r>
        <w:rPr>
          <w:szCs w:val="21"/>
        </w:rPr>
        <w:t xml:space="preserve">                               </w:t>
      </w:r>
      <w:r>
        <w:rPr>
          <w:rStyle w:val="58"/>
          <w:rFonts w:ascii="Times New Roman" w:hAnsi="Times New Roman"/>
        </w:rPr>
        <w:t>(6.2.3)</w:t>
      </w:r>
    </w:p>
    <w:p>
      <w:pPr>
        <w:pStyle w:val="59"/>
        <w:spacing w:before="156" w:beforeLines="50" w:line="360" w:lineRule="auto"/>
        <w:ind w:left="1418" w:hanging="1418" w:hangingChars="675"/>
        <w:rPr>
          <w:rFonts w:eastAsia="宋体" w:cs="Times New Roman"/>
          <w:color w:val="auto"/>
        </w:rPr>
      </w:pPr>
      <w:r>
        <w:rPr>
          <w:rFonts w:ascii="Times New Roman" w:hAnsi="Times New Roman" w:cs="Times New Roman"/>
          <w:color w:val="auto"/>
        </w:rPr>
        <w:t>式中：</w:t>
      </w:r>
      <m:oMath>
        <m:sSub>
          <m:sSubPr>
            <m:ctrlPr>
              <w:rPr>
                <w:rFonts w:ascii="Cambria Math" w:eastAsia="宋体" w:hAnsi="Cambria Math" w:cs="Times New Roman"/>
                <w:i/>
                <w:color w:val="auto"/>
              </w:rPr>
            </m:ctrlPr>
          </m:sSubPr>
          <m:e>
            <m:r>
              <w:rPr>
                <w:rFonts w:ascii="Cambria Math" w:hAnsi="Cambria Math" w:cs="Times New Roman"/>
              </w:rPr>
              <m:t xml:space="preserve">V</m:t>
            </m:r>
          </m:e>
          <m:sub>
            <m:r>
              <w:rPr>
                <w:rFonts w:ascii="Cambria Math" w:hAnsi="Cambria Math" w:cs="Times New Roman"/>
              </w:rPr>
              <m:t xml:space="preserve">Rw</m:t>
            </m:r>
          </m:sub>
        </m:sSub>
      </m:oMath>
      <w:r>
        <w:rPr>
          <w:rFonts w:ascii="Times New Roman" w:hAnsi="Times New Roman" w:cs="Times New Roman"/>
          <w:color w:val="auto"/>
        </w:rPr>
        <w:t>——</w:t>
      </w:r>
      <w:r>
        <w:rPr>
          <w:rFonts w:eastAsia="宋体" w:cs="Times New Roman"/>
          <w:color w:val="auto"/>
        </w:rPr>
        <w:t>隔震层</w:t>
      </w:r>
      <w:r>
        <w:rPr>
          <w:rStyle w:val="58"/>
          <w:rFonts w:eastAsia="宋体" w:cs="Times New Roman"/>
          <w:color w:val="auto"/>
        </w:rPr>
        <w:t>抗风承载力</w:t>
      </w:r>
      <w:r>
        <w:rPr>
          <w:rFonts w:eastAsia="宋体" w:cs="Times New Roman"/>
          <w:color w:val="auto"/>
        </w:rPr>
        <w:t>设计值。隔震层</w:t>
      </w:r>
      <w:r>
        <w:rPr>
          <w:rStyle w:val="58"/>
          <w:rFonts w:eastAsia="宋体" w:cs="Times New Roman"/>
          <w:color w:val="auto"/>
        </w:rPr>
        <w:t>抗风承载力</w:t>
      </w:r>
      <w:r>
        <w:rPr>
          <w:rFonts w:eastAsia="宋体" w:cs="Times New Roman"/>
          <w:color w:val="auto"/>
        </w:rPr>
        <w:t>由抗风装置和隔震支座的屈服力构成，按屈服强度设计值确定；</w:t>
      </w:r>
    </w:p>
    <w:p>
      <w:pPr>
        <w:snapToGrid w:val="0"/>
        <w:spacing w:before="156" w:beforeLines="50" w:line="360" w:lineRule="auto"/>
        <w:ind w:firstLine="420" w:firstLineChars="200"/>
        <w:rPr>
          <w:szCs w:val="21"/>
        </w:rPr>
      </w:pPr>
      <m:oMath>
        <m:sSub>
          <m:sSubPr>
            <m:ctrlPr>
              <w:rPr>
                <w:rFonts w:ascii="Cambria Math" w:hAnsi="Cambria Math"/>
                <w:szCs w:val="21"/>
              </w:rPr>
            </m:ctrlPr>
          </m:sSubPr>
          <m:e>
            <m:r>
              <m:rPr>
                <m:sty m:val="p"/>
              </m:rPr>
              <w:rPr>
                <w:rFonts w:ascii="Cambria Math" w:hAnsi="Cambria Math"/>
                <w:szCs w:val="21"/>
              </w:rPr>
              <m:t xml:space="preserve">γ</m:t>
            </m:r>
          </m:e>
          <m:sub>
            <m:r>
              <w:rPr>
                <w:rFonts w:ascii="Cambria Math" w:hAnsi="Cambria Math"/>
                <w:szCs w:val="21"/>
              </w:rPr>
              <m:t xml:space="preserve">w</m:t>
            </m:r>
          </m:sub>
        </m:sSub>
      </m:oMath>
      <w:r>
        <w:rPr>
          <w:szCs w:val="21"/>
        </w:rPr>
        <w:t>——</w:t>
      </w:r>
      <w:r>
        <w:rPr>
          <w:rStyle w:val="58"/>
          <w:rFonts w:ascii="Times New Roman" w:hAnsi="Times New Roman"/>
        </w:rPr>
        <w:t>风荷载分项系数，取</w:t>
      </w:r>
      <w:r>
        <w:rPr>
          <w:rStyle w:val="58"/>
          <w:rFonts w:hint="eastAsia" w:ascii="Times New Roman" w:hAnsi="Times New Roman"/>
        </w:rPr>
        <w:t>1</w:t>
      </w:r>
      <w:r>
        <w:rPr>
          <w:rStyle w:val="58"/>
          <w:rFonts w:ascii="Times New Roman" w:hAnsi="Times New Roman"/>
        </w:rPr>
        <w:t>.5；</w:t>
      </w:r>
    </w:p>
    <w:p>
      <w:pPr>
        <w:snapToGrid w:val="0"/>
        <w:spacing w:before="156" w:beforeLines="50" w:line="360" w:lineRule="auto"/>
        <w:ind w:firstLine="420" w:firstLineChars="200"/>
        <w:rPr>
          <w:rStyle w:val="58"/>
          <w:rFonts w:ascii="Times New Roman" w:hAnsi="Times New Roman"/>
        </w:rPr>
      </w:pPr>
      <m:oMath>
        <m:sSub>
          <m:sSubPr>
            <m:ctrlPr>
              <w:rPr>
                <w:rFonts w:ascii="Cambria Math" w:hAnsi="Cambria Math"/>
                <w:i/>
                <w:szCs w:val="21"/>
              </w:rPr>
            </m:ctrlPr>
          </m:sSubPr>
          <m:e>
            <m:r>
              <w:rPr>
                <w:rFonts w:ascii="Cambria Math" w:hAnsi="Cambria Math"/>
                <w:szCs w:val="21"/>
              </w:rPr>
              <m:t xml:space="preserve">V</m:t>
            </m:r>
          </m:e>
          <m:sub>
            <m:r>
              <w:rPr>
                <w:rFonts w:ascii="Cambria Math" w:hAnsi="Cambria Math"/>
                <w:szCs w:val="21"/>
              </w:rPr>
              <m:t xml:space="preserve">wk</m:t>
            </m:r>
          </m:sub>
        </m:sSub>
      </m:oMath>
      <w:r>
        <w:rPr>
          <w:szCs w:val="21"/>
        </w:rPr>
        <w:t>——</w:t>
      </w:r>
      <w:r>
        <w:rPr>
          <w:rStyle w:val="58"/>
          <w:rFonts w:ascii="Times New Roman" w:hAnsi="Times New Roman"/>
        </w:rPr>
        <w:t>风荷载作用下隔震层的水平剪力标准值。</w:t>
      </w:r>
    </w:p>
    <w:p>
      <w:pPr>
        <w:pStyle w:val="3"/>
      </w:pPr>
      <w:bookmarkStart w:id="130" w:name="_Toc90922381"/>
      <w:r>
        <mc:AlternateContent>
          <mc:Choice Requires="wps">
            <w:drawing>
              <wp:anchor distT="0" distB="0" distL="114300" distR="114300" simplePos="0" relativeHeight="251676672" behindDoc="0" locked="0" layoutInCell="1" allowOverlap="1">
                <wp:simplePos x="0" y="0"/>
                <wp:positionH relativeFrom="column">
                  <wp:posOffset>2971800</wp:posOffset>
                </wp:positionH>
                <wp:positionV relativeFrom="paragraph">
                  <wp:posOffset>4655820</wp:posOffset>
                </wp:positionV>
                <wp:extent cx="635" cy="0"/>
                <wp:effectExtent l="5080" t="6985" r="13335" b="12065"/>
                <wp:wrapNone/>
                <wp:docPr id="14" name="直接连接符 14"/>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234pt;margin-top:366.6pt;height:0pt;width:0.05pt;z-index:251676672;mso-width-relative:page;mso-height-relative:page;" filled="f" stroked="t" coordsize="21600,21600" o:gfxdata="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APXE0F1wAAAAsBAAAPAAAAAAAAAAEAIAAAACIAAABkcnMvZG93bnJl&#10;di54bWxQSwECFAAUAAAACACHTuJAme02BcUBAABaAwAADgAAAAAAAAABACAAAAAmAQAAZHJzL2Uy&#10;b0RvYy54bWxQSwUGAAAAAAYABgBZAQAAXQUAAAAA&#10;">
                <v:fill on="f" focussize="0,0"/>
                <v:stroke color="#000000" joinstyle="round"/>
                <v:imagedata o:title=""/>
                <o:lock v:ext="edit" aspectratio="f"/>
              </v:line>
            </w:pict>
          </mc:Fallback>
        </mc:AlternateContent>
      </w:r>
      <w:r>
        <mc:AlternateContent>
          <mc:Choice Requires="wps">
            <w:drawing>
              <wp:anchor distT="0" distB="0" distL="114300" distR="114300" simplePos="0" relativeHeight="251675648" behindDoc="0" locked="0" layoutInCell="1" allowOverlap="1">
                <wp:simplePos x="0" y="0"/>
                <wp:positionH relativeFrom="column">
                  <wp:posOffset>2971800</wp:posOffset>
                </wp:positionH>
                <wp:positionV relativeFrom="paragraph">
                  <wp:posOffset>4655820</wp:posOffset>
                </wp:positionV>
                <wp:extent cx="635" cy="0"/>
                <wp:effectExtent l="5080" t="6985" r="13335" b="12065"/>
                <wp:wrapNone/>
                <wp:docPr id="15" name="直接连接符 15"/>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234pt;margin-top:366.6pt;height:0pt;width:0.05pt;z-index:251675648;mso-width-relative:page;mso-height-relative:page;" filled="f" stroked="t" coordsize="21600,21600" o:gfxdata="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APXE0F1wAAAAsBAAAPAAAAAAAAAAEAIAAAACIAAABkcnMvZG93bnJl&#10;di54bWxQSwECFAAUAAAACACHTuJAGqfNOcUBAABaAwAADgAAAAAAAAABACAAAAAmAQAAZHJzL2Uy&#10;b0RvYy54bWxQSwUGAAAAAAYABgBZAQAAXQUAAAAA&#10;">
                <v:fill on="f" focussize="0,0"/>
                <v:stroke color="#000000" joinstyle="round"/>
                <v:imagedata o:title=""/>
                <o:lock v:ext="edit" aspectratio="f"/>
              </v:line>
            </w:pict>
          </mc:Fallback>
        </mc:AlternateContent>
      </w:r>
      <w:r>
        <mc:AlternateContent>
          <mc:Choice Requires="wps">
            <w:drawing>
              <wp:anchor distT="0" distB="0" distL="114300" distR="114300" simplePos="0" relativeHeight="251674624" behindDoc="0" locked="0" layoutInCell="1" allowOverlap="1">
                <wp:simplePos x="0" y="0"/>
                <wp:positionH relativeFrom="column">
                  <wp:posOffset>2971800</wp:posOffset>
                </wp:positionH>
                <wp:positionV relativeFrom="paragraph">
                  <wp:posOffset>4655820</wp:posOffset>
                </wp:positionV>
                <wp:extent cx="635" cy="0"/>
                <wp:effectExtent l="5080" t="6985" r="13335" b="12065"/>
                <wp:wrapNone/>
                <wp:docPr id="16" name="直接连接符 16"/>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234pt;margin-top:366.6pt;height:0pt;width:0.05pt;z-index:251674624;mso-width-relative:page;mso-height-relative:page;" filled="f" stroked="t" coordsize="21600,21600" o:gfxdata="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D1xNBdcAAAALAQAADwAAAAAAAAABACAAAAAiAAAAZHJzL2Rvd25y&#10;ZXYueG1sUEsBAhQAFAAAAAgAh07iQJ94wHzGAQAAWgMAAA4AAAAAAAAAAQAgAAAAJgEAAGRycy9l&#10;Mm9Eb2MueG1sUEsFBgAAAAAGAAYAWQEAAF4FAAAAAA==&#10;">
                <v:fill on="f" focussize="0,0"/>
                <v:stroke color="#000000" joinstyle="round"/>
                <v:imagedata o:title=""/>
                <o:lock v:ext="edit" aspectratio="f"/>
              </v:line>
            </w:pict>
          </mc:Fallback>
        </mc:AlternateContent>
      </w:r>
      <w:r>
        <w:t xml:space="preserve">6.3 </w:t>
      </w:r>
      <w:r>
        <w:rPr>
          <w:rFonts w:hint="eastAsia"/>
        </w:rPr>
        <w:t>隔震装置</w:t>
      </w:r>
      <w:bookmarkEnd w:id="130"/>
    </w:p>
    <w:p>
      <w:pPr>
        <w:adjustRightInd w:val="0"/>
        <w:snapToGrid w:val="0"/>
        <w:spacing w:before="156" w:beforeLines="50" w:line="360" w:lineRule="auto"/>
        <w:ind w:firstLine="482"/>
        <w:rPr>
          <w:b/>
          <w:szCs w:val="21"/>
        </w:rPr>
      </w:pPr>
      <w:r>
        <w:rPr>
          <w:b/>
          <w:szCs w:val="21"/>
        </w:rPr>
        <w:t>6.3.</w:t>
      </w:r>
      <w:r>
        <w:rPr>
          <w:b/>
          <w:bCs/>
          <w:szCs w:val="21"/>
        </w:rPr>
        <w:t xml:space="preserve">1 </w:t>
      </w:r>
      <w:r>
        <w:rPr>
          <w:szCs w:val="21"/>
        </w:rPr>
        <w:t>隔震层中的隔震支座</w:t>
      </w:r>
      <w:r>
        <w:rPr>
          <w:rFonts w:hint="eastAsia"/>
          <w:szCs w:val="21"/>
        </w:rPr>
        <w:t>选用</w:t>
      </w:r>
      <w:r>
        <w:rPr>
          <w:szCs w:val="21"/>
        </w:rPr>
        <w:t>，</w:t>
      </w:r>
      <w:r>
        <w:rPr>
          <w:rFonts w:hint="eastAsia"/>
          <w:szCs w:val="21"/>
        </w:rPr>
        <w:t>应符合</w:t>
      </w:r>
      <w:r>
        <w:rPr>
          <w:rStyle w:val="50"/>
          <w:rFonts w:hint="default" w:ascii="Times New Roman" w:hAnsi="Times New Roman"/>
          <w:bCs/>
        </w:rPr>
        <w:t>《建筑隔</w:t>
      </w:r>
      <w:r>
        <w:rPr>
          <w:rFonts w:hAnsi="宋体"/>
        </w:rPr>
        <w:t>震设计标准》</w:t>
      </w:r>
      <w:r>
        <w:rPr>
          <w:rStyle w:val="50"/>
          <w:rFonts w:hint="default" w:ascii="Times New Roman" w:hAnsi="Times New Roman"/>
          <w:bCs/>
        </w:rPr>
        <w:t>GB/T 51408的相关规定，当采用厚叠层橡胶支座时，尚应满足</w:t>
      </w:r>
      <w:r>
        <w:rPr>
          <w:szCs w:val="21"/>
        </w:rPr>
        <w:t>下列</w:t>
      </w:r>
      <w:r>
        <w:rPr>
          <w:rFonts w:hint="eastAsia"/>
          <w:szCs w:val="21"/>
        </w:rPr>
        <w:t>规定</w:t>
      </w:r>
      <w:r>
        <w:rPr>
          <w:szCs w:val="21"/>
        </w:rPr>
        <w:t>：</w:t>
      </w:r>
    </w:p>
    <w:p>
      <w:pPr>
        <w:adjustRightInd w:val="0"/>
        <w:snapToGrid w:val="0"/>
        <w:spacing w:before="156" w:beforeLines="50" w:line="360" w:lineRule="auto"/>
        <w:ind w:firstLine="482"/>
        <w:rPr>
          <w:rStyle w:val="58"/>
          <w:rFonts w:ascii="Times New Roman" w:hAnsi="Times New Roman"/>
        </w:rPr>
      </w:pPr>
      <w:r>
        <w:rPr>
          <w:rStyle w:val="50"/>
          <w:rFonts w:hint="default" w:ascii="Times New Roman" w:hAnsi="Times New Roman"/>
          <w:bCs/>
        </w:rPr>
        <w:t>1 支座的压应力设计值</w:t>
      </w:r>
      <w:r>
        <w:rPr>
          <w:rFonts w:hint="eastAsia"/>
          <w:szCs w:val="21"/>
        </w:rPr>
        <w:t>，</w:t>
      </w:r>
      <w:r>
        <w:rPr>
          <w:rStyle w:val="50"/>
          <w:rFonts w:hint="default" w:ascii="Times New Roman" w:hAnsi="Times New Roman"/>
          <w:bCs/>
        </w:rPr>
        <w:t>应小于支座竖向极限压应力1/3和《建筑隔</w:t>
      </w:r>
      <w:r>
        <w:rPr>
          <w:rFonts w:hAnsi="宋体"/>
        </w:rPr>
        <w:t>震设计标准》</w:t>
      </w:r>
      <w:r>
        <w:rPr>
          <w:rStyle w:val="50"/>
          <w:rFonts w:hint="default" w:ascii="Times New Roman" w:hAnsi="Times New Roman"/>
          <w:bCs/>
        </w:rPr>
        <w:t>GB/T 51408规定限值二者的较小值</w:t>
      </w:r>
      <w:r>
        <w:rPr>
          <w:rStyle w:val="58"/>
          <w:rFonts w:ascii="Times New Roman" w:hAnsi="Times New Roman"/>
        </w:rPr>
        <w:t>；</w:t>
      </w:r>
    </w:p>
    <w:p>
      <w:pPr>
        <w:adjustRightInd w:val="0"/>
        <w:snapToGrid w:val="0"/>
        <w:spacing w:before="156" w:beforeLines="50" w:line="360" w:lineRule="auto"/>
        <w:ind w:firstLine="482"/>
        <w:rPr>
          <w:szCs w:val="21"/>
        </w:rPr>
      </w:pPr>
      <w:r>
        <w:rPr>
          <w:szCs w:val="21"/>
        </w:rPr>
        <w:t xml:space="preserve">2 </w:t>
      </w:r>
      <w:r>
        <w:rPr>
          <w:rFonts w:hint="eastAsia"/>
          <w:szCs w:val="21"/>
        </w:rPr>
        <w:t>支座的水平极限性能，应包括支座稳定性验算和支座变形验算</w:t>
      </w:r>
      <w:r>
        <w:rPr>
          <w:rStyle w:val="58"/>
          <w:rFonts w:ascii="Times New Roman" w:hAnsi="Times New Roman"/>
        </w:rPr>
        <w:t>；</w:t>
      </w:r>
    </w:p>
    <w:p>
      <w:pPr>
        <w:adjustRightInd w:val="0"/>
        <w:snapToGrid w:val="0"/>
        <w:spacing w:before="156" w:beforeLines="50" w:line="360" w:lineRule="auto"/>
        <w:ind w:firstLine="482"/>
        <w:rPr>
          <w:szCs w:val="21"/>
        </w:rPr>
      </w:pPr>
      <w:r>
        <w:rPr>
          <w:szCs w:val="21"/>
        </w:rPr>
        <w:t xml:space="preserve">3 </w:t>
      </w:r>
      <w:r>
        <w:rPr>
          <w:rFonts w:hint="eastAsia"/>
          <w:szCs w:val="21"/>
        </w:rPr>
        <w:t>支座经过型式检验的耐久性试验后，支座刚度、阻尼特性变化不超过初期值的</w:t>
      </w:r>
      <w:r>
        <w:rPr>
          <w:szCs w:val="21"/>
        </w:rPr>
        <w:t>20%</w:t>
      </w:r>
      <w:r>
        <w:rPr>
          <w:rFonts w:hint="eastAsia"/>
          <w:szCs w:val="21"/>
        </w:rPr>
        <w:t>；徐变量不超过支座内部橡胶总厚度的</w:t>
      </w:r>
      <w:r>
        <w:rPr>
          <w:szCs w:val="21"/>
        </w:rPr>
        <w:t>5%</w:t>
      </w:r>
      <w:r>
        <w:rPr>
          <w:rFonts w:hint="eastAsia"/>
          <w:szCs w:val="21"/>
        </w:rPr>
        <w:t>。</w:t>
      </w:r>
    </w:p>
    <w:p>
      <w:pPr>
        <w:adjustRightInd w:val="0"/>
        <w:snapToGrid w:val="0"/>
        <w:spacing w:before="156" w:beforeLines="50" w:line="360" w:lineRule="auto"/>
        <w:ind w:firstLine="482"/>
        <w:rPr>
          <w:szCs w:val="21"/>
        </w:rPr>
      </w:pPr>
      <w:r>
        <w:rPr>
          <w:rFonts w:eastAsia="等线"/>
          <w:b/>
          <w:bCs/>
          <w:szCs w:val="21"/>
        </w:rPr>
        <w:t>[</w:t>
      </w:r>
      <w:r>
        <w:rPr>
          <w:rFonts w:hint="eastAsia" w:eastAsia="等线"/>
          <w:b/>
          <w:bCs/>
          <w:szCs w:val="21"/>
        </w:rPr>
        <w:t>条文说明</w:t>
      </w:r>
      <w:r>
        <w:rPr>
          <w:rFonts w:eastAsia="等线"/>
          <w:b/>
          <w:bCs/>
          <w:szCs w:val="21"/>
        </w:rPr>
        <w:t xml:space="preserve">] </w:t>
      </w:r>
      <w:r>
        <w:rPr>
          <w:rStyle w:val="50"/>
          <w:rFonts w:hint="default" w:ascii="Times New Roman" w:hAnsi="Times New Roman"/>
          <w:bCs/>
        </w:rPr>
        <w:t>厚叠层橡胶支座指第一形状系数小于16的叠层橡胶支座，由于其竖向刚度相对小，可用于竖向隔振，但由于其橡胶叠层厚度较厚，其支座稳定性和极限性能有所降低</w:t>
      </w:r>
      <w:r>
        <w:rPr>
          <w:rFonts w:hint="eastAsia"/>
          <w:szCs w:val="21"/>
        </w:rPr>
        <w:t>，应经试验检测验证</w:t>
      </w:r>
      <w:r>
        <w:rPr>
          <w:rStyle w:val="58"/>
          <w:rFonts w:ascii="Times New Roman" w:hAnsi="Times New Roman"/>
        </w:rPr>
        <w:t>。</w:t>
      </w:r>
    </w:p>
    <w:p>
      <w:pPr>
        <w:adjustRightInd w:val="0"/>
        <w:snapToGrid w:val="0"/>
        <w:spacing w:before="156" w:beforeLines="50" w:line="360" w:lineRule="auto"/>
        <w:ind w:firstLine="482"/>
        <w:rPr>
          <w:szCs w:val="21"/>
        </w:rPr>
      </w:pPr>
      <w:r>
        <w:rPr>
          <w:b/>
          <w:szCs w:val="21"/>
        </w:rPr>
        <w:t>6.3.</w:t>
      </w:r>
      <w:r>
        <w:rPr>
          <w:b/>
          <w:bCs/>
          <w:szCs w:val="21"/>
        </w:rPr>
        <w:t>2</w:t>
      </w:r>
      <w:r>
        <w:rPr>
          <w:szCs w:val="21"/>
        </w:rPr>
        <w:t>隔震层中的隔震支座</w:t>
      </w:r>
      <w:r>
        <w:rPr>
          <w:rFonts w:hint="eastAsia"/>
          <w:szCs w:val="21"/>
        </w:rPr>
        <w:t>产品</w:t>
      </w:r>
      <w:r>
        <w:rPr>
          <w:szCs w:val="21"/>
        </w:rPr>
        <w:t>应</w:t>
      </w:r>
      <w:r>
        <w:rPr>
          <w:rFonts w:hint="eastAsia"/>
          <w:szCs w:val="21"/>
        </w:rPr>
        <w:t>通过第三方型式检验，并</w:t>
      </w:r>
      <w:r>
        <w:rPr>
          <w:szCs w:val="21"/>
        </w:rPr>
        <w:t>在安装前进行出厂检验，</w:t>
      </w:r>
      <w:r>
        <w:rPr>
          <w:rFonts w:hint="eastAsia"/>
          <w:szCs w:val="21"/>
        </w:rPr>
        <w:t>检验确定的产品性能应满足设计要求，</w:t>
      </w:r>
      <w:r>
        <w:rPr>
          <w:szCs w:val="21"/>
        </w:rPr>
        <w:t>出厂</w:t>
      </w:r>
      <w:r>
        <w:rPr>
          <w:rFonts w:hint="eastAsia"/>
          <w:szCs w:val="21"/>
        </w:rPr>
        <w:t>检验数量</w:t>
      </w:r>
      <w:r>
        <w:rPr>
          <w:szCs w:val="21"/>
        </w:rPr>
        <w:t>应符合下列</w:t>
      </w:r>
      <w:r>
        <w:rPr>
          <w:rFonts w:hint="eastAsia"/>
          <w:szCs w:val="21"/>
        </w:rPr>
        <w:t>规定</w:t>
      </w:r>
      <w:r>
        <w:rPr>
          <w:szCs w:val="21"/>
        </w:rPr>
        <w:t>：</w:t>
      </w:r>
    </w:p>
    <w:p>
      <w:pPr>
        <w:adjustRightInd w:val="0"/>
        <w:snapToGrid w:val="0"/>
        <w:spacing w:before="156" w:beforeLines="50" w:line="360" w:lineRule="auto"/>
        <w:ind w:firstLine="420" w:firstLineChars="200"/>
        <w:rPr>
          <w:szCs w:val="21"/>
        </w:rPr>
      </w:pPr>
      <w:r>
        <w:rPr>
          <w:szCs w:val="21"/>
        </w:rPr>
        <w:t>1 重点设防类建筑，每种规格产品抽样数量应为100%</w:t>
      </w:r>
      <w:r>
        <w:rPr>
          <w:rFonts w:hint="eastAsia"/>
          <w:szCs w:val="21"/>
        </w:rPr>
        <w:t>；</w:t>
      </w:r>
    </w:p>
    <w:p>
      <w:pPr>
        <w:adjustRightInd w:val="0"/>
        <w:snapToGrid w:val="0"/>
        <w:spacing w:before="156" w:beforeLines="50" w:line="360" w:lineRule="auto"/>
        <w:ind w:firstLine="420" w:firstLineChars="200"/>
        <w:rPr>
          <w:szCs w:val="21"/>
        </w:rPr>
      </w:pPr>
      <w:r>
        <w:rPr>
          <w:szCs w:val="21"/>
        </w:rPr>
        <w:t>2 标准设防类建筑，每种规格产品抽样数量不应少于总数的50%；有不合格试件时，应100%检测</w:t>
      </w:r>
      <w:r>
        <w:rPr>
          <w:rFonts w:hint="eastAsia"/>
          <w:szCs w:val="21"/>
        </w:rPr>
        <w:t>；</w:t>
      </w:r>
    </w:p>
    <w:p>
      <w:pPr>
        <w:widowControl/>
        <w:spacing w:before="156" w:beforeLines="50" w:line="360" w:lineRule="auto"/>
        <w:ind w:firstLine="420" w:firstLineChars="200"/>
        <w:jc w:val="left"/>
        <w:rPr>
          <w:szCs w:val="21"/>
        </w:rPr>
      </w:pPr>
      <w:r>
        <w:rPr>
          <w:szCs w:val="21"/>
        </w:rPr>
        <w:t>3 每项工程抽样总数不应少于20件，每种规格的产品抽样数量不应少于4件，当产品少于4件时，应全部进行检验。</w:t>
      </w:r>
    </w:p>
    <w:p>
      <w:pPr>
        <w:widowControl/>
        <w:spacing w:before="156" w:beforeLines="50" w:line="360" w:lineRule="auto"/>
        <w:ind w:firstLine="482"/>
        <w:jc w:val="left"/>
        <w:rPr>
          <w:szCs w:val="21"/>
        </w:rPr>
      </w:pPr>
      <w:r>
        <w:rPr>
          <w:rFonts w:eastAsia="等线"/>
          <w:b/>
          <w:bCs/>
          <w:szCs w:val="21"/>
        </w:rPr>
        <w:t>[</w:t>
      </w:r>
      <w:r>
        <w:rPr>
          <w:rFonts w:hint="eastAsia" w:eastAsia="等线"/>
          <w:b/>
          <w:bCs/>
          <w:szCs w:val="21"/>
        </w:rPr>
        <w:t>条文说明</w:t>
      </w:r>
      <w:r>
        <w:rPr>
          <w:rFonts w:eastAsia="等线"/>
          <w:b/>
          <w:bCs/>
          <w:szCs w:val="21"/>
        </w:rPr>
        <w:t>]</w:t>
      </w:r>
      <w:r>
        <w:rPr>
          <w:szCs w:val="21"/>
        </w:rPr>
        <w:t xml:space="preserve"> 隔震支座</w:t>
      </w:r>
      <w:r>
        <w:rPr>
          <w:rFonts w:hint="eastAsia"/>
          <w:szCs w:val="21"/>
        </w:rPr>
        <w:t>产品应满足结构设计要求，且符合国家标准</w:t>
      </w:r>
      <w:r>
        <w:rPr>
          <w:szCs w:val="21"/>
        </w:rPr>
        <w:t>《橡胶支座第1</w:t>
      </w:r>
      <w:r>
        <w:rPr>
          <w:rFonts w:hint="eastAsia"/>
          <w:szCs w:val="21"/>
        </w:rPr>
        <w:t>部分：隔震橡胶支座试验方法</w:t>
      </w:r>
      <w:r>
        <w:rPr>
          <w:szCs w:val="21"/>
        </w:rPr>
        <w:t>》GB20688.1</w:t>
      </w:r>
      <w:r>
        <w:rPr>
          <w:rFonts w:hint="eastAsia"/>
          <w:szCs w:val="21"/>
        </w:rPr>
        <w:t>、《橡胶支座第</w:t>
      </w:r>
      <w:r>
        <w:rPr>
          <w:szCs w:val="21"/>
        </w:rPr>
        <w:t>3</w:t>
      </w:r>
      <w:r>
        <w:rPr>
          <w:rFonts w:hint="eastAsia"/>
          <w:szCs w:val="21"/>
        </w:rPr>
        <w:t>部分：建筑隔震橡胶支座》</w:t>
      </w:r>
      <w:r>
        <w:rPr>
          <w:szCs w:val="21"/>
        </w:rPr>
        <w:t>GB20688.3</w:t>
      </w:r>
      <w:r>
        <w:rPr>
          <w:rFonts w:hint="eastAsia"/>
          <w:szCs w:val="21"/>
        </w:rPr>
        <w:t>、《橡胶支座第</w:t>
      </w:r>
      <w:r>
        <w:rPr>
          <w:szCs w:val="21"/>
        </w:rPr>
        <w:t>5</w:t>
      </w:r>
      <w:r>
        <w:rPr>
          <w:rFonts w:hint="eastAsia"/>
          <w:szCs w:val="21"/>
        </w:rPr>
        <w:t>部分：建筑隔震弹性滑板支座》</w:t>
      </w:r>
      <w:r>
        <w:rPr>
          <w:szCs w:val="21"/>
        </w:rPr>
        <w:t>GB20688.5</w:t>
      </w:r>
      <w:r>
        <w:rPr>
          <w:rFonts w:hint="eastAsia"/>
          <w:szCs w:val="21"/>
        </w:rPr>
        <w:t>，以及《建筑隔震橡胶支座》</w:t>
      </w:r>
      <w:r>
        <w:rPr>
          <w:szCs w:val="21"/>
        </w:rPr>
        <w:t>JG/T118</w:t>
      </w:r>
      <w:r>
        <w:rPr>
          <w:rFonts w:hint="eastAsia"/>
          <w:szCs w:val="21"/>
        </w:rPr>
        <w:t>的规定，检验所得的参数误差不应大于上述标准的相关限值，检验通过的极限性能不应低于相应的极限性能设计值。当采用厚叠层橡胶支座或其它具有振震双控功能的支座时，</w:t>
      </w:r>
      <w:r>
        <w:rPr>
          <w:szCs w:val="21"/>
        </w:rPr>
        <w:t>每种规格产品出厂</w:t>
      </w:r>
      <w:r>
        <w:rPr>
          <w:rFonts w:hint="eastAsia"/>
          <w:szCs w:val="21"/>
        </w:rPr>
        <w:t>检验的</w:t>
      </w:r>
      <w:r>
        <w:rPr>
          <w:szCs w:val="21"/>
        </w:rPr>
        <w:t>抽样数量应为100%</w:t>
      </w:r>
      <w:r>
        <w:rPr>
          <w:rFonts w:hint="eastAsia"/>
          <w:szCs w:val="21"/>
        </w:rPr>
        <w:t>。</w:t>
      </w:r>
    </w:p>
    <w:p>
      <w:pPr>
        <w:widowControl/>
        <w:spacing w:before="50" w:line="360" w:lineRule="auto"/>
        <w:ind w:firstLine="482"/>
        <w:jc w:val="left"/>
        <w:rPr>
          <w:szCs w:val="21"/>
        </w:rPr>
      </w:pPr>
      <w:r>
        <w:rPr>
          <w:rFonts w:hint="eastAsia"/>
          <w:szCs w:val="21"/>
        </w:rPr>
        <w:t>除隔震支座外，隔震层的阻尼装置通过型检和出厂检验确定的产品性能，应满足设计要求，且符合《建筑消能阻尼器》</w:t>
      </w:r>
      <w:r>
        <w:rPr>
          <w:szCs w:val="21"/>
        </w:rPr>
        <w:t>JG/T 209-2012</w:t>
      </w:r>
      <w:r>
        <w:rPr>
          <w:rFonts w:hint="eastAsia"/>
          <w:szCs w:val="21"/>
        </w:rPr>
        <w:t>的相关规定。隔震层抗拉、抗风装置通过型检或出厂检验确定的产品性能，应满足设计要求。</w:t>
      </w:r>
    </w:p>
    <w:p>
      <w:pPr>
        <w:widowControl/>
        <w:jc w:val="left"/>
        <w:rPr>
          <w:color w:val="000000"/>
        </w:rPr>
      </w:pPr>
    </w:p>
    <w:p>
      <w:pPr>
        <w:widowControl/>
        <w:jc w:val="left"/>
      </w:pPr>
      <w:r>
        <w:rPr>
          <w:color w:val="000000"/>
        </w:rPr>
        <w:br w:type="page"/>
      </w:r>
      <w:bookmarkStart w:id="131" w:name="_Toc118797714"/>
      <w:bookmarkStart w:id="132" w:name="_Toc118790928"/>
      <w:bookmarkStart w:id="133" w:name="_Toc118779334"/>
      <w:bookmarkStart w:id="134" w:name="_Toc118864957"/>
      <w:bookmarkStart w:id="135" w:name="_Toc118791316"/>
      <w:bookmarkStart w:id="136" w:name="_Toc118790286"/>
      <w:bookmarkStart w:id="137" w:name="_Toc97108605"/>
      <w:bookmarkStart w:id="138" w:name="_Toc118777663"/>
      <w:bookmarkStart w:id="139" w:name="_Toc118777730"/>
      <w:bookmarkStart w:id="140" w:name="_Toc118777926"/>
      <w:bookmarkStart w:id="141" w:name="_Toc118777964"/>
      <w:bookmarkStart w:id="142" w:name="_Toc118780473"/>
    </w:p>
    <w:p>
      <w:pPr>
        <w:pStyle w:val="2"/>
        <w:numPr>
          <w:ilvl w:val="0"/>
          <w:numId w:val="0"/>
        </w:numPr>
        <w:spacing w:line="400" w:lineRule="exact"/>
        <w:rPr>
          <w:rFonts w:ascii="Times New Roman" w:hAnsi="宋体"/>
        </w:rPr>
      </w:pPr>
      <w:bookmarkStart w:id="143" w:name="_Toc257127779"/>
      <w:bookmarkStart w:id="144" w:name="_Toc90922382"/>
      <w:bookmarkStart w:id="145" w:name="_Hlk86063070"/>
      <w:r>
        <w:rPr>
          <w:rFonts w:hint="eastAsia" w:ascii="Times New Roman" w:hAnsi="Times New Roman"/>
          <w:color w:val="000000"/>
        </w:rPr>
        <w:t>7</w:t>
      </w:r>
      <w:r>
        <w:rPr>
          <w:rFonts w:ascii="Times New Roman" w:hAnsi="Times New Roman"/>
          <w:color w:val="000000"/>
        </w:rPr>
        <w:t xml:space="preserve">  </w:t>
      </w:r>
      <w:bookmarkEnd w:id="143"/>
      <w:r>
        <w:rPr>
          <w:rFonts w:hint="eastAsia" w:ascii="Times New Roman" w:hAnsi="宋体"/>
        </w:rPr>
        <w:t>基础设计</w:t>
      </w:r>
      <w:bookmarkEnd w:id="144"/>
    </w:p>
    <w:p>
      <w:pPr>
        <w:spacing w:line="360" w:lineRule="auto"/>
        <w:ind w:firstLine="482"/>
        <w:rPr>
          <w:rFonts w:hAnsi="宋体"/>
          <w:shd w:val="clear" w:color="auto" w:fill="FFFFFF"/>
        </w:rPr>
      </w:pPr>
      <w:r>
        <w:rPr>
          <w:b/>
          <w:kern w:val="0"/>
        </w:rPr>
        <w:t>7.0.1</w:t>
      </w:r>
      <w:r>
        <w:rPr>
          <w:rFonts w:hint="eastAsia"/>
          <w:bCs/>
          <w:kern w:val="0"/>
        </w:rPr>
        <w:t>拟建上盖</w:t>
      </w:r>
      <w:r>
        <w:rPr>
          <w:rFonts w:hint="eastAsia" w:hAnsi="宋体"/>
          <w:shd w:val="clear" w:color="auto" w:fill="FFFFFF"/>
        </w:rPr>
        <w:t>高层建筑的车辆基地建筑的地基基础设计等级应为甲级。</w:t>
      </w:r>
    </w:p>
    <w:p>
      <w:pPr>
        <w:shd w:val="clear" w:color="auto" w:fill="FFFFFF"/>
        <w:snapToGrid w:val="0"/>
        <w:spacing w:line="360" w:lineRule="auto"/>
        <w:ind w:firstLine="480"/>
        <w:rPr>
          <w:rFonts w:hAnsi="宋体"/>
          <w:shd w:val="clear" w:color="auto" w:fill="FFFFFF"/>
        </w:rPr>
      </w:pPr>
      <w:r>
        <w:rPr>
          <w:rFonts w:hint="eastAsia" w:eastAsia="等线"/>
          <w:b/>
          <w:bCs/>
        </w:rPr>
        <w:t>[条文说明]</w:t>
      </w:r>
      <w:r>
        <w:rPr>
          <w:rFonts w:hint="eastAsia" w:ascii="宋体" w:hAnsi="宋体"/>
        </w:rPr>
        <w:t>车辆基地上盖高层建筑属于复杂高层建筑</w:t>
      </w:r>
      <w:r>
        <w:rPr>
          <w:rFonts w:hint="eastAsia" w:ascii="宋体" w:hAnsi="宋体"/>
          <w:shd w:val="clear" w:color="auto" w:fill="FFFFFF"/>
        </w:rPr>
        <w:t>，</w:t>
      </w:r>
      <w:r>
        <w:rPr>
          <w:rFonts w:hint="eastAsia" w:ascii="宋体" w:hAnsi="宋体"/>
        </w:rPr>
        <w:t>对地基承载力和变形有较高要求</w:t>
      </w:r>
      <w:r>
        <w:rPr>
          <w:rFonts w:hint="eastAsia" w:ascii="宋体" w:hAnsi="宋体"/>
          <w:shd w:val="clear" w:color="auto" w:fill="FFFFFF"/>
        </w:rPr>
        <w:t>。按</w:t>
      </w:r>
      <w:r>
        <w:rPr>
          <w:rFonts w:hint="eastAsia" w:hAnsi="宋体"/>
        </w:rPr>
        <w:t>《建筑地基基础设计规范》</w:t>
      </w:r>
      <w:r>
        <w:rPr>
          <w:rFonts w:hint="eastAsia" w:ascii="宋体" w:hAnsi="宋体"/>
          <w:shd w:val="clear" w:color="auto" w:fill="FFFFFF"/>
        </w:rPr>
        <w:t>GB50007的相关规定可以判断地基基础设计等级一般为甲级或乙级，车辆基地与其上盖高层建筑存在设计、施工等不同期的可能，因此车辆基地设计阶段需考虑整体结构基础设计等级对地基承载力（包括地基强度及变形）的要求。</w:t>
      </w:r>
    </w:p>
    <w:p>
      <w:pPr>
        <w:shd w:val="clear" w:color="auto" w:fill="FFFFFF"/>
        <w:snapToGrid w:val="0"/>
        <w:spacing w:line="360" w:lineRule="auto"/>
        <w:ind w:firstLine="482"/>
        <w:rPr>
          <w:rFonts w:hAnsi="宋体"/>
          <w:shd w:val="clear" w:color="auto" w:fill="FFFFFF"/>
        </w:rPr>
      </w:pPr>
      <w:r>
        <w:rPr>
          <w:b/>
          <w:kern w:val="0"/>
        </w:rPr>
        <w:t>7.0.2</w:t>
      </w:r>
      <w:r>
        <w:rPr>
          <w:rFonts w:hint="eastAsia" w:hAnsi="宋体"/>
          <w:shd w:val="clear" w:color="auto" w:fill="FFFFFF"/>
        </w:rPr>
        <w:t>车辆基地上盖高层建筑基础的埋置深度应满足地基承载力、变形和稳定性要求。位于岩石地基上的车辆基地上盖高层建筑，其基础埋深应满足抗滑移稳定性要求。</w:t>
      </w:r>
    </w:p>
    <w:p>
      <w:pPr>
        <w:shd w:val="clear" w:color="auto" w:fill="FFFFFF"/>
        <w:snapToGrid w:val="0"/>
        <w:spacing w:line="360" w:lineRule="auto"/>
        <w:ind w:firstLine="480"/>
        <w:rPr>
          <w:rFonts w:ascii="宋体" w:hAnsi="宋体"/>
        </w:rPr>
      </w:pPr>
      <w:r>
        <w:rPr>
          <w:rFonts w:hint="eastAsia" w:eastAsia="等线"/>
          <w:b/>
          <w:bCs/>
        </w:rPr>
        <w:t>[条文说明]</w:t>
      </w:r>
      <w:r>
        <w:rPr>
          <w:rFonts w:hint="eastAsia" w:ascii="宋体" w:hAnsi="宋体"/>
        </w:rPr>
        <w:t>《建筑地基基础设计规范》GB50007的强制性条文，鉴于车辆基地上盖高层建筑一般不设置地下室，基础埋深问题成为工程实践中工程师们十分关注的问题。而地基承载力计算是建立在半无限平面体的前提上的，因此通常情况下，处于平整地基上的建筑物，如果能满足地基承载力和变形的要求，一般不会由于倾覆或滑移而导致破坏。但是对于高大的建筑物，如地下水位在基础底面以上，特别是当建筑物经常受水平荷载或位于斜坡上，或存在倾斜或软弱地层（如高填方场地等）时，有必要进行地基稳定性验算。</w:t>
      </w:r>
    </w:p>
    <w:p>
      <w:pPr>
        <w:shd w:val="clear" w:color="auto" w:fill="FFFFFF"/>
        <w:snapToGrid w:val="0"/>
        <w:spacing w:line="360" w:lineRule="auto"/>
        <w:ind w:firstLine="480"/>
        <w:rPr>
          <w:rFonts w:hAnsi="宋体"/>
          <w:shd w:val="clear" w:color="auto" w:fill="FFFFFF"/>
        </w:rPr>
      </w:pPr>
      <w:bookmarkStart w:id="146" w:name="_Hlk86926815"/>
      <w:r>
        <w:rPr>
          <w:b/>
          <w:kern w:val="0"/>
        </w:rPr>
        <w:t>7.0.3</w:t>
      </w:r>
      <w:r>
        <w:rPr>
          <w:rFonts w:hint="eastAsia"/>
          <w:bCs/>
          <w:kern w:val="0"/>
        </w:rPr>
        <w:t>当基础埋深无法满足</w:t>
      </w:r>
      <w:r>
        <w:rPr>
          <w:rFonts w:hint="eastAsia" w:hAnsi="宋体"/>
        </w:rPr>
        <w:t>《高层建筑混凝土结构技术规程》</w:t>
      </w:r>
      <w:r>
        <w:rPr>
          <w:rFonts w:hint="eastAsia"/>
          <w:bCs/>
          <w:kern w:val="0"/>
        </w:rPr>
        <w:t>JGJ3和</w:t>
      </w:r>
      <w:r>
        <w:rPr>
          <w:rFonts w:hint="eastAsia" w:hAnsi="宋体"/>
        </w:rPr>
        <w:t>《建筑地基基础设计规范》</w:t>
      </w:r>
      <w:r>
        <w:rPr>
          <w:rFonts w:hint="eastAsia"/>
          <w:bCs/>
          <w:kern w:val="0"/>
        </w:rPr>
        <w:t>GB50007的相关要求时，应在常规设计的基础上，补充考虑性能设计后设防烈度地震作用下的地基承载力验算及抗倾覆稳定性验算，荷载组合可采用</w:t>
      </w:r>
      <w:r>
        <w:rPr>
          <w:rFonts w:hint="eastAsia"/>
          <w:shd w:val="clear" w:color="auto" w:fill="FFFFFF"/>
        </w:rPr>
        <w:t>重力荷载代表值与设防水平地震标准值组合，</w:t>
      </w:r>
      <w:r>
        <w:rPr>
          <w:rFonts w:hint="eastAsia" w:hAnsi="宋体"/>
          <w:shd w:val="clear" w:color="auto" w:fill="FFFFFF"/>
        </w:rPr>
        <w:t>分项系数取1</w:t>
      </w:r>
      <w:r>
        <w:rPr>
          <w:rFonts w:hAnsi="宋体"/>
          <w:shd w:val="clear" w:color="auto" w:fill="FFFFFF"/>
        </w:rPr>
        <w:t>.0</w:t>
      </w:r>
      <w:r>
        <w:rPr>
          <w:rFonts w:hint="eastAsia" w:hAnsi="宋体"/>
          <w:shd w:val="clear" w:color="auto" w:fill="FFFFFF"/>
        </w:rPr>
        <w:t>。</w:t>
      </w:r>
    </w:p>
    <w:p>
      <w:pPr>
        <w:shd w:val="clear" w:color="auto" w:fill="FFFFFF"/>
        <w:snapToGrid w:val="0"/>
        <w:spacing w:line="360" w:lineRule="auto"/>
        <w:ind w:firstLine="482"/>
        <w:rPr>
          <w:rFonts w:hAnsi="宋体"/>
          <w:shd w:val="clear" w:color="auto" w:fill="FFFFFF"/>
        </w:rPr>
      </w:pPr>
      <w:r>
        <w:rPr>
          <w:rFonts w:hint="eastAsia" w:hAnsi="宋体"/>
          <w:shd w:val="clear" w:color="auto" w:fill="FFFFFF"/>
        </w:rPr>
        <w:t>1</w:t>
      </w:r>
      <w:r>
        <w:rPr>
          <w:rFonts w:hAnsi="宋体"/>
          <w:shd w:val="clear" w:color="auto" w:fill="FFFFFF"/>
        </w:rPr>
        <w:t xml:space="preserve"> </w:t>
      </w:r>
      <w:r>
        <w:rPr>
          <w:rFonts w:hint="eastAsia" w:hAnsi="宋体"/>
          <w:shd w:val="clear" w:color="auto" w:fill="FFFFFF"/>
        </w:rPr>
        <w:t>天然地基可按下列公式验算：</w:t>
      </w:r>
    </w:p>
    <w:p>
      <w:pPr>
        <w:shd w:val="clear" w:color="auto" w:fill="FFFFFF"/>
        <w:snapToGrid w:val="0"/>
        <w:spacing w:line="360" w:lineRule="auto"/>
        <w:ind w:firstLine="482"/>
        <w:rPr>
          <w:rFonts w:hAnsi="宋体"/>
          <w:shd w:val="clear" w:color="auto" w:fill="FFFFFF"/>
        </w:rPr>
      </w:pPr>
      <m:oMath>
        <m:sSub>
          <m:sSubPr>
            <m:ctrlPr>
              <w:rPr>
                <w:rFonts w:ascii="Cambria Math" w:hAnsi="Cambria Math"/>
                <w:i/>
                <w:shd w:val="clear" w:color="auto" w:fill="FFFFFF"/>
              </w:rPr>
            </m:ctrlPr>
          </m:sSubPr>
          <m:e>
            <m:r>
              <w:rPr>
                <w:rFonts w:ascii="Cambria Math" w:hAnsi="Cambria Math"/>
                <w:shd w:val="clear" w:color="auto" w:fill="FFFFFF"/>
              </w:rPr>
              <m:t xml:space="preserve">f</m:t>
            </m:r>
          </m:e>
          <m:sub>
            <m:r>
              <w:rPr>
                <w:rFonts w:ascii="Cambria Math" w:hAnsi="Cambria Math"/>
                <w:shd w:val="clear" w:color="auto" w:fill="FFFFFF"/>
              </w:rPr>
              <m:t xml:space="preserve">a</m:t>
            </m:r>
            <m:r>
              <m:rPr>
                <m:sty m:val="p"/>
              </m:rPr>
              <w:rPr>
                <w:rFonts w:ascii="Cambria Math" w:hAnsi="Cambria Math"/>
                <w:shd w:val="clear" w:color="auto" w:fill="FFFFFF"/>
              </w:rPr>
              <m:t xml:space="preserve">E</m:t>
            </m:r>
          </m:sub>
        </m:sSub>
      </m:oMath>
      <w:r>
        <w:rPr>
          <w:rFonts w:hint="eastAsia" w:hAnsi="宋体"/>
          <w:shd w:val="clear" w:color="auto" w:fill="FFFFFF"/>
        </w:rPr>
        <w:t>=</w:t>
      </w:r>
      <m:oMath>
        <m:sSub>
          <m:sSubPr>
            <m:ctrlPr>
              <w:rPr>
                <w:rFonts w:ascii="Cambria Math" w:hAnsi="Cambria Math"/>
                <w:i/>
                <w:shd w:val="clear" w:color="auto" w:fill="FFFFFF"/>
              </w:rPr>
            </m:ctrlPr>
          </m:sSubPr>
          <m:e>
            <m:r>
              <w:rPr>
                <w:rFonts w:ascii="Cambria Math" w:hAnsi="Cambria Math"/>
                <w:shd w:val="clear" w:color="auto" w:fill="FFFFFF"/>
              </w:rPr>
              <m:t xml:space="preserve">ζ</m:t>
            </m:r>
          </m:e>
          <m:sub>
            <m:r>
              <w:rPr>
                <w:rFonts w:ascii="Cambria Math" w:hAnsi="Cambria Math"/>
                <w:shd w:val="clear" w:color="auto" w:fill="FFFFFF"/>
              </w:rPr>
              <m:t xml:space="preserve">a</m:t>
            </m:r>
          </m:sub>
        </m:sSub>
        <m:sSub>
          <m:sSubPr>
            <m:ctrlPr>
              <w:rPr>
                <w:rFonts w:ascii="Cambria Math" w:hAnsi="Cambria Math"/>
                <w:i/>
                <w:shd w:val="clear" w:color="auto" w:fill="FFFFFF"/>
              </w:rPr>
            </m:ctrlPr>
          </m:sSubPr>
          <m:e>
            <m:r>
              <w:rPr>
                <w:rFonts w:ascii="Cambria Math" w:hAnsi="Cambria Math"/>
                <w:shd w:val="clear" w:color="auto" w:fill="FFFFFF"/>
              </w:rPr>
              <m:t xml:space="preserve">f</m:t>
            </m:r>
          </m:e>
          <m:sub>
            <m:r>
              <w:rPr>
                <w:rFonts w:ascii="Cambria Math" w:hAnsi="Cambria Math"/>
                <w:shd w:val="clear" w:color="auto" w:fill="FFFFFF"/>
              </w:rPr>
              <m:t xml:space="preserve">a</m:t>
            </m:r>
          </m:sub>
        </m:sSub>
      </m:oMath>
      <w:r>
        <w:rPr>
          <w:rFonts w:hint="eastAsia" w:hAnsi="宋体"/>
          <w:shd w:val="clear" w:color="auto" w:fill="FFFFFF"/>
        </w:rPr>
        <w:t xml:space="preserve"> </w:t>
      </w:r>
      <w:r>
        <w:rPr>
          <w:rFonts w:hAnsi="宋体"/>
          <w:shd w:val="clear" w:color="auto" w:fill="FFFFFF"/>
        </w:rPr>
        <w:t xml:space="preserve">      (7.0.3-1)</w:t>
      </w:r>
    </w:p>
    <w:p>
      <w:pPr>
        <w:shd w:val="clear" w:color="auto" w:fill="FFFFFF"/>
        <w:snapToGrid w:val="0"/>
        <w:spacing w:line="360" w:lineRule="auto"/>
        <w:ind w:firstLine="482"/>
        <w:rPr>
          <w:rFonts w:hAnsi="宋体"/>
          <w:shd w:val="clear" w:color="auto" w:fill="FFFFFF"/>
        </w:rPr>
      </w:pPr>
      <w:r>
        <w:rPr>
          <w:rFonts w:hint="eastAsia" w:hAnsi="宋体"/>
          <w:shd w:val="clear" w:color="auto" w:fill="FFFFFF"/>
        </w:rPr>
        <w:t>在轴心竖向力作用下</w:t>
      </w:r>
    </w:p>
    <w:p>
      <w:pPr>
        <w:shd w:val="clear" w:color="auto" w:fill="FFFFFF"/>
        <w:snapToGrid w:val="0"/>
        <w:spacing w:line="360" w:lineRule="auto"/>
        <w:ind w:firstLine="482"/>
        <w:rPr>
          <w:rFonts w:hAnsi="宋体"/>
          <w:shd w:val="clear" w:color="auto" w:fill="FFFFFF"/>
        </w:rPr>
      </w:pPr>
      <m:oMath>
        <m:sSub>
          <m:sSubPr>
            <m:ctrlPr>
              <w:rPr>
                <w:rFonts w:ascii="Cambria Math" w:hAnsi="Cambria Math"/>
                <w:i/>
                <w:shd w:val="clear" w:color="auto" w:fill="FFFFFF"/>
              </w:rPr>
            </m:ctrlPr>
          </m:sSubPr>
          <m:e>
            <m:r>
              <w:rPr>
                <w:rFonts w:ascii="Cambria Math" w:hAnsi="Cambria Math"/>
                <w:shd w:val="clear" w:color="auto" w:fill="FFFFFF"/>
              </w:rPr>
              <m:t xml:space="preserve">p</m:t>
            </m:r>
          </m:e>
          <m:sub>
            <m:r>
              <w:rPr>
                <w:rFonts w:ascii="Cambria Math" w:hAnsi="Cambria Math"/>
                <w:shd w:val="clear" w:color="auto" w:fill="FFFFFF"/>
              </w:rPr>
              <m:t xml:space="preserve">k</m:t>
            </m:r>
          </m:sub>
        </m:sSub>
        <m:r>
          <w:rPr>
            <w:rFonts w:ascii="Cambria Math" w:hAnsi="Cambria Math"/>
            <w:shd w:val="clear" w:color="auto" w:fill="FFFFFF"/>
          </w:rPr>
          <m:t xml:space="preserve">≤</m:t>
        </m:r>
        <m:sSub>
          <m:sSubPr>
            <m:ctrlPr>
              <w:rPr>
                <w:rFonts w:ascii="Cambria Math" w:hAnsi="Cambria Math"/>
                <w:i/>
                <w:shd w:val="clear" w:color="auto" w:fill="FFFFFF"/>
              </w:rPr>
            </m:ctrlPr>
          </m:sSubPr>
          <m:e>
            <m:r>
              <w:rPr>
                <w:rFonts w:ascii="Cambria Math" w:hAnsi="Cambria Math"/>
                <w:shd w:val="clear" w:color="auto" w:fill="FFFFFF"/>
              </w:rPr>
              <m:t xml:space="preserve">f</m:t>
            </m:r>
          </m:e>
          <m:sub>
            <m:r>
              <w:rPr>
                <w:rFonts w:ascii="Cambria Math" w:hAnsi="Cambria Math"/>
                <w:shd w:val="clear" w:color="auto" w:fill="FFFFFF"/>
              </w:rPr>
              <m:t xml:space="preserve">aE</m:t>
            </m:r>
          </m:sub>
        </m:sSub>
      </m:oMath>
      <w:r>
        <w:rPr>
          <w:rFonts w:hAnsi="宋体"/>
          <w:shd w:val="clear" w:color="auto" w:fill="FFFFFF"/>
        </w:rPr>
        <w:t xml:space="preserve">      (7.0.3-2)</w:t>
      </w:r>
    </w:p>
    <w:p>
      <w:pPr>
        <w:shd w:val="clear" w:color="auto" w:fill="FFFFFF"/>
        <w:snapToGrid w:val="0"/>
        <w:spacing w:line="360" w:lineRule="auto"/>
        <w:ind w:firstLine="482"/>
        <w:rPr>
          <w:rFonts w:hAnsi="宋体"/>
          <w:shd w:val="clear" w:color="auto" w:fill="FFFFFF"/>
        </w:rPr>
      </w:pPr>
      <w:r>
        <w:rPr>
          <w:rFonts w:hint="eastAsia" w:hAnsi="宋体"/>
          <w:shd w:val="clear" w:color="auto" w:fill="FFFFFF"/>
        </w:rPr>
        <w:t>在偏心竖向力作用下，除应符合式</w:t>
      </w:r>
      <w:r>
        <w:rPr>
          <w:rFonts w:hAnsi="宋体"/>
          <w:shd w:val="clear" w:color="auto" w:fill="FFFFFF"/>
        </w:rPr>
        <w:t>(7.0.3-2)</w:t>
      </w:r>
      <w:r>
        <w:rPr>
          <w:rFonts w:hint="eastAsia" w:hAnsi="宋体"/>
          <w:shd w:val="clear" w:color="auto" w:fill="FFFFFF"/>
        </w:rPr>
        <w:t>的要求外，尚应符合下式要求：</w:t>
      </w:r>
    </w:p>
    <w:p>
      <w:pPr>
        <w:shd w:val="clear" w:color="auto" w:fill="FFFFFF"/>
        <w:snapToGrid w:val="0"/>
        <w:spacing w:line="360" w:lineRule="auto"/>
        <w:ind w:firstLine="482"/>
        <w:rPr>
          <w:rFonts w:hAnsi="宋体"/>
          <w:shd w:val="clear" w:color="auto" w:fill="FFFFFF"/>
        </w:rPr>
      </w:pPr>
      <m:oMath>
        <m:sSub>
          <m:sSubPr>
            <m:ctrlPr>
              <w:rPr>
                <w:rFonts w:ascii="Cambria Math" w:hAnsi="Cambria Math"/>
                <w:i/>
                <w:shd w:val="clear" w:color="auto" w:fill="FFFFFF"/>
              </w:rPr>
            </m:ctrlPr>
          </m:sSubPr>
          <m:e>
            <m:r>
              <w:rPr>
                <w:rFonts w:ascii="Cambria Math" w:hAnsi="Cambria Math"/>
                <w:shd w:val="clear" w:color="auto" w:fill="FFFFFF"/>
              </w:rPr>
              <m:t xml:space="preserve">p</m:t>
            </m:r>
          </m:e>
          <m:sub>
            <m:r>
              <w:rPr>
                <w:rFonts w:ascii="Cambria Math" w:hAnsi="Cambria Math"/>
                <w:shd w:val="clear" w:color="auto" w:fill="FFFFFF"/>
              </w:rPr>
              <m:t xml:space="preserve">kmax</m:t>
            </m:r>
          </m:sub>
        </m:sSub>
        <m:r>
          <w:rPr>
            <w:rFonts w:ascii="Cambria Math" w:hAnsi="Cambria Math"/>
            <w:shd w:val="clear" w:color="auto" w:fill="FFFFFF"/>
          </w:rPr>
          <m:t xml:space="preserve">≤</m:t>
        </m:r>
        <m:sSub>
          <m:sSubPr>
            <m:ctrlPr>
              <w:rPr>
                <w:rFonts w:ascii="Cambria Math" w:hAnsi="Cambria Math"/>
                <w:i/>
                <w:shd w:val="clear" w:color="auto" w:fill="FFFFFF"/>
              </w:rPr>
            </m:ctrlPr>
          </m:sSubPr>
          <m:e>
            <m:r>
              <w:rPr>
                <w:rFonts w:ascii="Cambria Math" w:hAnsi="Cambria Math"/>
                <w:shd w:val="clear" w:color="auto" w:fill="FFFFFF"/>
              </w:rPr>
              <m:t xml:space="preserve">1.2f</m:t>
            </m:r>
          </m:e>
          <m:sub>
            <m:r>
              <w:rPr>
                <w:rFonts w:ascii="Cambria Math" w:hAnsi="Cambria Math"/>
                <w:shd w:val="clear" w:color="auto" w:fill="FFFFFF"/>
              </w:rPr>
              <m:t xml:space="preserve">aE</m:t>
            </m:r>
          </m:sub>
        </m:sSub>
      </m:oMath>
      <w:r>
        <w:rPr>
          <w:rFonts w:hAnsi="宋体"/>
          <w:shd w:val="clear" w:color="auto" w:fill="FFFFFF"/>
        </w:rPr>
        <w:t xml:space="preserve">      (7.0.3-3)</w:t>
      </w:r>
    </w:p>
    <w:p>
      <w:pPr>
        <w:shd w:val="clear" w:color="auto" w:fill="FFFFFF"/>
        <w:snapToGrid w:val="0"/>
        <w:spacing w:line="360" w:lineRule="auto"/>
        <w:ind w:firstLine="482"/>
        <w:rPr>
          <w:rFonts w:hAnsi="宋体"/>
          <w:shd w:val="clear" w:color="auto" w:fill="FFFFFF"/>
        </w:rPr>
      </w:pPr>
      <w:r>
        <w:rPr>
          <w:rFonts w:hint="eastAsia" w:hAnsi="宋体"/>
          <w:shd w:val="clear" w:color="auto" w:fill="FFFFFF"/>
        </w:rPr>
        <w:t>式中：</w:t>
      </w:r>
      <m:oMath>
        <m:sSub>
          <m:sSubPr>
            <m:ctrlPr>
              <w:rPr>
                <w:rFonts w:ascii="Cambria Math" w:hAnsi="Cambria Math"/>
                <w:i/>
                <w:shd w:val="clear" w:color="auto" w:fill="FFFFFF"/>
              </w:rPr>
            </m:ctrlPr>
          </m:sSubPr>
          <m:e>
            <m:r>
              <w:rPr>
                <w:rFonts w:ascii="Cambria Math" w:hAnsi="Cambria Math"/>
                <w:shd w:val="clear" w:color="auto" w:fill="FFFFFF"/>
              </w:rPr>
              <m:t xml:space="preserve">f</m:t>
            </m:r>
          </m:e>
          <m:sub>
            <m:r>
              <w:rPr>
                <w:rFonts w:ascii="Cambria Math" w:hAnsi="Cambria Math"/>
                <w:shd w:val="clear" w:color="auto" w:fill="FFFFFF"/>
              </w:rPr>
              <m:t xml:space="preserve">a</m:t>
            </m:r>
          </m:sub>
        </m:sSub>
      </m:oMath>
      <w:r>
        <w:rPr>
          <w:rFonts w:hint="eastAsia" w:hAnsi="宋体"/>
          <w:shd w:val="clear" w:color="auto" w:fill="FFFFFF"/>
        </w:rPr>
        <w:t>——地基承载力特征值；</w:t>
      </w:r>
    </w:p>
    <w:p>
      <w:pPr>
        <w:shd w:val="clear" w:color="auto" w:fill="FFFFFF"/>
        <w:snapToGrid w:val="0"/>
        <w:spacing w:line="360" w:lineRule="auto"/>
        <w:ind w:firstLine="482"/>
        <w:rPr>
          <w:rFonts w:hAnsi="宋体"/>
          <w:shd w:val="clear" w:color="auto" w:fill="FFFFFF"/>
        </w:rPr>
      </w:pPr>
      <w:r>
        <w:rPr>
          <w:rFonts w:hint="eastAsia" w:hAnsi="宋体"/>
          <w:shd w:val="clear" w:color="auto" w:fill="FFFFFF"/>
        </w:rPr>
        <w:t xml:space="preserve"> </w:t>
      </w:r>
      <w:r>
        <w:rPr>
          <w:rFonts w:hAnsi="宋体"/>
          <w:shd w:val="clear" w:color="auto" w:fill="FFFFFF"/>
        </w:rPr>
        <w:t xml:space="preserve">     </w:t>
      </w:r>
      <m:oMath>
        <m:sSub>
          <m:sSubPr>
            <m:ctrlPr>
              <w:rPr>
                <w:rFonts w:ascii="Cambria Math" w:hAnsi="Cambria Math"/>
                <w:i/>
                <w:shd w:val="clear" w:color="auto" w:fill="FFFFFF"/>
              </w:rPr>
            </m:ctrlPr>
          </m:sSubPr>
          <m:e>
            <m:r>
              <w:rPr>
                <w:rFonts w:ascii="Cambria Math" w:hAnsi="Cambria Math"/>
                <w:shd w:val="clear" w:color="auto" w:fill="FFFFFF"/>
              </w:rPr>
              <m:t xml:space="preserve">f</m:t>
            </m:r>
          </m:e>
          <m:sub>
            <m:r>
              <w:rPr>
                <w:rFonts w:ascii="Cambria Math" w:hAnsi="Cambria Math"/>
                <w:shd w:val="clear" w:color="auto" w:fill="FFFFFF"/>
              </w:rPr>
              <m:t xml:space="preserve">aE</m:t>
            </m:r>
          </m:sub>
        </m:sSub>
      </m:oMath>
      <w:r>
        <w:rPr>
          <w:rFonts w:hint="eastAsia" w:hAnsi="宋体"/>
          <w:shd w:val="clear" w:color="auto" w:fill="FFFFFF"/>
        </w:rPr>
        <w:t>——地基抗震承载力特征值；</w:t>
      </w:r>
    </w:p>
    <w:p>
      <w:pPr>
        <w:shd w:val="clear" w:color="auto" w:fill="FFFFFF"/>
        <w:snapToGrid w:val="0"/>
        <w:spacing w:line="360" w:lineRule="auto"/>
        <w:ind w:firstLine="482"/>
        <w:rPr>
          <w:rFonts w:hAnsi="宋体"/>
          <w:shd w:val="clear" w:color="auto" w:fill="FFFFFF"/>
        </w:rPr>
      </w:pPr>
      <w:r>
        <w:rPr>
          <w:rFonts w:hint="eastAsia" w:hAnsi="宋体"/>
          <w:shd w:val="clear" w:color="auto" w:fill="FFFFFF"/>
        </w:rPr>
        <w:t xml:space="preserve"> </w:t>
      </w:r>
      <w:r>
        <w:rPr>
          <w:rFonts w:hAnsi="宋体"/>
          <w:shd w:val="clear" w:color="auto" w:fill="FFFFFF"/>
        </w:rPr>
        <w:t xml:space="preserve">     </w:t>
      </w:r>
      <m:oMath>
        <m:sSub>
          <m:sSubPr>
            <m:ctrlPr>
              <w:rPr>
                <w:rFonts w:ascii="Cambria Math" w:hAnsi="Cambria Math"/>
                <w:i/>
                <w:shd w:val="clear" w:color="auto" w:fill="FFFFFF"/>
              </w:rPr>
            </m:ctrlPr>
          </m:sSubPr>
          <m:e>
            <m:r>
              <w:rPr>
                <w:rFonts w:ascii="Cambria Math" w:hAnsi="Cambria Math"/>
                <w:shd w:val="clear" w:color="auto" w:fill="FFFFFF"/>
              </w:rPr>
              <m:t xml:space="preserve">ζ</m:t>
            </m:r>
          </m:e>
          <m:sub>
            <m:r>
              <m:rPr>
                <m:sty m:val="p"/>
              </m:rPr>
              <w:rPr>
                <w:rFonts w:ascii="Cambria Math" w:hAnsi="Cambria Math"/>
                <w:shd w:val="clear" w:color="auto" w:fill="FFFFFF"/>
              </w:rPr>
              <m:t xml:space="preserve">a</m:t>
            </m:r>
          </m:sub>
        </m:sSub>
      </m:oMath>
      <w:r>
        <w:rPr>
          <w:rFonts w:hint="eastAsia" w:hAnsi="宋体"/>
          <w:shd w:val="clear" w:color="auto" w:fill="FFFFFF"/>
        </w:rPr>
        <w:t>——地基抗震承载力调整系数，按表7</w:t>
      </w:r>
      <w:r>
        <w:rPr>
          <w:rFonts w:hAnsi="宋体"/>
          <w:shd w:val="clear" w:color="auto" w:fill="FFFFFF"/>
        </w:rPr>
        <w:t>.0.3</w:t>
      </w:r>
      <w:r>
        <w:rPr>
          <w:rFonts w:hint="eastAsia" w:hAnsi="宋体"/>
          <w:shd w:val="clear" w:color="auto" w:fill="FFFFFF"/>
        </w:rPr>
        <w:t>采用；</w:t>
      </w:r>
    </w:p>
    <w:p>
      <w:pPr>
        <w:shd w:val="clear" w:color="auto" w:fill="FFFFFF"/>
        <w:snapToGrid w:val="0"/>
        <w:spacing w:line="360" w:lineRule="auto"/>
        <w:ind w:firstLine="482"/>
        <w:rPr>
          <w:rFonts w:hAnsi="宋体"/>
          <w:shd w:val="clear" w:color="auto" w:fill="FFFFFF"/>
        </w:rPr>
      </w:pPr>
      <w:r>
        <w:rPr>
          <w:rFonts w:hint="eastAsia" w:hAnsi="宋体"/>
          <w:shd w:val="clear" w:color="auto" w:fill="FFFFFF"/>
        </w:rPr>
        <w:t xml:space="preserve"> </w:t>
      </w:r>
      <w:r>
        <w:rPr>
          <w:rFonts w:hAnsi="宋体"/>
          <w:shd w:val="clear" w:color="auto" w:fill="FFFFFF"/>
        </w:rPr>
        <w:t xml:space="preserve">     </w:t>
      </w:r>
      <m:oMath>
        <m:sSub>
          <m:sSubPr>
            <m:ctrlPr>
              <w:rPr>
                <w:rFonts w:ascii="Cambria Math" w:hAnsi="Cambria Math"/>
                <w:i/>
                <w:shd w:val="clear" w:color="auto" w:fill="FFFFFF"/>
              </w:rPr>
            </m:ctrlPr>
          </m:sSubPr>
          <m:e>
            <m:r>
              <w:rPr>
                <w:rFonts w:ascii="Cambria Math" w:hAnsi="Cambria Math"/>
                <w:shd w:val="clear" w:color="auto" w:fill="FFFFFF"/>
              </w:rPr>
              <m:t xml:space="preserve">p</m:t>
            </m:r>
          </m:e>
          <m:sub>
            <m:r>
              <w:rPr>
                <w:rFonts w:ascii="Cambria Math" w:hAnsi="Cambria Math"/>
                <w:shd w:val="clear" w:color="auto" w:fill="FFFFFF"/>
              </w:rPr>
              <m:t xml:space="preserve">k</m:t>
            </m:r>
          </m:sub>
        </m:sSub>
      </m:oMath>
      <w:r>
        <w:rPr>
          <w:rFonts w:hint="eastAsia" w:hAnsi="宋体"/>
          <w:shd w:val="clear" w:color="auto" w:fill="FFFFFF"/>
        </w:rPr>
        <w:t>——地震作用效应标准组合的基础底面平均压力；</w:t>
      </w:r>
    </w:p>
    <w:p>
      <w:pPr>
        <w:shd w:val="clear" w:color="auto" w:fill="FFFFFF"/>
        <w:snapToGrid w:val="0"/>
        <w:spacing w:line="360" w:lineRule="auto"/>
        <w:ind w:firstLine="482"/>
        <w:rPr>
          <w:rFonts w:hAnsi="宋体"/>
          <w:shd w:val="clear" w:color="auto" w:fill="FFFFFF"/>
        </w:rPr>
      </w:pPr>
      <w:r>
        <w:rPr>
          <w:rFonts w:hint="eastAsia" w:hAnsi="宋体"/>
          <w:shd w:val="clear" w:color="auto" w:fill="FFFFFF"/>
        </w:rPr>
        <w:t xml:space="preserve"> </w:t>
      </w:r>
      <w:r>
        <w:rPr>
          <w:rFonts w:hAnsi="宋体"/>
          <w:shd w:val="clear" w:color="auto" w:fill="FFFFFF"/>
        </w:rPr>
        <w:t xml:space="preserve">     </w:t>
      </w:r>
      <m:oMath>
        <m:sSub>
          <m:sSubPr>
            <m:ctrlPr>
              <w:rPr>
                <w:rFonts w:ascii="Cambria Math" w:hAnsi="Cambria Math"/>
                <w:i/>
                <w:shd w:val="clear" w:color="auto" w:fill="FFFFFF"/>
              </w:rPr>
            </m:ctrlPr>
          </m:sSubPr>
          <m:e>
            <m:r>
              <w:rPr>
                <w:rFonts w:ascii="Cambria Math" w:hAnsi="Cambria Math"/>
                <w:shd w:val="clear" w:color="auto" w:fill="FFFFFF"/>
              </w:rPr>
              <m:t xml:space="preserve">p</m:t>
            </m:r>
          </m:e>
          <m:sub>
            <m:r>
              <w:rPr>
                <w:rFonts w:ascii="Cambria Math" w:hAnsi="Cambria Math"/>
                <w:shd w:val="clear" w:color="auto" w:fill="FFFFFF"/>
              </w:rPr>
              <m:t xml:space="preserve">kmax</m:t>
            </m:r>
          </m:sub>
        </m:sSub>
      </m:oMath>
      <w:r>
        <w:rPr>
          <w:rFonts w:hint="eastAsia" w:hAnsi="宋体"/>
          <w:shd w:val="clear" w:color="auto" w:fill="FFFFFF"/>
        </w:rPr>
        <w:t>——地震作用效应标准组合的基础边缘的最大压力。</w:t>
      </w:r>
    </w:p>
    <w:p>
      <w:pPr>
        <w:pStyle w:val="80"/>
        <w:rPr>
          <w:shd w:val="clear" w:color="auto" w:fill="FFFFFF"/>
        </w:rPr>
      </w:pPr>
    </w:p>
    <w:p>
      <w:pPr>
        <w:pStyle w:val="80"/>
        <w:rPr>
          <w:shd w:val="clear" w:color="auto" w:fill="FFFFFF"/>
        </w:rPr>
      </w:pPr>
    </w:p>
    <w:p>
      <w:pPr>
        <w:pStyle w:val="80"/>
        <w:rPr>
          <w:shd w:val="clear" w:color="auto" w:fill="FFFFFF"/>
        </w:rPr>
      </w:pPr>
    </w:p>
    <w:p>
      <w:pPr>
        <w:pStyle w:val="80"/>
        <w:rPr>
          <w:shd w:val="clear" w:color="auto" w:fill="FFFFFF"/>
        </w:rPr>
      </w:pPr>
    </w:p>
    <w:p>
      <w:pPr>
        <w:pStyle w:val="80"/>
        <w:rPr>
          <w:shd w:val="clear" w:color="auto" w:fill="FFFFFF"/>
        </w:rPr>
      </w:pPr>
      <w:r>
        <w:rPr>
          <w:rFonts w:hint="eastAsia"/>
          <w:shd w:val="clear" w:color="auto" w:fill="FFFFFF"/>
        </w:rPr>
        <w:t>表7</w:t>
      </w:r>
      <w:r>
        <w:rPr>
          <w:shd w:val="clear" w:color="auto" w:fill="FFFFFF"/>
        </w:rPr>
        <w:t xml:space="preserve">.0.3  </w:t>
      </w:r>
      <w:r>
        <w:rPr>
          <w:rFonts w:hint="eastAsia"/>
          <w:shd w:val="clear" w:color="auto" w:fill="FFFFFF"/>
        </w:rPr>
        <w:t>地基承载力调整系数</w:t>
      </w:r>
    </w:p>
    <w:tbl>
      <w:tblPr>
        <w:tblStyle w:val="38"/>
        <w:tblW w:w="82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979"/>
        <w:gridCol w:w="23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5979" w:type="dxa"/>
          </w:tcPr>
          <w:p>
            <w:pPr>
              <w:pStyle w:val="79"/>
              <w:ind w:firstLine="480"/>
              <w:rPr>
                <w:shd w:val="clear" w:color="auto" w:fill="FFFFFF"/>
              </w:rPr>
            </w:pPr>
            <w:r>
              <w:rPr>
                <w:rFonts w:hint="eastAsia"/>
                <w:shd w:val="clear" w:color="auto" w:fill="FFFFFF"/>
              </w:rPr>
              <w:t>岩土名称和性状</w:t>
            </w:r>
          </w:p>
        </w:tc>
        <w:tc>
          <w:tcPr>
            <w:tcW w:w="2317" w:type="dxa"/>
          </w:tcPr>
          <w:p>
            <w:pPr>
              <w:pStyle w:val="79"/>
              <w:ind w:firstLine="480"/>
              <w:rPr>
                <w:shd w:val="clear" w:color="auto" w:fill="FFFFFF"/>
              </w:rPr>
            </w:pPr>
            <m:oMathPara>
              <m:oMath>
                <m:sSub>
                  <m:sSubPr>
                    <m:ctrlPr>
                      <w:rPr>
                        <w:rFonts w:ascii="Cambria Math" w:hAnsi="Cambria Math"/>
                        <w:i/>
                        <w:shd w:val="clear" w:color="auto" w:fill="FFFFFF"/>
                      </w:rPr>
                    </m:ctrlPr>
                  </m:sSubPr>
                  <m:e>
                    <m:r>
                      <w:rPr>
                        <w:rFonts w:ascii="Cambria Math" w:hAnsi="Cambria Math"/>
                        <w:shd w:val="clear" w:color="auto" w:fill="FFFFFF"/>
                      </w:rPr>
                      <m:t xml:space="preserve">ζ</m:t>
                    </m:r>
                  </m:e>
                  <m:sub>
                    <m:r>
                      <w:rPr>
                        <w:rFonts w:ascii="Cambria Math" w:hAnsi="Cambria Math"/>
                        <w:shd w:val="clear" w:color="auto" w:fill="FFFFFF"/>
                      </w:rPr>
                      <m:t xml:space="preserve">a</m:t>
                    </m:r>
                  </m:sub>
                </m:sSub>
              </m:oMath>
            </m:oMathPara>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5979" w:type="dxa"/>
          </w:tcPr>
          <w:p>
            <w:pPr>
              <w:pStyle w:val="79"/>
              <w:ind w:firstLine="480"/>
              <w:rPr>
                <w:rFonts w:ascii="Cambria Math" w:hAnsi="Cambria Math"/>
                <w:i/>
                <w:iCs/>
                <w:shd w:val="clear" w:color="auto" w:fill="FFFFFF"/>
              </w:rPr>
            </w:pPr>
            <w:r>
              <w:rPr>
                <w:rFonts w:hint="eastAsia"/>
                <w:shd w:val="clear" w:color="auto" w:fill="FFFFFF"/>
              </w:rPr>
              <w:t>岩石，密实的碎石土，密实的砾、粗、中砂，</w:t>
            </w:r>
            <m:oMath>
              <m:sSub>
                <m:sSubPr>
                  <m:ctrlPr>
                    <w:rPr>
                      <w:rFonts w:ascii="Cambria Math" w:hAnsi="Cambria Math"/>
                      <w:i/>
                      <w:shd w:val="clear" w:color="auto" w:fill="FFFFFF"/>
                    </w:rPr>
                  </m:ctrlPr>
                </m:sSubPr>
                <m:e>
                  <m:r>
                    <w:rPr>
                      <w:rFonts w:ascii="Cambria Math" w:hAnsi="Cambria Math"/>
                      <w:shd w:val="clear" w:color="auto" w:fill="FFFFFF"/>
                    </w:rPr>
                    <m:t xml:space="preserve">f</m:t>
                  </m:r>
                </m:e>
                <m:sub>
                  <m:r>
                    <w:rPr>
                      <w:rFonts w:ascii="Cambria Math" w:hAnsi="Cambria Math"/>
                      <w:shd w:val="clear" w:color="auto" w:fill="FFFFFF"/>
                    </w:rPr>
                    <m:t xml:space="preserve">ak</m:t>
                  </m:r>
                </m:sub>
              </m:sSub>
              <m:r>
                <w:rPr>
                  <w:rFonts w:ascii="Cambria Math" w:hAnsi="Cambria Math"/>
                  <w:shd w:val="clear" w:color="auto" w:fill="FFFFFF"/>
                </w:rPr>
                <m:t xml:space="preserve">≥300kPa</m:t>
              </m:r>
            </m:oMath>
            <w:r>
              <w:rPr>
                <w:rFonts w:hint="eastAsia"/>
                <w:shd w:val="clear" w:color="auto" w:fill="FFFFFF"/>
              </w:rPr>
              <w:t>的黏性土和粉土</w:t>
            </w:r>
          </w:p>
        </w:tc>
        <w:tc>
          <w:tcPr>
            <w:tcW w:w="2317" w:type="dxa"/>
            <w:vAlign w:val="center"/>
          </w:tcPr>
          <w:p>
            <w:pPr>
              <w:pStyle w:val="79"/>
              <w:ind w:firstLine="480"/>
              <w:rPr>
                <w:shd w:val="clear" w:color="auto" w:fill="FFFFFF"/>
              </w:rPr>
            </w:pPr>
            <w:r>
              <w:rPr>
                <w:rFonts w:hint="eastAsia"/>
                <w:shd w:val="clear" w:color="auto" w:fill="FFFFFF"/>
              </w:rPr>
              <w:t>1</w:t>
            </w:r>
            <w:r>
              <w:rPr>
                <w:shd w:val="clear" w:color="auto" w:fill="FFFFFF"/>
              </w:rPr>
              <w:t>.9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5979" w:type="dxa"/>
          </w:tcPr>
          <w:p>
            <w:pPr>
              <w:pStyle w:val="79"/>
              <w:ind w:firstLine="480"/>
              <w:rPr>
                <w:rFonts w:ascii="Cambria Math" w:hAnsi="Cambria Math"/>
                <w:i/>
                <w:shd w:val="clear" w:color="auto" w:fill="FFFFFF"/>
              </w:rPr>
            </w:pPr>
            <w:r>
              <w:rPr>
                <w:rFonts w:hint="eastAsia"/>
                <w:shd w:val="clear" w:color="auto" w:fill="FFFFFF"/>
              </w:rPr>
              <w:t>中密、稍密的碎石土，中密和稍密的砾、粗、中砂，密实和中密的细、粉砂，</w:t>
            </w:r>
            <m:oMath>
              <m:r>
                <w:rPr>
                  <w:rFonts w:ascii="Cambria Math" w:hAnsi="Cambria Math"/>
                  <w:shd w:val="clear" w:color="auto" w:fill="FFFFFF"/>
                </w:rPr>
                <m:t xml:space="preserve">150kPa≤</m:t>
              </m:r>
              <m:sSub>
                <m:sSubPr>
                  <m:ctrlPr>
                    <w:rPr>
                      <w:rFonts w:ascii="Cambria Math" w:hAnsi="Cambria Math"/>
                      <w:i/>
                      <w:shd w:val="clear" w:color="auto" w:fill="FFFFFF"/>
                    </w:rPr>
                  </m:ctrlPr>
                </m:sSubPr>
                <m:e>
                  <m:r>
                    <w:rPr>
                      <w:rFonts w:ascii="Cambria Math" w:hAnsi="Cambria Math"/>
                      <w:shd w:val="clear" w:color="auto" w:fill="FFFFFF"/>
                    </w:rPr>
                    <m:t xml:space="preserve">f</m:t>
                  </m:r>
                </m:e>
                <m:sub>
                  <m:r>
                    <w:rPr>
                      <w:rFonts w:ascii="Cambria Math" w:hAnsi="Cambria Math"/>
                      <w:shd w:val="clear" w:color="auto" w:fill="FFFFFF"/>
                    </w:rPr>
                    <m:t xml:space="preserve">ak</m:t>
                  </m:r>
                </m:sub>
              </m:sSub>
              <m:r>
                <w:rPr>
                  <w:rFonts w:ascii="Cambria Math" w:hAnsi="Cambria Math"/>
                  <w:shd w:val="clear" w:color="auto" w:fill="FFFFFF"/>
                </w:rPr>
                <m:t xml:space="preserve">&lt;300kPa</m:t>
              </m:r>
            </m:oMath>
            <w:r>
              <w:rPr>
                <w:rFonts w:hint="eastAsia"/>
                <w:shd w:val="clear" w:color="auto" w:fill="FFFFFF"/>
              </w:rPr>
              <w:t>的黏性土和粉土，坚硬黄土</w:t>
            </w:r>
          </w:p>
        </w:tc>
        <w:tc>
          <w:tcPr>
            <w:tcW w:w="2317" w:type="dxa"/>
            <w:vAlign w:val="center"/>
          </w:tcPr>
          <w:p>
            <w:pPr>
              <w:pStyle w:val="79"/>
              <w:ind w:firstLine="480"/>
              <w:rPr>
                <w:shd w:val="clear" w:color="auto" w:fill="FFFFFF"/>
              </w:rPr>
            </w:pPr>
            <w:r>
              <w:rPr>
                <w:rFonts w:hint="eastAsia"/>
                <w:shd w:val="clear" w:color="auto" w:fill="FFFFFF"/>
              </w:rPr>
              <w:t>1</w:t>
            </w:r>
            <w:r>
              <w:rPr>
                <w:shd w:val="clear" w:color="auto" w:fill="FFFFFF"/>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5979" w:type="dxa"/>
          </w:tcPr>
          <w:p>
            <w:pPr>
              <w:pStyle w:val="79"/>
              <w:ind w:firstLine="480"/>
              <w:rPr>
                <w:shd w:val="clear" w:color="auto" w:fill="FFFFFF"/>
              </w:rPr>
            </w:pPr>
            <w:r>
              <w:rPr>
                <w:rFonts w:hint="eastAsia"/>
                <w:shd w:val="clear" w:color="auto" w:fill="FFFFFF"/>
              </w:rPr>
              <w:t>稍密的细、粉砂，</w:t>
            </w:r>
            <m:oMath>
              <m:r>
                <w:rPr>
                  <w:rFonts w:ascii="Cambria Math" w:hAnsi="Cambria Math"/>
                  <w:shd w:val="clear" w:color="auto" w:fill="FFFFFF"/>
                </w:rPr>
                <m:t xml:space="preserve">100kPa≤</m:t>
              </m:r>
              <m:sSub>
                <m:sSubPr>
                  <m:ctrlPr>
                    <w:rPr>
                      <w:rFonts w:ascii="Cambria Math" w:hAnsi="Cambria Math"/>
                      <w:i/>
                      <w:shd w:val="clear" w:color="auto" w:fill="FFFFFF"/>
                    </w:rPr>
                  </m:ctrlPr>
                </m:sSubPr>
                <m:e>
                  <m:r>
                    <w:rPr>
                      <w:rFonts w:ascii="Cambria Math" w:hAnsi="Cambria Math"/>
                      <w:shd w:val="clear" w:color="auto" w:fill="FFFFFF"/>
                    </w:rPr>
                    <m:t xml:space="preserve">f</m:t>
                  </m:r>
                </m:e>
                <m:sub>
                  <m:r>
                    <w:rPr>
                      <w:rFonts w:ascii="Cambria Math" w:hAnsi="Cambria Math"/>
                      <w:shd w:val="clear" w:color="auto" w:fill="FFFFFF"/>
                    </w:rPr>
                    <m:t xml:space="preserve">ak</m:t>
                  </m:r>
                </m:sub>
              </m:sSub>
              <m:r>
                <w:rPr>
                  <w:rFonts w:ascii="Cambria Math" w:hAnsi="Cambria Math"/>
                  <w:shd w:val="clear" w:color="auto" w:fill="FFFFFF"/>
                </w:rPr>
                <m:t xml:space="preserve">&lt;150kPa</m:t>
              </m:r>
            </m:oMath>
            <w:r>
              <w:rPr>
                <w:rFonts w:hint="eastAsia"/>
                <w:shd w:val="clear" w:color="auto" w:fill="FFFFFF"/>
              </w:rPr>
              <w:t>的黏性土和粉土，可塑黄土</w:t>
            </w:r>
          </w:p>
        </w:tc>
        <w:tc>
          <w:tcPr>
            <w:tcW w:w="2317" w:type="dxa"/>
            <w:vAlign w:val="center"/>
          </w:tcPr>
          <w:p>
            <w:pPr>
              <w:pStyle w:val="79"/>
              <w:ind w:firstLine="480"/>
              <w:rPr>
                <w:shd w:val="clear" w:color="auto" w:fill="FFFFFF"/>
              </w:rPr>
            </w:pPr>
            <w:r>
              <w:rPr>
                <w:rFonts w:hint="eastAsia"/>
                <w:shd w:val="clear" w:color="auto" w:fill="FFFFFF"/>
              </w:rPr>
              <w:t>1</w:t>
            </w:r>
            <w:r>
              <w:rPr>
                <w:shd w:val="clear" w:color="auto" w:fill="FFFFFF"/>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5979" w:type="dxa"/>
          </w:tcPr>
          <w:p>
            <w:pPr>
              <w:pStyle w:val="79"/>
              <w:ind w:firstLine="480"/>
              <w:rPr>
                <w:shd w:val="clear" w:color="auto" w:fill="FFFFFF"/>
              </w:rPr>
            </w:pPr>
            <w:r>
              <w:rPr>
                <w:rFonts w:hint="eastAsia"/>
                <w:shd w:val="clear" w:color="auto" w:fill="FFFFFF"/>
              </w:rPr>
              <w:t>淤泥、淤泥质土，松散的砂，杂填土，新近堆积黄土及流塑黄土</w:t>
            </w:r>
          </w:p>
        </w:tc>
        <w:tc>
          <w:tcPr>
            <w:tcW w:w="2317" w:type="dxa"/>
            <w:vAlign w:val="center"/>
          </w:tcPr>
          <w:p>
            <w:pPr>
              <w:pStyle w:val="79"/>
              <w:ind w:firstLine="480"/>
              <w:rPr>
                <w:shd w:val="clear" w:color="auto" w:fill="FFFFFF"/>
              </w:rPr>
            </w:pPr>
            <w:r>
              <w:rPr>
                <w:rFonts w:hint="eastAsia"/>
                <w:shd w:val="clear" w:color="auto" w:fill="FFFFFF"/>
              </w:rPr>
              <w:t>1</w:t>
            </w:r>
            <w:r>
              <w:rPr>
                <w:shd w:val="clear" w:color="auto" w:fill="FFFFFF"/>
              </w:rPr>
              <w:t>.0</w:t>
            </w:r>
          </w:p>
        </w:tc>
      </w:tr>
    </w:tbl>
    <w:p>
      <w:pPr>
        <w:shd w:val="clear" w:color="auto" w:fill="FFFFFF"/>
        <w:snapToGrid w:val="0"/>
        <w:spacing w:line="360" w:lineRule="auto"/>
        <w:ind w:firstLine="482"/>
        <w:rPr>
          <w:rFonts w:hAnsi="宋体"/>
          <w:shd w:val="clear" w:color="auto" w:fill="FFFFFF"/>
        </w:rPr>
      </w:pPr>
    </w:p>
    <w:p>
      <w:pPr>
        <w:shd w:val="clear" w:color="auto" w:fill="FFFFFF"/>
        <w:snapToGrid w:val="0"/>
        <w:spacing w:line="360" w:lineRule="auto"/>
        <w:ind w:firstLine="482"/>
        <w:rPr>
          <w:rFonts w:hAnsi="宋体"/>
          <w:shd w:val="clear" w:color="auto" w:fill="FFFFFF"/>
        </w:rPr>
      </w:pPr>
      <w:r>
        <w:rPr>
          <w:rFonts w:hAnsi="宋体"/>
          <w:shd w:val="clear" w:color="auto" w:fill="FFFFFF"/>
        </w:rPr>
        <w:t>2</w:t>
      </w:r>
      <w:r>
        <w:rPr>
          <w:rFonts w:hint="eastAsia" w:hAnsi="宋体"/>
          <w:shd w:val="clear" w:color="auto" w:fill="FFFFFF"/>
        </w:rPr>
        <w:t>基桩承载力可按下列公式验算：</w:t>
      </w:r>
    </w:p>
    <w:p>
      <w:pPr>
        <w:shd w:val="clear" w:color="auto" w:fill="FFFFFF"/>
        <w:snapToGrid w:val="0"/>
        <w:spacing w:line="360" w:lineRule="auto"/>
        <w:ind w:firstLine="482"/>
        <w:rPr>
          <w:rFonts w:hAnsi="宋体"/>
          <w:shd w:val="clear" w:color="auto" w:fill="FFFFFF"/>
        </w:rPr>
      </w:pPr>
      <w:r>
        <w:rPr>
          <w:rFonts w:hint="eastAsia" w:hAnsi="宋体"/>
          <w:shd w:val="clear" w:color="auto" w:fill="FFFFFF"/>
        </w:rPr>
        <w:t>在轴心竖向力作用下</w:t>
      </w:r>
    </w:p>
    <w:p>
      <w:pPr>
        <w:shd w:val="clear" w:color="auto" w:fill="FFFFFF"/>
        <w:snapToGrid w:val="0"/>
        <w:spacing w:line="360" w:lineRule="auto"/>
        <w:ind w:firstLine="482"/>
        <w:jc w:val="center"/>
        <w:rPr>
          <w:rFonts w:hAnsi="宋体"/>
          <w:shd w:val="clear" w:color="auto" w:fill="FFFFFF"/>
        </w:rPr>
      </w:pPr>
      <m:oMath>
        <m:sSub>
          <m:sSubPr>
            <m:ctrlPr>
              <w:rPr>
                <w:rFonts w:ascii="Cambria Math" w:hAnsi="Cambria Math"/>
                <w:i/>
                <w:shd w:val="clear" w:color="auto" w:fill="FFFFFF"/>
              </w:rPr>
            </m:ctrlPr>
          </m:sSubPr>
          <m:e>
            <m:r>
              <w:rPr>
                <w:rFonts w:ascii="Cambria Math" w:hAnsi="Cambria Math"/>
                <w:shd w:val="clear" w:color="auto" w:fill="FFFFFF"/>
              </w:rPr>
              <m:t xml:space="preserve">N</m:t>
            </m:r>
          </m:e>
          <m:sub>
            <m:r>
              <w:rPr>
                <w:rFonts w:ascii="Cambria Math" w:hAnsi="Cambria Math"/>
                <w:shd w:val="clear" w:color="auto" w:fill="FFFFFF"/>
              </w:rPr>
              <m:t xml:space="preserve">Ek</m:t>
            </m:r>
          </m:sub>
        </m:sSub>
        <m:r>
          <w:rPr>
            <w:rFonts w:ascii="Cambria Math" w:hAnsi="Cambria Math"/>
            <w:shd w:val="clear" w:color="auto" w:fill="FFFFFF"/>
          </w:rPr>
          <m:t xml:space="preserve">≤1.6R</m:t>
        </m:r>
      </m:oMath>
      <w:r>
        <w:rPr>
          <w:rFonts w:hAnsi="宋体"/>
          <w:shd w:val="clear" w:color="auto" w:fill="FFFFFF"/>
        </w:rPr>
        <w:t xml:space="preserve">      (7.0.3-4)</w:t>
      </w:r>
    </w:p>
    <w:p>
      <w:pPr>
        <w:shd w:val="clear" w:color="auto" w:fill="FFFFFF"/>
        <w:snapToGrid w:val="0"/>
        <w:spacing w:line="360" w:lineRule="auto"/>
        <w:ind w:firstLine="482"/>
        <w:rPr>
          <w:rFonts w:hAnsi="宋体"/>
          <w:shd w:val="clear" w:color="auto" w:fill="FFFFFF"/>
        </w:rPr>
      </w:pPr>
      <w:r>
        <w:rPr>
          <w:rFonts w:hint="eastAsia" w:hAnsi="宋体"/>
          <w:shd w:val="clear" w:color="auto" w:fill="FFFFFF"/>
        </w:rPr>
        <w:t>在偏心竖向力作用下，除应符合式</w:t>
      </w:r>
      <w:r>
        <w:rPr>
          <w:rFonts w:hAnsi="宋体"/>
          <w:shd w:val="clear" w:color="auto" w:fill="FFFFFF"/>
        </w:rPr>
        <w:t>(7.0.3-4)</w:t>
      </w:r>
      <w:r>
        <w:rPr>
          <w:rFonts w:hint="eastAsia" w:hAnsi="宋体"/>
          <w:shd w:val="clear" w:color="auto" w:fill="FFFFFF"/>
        </w:rPr>
        <w:t>的要求外，尚应符合下式要求：</w:t>
      </w:r>
    </w:p>
    <w:p>
      <w:pPr>
        <w:shd w:val="clear" w:color="auto" w:fill="FFFFFF"/>
        <w:snapToGrid w:val="0"/>
        <w:spacing w:line="360" w:lineRule="auto"/>
        <w:ind w:firstLine="482"/>
        <w:jc w:val="center"/>
        <w:rPr>
          <w:rFonts w:hAnsi="宋体"/>
          <w:shd w:val="clear" w:color="auto" w:fill="FFFFFF"/>
        </w:rPr>
      </w:pPr>
      <m:oMath>
        <m:sSub>
          <m:sSubPr>
            <m:ctrlPr>
              <w:rPr>
                <w:rFonts w:ascii="Cambria Math" w:hAnsi="Cambria Math"/>
                <w:i/>
                <w:shd w:val="clear" w:color="auto" w:fill="FFFFFF"/>
              </w:rPr>
            </m:ctrlPr>
          </m:sSubPr>
          <m:e>
            <m:r>
              <w:rPr>
                <w:rFonts w:ascii="Cambria Math" w:hAnsi="Cambria Math"/>
                <w:shd w:val="clear" w:color="auto" w:fill="FFFFFF"/>
              </w:rPr>
              <m:t xml:space="preserve">N</m:t>
            </m:r>
          </m:e>
          <m:sub>
            <m:r>
              <w:rPr>
                <w:rFonts w:ascii="Cambria Math" w:hAnsi="Cambria Math"/>
                <w:shd w:val="clear" w:color="auto" w:fill="FFFFFF"/>
              </w:rPr>
              <m:t xml:space="preserve">Ekmax</m:t>
            </m:r>
          </m:sub>
        </m:sSub>
        <m:r>
          <w:rPr>
            <w:rFonts w:ascii="Cambria Math" w:hAnsi="Cambria Math"/>
            <w:shd w:val="clear" w:color="auto" w:fill="FFFFFF"/>
          </w:rPr>
          <m:t xml:space="preserve">≤2.0R</m:t>
        </m:r>
      </m:oMath>
      <w:r>
        <w:rPr>
          <w:rFonts w:hAnsi="宋体"/>
          <w:shd w:val="clear" w:color="auto" w:fill="FFFFFF"/>
        </w:rPr>
        <w:t xml:space="preserve">      (7.0.3-5)</w:t>
      </w:r>
    </w:p>
    <w:p>
      <w:pPr>
        <w:shd w:val="clear" w:color="auto" w:fill="FFFFFF"/>
        <w:snapToGrid w:val="0"/>
        <w:spacing w:line="360" w:lineRule="auto"/>
        <w:ind w:firstLine="482"/>
        <w:jc w:val="left"/>
        <w:rPr>
          <w:rFonts w:hAnsi="宋体"/>
          <w:shd w:val="clear" w:color="auto" w:fill="FFFFFF"/>
        </w:rPr>
      </w:pPr>
      <w:r>
        <w:rPr>
          <w:rFonts w:hint="eastAsia" w:hAnsi="宋体"/>
          <w:shd w:val="clear" w:color="auto" w:fill="FFFFFF"/>
        </w:rPr>
        <w:t>在水平力作用下：</w:t>
      </w:r>
    </w:p>
    <w:p>
      <w:pPr>
        <w:shd w:val="clear" w:color="auto" w:fill="FFFFFF"/>
        <w:snapToGrid w:val="0"/>
        <w:spacing w:line="360" w:lineRule="auto"/>
        <w:ind w:firstLine="482"/>
        <w:jc w:val="center"/>
        <w:rPr>
          <w:rFonts w:hAnsi="宋体"/>
          <w:shd w:val="clear" w:color="auto" w:fill="FFFFFF"/>
        </w:rPr>
      </w:pPr>
      <m:oMath>
        <m:sSub>
          <m:sSubPr>
            <m:ctrlPr>
              <w:rPr>
                <w:rFonts w:ascii="Cambria Math" w:hAnsi="Cambria Math"/>
                <w:i/>
                <w:shd w:val="clear" w:color="auto" w:fill="FFFFFF"/>
              </w:rPr>
            </m:ctrlPr>
          </m:sSubPr>
          <m:e>
            <m:r>
              <w:rPr>
                <w:rFonts w:ascii="Cambria Math" w:hAnsi="Cambria Math"/>
                <w:shd w:val="clear" w:color="auto" w:fill="FFFFFF"/>
              </w:rPr>
              <m:t xml:space="preserve">H</m:t>
            </m:r>
          </m:e>
          <m:sub>
            <m:r>
              <w:rPr>
                <w:rFonts w:ascii="Cambria Math" w:hAnsi="Cambria Math"/>
                <w:shd w:val="clear" w:color="auto" w:fill="FFFFFF"/>
              </w:rPr>
              <m:t xml:space="preserve">iEk</m:t>
            </m:r>
          </m:sub>
        </m:sSub>
        <m:r>
          <w:rPr>
            <w:rFonts w:ascii="Cambria Math" w:hAnsi="Cambria Math"/>
            <w:shd w:val="clear" w:color="auto" w:fill="FFFFFF"/>
          </w:rPr>
          <m:t xml:space="preserve">≤1.7</m:t>
        </m:r>
        <m:sSub>
          <m:sSubPr>
            <m:ctrlPr>
              <w:rPr>
                <w:rFonts w:ascii="Cambria Math" w:hAnsi="Cambria Math"/>
                <w:i/>
                <w:shd w:val="clear" w:color="auto" w:fill="FFFFFF"/>
              </w:rPr>
            </m:ctrlPr>
          </m:sSubPr>
          <m:e>
            <m:r>
              <w:rPr>
                <w:rFonts w:ascii="Cambria Math" w:hAnsi="Cambria Math"/>
                <w:shd w:val="clear" w:color="auto" w:fill="FFFFFF"/>
              </w:rPr>
              <m:t xml:space="preserve">R</m:t>
            </m:r>
          </m:e>
          <m:sub>
            <m:r>
              <w:rPr>
                <w:rFonts w:ascii="Cambria Math" w:hAnsi="Cambria Math"/>
                <w:shd w:val="clear" w:color="auto" w:fill="FFFFFF"/>
              </w:rPr>
              <m:t xml:space="preserve">h</m:t>
            </m:r>
          </m:sub>
        </m:sSub>
      </m:oMath>
      <w:r>
        <w:rPr>
          <w:rFonts w:hint="eastAsia" w:hAnsi="宋体"/>
          <w:shd w:val="clear" w:color="auto" w:fill="FFFFFF"/>
        </w:rPr>
        <w:t xml:space="preserve"> </w:t>
      </w:r>
      <w:r>
        <w:rPr>
          <w:rFonts w:hAnsi="宋体"/>
          <w:shd w:val="clear" w:color="auto" w:fill="FFFFFF"/>
        </w:rPr>
        <w:t xml:space="preserve">     (7.0.3-6)</w:t>
      </w:r>
    </w:p>
    <w:p>
      <w:pPr>
        <w:shd w:val="clear" w:color="auto" w:fill="FFFFFF"/>
        <w:snapToGrid w:val="0"/>
        <w:spacing w:line="360" w:lineRule="auto"/>
        <w:ind w:firstLine="482"/>
        <w:jc w:val="left"/>
        <w:rPr>
          <w:rFonts w:hAnsi="宋体"/>
          <w:shd w:val="clear" w:color="auto" w:fill="FFFFFF"/>
        </w:rPr>
      </w:pPr>
      <w:r>
        <w:rPr>
          <w:rFonts w:hint="eastAsia" w:hAnsi="宋体"/>
          <w:shd w:val="clear" w:color="auto" w:fill="FFFFFF"/>
        </w:rPr>
        <w:t>当基桩受拉时，应符合下式要求：</w:t>
      </w:r>
    </w:p>
    <w:p>
      <w:pPr>
        <w:shd w:val="clear" w:color="auto" w:fill="FFFFFF"/>
        <w:snapToGrid w:val="0"/>
        <w:spacing w:line="360" w:lineRule="auto"/>
        <w:ind w:firstLine="482"/>
        <w:jc w:val="center"/>
        <w:rPr>
          <w:rFonts w:hAnsi="宋体"/>
          <w:shd w:val="clear" w:color="auto" w:fill="FFFFFF"/>
        </w:rPr>
      </w:pPr>
      <m:oMath>
        <m:sSub>
          <m:sSubPr>
            <m:ctrlPr>
              <w:rPr>
                <w:rFonts w:ascii="Cambria Math" w:hAnsi="Cambria Math"/>
                <w:i/>
                <w:shd w:val="clear" w:color="auto" w:fill="FFFFFF"/>
              </w:rPr>
            </m:ctrlPr>
          </m:sSubPr>
          <m:e>
            <m:r>
              <w:rPr>
                <w:rFonts w:ascii="Cambria Math" w:hAnsi="Cambria Math"/>
                <w:shd w:val="clear" w:color="auto" w:fill="FFFFFF"/>
              </w:rPr>
              <m:t xml:space="preserve">T</m:t>
            </m:r>
          </m:e>
          <m:sub>
            <m:r>
              <w:rPr>
                <w:rFonts w:ascii="Cambria Math" w:hAnsi="Cambria Math"/>
                <w:shd w:val="clear" w:color="auto" w:fill="FFFFFF"/>
              </w:rPr>
              <m:t xml:space="preserve">iEk</m:t>
            </m:r>
          </m:sub>
        </m:sSub>
        <m:r>
          <w:rPr>
            <w:rFonts w:ascii="Cambria Math" w:hAnsi="Cambria Math"/>
            <w:shd w:val="clear" w:color="auto" w:fill="FFFFFF"/>
          </w:rPr>
          <m:t xml:space="preserve">≤2.0</m:t>
        </m:r>
        <m:sSub>
          <m:sSubPr>
            <m:ctrlPr>
              <w:rPr>
                <w:rFonts w:ascii="Cambria Math" w:hAnsi="Cambria Math"/>
                <w:i/>
                <w:shd w:val="clear" w:color="auto" w:fill="FFFFFF"/>
              </w:rPr>
            </m:ctrlPr>
          </m:sSubPr>
          <m:e>
            <m:r>
              <w:rPr>
                <w:rFonts w:ascii="Cambria Math" w:hAnsi="Cambria Math"/>
                <w:shd w:val="clear" w:color="auto" w:fill="FFFFFF"/>
              </w:rPr>
              <m:t xml:space="preserve">R</m:t>
            </m:r>
          </m:e>
          <m:sub>
            <m:r>
              <w:rPr>
                <w:rFonts w:ascii="Cambria Math" w:hAnsi="Cambria Math"/>
                <w:shd w:val="clear" w:color="auto" w:fill="FFFFFF"/>
              </w:rPr>
              <m:t xml:space="preserve">ta</m:t>
            </m:r>
          </m:sub>
        </m:sSub>
      </m:oMath>
      <w:r>
        <w:rPr>
          <w:rFonts w:hAnsi="宋体"/>
          <w:shd w:val="clear" w:color="auto" w:fill="FFFFFF"/>
        </w:rPr>
        <w:t xml:space="preserve">      (7.0.3-7)</w:t>
      </w:r>
    </w:p>
    <w:p>
      <w:pPr>
        <w:shd w:val="clear" w:color="auto" w:fill="FFFFFF"/>
        <w:snapToGrid w:val="0"/>
        <w:spacing w:line="360" w:lineRule="auto"/>
        <w:ind w:firstLine="482"/>
        <w:jc w:val="left"/>
        <w:rPr>
          <w:rFonts w:hAnsi="宋体"/>
          <w:shd w:val="clear" w:color="auto" w:fill="FFFFFF"/>
        </w:rPr>
      </w:pPr>
    </w:p>
    <w:p>
      <w:pPr>
        <w:shd w:val="clear" w:color="auto" w:fill="FFFFFF"/>
        <w:snapToGrid w:val="0"/>
        <w:spacing w:line="360" w:lineRule="auto"/>
        <w:ind w:firstLine="480"/>
        <w:jc w:val="left"/>
        <w:rPr>
          <w:rFonts w:hAnsi="宋体"/>
          <w:shd w:val="clear" w:color="auto" w:fill="FFFFFF"/>
        </w:rPr>
      </w:pPr>
      <w:r>
        <w:rPr>
          <w:rFonts w:hint="eastAsia" w:hAnsi="宋体"/>
          <w:shd w:val="clear" w:color="auto" w:fill="FFFFFF"/>
        </w:rPr>
        <w:t>式中：</w:t>
      </w:r>
      <m:oMath>
        <m:sSub>
          <m:sSubPr>
            <m:ctrlPr>
              <w:rPr>
                <w:rFonts w:ascii="Cambria Math" w:hAnsi="Cambria Math"/>
                <w:i/>
                <w:shd w:val="clear" w:color="auto" w:fill="FFFFFF"/>
              </w:rPr>
            </m:ctrlPr>
          </m:sSubPr>
          <m:e>
            <m:r>
              <w:rPr>
                <w:rFonts w:ascii="Cambria Math" w:hAnsi="Cambria Math"/>
                <w:shd w:val="clear" w:color="auto" w:fill="FFFFFF"/>
              </w:rPr>
              <m:t xml:space="preserve">N</m:t>
            </m:r>
          </m:e>
          <m:sub>
            <m:r>
              <w:rPr>
                <w:rFonts w:ascii="Cambria Math" w:hAnsi="Cambria Math"/>
                <w:shd w:val="clear" w:color="auto" w:fill="FFFFFF"/>
              </w:rPr>
              <m:t xml:space="preserve">Ek</m:t>
            </m:r>
          </m:sub>
        </m:sSub>
      </m:oMath>
      <w:r>
        <w:rPr>
          <w:rFonts w:hint="eastAsia" w:hAnsi="宋体"/>
          <w:shd w:val="clear" w:color="auto" w:fill="FFFFFF"/>
        </w:rPr>
        <w:t>——设防地震作用效应和重力荷载效应标准组合下，基桩或复合基桩的平均竖向力；</w:t>
      </w:r>
    </w:p>
    <w:p>
      <w:pPr>
        <w:shd w:val="clear" w:color="auto" w:fill="FFFFFF"/>
        <w:snapToGrid w:val="0"/>
        <w:spacing w:line="360" w:lineRule="auto"/>
        <w:ind w:firstLine="480"/>
        <w:jc w:val="left"/>
        <w:rPr>
          <w:rFonts w:hAnsi="宋体"/>
          <w:shd w:val="clear" w:color="auto" w:fill="FFFFFF"/>
        </w:rPr>
      </w:pPr>
      <w:r>
        <w:rPr>
          <w:rFonts w:hAnsi="宋体"/>
          <w:shd w:val="clear" w:color="auto" w:fill="FFFFFF"/>
        </w:rPr>
        <w:t xml:space="preserve">      </w:t>
      </w:r>
      <m:oMath>
        <m:sSub>
          <m:sSubPr>
            <m:ctrlPr>
              <w:rPr>
                <w:rFonts w:ascii="Cambria Math" w:hAnsi="Cambria Math"/>
                <w:i/>
                <w:shd w:val="clear" w:color="auto" w:fill="FFFFFF"/>
              </w:rPr>
            </m:ctrlPr>
          </m:sSubPr>
          <m:e>
            <m:r>
              <w:rPr>
                <w:rFonts w:ascii="Cambria Math" w:hAnsi="Cambria Math"/>
                <w:shd w:val="clear" w:color="auto" w:fill="FFFFFF"/>
              </w:rPr>
              <m:t xml:space="preserve">N</m:t>
            </m:r>
          </m:e>
          <m:sub>
            <m:r>
              <w:rPr>
                <w:rFonts w:ascii="Cambria Math" w:hAnsi="Cambria Math"/>
                <w:shd w:val="clear" w:color="auto" w:fill="FFFFFF"/>
              </w:rPr>
              <m:t xml:space="preserve">Ekmax</m:t>
            </m:r>
          </m:sub>
        </m:sSub>
      </m:oMath>
      <w:r>
        <w:rPr>
          <w:rFonts w:hint="eastAsia" w:hAnsi="宋体"/>
          <w:shd w:val="clear" w:color="auto" w:fill="FFFFFF"/>
        </w:rPr>
        <w:t>——设防地震作用效应和重力荷载效应标准组合下，基桩或复合基桩的最大竖向力；</w:t>
      </w:r>
    </w:p>
    <w:p>
      <w:pPr>
        <w:shd w:val="clear" w:color="auto" w:fill="FFFFFF"/>
        <w:snapToGrid w:val="0"/>
        <w:spacing w:line="360" w:lineRule="auto"/>
        <w:ind w:firstLine="480"/>
        <w:jc w:val="left"/>
        <w:rPr>
          <w:rFonts w:hAnsi="宋体"/>
          <w:shd w:val="clear" w:color="auto" w:fill="FFFFFF"/>
        </w:rPr>
      </w:pPr>
      <w:r>
        <w:rPr>
          <w:rFonts w:hAnsi="宋体"/>
          <w:shd w:val="clear" w:color="auto" w:fill="FFFFFF"/>
        </w:rPr>
        <w:t xml:space="preserve">      </w:t>
      </w:r>
      <m:oMath>
        <m:r>
          <w:rPr>
            <w:rFonts w:ascii="Cambria Math" w:hAnsi="Cambria Math"/>
            <w:shd w:val="clear" w:color="auto" w:fill="FFFFFF"/>
          </w:rPr>
          <m:t xml:space="preserve">R</m:t>
        </m:r>
      </m:oMath>
      <w:r>
        <w:rPr>
          <w:rFonts w:hint="eastAsia" w:hAnsi="宋体"/>
          <w:shd w:val="clear" w:color="auto" w:fill="FFFFFF"/>
        </w:rPr>
        <w:t>——基桩或复合基桩竖向承载力特征值；</w:t>
      </w:r>
    </w:p>
    <w:p>
      <w:pPr>
        <w:shd w:val="clear" w:color="auto" w:fill="FFFFFF"/>
        <w:snapToGrid w:val="0"/>
        <w:spacing w:line="360" w:lineRule="auto"/>
        <w:ind w:firstLine="480"/>
        <w:jc w:val="left"/>
        <w:rPr>
          <w:rFonts w:hAnsi="宋体"/>
          <w:shd w:val="clear" w:color="auto" w:fill="FFFFFF"/>
        </w:rPr>
      </w:pPr>
      <w:r>
        <w:rPr>
          <w:rFonts w:hAnsi="宋体"/>
          <w:shd w:val="clear" w:color="auto" w:fill="FFFFFF"/>
        </w:rPr>
        <w:t xml:space="preserve">      </w:t>
      </w:r>
      <m:oMath>
        <m:sSub>
          <m:sSubPr>
            <m:ctrlPr>
              <w:rPr>
                <w:rFonts w:ascii="Cambria Math" w:hAnsi="Cambria Math"/>
                <w:i/>
                <w:shd w:val="clear" w:color="auto" w:fill="FFFFFF"/>
              </w:rPr>
            </m:ctrlPr>
          </m:sSubPr>
          <m:e>
            <m:r>
              <w:rPr>
                <w:rFonts w:ascii="Cambria Math" w:hAnsi="Cambria Math"/>
                <w:shd w:val="clear" w:color="auto" w:fill="FFFFFF"/>
              </w:rPr>
              <m:t xml:space="preserve">H</m:t>
            </m:r>
          </m:e>
          <m:sub>
            <m:r>
              <w:rPr>
                <w:rFonts w:ascii="Cambria Math" w:hAnsi="Cambria Math"/>
                <w:shd w:val="clear" w:color="auto" w:fill="FFFFFF"/>
              </w:rPr>
              <m:t xml:space="preserve">iEk</m:t>
            </m:r>
          </m:sub>
        </m:sSub>
      </m:oMath>
      <w:r>
        <w:rPr>
          <w:rFonts w:hint="eastAsia" w:hAnsi="宋体"/>
          <w:shd w:val="clear" w:color="auto" w:fill="FFFFFF"/>
        </w:rPr>
        <w:t>——设防地震作用效应组合下，作用于基桩</w:t>
      </w:r>
      <w:r>
        <w:rPr>
          <w:rFonts w:hAnsi="宋体"/>
          <w:i/>
          <w:iCs/>
          <w:shd w:val="clear" w:color="auto" w:fill="FFFFFF"/>
        </w:rPr>
        <w:t>i</w:t>
      </w:r>
      <w:r>
        <w:rPr>
          <w:rFonts w:hint="eastAsia" w:hAnsi="宋体"/>
          <w:shd w:val="clear" w:color="auto" w:fill="FFFFFF"/>
        </w:rPr>
        <w:t>桩顶处的水平力；</w:t>
      </w:r>
    </w:p>
    <w:p>
      <w:pPr>
        <w:shd w:val="clear" w:color="auto" w:fill="FFFFFF"/>
        <w:snapToGrid w:val="0"/>
        <w:spacing w:line="360" w:lineRule="auto"/>
        <w:ind w:firstLine="482"/>
        <w:rPr>
          <w:rFonts w:hAnsi="宋体"/>
          <w:shd w:val="clear" w:color="auto" w:fill="FFFFFF"/>
        </w:rPr>
      </w:pPr>
      <w:r>
        <w:rPr>
          <w:rFonts w:hAnsi="宋体"/>
          <w:shd w:val="clear" w:color="auto" w:fill="FFFFFF"/>
        </w:rPr>
        <w:t xml:space="preserve">      </w:t>
      </w:r>
      <m:oMath>
        <m:sSub>
          <m:sSubPr>
            <m:ctrlPr>
              <w:rPr>
                <w:rFonts w:ascii="Cambria Math" w:hAnsi="Cambria Math"/>
                <w:i/>
                <w:shd w:val="clear" w:color="auto" w:fill="FFFFFF"/>
              </w:rPr>
            </m:ctrlPr>
          </m:sSubPr>
          <m:e>
            <m:r>
              <w:rPr>
                <w:rFonts w:ascii="Cambria Math" w:hAnsi="Cambria Math"/>
                <w:shd w:val="clear" w:color="auto" w:fill="FFFFFF"/>
              </w:rPr>
              <m:t xml:space="preserve">R</m:t>
            </m:r>
          </m:e>
          <m:sub>
            <m:r>
              <w:rPr>
                <w:rFonts w:ascii="Cambria Math" w:hAnsi="Cambria Math"/>
                <w:shd w:val="clear" w:color="auto" w:fill="FFFFFF"/>
              </w:rPr>
              <m:t xml:space="preserve">h</m:t>
            </m:r>
          </m:sub>
        </m:sSub>
      </m:oMath>
      <w:r>
        <w:rPr>
          <w:rFonts w:hint="eastAsia" w:hAnsi="宋体"/>
          <w:shd w:val="clear" w:color="auto" w:fill="FFFFFF"/>
        </w:rPr>
        <w:t>——单桩基础或群桩中基桩的水平承载力特征值，对于单桩基础，可取单桩的水平承载力特征值</w:t>
      </w:r>
      <m:oMath>
        <m:sSub>
          <m:sSubPr>
            <m:ctrlPr>
              <w:rPr>
                <w:rFonts w:ascii="Cambria Math" w:hAnsi="Cambria Math"/>
                <w:i/>
                <w:shd w:val="clear" w:color="auto" w:fill="FFFFFF"/>
              </w:rPr>
            </m:ctrlPr>
          </m:sSubPr>
          <m:e>
            <m:r>
              <w:rPr>
                <w:rFonts w:ascii="Cambria Math" w:hAnsi="Cambria Math"/>
                <w:shd w:val="clear" w:color="auto" w:fill="FFFFFF"/>
              </w:rPr>
              <m:t xml:space="preserve">R</m:t>
            </m:r>
          </m:e>
          <m:sub>
            <m:r>
              <w:rPr>
                <w:rFonts w:ascii="Cambria Math" w:hAnsi="Cambria Math"/>
                <w:shd w:val="clear" w:color="auto" w:fill="FFFFFF"/>
              </w:rPr>
              <m:t xml:space="preserve">ha</m:t>
            </m:r>
          </m:sub>
        </m:sSub>
      </m:oMath>
      <w:r>
        <w:rPr>
          <w:rFonts w:hint="eastAsia" w:hAnsi="宋体"/>
          <w:shd w:val="clear" w:color="auto" w:fill="FFFFFF"/>
        </w:rPr>
        <w:t>；</w:t>
      </w:r>
    </w:p>
    <w:p>
      <w:pPr>
        <w:shd w:val="clear" w:color="auto" w:fill="FFFFFF"/>
        <w:snapToGrid w:val="0"/>
        <w:spacing w:line="360" w:lineRule="auto"/>
        <w:ind w:firstLine="482"/>
        <w:rPr>
          <w:rFonts w:hAnsi="宋体"/>
          <w:shd w:val="clear" w:color="auto" w:fill="FFFFFF"/>
        </w:rPr>
      </w:pPr>
      <w:r>
        <w:rPr>
          <w:rFonts w:hAnsi="宋体"/>
          <w:shd w:val="clear" w:color="auto" w:fill="FFFFFF"/>
        </w:rPr>
        <w:t xml:space="preserve">      </w:t>
      </w:r>
      <m:oMath>
        <m:sSub>
          <m:sSubPr>
            <m:ctrlPr>
              <w:rPr>
                <w:rFonts w:ascii="Cambria Math" w:hAnsi="Cambria Math"/>
                <w:i/>
                <w:shd w:val="clear" w:color="auto" w:fill="FFFFFF"/>
              </w:rPr>
            </m:ctrlPr>
          </m:sSubPr>
          <m:e>
            <m:r>
              <w:rPr>
                <w:rFonts w:ascii="Cambria Math" w:hAnsi="Cambria Math"/>
                <w:shd w:val="clear" w:color="auto" w:fill="FFFFFF"/>
              </w:rPr>
              <m:t xml:space="preserve">T</m:t>
            </m:r>
          </m:e>
          <m:sub>
            <m:r>
              <w:rPr>
                <w:rFonts w:ascii="Cambria Math" w:hAnsi="Cambria Math"/>
                <w:shd w:val="clear" w:color="auto" w:fill="FFFFFF"/>
              </w:rPr>
              <m:t xml:space="preserve">iEk</m:t>
            </m:r>
          </m:sub>
        </m:sSub>
      </m:oMath>
      <w:r>
        <w:rPr>
          <w:rFonts w:hint="eastAsia" w:hAnsi="宋体"/>
          <w:shd w:val="clear" w:color="auto" w:fill="FFFFFF"/>
        </w:rPr>
        <w:t>——设防地震作用效应组合下，作用于基桩</w:t>
      </w:r>
      <w:r>
        <w:rPr>
          <w:rFonts w:hAnsi="宋体"/>
          <w:i/>
          <w:iCs/>
          <w:shd w:val="clear" w:color="auto" w:fill="FFFFFF"/>
        </w:rPr>
        <w:t>i</w:t>
      </w:r>
      <w:r>
        <w:rPr>
          <w:rFonts w:hint="eastAsia" w:hAnsi="宋体"/>
          <w:shd w:val="clear" w:color="auto" w:fill="FFFFFF"/>
        </w:rPr>
        <w:t>桩顶处的上拔力；</w:t>
      </w:r>
    </w:p>
    <w:p>
      <w:pPr>
        <w:shd w:val="clear" w:color="auto" w:fill="FFFFFF"/>
        <w:snapToGrid w:val="0"/>
        <w:spacing w:line="360" w:lineRule="auto"/>
        <w:ind w:firstLine="482"/>
        <w:rPr>
          <w:rFonts w:hAnsi="宋体"/>
          <w:shd w:val="clear" w:color="auto" w:fill="FFFFFF"/>
        </w:rPr>
      </w:pPr>
      <w:r>
        <w:rPr>
          <w:rFonts w:hAnsi="宋体"/>
          <w:shd w:val="clear" w:color="auto" w:fill="FFFFFF"/>
        </w:rPr>
        <w:t xml:space="preserve">      </w:t>
      </w:r>
      <m:oMath>
        <m:sSub>
          <m:sSubPr>
            <m:ctrlPr>
              <w:rPr>
                <w:rFonts w:ascii="Cambria Math" w:hAnsi="Cambria Math"/>
                <w:i/>
                <w:shd w:val="clear" w:color="auto" w:fill="FFFFFF"/>
              </w:rPr>
            </m:ctrlPr>
          </m:sSubPr>
          <m:e>
            <m:r>
              <w:rPr>
                <w:rFonts w:ascii="Cambria Math" w:hAnsi="Cambria Math"/>
                <w:shd w:val="clear" w:color="auto" w:fill="FFFFFF"/>
              </w:rPr>
              <m:t xml:space="preserve">R</m:t>
            </m:r>
          </m:e>
          <m:sub>
            <m:r>
              <w:rPr>
                <w:rFonts w:ascii="Cambria Math" w:hAnsi="Cambria Math"/>
                <w:shd w:val="clear" w:color="auto" w:fill="FFFFFF"/>
              </w:rPr>
              <m:t xml:space="preserve">ta</m:t>
            </m:r>
          </m:sub>
        </m:sSub>
      </m:oMath>
      <w:r>
        <w:rPr>
          <w:rFonts w:hint="eastAsia" w:hAnsi="宋体"/>
          <w:shd w:val="clear" w:color="auto" w:fill="FFFFFF"/>
        </w:rPr>
        <w:t>——单桩基础或群桩中基桩的抗拔承载力特征值。</w:t>
      </w:r>
    </w:p>
    <w:p>
      <w:pPr>
        <w:shd w:val="clear" w:color="auto" w:fill="FFFFFF"/>
        <w:snapToGrid w:val="0"/>
        <w:spacing w:line="360" w:lineRule="auto"/>
        <w:ind w:firstLine="482"/>
        <w:rPr>
          <w:rFonts w:hAnsi="宋体"/>
          <w:shd w:val="clear" w:color="auto" w:fill="FFFFFF"/>
        </w:rPr>
      </w:pPr>
      <w:r>
        <w:rPr>
          <w:rFonts w:hAnsi="宋体"/>
          <w:shd w:val="clear" w:color="auto" w:fill="FFFFFF"/>
        </w:rPr>
        <w:t xml:space="preserve">3 </w:t>
      </w:r>
      <w:r>
        <w:rPr>
          <w:rFonts w:hint="eastAsia" w:hAnsi="宋体"/>
          <w:shd w:val="clear" w:color="auto" w:fill="FFFFFF"/>
        </w:rPr>
        <w:t>倾覆力矩可近似取</w:t>
      </w:r>
      <w:r>
        <w:rPr>
          <w:rFonts w:hint="eastAsia" w:ascii="宋体" w:hAnsi="宋体"/>
        </w:rPr>
        <w:t>中震等效弹性分析结果，抗倾覆</w:t>
      </w:r>
      <w:r>
        <w:rPr>
          <w:rFonts w:hint="eastAsia" w:hAnsi="宋体"/>
          <w:shd w:val="clear" w:color="auto" w:fill="FFFFFF"/>
        </w:rPr>
        <w:t>稳定系数不宜小于</w:t>
      </w:r>
      <w:r>
        <w:rPr>
          <w:rFonts w:hAnsi="宋体"/>
          <w:shd w:val="clear" w:color="auto" w:fill="FFFFFF"/>
        </w:rPr>
        <w:t>2.0</w:t>
      </w:r>
      <w:r>
        <w:rPr>
          <w:rFonts w:hint="eastAsia" w:hAnsi="宋体"/>
          <w:shd w:val="clear" w:color="auto" w:fill="FFFFFF"/>
        </w:rPr>
        <w:t>，不应小于1</w:t>
      </w:r>
      <w:r>
        <w:rPr>
          <w:rFonts w:hAnsi="宋体"/>
          <w:shd w:val="clear" w:color="auto" w:fill="FFFFFF"/>
        </w:rPr>
        <w:t>.5</w:t>
      </w:r>
      <w:r>
        <w:rPr>
          <w:rFonts w:hint="eastAsia" w:hAnsi="宋体"/>
          <w:shd w:val="clear" w:color="auto" w:fill="FFFFFF"/>
        </w:rPr>
        <w:t>；</w:t>
      </w:r>
    </w:p>
    <w:p>
      <w:pPr>
        <w:shd w:val="clear" w:color="auto" w:fill="FFFFFF"/>
        <w:snapToGrid w:val="0"/>
        <w:spacing w:line="360" w:lineRule="auto"/>
        <w:ind w:firstLine="482"/>
        <w:rPr>
          <w:rFonts w:hAnsi="宋体"/>
          <w:shd w:val="clear" w:color="auto" w:fill="FFFFFF"/>
        </w:rPr>
      </w:pPr>
      <w:r>
        <w:rPr>
          <w:rFonts w:hint="eastAsia" w:hAnsi="宋体"/>
          <w:shd w:val="clear" w:color="auto" w:fill="FFFFFF"/>
        </w:rPr>
        <w:t>4</w:t>
      </w:r>
      <w:r>
        <w:rPr>
          <w:rFonts w:hAnsi="宋体"/>
          <w:shd w:val="clear" w:color="auto" w:fill="FFFFFF"/>
        </w:rPr>
        <w:t xml:space="preserve"> </w:t>
      </w:r>
      <w:r>
        <w:rPr>
          <w:rFonts w:hint="eastAsia" w:hAnsi="宋体"/>
          <w:shd w:val="clear" w:color="auto" w:fill="FFFFFF"/>
        </w:rPr>
        <w:t>基础底面与地基之间零应力区面积不宜超过基础底面积的2</w:t>
      </w:r>
      <w:r>
        <w:rPr>
          <w:rFonts w:hAnsi="宋体"/>
          <w:shd w:val="clear" w:color="auto" w:fill="FFFFFF"/>
        </w:rPr>
        <w:t>0%</w:t>
      </w:r>
      <w:r>
        <w:rPr>
          <w:rFonts w:hint="eastAsia" w:hAnsi="宋体"/>
          <w:shd w:val="clear" w:color="auto" w:fill="FFFFFF"/>
        </w:rPr>
        <w:t>。</w:t>
      </w:r>
    </w:p>
    <w:p>
      <w:pPr>
        <w:shd w:val="clear" w:color="auto" w:fill="FFFFFF"/>
        <w:snapToGrid w:val="0"/>
        <w:spacing w:line="360" w:lineRule="auto"/>
        <w:ind w:firstLine="482"/>
        <w:rPr>
          <w:bCs/>
          <w:kern w:val="0"/>
        </w:rPr>
      </w:pPr>
      <w:r>
        <w:rPr>
          <w:rFonts w:hint="eastAsia" w:eastAsia="等线"/>
          <w:b/>
          <w:bCs/>
        </w:rPr>
        <w:t>[条文说明]</w:t>
      </w:r>
      <w:r>
        <w:rPr>
          <w:rFonts w:hint="eastAsia" w:ascii="宋体" w:hAnsi="宋体"/>
        </w:rPr>
        <w:t xml:space="preserve"> </w:t>
      </w:r>
      <w:r>
        <w:rPr>
          <w:rFonts w:hint="eastAsia" w:hAnsi="宋体"/>
          <w:kern w:val="0"/>
        </w:rPr>
        <w:t>《高层建筑混凝土结构技术规程》</w:t>
      </w:r>
      <w:r>
        <w:rPr>
          <w:rFonts w:hint="eastAsia" w:ascii="宋体" w:hAnsi="宋体"/>
        </w:rPr>
        <w:t>J</w:t>
      </w:r>
      <w:r>
        <w:rPr>
          <w:rFonts w:ascii="宋体" w:hAnsi="宋体"/>
        </w:rPr>
        <w:t>GJ3</w:t>
      </w:r>
      <w:r>
        <w:rPr>
          <w:rFonts w:hint="eastAsia" w:ascii="宋体" w:hAnsi="宋体"/>
        </w:rPr>
        <w:t>对基础埋深的取值有许多限定条件，其实质是要满足地基承载力的要求。由于</w:t>
      </w:r>
      <w:r>
        <w:rPr>
          <w:rFonts w:hint="eastAsia"/>
          <w:shd w:val="clear" w:color="auto" w:fill="FFFFFF"/>
        </w:rPr>
        <w:t>中国现行规范地基基础抗震设计形式上是小震设计，实际以中震设防为目标，通过概念设计和采取必要的构造措施已可满足大震不倒的设防目标。对于车辆基地上盖这类基础埋深较浅，受水平力较大的高层、超高层建筑，当其基础埋深无法满足</w:t>
      </w:r>
      <w:r>
        <w:rPr>
          <w:rFonts w:hint="eastAsia" w:hAnsi="宋体"/>
          <w:kern w:val="0"/>
        </w:rPr>
        <w:t>《高层建筑混凝土结构技术规程》</w:t>
      </w:r>
      <w:r>
        <w:rPr>
          <w:rFonts w:hint="eastAsia"/>
          <w:shd w:val="clear" w:color="auto" w:fill="FFFFFF"/>
        </w:rPr>
        <w:t>JGJ3的相关限定条件时，有必要进行</w:t>
      </w:r>
      <w:r>
        <w:rPr>
          <w:rFonts w:hint="eastAsia"/>
          <w:bCs/>
          <w:kern w:val="0"/>
        </w:rPr>
        <w:t>设防烈度地震作用下的地基承载力验算。</w:t>
      </w:r>
    </w:p>
    <w:p>
      <w:pPr>
        <w:shd w:val="clear" w:color="auto" w:fill="FFFFFF"/>
        <w:snapToGrid w:val="0"/>
        <w:spacing w:line="360" w:lineRule="auto"/>
        <w:ind w:firstLine="482"/>
        <w:rPr>
          <w:bCs/>
          <w:kern w:val="0"/>
        </w:rPr>
      </w:pPr>
      <w:r>
        <w:rPr>
          <w:rFonts w:hint="eastAsia"/>
          <w:bCs/>
          <w:kern w:val="0"/>
        </w:rPr>
        <w:t>由于设防烈度地震作用下，允许结构在满足抗震性能目标的基础上有一定的损伤，耗散部分能量，因此中震基础承载力验算可以采用考虑性能设计后的地震作用进行复核，参照</w:t>
      </w:r>
      <w:r>
        <w:rPr>
          <w:rFonts w:hint="eastAsia" w:hAnsi="宋体"/>
          <w:szCs w:val="21"/>
        </w:rPr>
        <w:t>广东省标准《</w:t>
      </w:r>
      <w:r>
        <w:rPr>
          <w:rFonts w:hint="eastAsia" w:hAnsi="宋体"/>
        </w:rPr>
        <w:t>高层建筑混凝土结构技术规程</w:t>
      </w:r>
      <w:r>
        <w:rPr>
          <w:rFonts w:hint="eastAsia" w:hAnsi="宋体"/>
          <w:szCs w:val="21"/>
        </w:rPr>
        <w:t>》</w:t>
      </w:r>
      <w:r>
        <w:rPr>
          <w:rFonts w:hint="eastAsia"/>
          <w:bCs/>
          <w:kern w:val="0"/>
        </w:rPr>
        <w:t>DBJ</w:t>
      </w:r>
      <w:r>
        <w:rPr>
          <w:bCs/>
          <w:kern w:val="0"/>
        </w:rPr>
        <w:t>/T 15-92-2021</w:t>
      </w:r>
      <w:r>
        <w:rPr>
          <w:rFonts w:hint="eastAsia"/>
          <w:bCs/>
          <w:kern w:val="0"/>
        </w:rPr>
        <w:t>地基抗震承载力调整系数较小震组合提高约2</w:t>
      </w:r>
      <w:r>
        <w:rPr>
          <w:bCs/>
          <w:kern w:val="0"/>
        </w:rPr>
        <w:t>5%</w:t>
      </w:r>
      <w:r>
        <w:rPr>
          <w:rFonts w:hint="eastAsia"/>
          <w:bCs/>
          <w:kern w:val="0"/>
        </w:rPr>
        <w:t>（淤泥、淤泥质土等地基静承载力特征值小于8</w:t>
      </w:r>
      <w:r>
        <w:rPr>
          <w:bCs/>
          <w:kern w:val="0"/>
        </w:rPr>
        <w:t>0kpa</w:t>
      </w:r>
      <w:r>
        <w:rPr>
          <w:rFonts w:hint="eastAsia"/>
          <w:bCs/>
          <w:kern w:val="0"/>
        </w:rPr>
        <w:t>的软土除外），不超过地基的极限承载力。</w:t>
      </w:r>
    </w:p>
    <w:p>
      <w:pPr>
        <w:adjustRightInd w:val="0"/>
        <w:snapToGrid w:val="0"/>
        <w:spacing w:line="360" w:lineRule="auto"/>
        <w:ind w:firstLine="480"/>
        <w:rPr>
          <w:bCs/>
          <w:kern w:val="0"/>
        </w:rPr>
      </w:pPr>
      <w:r>
        <w:rPr>
          <w:rFonts w:hint="eastAsia" w:hAnsi="宋体"/>
          <w:szCs w:val="21"/>
        </w:rPr>
        <w:t>桩基水平承载力特征值取决于桩的材料强度、截面刚度、入土深度、土质条件、桩顶水平位移允许值和桩顶嵌固情况等因素，一般取单桩水平静载试验的临界荷载的75%作为单桩水平承载力特征值，因此可取该临界荷载100%作为单桩水平承载力弹性极限值，约为特征值的1.33倍，而设防烈度地震发生概率远小于小震，</w:t>
      </w:r>
      <w:r>
        <w:rPr>
          <w:rFonts w:hint="eastAsia"/>
          <w:bCs/>
          <w:kern w:val="0"/>
        </w:rPr>
        <w:t>抗震承载力调整系数较小震组合提高约2</w:t>
      </w:r>
      <w:r>
        <w:rPr>
          <w:bCs/>
          <w:kern w:val="0"/>
        </w:rPr>
        <w:t>5%</w:t>
      </w:r>
      <w:r>
        <w:rPr>
          <w:rFonts w:hint="eastAsia"/>
          <w:bCs/>
          <w:kern w:val="0"/>
        </w:rPr>
        <w:t>，取1</w:t>
      </w:r>
      <w:r>
        <w:rPr>
          <w:bCs/>
          <w:kern w:val="0"/>
        </w:rPr>
        <w:t>.7</w:t>
      </w:r>
      <w:r>
        <w:rPr>
          <w:rFonts w:hint="eastAsia" w:hAnsi="宋体"/>
        </w:rPr>
        <w:t>。</w:t>
      </w:r>
    </w:p>
    <w:p>
      <w:pPr>
        <w:shd w:val="clear" w:color="auto" w:fill="FFFFFF"/>
        <w:snapToGrid w:val="0"/>
        <w:spacing w:line="360" w:lineRule="auto"/>
        <w:ind w:firstLine="482"/>
        <w:rPr>
          <w:rFonts w:hAnsi="宋体"/>
          <w:shd w:val="clear" w:color="auto" w:fill="FFFFFF"/>
        </w:rPr>
      </w:pPr>
      <w:r>
        <w:rPr>
          <w:rFonts w:hint="eastAsia" w:hAnsi="宋体"/>
          <w:shd w:val="clear" w:color="auto" w:fill="FFFFFF"/>
        </w:rPr>
        <w:t>通过抗倾覆验算基本可以控制基底压应力不超过地基承载力的极限，同时也</w:t>
      </w:r>
      <w:r>
        <w:rPr>
          <w:rFonts w:hAnsi="宋体"/>
          <w:shd w:val="clear" w:color="auto" w:fill="FFFFFF"/>
        </w:rPr>
        <w:t>可</w:t>
      </w:r>
      <w:r>
        <w:rPr>
          <w:rFonts w:hint="eastAsia" w:hAnsi="宋体"/>
          <w:shd w:val="clear" w:color="auto" w:fill="FFFFFF"/>
        </w:rPr>
        <w:t>控制应力较小一端的应力状态。</w:t>
      </w:r>
    </w:p>
    <w:p>
      <w:pPr>
        <w:shd w:val="clear" w:color="auto" w:fill="FFFFFF"/>
        <w:snapToGrid w:val="0"/>
        <w:spacing w:line="360" w:lineRule="auto"/>
        <w:ind w:firstLine="480"/>
        <w:rPr>
          <w:rFonts w:hAnsi="宋体"/>
        </w:rPr>
      </w:pPr>
      <w:r>
        <w:rPr>
          <w:rFonts w:hint="eastAsia" w:hAnsi="宋体"/>
        </w:rPr>
        <w:t>根据</w:t>
      </w:r>
      <w:r>
        <w:rPr>
          <w:rFonts w:hint="eastAsia" w:hAnsi="宋体"/>
          <w:kern w:val="0"/>
        </w:rPr>
        <w:t>《高层建筑混凝土结构技术规程》</w:t>
      </w:r>
      <w:r>
        <w:rPr>
          <w:rFonts w:hint="eastAsia" w:hAnsi="宋体"/>
        </w:rPr>
        <w:t>JGJ3的相关背景资料《高层建筑混凝土结构技术规程理解与应用》（徐培福），高层建筑抗倾覆验算的假定是基础及地基均具有足够刚度，基底反力呈线性分布。得到基础底面零应力区比例与抗倾覆安全度的近似关系如下表所示：</w:t>
      </w:r>
    </w:p>
    <w:p>
      <w:pPr>
        <w:pStyle w:val="80"/>
        <w:ind w:firstLine="480"/>
      </w:pPr>
      <w:r>
        <w:rPr>
          <w:rFonts w:hint="eastAsia"/>
        </w:rPr>
        <w:t>表</w:t>
      </w:r>
      <w:r>
        <w:t xml:space="preserve">3  </w:t>
      </w:r>
      <w:r>
        <w:rPr>
          <w:rFonts w:hint="eastAsia"/>
        </w:rPr>
        <w:t>基础底面零应力区与结构整体倾覆</w:t>
      </w:r>
    </w:p>
    <w:tbl>
      <w:tblPr>
        <w:tblStyle w:val="38"/>
        <w:tblW w:w="82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92"/>
        <w:gridCol w:w="1607"/>
        <w:gridCol w:w="1550"/>
        <w:gridCol w:w="1167"/>
        <w:gridCol w:w="1350"/>
        <w:gridCol w:w="13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292" w:type="dxa"/>
            <w:vAlign w:val="center"/>
          </w:tcPr>
          <w:p>
            <w:pPr>
              <w:pStyle w:val="79"/>
            </w:pPr>
            <w:r>
              <w:rPr>
                <w:rFonts w:hint="eastAsia"/>
              </w:rPr>
              <w:t>抗倾覆安全度</w:t>
            </w:r>
          </w:p>
        </w:tc>
        <w:tc>
          <w:tcPr>
            <w:tcW w:w="1607" w:type="dxa"/>
            <w:vAlign w:val="center"/>
          </w:tcPr>
          <w:p>
            <w:pPr>
              <w:pStyle w:val="79"/>
            </w:pPr>
            <w:r>
              <w:rPr>
                <w:rFonts w:hint="eastAsia"/>
              </w:rPr>
              <w:t>3</w:t>
            </w:r>
            <w:r>
              <w:t>.0</w:t>
            </w:r>
          </w:p>
        </w:tc>
        <w:tc>
          <w:tcPr>
            <w:tcW w:w="1550" w:type="dxa"/>
            <w:vAlign w:val="center"/>
          </w:tcPr>
          <w:p>
            <w:pPr>
              <w:pStyle w:val="79"/>
            </w:pPr>
            <w:r>
              <w:rPr>
                <w:rFonts w:hint="eastAsia"/>
              </w:rPr>
              <w:t>2</w:t>
            </w:r>
            <w:r>
              <w:t>.308</w:t>
            </w:r>
          </w:p>
        </w:tc>
        <w:tc>
          <w:tcPr>
            <w:tcW w:w="1167" w:type="dxa"/>
            <w:vAlign w:val="center"/>
          </w:tcPr>
          <w:p>
            <w:pPr>
              <w:pStyle w:val="79"/>
            </w:pPr>
            <w:r>
              <w:rPr>
                <w:rFonts w:hint="eastAsia"/>
              </w:rPr>
              <w:t>1</w:t>
            </w:r>
            <w:r>
              <w:t>.5</w:t>
            </w:r>
          </w:p>
        </w:tc>
        <w:tc>
          <w:tcPr>
            <w:tcW w:w="1350" w:type="dxa"/>
            <w:vAlign w:val="center"/>
          </w:tcPr>
          <w:p>
            <w:pPr>
              <w:pStyle w:val="79"/>
            </w:pPr>
            <w:r>
              <w:rPr>
                <w:rFonts w:hint="eastAsia"/>
              </w:rPr>
              <w:t>1</w:t>
            </w:r>
            <w:r>
              <w:t>.3</w:t>
            </w:r>
          </w:p>
        </w:tc>
        <w:tc>
          <w:tcPr>
            <w:tcW w:w="1330" w:type="dxa"/>
            <w:vAlign w:val="center"/>
          </w:tcPr>
          <w:p>
            <w:pPr>
              <w:pStyle w:val="79"/>
            </w:pPr>
            <w:r>
              <w:rPr>
                <w:rFonts w:hint="eastAsia"/>
              </w:rPr>
              <w:t>1</w:t>
            </w:r>
            <w: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292" w:type="dxa"/>
            <w:vAlign w:val="center"/>
          </w:tcPr>
          <w:p>
            <w:pPr>
              <w:pStyle w:val="79"/>
            </w:pPr>
            <w:r>
              <w:rPr>
                <w:rFonts w:hint="eastAsia"/>
              </w:rPr>
              <w:t>零应力区比例</w:t>
            </w:r>
          </w:p>
        </w:tc>
        <w:tc>
          <w:tcPr>
            <w:tcW w:w="1607" w:type="dxa"/>
            <w:vAlign w:val="center"/>
          </w:tcPr>
          <w:p>
            <w:pPr>
              <w:pStyle w:val="79"/>
            </w:pPr>
            <w:r>
              <w:rPr>
                <w:rFonts w:hint="eastAsia"/>
              </w:rPr>
              <w:t>0（全截面受压）</w:t>
            </w:r>
          </w:p>
        </w:tc>
        <w:tc>
          <w:tcPr>
            <w:tcW w:w="1550" w:type="dxa"/>
            <w:vAlign w:val="center"/>
          </w:tcPr>
          <w:p>
            <w:pPr>
              <w:pStyle w:val="79"/>
            </w:pPr>
            <w:r>
              <w:rPr>
                <w:rFonts w:hint="eastAsia"/>
              </w:rPr>
              <w:t>1</w:t>
            </w:r>
            <w:r>
              <w:t>5%</w:t>
            </w:r>
          </w:p>
        </w:tc>
        <w:tc>
          <w:tcPr>
            <w:tcW w:w="1167" w:type="dxa"/>
            <w:vAlign w:val="center"/>
          </w:tcPr>
          <w:p>
            <w:pPr>
              <w:pStyle w:val="79"/>
            </w:pPr>
            <w:r>
              <w:rPr>
                <w:rFonts w:hint="eastAsia"/>
              </w:rPr>
              <w:t>5</w:t>
            </w:r>
            <w:r>
              <w:t>0%</w:t>
            </w:r>
          </w:p>
        </w:tc>
        <w:tc>
          <w:tcPr>
            <w:tcW w:w="1350" w:type="dxa"/>
            <w:vAlign w:val="center"/>
          </w:tcPr>
          <w:p>
            <w:pPr>
              <w:pStyle w:val="79"/>
            </w:pPr>
            <w:r>
              <w:rPr>
                <w:rFonts w:hint="eastAsia"/>
              </w:rPr>
              <w:t>6</w:t>
            </w:r>
            <w:r>
              <w:t>5.4%</w:t>
            </w:r>
          </w:p>
        </w:tc>
        <w:tc>
          <w:tcPr>
            <w:tcW w:w="1330" w:type="dxa"/>
            <w:vAlign w:val="center"/>
          </w:tcPr>
          <w:p>
            <w:pPr>
              <w:pStyle w:val="79"/>
            </w:pPr>
            <w:r>
              <w:rPr>
                <w:rFonts w:hint="eastAsia"/>
              </w:rPr>
              <w:t>1</w:t>
            </w:r>
            <w:r>
              <w:t>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292" w:type="dxa"/>
            <w:vAlign w:val="center"/>
          </w:tcPr>
          <w:p>
            <w:pPr>
              <w:pStyle w:val="79"/>
            </w:pPr>
            <w:r>
              <w:rPr>
                <w:rFonts w:hint="eastAsia"/>
              </w:rPr>
              <w:t>备注</w:t>
            </w:r>
          </w:p>
        </w:tc>
        <w:tc>
          <w:tcPr>
            <w:tcW w:w="1607" w:type="dxa"/>
            <w:vAlign w:val="center"/>
          </w:tcPr>
          <w:p>
            <w:pPr>
              <w:pStyle w:val="79"/>
            </w:pPr>
            <m:oMathPara>
              <m:oMath>
                <m:r>
                  <w:rPr>
                    <w:rFonts w:ascii="Cambria Math" w:hAnsi="Cambria Math"/>
                  </w:rPr>
                  <m:t xml:space="preserve">(H</m:t>
                </m:r>
                <m:r>
                  <w:rPr>
                    <w:rFonts w:ascii="Cambria Math" w:eastAsia="微软雅黑" w:hAnsi="Cambria Math" w:cs="微软雅黑" w:hint="eastAsia"/>
                  </w:rPr>
                  <m:t xml:space="preserve">⁄</m:t>
                </m:r>
                <m:r>
                  <w:rPr>
                    <w:rFonts w:ascii="Cambria Math" w:hAnsi="Cambria Math"/>
                  </w:rPr>
                  <m:t xml:space="preserve">B&gt;4</m:t>
                </m:r>
                <m:r>
                  <w:rPr>
                    <w:rFonts w:ascii="Cambria Math" w:hAnsi="Cambria Math" w:hint="eastAsia"/>
                  </w:rPr>
                  <m:t xml:space="preserve">高层建筑</m:t>
                </m:r>
                <m:r>
                  <w:rPr>
                    <w:rFonts w:ascii="Cambria Math" w:hAnsi="Cambria Math"/>
                  </w:rPr>
                  <m:t xml:space="preserve">)</m:t>
                </m:r>
              </m:oMath>
            </m:oMathPara>
          </w:p>
          <w:p>
            <w:pPr>
              <w:pStyle w:val="79"/>
            </w:pPr>
            <w:r>
              <w:rPr>
                <w:rFonts w:hint="eastAsia"/>
              </w:rPr>
              <w:t>JGJ</w:t>
            </w:r>
            <w:r>
              <w:t xml:space="preserve"> </w:t>
            </w:r>
            <w:r>
              <w:rPr>
                <w:rFonts w:hint="eastAsia"/>
              </w:rPr>
              <w:t>3—2</w:t>
            </w:r>
            <w:r>
              <w:t>002</w:t>
            </w:r>
            <w:r>
              <w:rPr>
                <w:rFonts w:hint="eastAsia"/>
              </w:rPr>
              <w:t>规定值</w:t>
            </w:r>
          </w:p>
        </w:tc>
        <w:tc>
          <w:tcPr>
            <w:tcW w:w="1550" w:type="dxa"/>
            <w:vAlign w:val="center"/>
          </w:tcPr>
          <w:p>
            <w:pPr>
              <w:pStyle w:val="79"/>
            </w:pPr>
            <m:oMathPara>
              <m:oMath>
                <m:d>
                  <m:dPr>
                    <m:ctrlPr>
                      <w:rPr>
                        <w:rFonts w:ascii="Cambria Math" w:hAnsi="Cambria Math"/>
                        <w:i/>
                      </w:rPr>
                    </m:ctrlPr>
                  </m:dPr>
                  <m:e>
                    <m:f>
                      <m:fPr>
                        <m:type m:val="lin"/>
                        <m:ctrlPr>
                          <w:rPr>
                            <w:rFonts w:ascii="Cambria Math" w:hAnsi="Cambria Math"/>
                            <w:i/>
                          </w:rPr>
                        </m:ctrlPr>
                      </m:fPr>
                      <m:num>
                        <m:r>
                          <w:rPr>
                            <w:rFonts w:ascii="Cambria Math" w:hAnsi="Cambria Math"/>
                          </w:rPr>
                          <m:t xml:space="preserve">H</m:t>
                        </m:r>
                      </m:num>
                      <m:den>
                        <m:r>
                          <w:rPr>
                            <w:rFonts w:ascii="Cambria Math" w:hAnsi="Cambria Math"/>
                          </w:rPr>
                          <m:t xml:space="preserve">B</m:t>
                        </m:r>
                      </m:den>
                    </m:f>
                    <m:r>
                      <w:rPr>
                        <w:rFonts w:ascii="Cambria Math" w:hAnsi="Cambria Math"/>
                      </w:rPr>
                      <m:t xml:space="preserve">≤4</m:t>
                    </m:r>
                    <m:r>
                      <w:rPr>
                        <w:rFonts w:ascii="Cambria Math" w:hAnsi="Cambria Math" w:hint="eastAsia"/>
                      </w:rPr>
                      <m:t xml:space="preserve">高层建筑</m:t>
                    </m:r>
                  </m:e>
                </m:d>
              </m:oMath>
            </m:oMathPara>
          </w:p>
          <w:p>
            <w:pPr>
              <w:pStyle w:val="79"/>
            </w:pPr>
            <w:r>
              <w:rPr>
                <w:rFonts w:hint="eastAsia"/>
              </w:rPr>
              <w:t>JGJ</w:t>
            </w:r>
            <w:r>
              <w:t xml:space="preserve"> </w:t>
            </w:r>
            <w:r>
              <w:rPr>
                <w:rFonts w:hint="eastAsia"/>
              </w:rPr>
              <w:t>3—2</w:t>
            </w:r>
            <w:r>
              <w:t>002</w:t>
            </w:r>
            <w:r>
              <w:rPr>
                <w:rFonts w:hint="eastAsia"/>
              </w:rPr>
              <w:t>规定值</w:t>
            </w:r>
          </w:p>
        </w:tc>
        <w:tc>
          <w:tcPr>
            <w:tcW w:w="1167" w:type="dxa"/>
            <w:vAlign w:val="center"/>
          </w:tcPr>
          <w:p>
            <w:pPr>
              <w:pStyle w:val="79"/>
            </w:pPr>
            <w:r>
              <w:rPr>
                <w:rFonts w:hint="eastAsia"/>
              </w:rPr>
              <w:t>JZ</w:t>
            </w:r>
            <w:r>
              <w:t xml:space="preserve"> 102—79</w:t>
            </w:r>
          </w:p>
          <w:p>
            <w:pPr>
              <w:pStyle w:val="79"/>
            </w:pPr>
            <w:r>
              <w:rPr>
                <w:rFonts w:hint="eastAsia"/>
              </w:rPr>
              <w:t>规定值</w:t>
            </w:r>
          </w:p>
        </w:tc>
        <w:tc>
          <w:tcPr>
            <w:tcW w:w="1350" w:type="dxa"/>
            <w:vAlign w:val="center"/>
          </w:tcPr>
          <w:p>
            <w:pPr>
              <w:pStyle w:val="79"/>
            </w:pPr>
            <w:r>
              <w:rPr>
                <w:rFonts w:hint="eastAsia"/>
              </w:rPr>
              <w:t>JGJ</w:t>
            </w:r>
            <w:r>
              <w:t xml:space="preserve"> 3—91</w:t>
            </w:r>
          </w:p>
          <w:p>
            <w:pPr>
              <w:pStyle w:val="79"/>
            </w:pPr>
            <w:r>
              <w:rPr>
                <w:rFonts w:hint="eastAsia"/>
              </w:rPr>
              <w:t>规定值</w:t>
            </w:r>
          </w:p>
        </w:tc>
        <w:tc>
          <w:tcPr>
            <w:tcW w:w="1330" w:type="dxa"/>
            <w:vAlign w:val="center"/>
          </w:tcPr>
          <w:p>
            <w:pPr>
              <w:pStyle w:val="79"/>
            </w:pPr>
            <w:r>
              <w:rPr>
                <w:rFonts w:hint="eastAsia"/>
              </w:rPr>
              <w:t>基址点临界平衡</w:t>
            </w:r>
          </w:p>
        </w:tc>
      </w:tr>
      <w:bookmarkEnd w:id="146"/>
    </w:tbl>
    <w:p>
      <w:pPr>
        <w:shd w:val="clear" w:color="auto" w:fill="FFFFFF"/>
        <w:snapToGrid w:val="0"/>
        <w:spacing w:line="360" w:lineRule="auto"/>
        <w:ind w:firstLine="482"/>
        <w:rPr>
          <w:rFonts w:hAnsi="宋体"/>
          <w:shd w:val="clear" w:color="auto" w:fill="FFFFFF"/>
        </w:rPr>
      </w:pPr>
    </w:p>
    <w:p>
      <w:pPr>
        <w:shd w:val="clear" w:color="auto" w:fill="FFFFFF"/>
        <w:snapToGrid w:val="0"/>
        <w:spacing w:line="360" w:lineRule="auto"/>
        <w:ind w:firstLine="482"/>
        <w:rPr>
          <w:rFonts w:hAnsi="宋体"/>
          <w:shd w:val="clear" w:color="auto" w:fill="FFFFFF"/>
        </w:rPr>
      </w:pPr>
      <w:r>
        <w:rPr>
          <w:b/>
          <w:kern w:val="0"/>
        </w:rPr>
        <w:t>7.0.4</w:t>
      </w:r>
      <w:r>
        <w:rPr>
          <w:rFonts w:hint="eastAsia" w:hAnsi="宋体"/>
          <w:shd w:val="clear" w:color="auto" w:fill="FFFFFF"/>
        </w:rPr>
        <w:t>地基抗滑移稳定性验算应在确定地基破坏模式的基础上进行，可根据地基岩土特性采用圆弧滑动面法或平面滑动法。最危险的滑动面上的抗力与作用之比应符合下式要求：</w:t>
      </w:r>
    </w:p>
    <w:p>
      <w:pPr>
        <w:shd w:val="clear" w:color="auto" w:fill="FFFFFF"/>
        <w:snapToGrid w:val="0"/>
        <w:spacing w:line="360" w:lineRule="auto"/>
        <w:ind w:firstLine="480"/>
        <w:jc w:val="right"/>
        <w:rPr>
          <w:rFonts w:hAnsi="宋体"/>
          <w:shd w:val="clear" w:color="auto" w:fill="FFFFFF"/>
        </w:rPr>
      </w:pPr>
      <m:oMath>
        <m:f>
          <m:fPr>
            <m:type m:val="lin"/>
            <m:ctrlPr>
              <w:rPr>
                <w:rFonts w:ascii="Cambria Math" w:hAnsi="Cambria Math"/>
                <w:i/>
                <w:shd w:val="clear" w:color="auto" w:fill="FFFFFF"/>
              </w:rPr>
            </m:ctrlPr>
          </m:fPr>
          <m:num>
            <m:sSub>
              <m:sSubPr>
                <m:ctrlPr>
                  <w:rPr>
                    <w:rFonts w:ascii="Cambria Math" w:hAnsi="Cambria Math"/>
                    <w:i/>
                    <w:shd w:val="clear" w:color="auto" w:fill="FFFFFF"/>
                  </w:rPr>
                </m:ctrlPr>
              </m:sSubPr>
              <m:e>
                <m:r>
                  <w:rPr>
                    <w:rFonts w:ascii="Cambria Math" w:hAnsi="Cambria Math"/>
                    <w:shd w:val="clear" w:color="auto" w:fill="FFFFFF"/>
                  </w:rPr>
                  <m:t xml:space="preserve">R</m:t>
                </m:r>
              </m:e>
              <m:sub>
                <m:r>
                  <w:rPr>
                    <w:rFonts w:ascii="Cambria Math" w:hAnsi="Cambria Math"/>
                    <w:shd w:val="clear" w:color="auto" w:fill="FFFFFF"/>
                  </w:rPr>
                  <m:t xml:space="preserve">s</m:t>
                </m:r>
              </m:sub>
            </m:sSub>
          </m:num>
          <m:den>
            <m:sSub>
              <m:sSubPr>
                <m:ctrlPr>
                  <w:rPr>
                    <w:rFonts w:ascii="Cambria Math" w:hAnsi="Cambria Math"/>
                    <w:i/>
                    <w:shd w:val="clear" w:color="auto" w:fill="FFFFFF"/>
                  </w:rPr>
                </m:ctrlPr>
              </m:sSubPr>
              <m:e>
                <m:r>
                  <w:rPr>
                    <w:rFonts w:ascii="Cambria Math" w:hAnsi="Cambria Math"/>
                    <w:shd w:val="clear" w:color="auto" w:fill="FFFFFF"/>
                  </w:rPr>
                  <m:t xml:space="preserve">S</m:t>
                </m:r>
              </m:e>
              <m:sub>
                <m:r>
                  <w:rPr>
                    <w:rFonts w:ascii="Cambria Math" w:hAnsi="Cambria Math"/>
                    <w:shd w:val="clear" w:color="auto" w:fill="FFFFFF"/>
                  </w:rPr>
                  <m:t xml:space="preserve">s</m:t>
                </m:r>
              </m:sub>
            </m:sSub>
            <m:r>
              <w:rPr>
                <w:rFonts w:ascii="Cambria Math" w:hAnsi="Cambria Math"/>
                <w:shd w:val="clear" w:color="auto" w:fill="FFFFFF"/>
              </w:rPr>
              <m:t xml:space="preserve">≥</m:t>
            </m:r>
            <m:sSub>
              <m:sSubPr>
                <m:ctrlPr>
                  <w:rPr>
                    <w:rFonts w:ascii="Cambria Math" w:hAnsi="Cambria Math"/>
                    <w:i/>
                    <w:shd w:val="clear" w:color="auto" w:fill="FFFFFF"/>
                  </w:rPr>
                </m:ctrlPr>
              </m:sSubPr>
              <m:e>
                <m:r>
                  <w:rPr>
                    <w:rFonts w:ascii="Cambria Math" w:hAnsi="Cambria Math"/>
                    <w:shd w:val="clear" w:color="auto" w:fill="FFFFFF"/>
                  </w:rPr>
                  <m:t xml:space="preserve">K</m:t>
                </m:r>
              </m:e>
              <m:sub>
                <m:r>
                  <w:rPr>
                    <w:rFonts w:ascii="Cambria Math" w:hAnsi="Cambria Math"/>
                    <w:shd w:val="clear" w:color="auto" w:fill="FFFFFF"/>
                  </w:rPr>
                  <m:t xml:space="preserve">s</m:t>
                </m:r>
              </m:sub>
            </m:sSub>
          </m:den>
        </m:f>
      </m:oMath>
      <w:r>
        <w:rPr>
          <w:rFonts w:hint="eastAsia" w:hAnsi="宋体"/>
          <w:shd w:val="clear" w:color="auto" w:fill="FFFFFF"/>
        </w:rPr>
        <w:t xml:space="preserve"> </w:t>
      </w:r>
      <w:r>
        <w:rPr>
          <w:rFonts w:hAnsi="宋体"/>
          <w:shd w:val="clear" w:color="auto" w:fill="FFFFFF"/>
        </w:rPr>
        <w:t xml:space="preserve">                                  </w:t>
      </w:r>
      <w:r>
        <w:rPr>
          <w:rFonts w:hint="eastAsia" w:hAnsi="宋体"/>
          <w:shd w:val="clear" w:color="auto" w:fill="FFFFFF"/>
        </w:rPr>
        <w:t>（</w:t>
      </w:r>
      <w:r>
        <w:rPr>
          <w:rFonts w:hAnsi="宋体"/>
          <w:shd w:val="clear" w:color="auto" w:fill="FFFFFF"/>
        </w:rPr>
        <w:t>7.0.4</w:t>
      </w:r>
      <w:r>
        <w:rPr>
          <w:rFonts w:hint="eastAsia" w:hAnsi="宋体"/>
          <w:shd w:val="clear" w:color="auto" w:fill="FFFFFF"/>
        </w:rPr>
        <w:t>）</w:t>
      </w:r>
    </w:p>
    <w:p>
      <w:pPr>
        <w:shd w:val="clear" w:color="auto" w:fill="FFFFFF"/>
        <w:snapToGrid w:val="0"/>
        <w:spacing w:line="360" w:lineRule="auto"/>
        <w:ind w:firstLine="480"/>
        <w:jc w:val="left"/>
        <w:rPr>
          <w:rFonts w:hAnsi="宋体"/>
          <w:shd w:val="clear" w:color="auto" w:fill="FFFFFF"/>
        </w:rPr>
      </w:pPr>
      <w:r>
        <w:rPr>
          <w:rFonts w:hint="eastAsia" w:hAnsi="宋体"/>
          <w:shd w:val="clear" w:color="auto" w:fill="FFFFFF"/>
        </w:rPr>
        <w:t>式中：</w:t>
      </w:r>
      <m:oMath>
        <m:sSub>
          <m:sSubPr>
            <m:ctrlPr>
              <w:rPr>
                <w:rFonts w:ascii="Cambria Math" w:hAnsi="Cambria Math"/>
                <w:i/>
                <w:shd w:val="clear" w:color="auto" w:fill="FFFFFF"/>
              </w:rPr>
            </m:ctrlPr>
          </m:sSubPr>
          <m:e>
            <m:r>
              <w:rPr>
                <w:rFonts w:ascii="Cambria Math" w:hAnsi="Cambria Math"/>
                <w:shd w:val="clear" w:color="auto" w:fill="FFFFFF"/>
              </w:rPr>
              <m:t xml:space="preserve">S</m:t>
            </m:r>
          </m:e>
          <m:sub>
            <m:r>
              <w:rPr>
                <w:rFonts w:ascii="Cambria Math" w:hAnsi="Cambria Math"/>
                <w:shd w:val="clear" w:color="auto" w:fill="FFFFFF"/>
              </w:rPr>
              <m:t xml:space="preserve">s</m:t>
            </m:r>
          </m:sub>
        </m:sSub>
      </m:oMath>
      <w:r>
        <w:rPr>
          <w:rFonts w:hint="eastAsia" w:hAnsi="宋体"/>
          <w:shd w:val="clear" w:color="auto" w:fill="FFFFFF"/>
        </w:rPr>
        <w:t>——滑移力（</w:t>
      </w:r>
      <m:oMath>
        <m:r>
          <w:rPr>
            <w:rFonts w:ascii="Cambria Math" w:hAnsi="Cambria Math" w:hint="eastAsia"/>
            <w:shd w:val="clear" w:color="auto" w:fill="FFFFFF"/>
          </w:rPr>
          <m:t xml:space="preserve">kN</m:t>
        </m:r>
      </m:oMath>
      <w:r>
        <w:rPr>
          <w:rFonts w:hint="eastAsia" w:hAnsi="宋体"/>
          <w:shd w:val="clear" w:color="auto" w:fill="FFFFFF"/>
        </w:rPr>
        <w:t>）或滑动力矩（</w:t>
      </w:r>
      <m:oMath>
        <m:r>
          <w:rPr>
            <w:rFonts w:ascii="Cambria Math" w:hAnsi="Cambria Math" w:hint="eastAsia"/>
            <w:shd w:val="clear" w:color="auto" w:fill="FFFFFF"/>
          </w:rPr>
          <m:t xml:space="preserve">kN</m:t>
        </m:r>
        <m:r>
          <w:rPr>
            <w:rFonts w:ascii="Cambria Math" w:hAnsi="Cambria Math"/>
            <w:shd w:val="clear" w:color="auto" w:fill="FFFFFF"/>
          </w:rPr>
          <m:t xml:space="preserve">·m</m:t>
        </m:r>
      </m:oMath>
      <w:r>
        <w:rPr>
          <w:rFonts w:hint="eastAsia" w:hAnsi="宋体"/>
          <w:shd w:val="clear" w:color="auto" w:fill="FFFFFF"/>
        </w:rPr>
        <w:t>）；</w:t>
      </w:r>
    </w:p>
    <w:p>
      <w:pPr>
        <w:shd w:val="clear" w:color="auto" w:fill="FFFFFF"/>
        <w:snapToGrid w:val="0"/>
        <w:spacing w:line="360" w:lineRule="auto"/>
        <w:ind w:firstLine="480"/>
        <w:jc w:val="left"/>
        <w:rPr>
          <w:rFonts w:hAnsi="宋体"/>
          <w:shd w:val="clear" w:color="auto" w:fill="FFFFFF"/>
        </w:rPr>
      </w:pPr>
      <w:r>
        <w:rPr>
          <w:rFonts w:hAnsi="宋体"/>
          <w:shd w:val="clear" w:color="auto" w:fill="FFFFFF"/>
        </w:rPr>
        <w:t xml:space="preserve">      </w:t>
      </w:r>
      <m:oMath>
        <m:sSub>
          <m:sSubPr>
            <m:ctrlPr>
              <w:rPr>
                <w:rFonts w:ascii="Cambria Math" w:hAnsi="Cambria Math"/>
                <w:i/>
                <w:shd w:val="clear" w:color="auto" w:fill="FFFFFF"/>
              </w:rPr>
            </m:ctrlPr>
          </m:sSubPr>
          <m:e>
            <m:r>
              <w:rPr>
                <w:rFonts w:ascii="Cambria Math" w:hAnsi="Cambria Math"/>
                <w:shd w:val="clear" w:color="auto" w:fill="FFFFFF"/>
              </w:rPr>
              <m:t xml:space="preserve">R</m:t>
            </m:r>
          </m:e>
          <m:sub>
            <m:r>
              <w:rPr>
                <w:rFonts w:ascii="Cambria Math" w:hAnsi="Cambria Math"/>
                <w:shd w:val="clear" w:color="auto" w:fill="FFFFFF"/>
              </w:rPr>
              <m:t xml:space="preserve">s</m:t>
            </m:r>
          </m:sub>
        </m:sSub>
      </m:oMath>
      <w:r>
        <w:rPr>
          <w:rFonts w:hint="eastAsia" w:hAnsi="宋体"/>
          <w:shd w:val="clear" w:color="auto" w:fill="FFFFFF"/>
        </w:rPr>
        <w:t>——抗滑力（</w:t>
      </w:r>
      <m:oMath>
        <m:r>
          <w:rPr>
            <w:rFonts w:ascii="Cambria Math" w:hAnsi="Cambria Math" w:hint="eastAsia"/>
            <w:shd w:val="clear" w:color="auto" w:fill="FFFFFF"/>
          </w:rPr>
          <m:t xml:space="preserve">kN</m:t>
        </m:r>
      </m:oMath>
      <w:r>
        <w:rPr>
          <w:rFonts w:hint="eastAsia" w:hAnsi="宋体"/>
          <w:shd w:val="clear" w:color="auto" w:fill="FFFFFF"/>
        </w:rPr>
        <w:t>）或抗滑力矩（</w:t>
      </w:r>
      <m:oMath>
        <m:r>
          <w:rPr>
            <w:rFonts w:ascii="Cambria Math" w:hAnsi="Cambria Math" w:hint="eastAsia"/>
            <w:shd w:val="clear" w:color="auto" w:fill="FFFFFF"/>
          </w:rPr>
          <m:t xml:space="preserve">kN</m:t>
        </m:r>
        <m:r>
          <w:rPr>
            <w:rFonts w:ascii="Cambria Math" w:hAnsi="Cambria Math"/>
            <w:shd w:val="clear" w:color="auto" w:fill="FFFFFF"/>
          </w:rPr>
          <m:t xml:space="preserve">·m</m:t>
        </m:r>
      </m:oMath>
      <w:r>
        <w:rPr>
          <w:rFonts w:hint="eastAsia" w:hAnsi="宋体"/>
          <w:shd w:val="clear" w:color="auto" w:fill="FFFFFF"/>
        </w:rPr>
        <w:t>）。</w:t>
      </w:r>
    </w:p>
    <w:p>
      <w:pPr>
        <w:shd w:val="clear" w:color="auto" w:fill="FFFFFF"/>
        <w:snapToGrid w:val="0"/>
        <w:spacing w:line="360" w:lineRule="auto"/>
        <w:ind w:firstLine="480"/>
        <w:rPr>
          <w:rFonts w:hAnsi="宋体"/>
          <w:shd w:val="clear" w:color="auto" w:fill="FFFFFF"/>
        </w:rPr>
      </w:pPr>
      <w:r>
        <w:rPr>
          <w:rFonts w:hint="eastAsia" w:hAnsi="宋体"/>
          <w:shd w:val="clear" w:color="auto" w:fill="FFFFFF"/>
        </w:rPr>
        <w:t xml:space="preserve"> </w:t>
      </w:r>
      <w:r>
        <w:rPr>
          <w:rFonts w:hAnsi="宋体"/>
          <w:shd w:val="clear" w:color="auto" w:fill="FFFFFF"/>
        </w:rPr>
        <w:t xml:space="preserve">     </w:t>
      </w:r>
      <m:oMath>
        <m:sSub>
          <m:sSubPr>
            <m:ctrlPr>
              <w:rPr>
                <w:rFonts w:ascii="Cambria Math" w:hAnsi="Cambria Math"/>
                <w:i/>
                <w:shd w:val="clear" w:color="auto" w:fill="FFFFFF"/>
              </w:rPr>
            </m:ctrlPr>
          </m:sSubPr>
          <m:e>
            <m:r>
              <w:rPr>
                <w:rFonts w:ascii="Cambria Math" w:hAnsi="Cambria Math"/>
                <w:shd w:val="clear" w:color="auto" w:fill="FFFFFF"/>
              </w:rPr>
              <m:t xml:space="preserve">K</m:t>
            </m:r>
          </m:e>
          <m:sub>
            <m:r>
              <w:rPr>
                <w:rFonts w:ascii="Cambria Math" w:hAnsi="Cambria Math"/>
                <w:shd w:val="clear" w:color="auto" w:fill="FFFFFF"/>
              </w:rPr>
              <m:t xml:space="preserve">s</m:t>
            </m:r>
          </m:sub>
        </m:sSub>
      </m:oMath>
      <w:r>
        <w:rPr>
          <w:rFonts w:hAnsi="宋体"/>
          <w:shd w:val="clear" w:color="auto" w:fill="FFFFFF"/>
        </w:rPr>
        <w:t>—</w:t>
      </w:r>
      <w:r>
        <w:rPr>
          <w:rFonts w:hint="eastAsia" w:hAnsi="宋体"/>
          <w:shd w:val="clear" w:color="auto" w:fill="FFFFFF"/>
        </w:rPr>
        <w:t>抗滑移稳定安全系数，一般的，当滑动面为圆弧滑动面时，取1</w:t>
      </w:r>
      <w:r>
        <w:rPr>
          <w:rFonts w:hAnsi="宋体"/>
          <w:shd w:val="clear" w:color="auto" w:fill="FFFFFF"/>
        </w:rPr>
        <w:t>.2</w:t>
      </w:r>
      <w:r>
        <w:rPr>
          <w:rFonts w:hint="eastAsia" w:hAnsi="宋体"/>
          <w:shd w:val="clear" w:color="auto" w:fill="FFFFFF"/>
        </w:rPr>
        <w:t>；当滑动面为平面滑动面时，取1</w:t>
      </w:r>
      <w:r>
        <w:rPr>
          <w:rFonts w:hAnsi="宋体"/>
          <w:shd w:val="clear" w:color="auto" w:fill="FFFFFF"/>
        </w:rPr>
        <w:t>.3</w:t>
      </w:r>
      <w:r>
        <w:rPr>
          <w:rFonts w:hint="eastAsia" w:hAnsi="宋体"/>
          <w:shd w:val="clear" w:color="auto" w:fill="FFFFFF"/>
        </w:rPr>
        <w:t>；设防地震组合可取1</w:t>
      </w:r>
      <w:r>
        <w:rPr>
          <w:rFonts w:hAnsi="宋体"/>
          <w:shd w:val="clear" w:color="auto" w:fill="FFFFFF"/>
        </w:rPr>
        <w:t>.1</w:t>
      </w:r>
      <w:r>
        <w:rPr>
          <w:rFonts w:hint="eastAsia" w:hAnsi="宋体"/>
          <w:shd w:val="clear" w:color="auto" w:fill="FFFFFF"/>
        </w:rPr>
        <w:t>。</w:t>
      </w:r>
    </w:p>
    <w:p>
      <w:pPr>
        <w:shd w:val="clear" w:color="auto" w:fill="FFFFFF"/>
        <w:snapToGrid w:val="0"/>
        <w:spacing w:line="360" w:lineRule="auto"/>
        <w:ind w:firstLine="480"/>
        <w:rPr>
          <w:rFonts w:ascii="宋体" w:hAnsi="宋体"/>
        </w:rPr>
      </w:pPr>
      <w:r>
        <w:rPr>
          <w:rFonts w:hint="eastAsia" w:eastAsia="等线"/>
          <w:b/>
          <w:bCs/>
        </w:rPr>
        <w:t>[条文说明]</w:t>
      </w:r>
      <w:r>
        <w:rPr>
          <w:rFonts w:hint="eastAsia" w:ascii="宋体" w:hAnsi="宋体"/>
        </w:rPr>
        <w:t>不同土体破坏有不同的模式，不同破坏模式的计算假定不同，安全系数也不同。本标准稳定安全系数取值参考《深圳市地基基础勘察设计规范》SJG01的相关规定，当土体破坏模式设计假定与本标准不一致时，其安全系数应根据相应的破坏理论修正。</w:t>
      </w:r>
    </w:p>
    <w:p>
      <w:pPr>
        <w:shd w:val="clear" w:color="auto" w:fill="FFFFFF"/>
        <w:snapToGrid w:val="0"/>
        <w:spacing w:line="360" w:lineRule="auto"/>
        <w:ind w:firstLine="480"/>
        <w:rPr>
          <w:rFonts w:ascii="宋体" w:hAnsi="宋体"/>
        </w:rPr>
      </w:pPr>
      <w:r>
        <w:rPr>
          <w:rFonts w:hint="eastAsia" w:ascii="宋体" w:hAnsi="宋体"/>
        </w:rPr>
        <w:t>当地基可能出现平面滑动失稳时，抗滑力计算可考虑基底、地基梁等与土体的摩擦力，土对建筑物基底的摩擦系数取值，可通过试验或参考下表：</w:t>
      </w:r>
    </w:p>
    <w:p>
      <w:pPr>
        <w:pStyle w:val="80"/>
        <w:ind w:firstLine="480"/>
      </w:pPr>
      <w:r>
        <w:rPr>
          <w:rFonts w:hint="eastAsia"/>
        </w:rPr>
        <w:t>表</w:t>
      </w:r>
      <w:r>
        <w:t xml:space="preserve">4  </w:t>
      </w:r>
      <w:r>
        <w:rPr>
          <w:rFonts w:hint="eastAsia"/>
        </w:rPr>
        <w:t>岩土对基底的摩擦系数</w:t>
      </w:r>
    </w:p>
    <w:tbl>
      <w:tblPr>
        <w:tblStyle w:val="38"/>
        <w:tblW w:w="82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779"/>
        <w:gridCol w:w="2152"/>
        <w:gridCol w:w="336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4931" w:type="dxa"/>
            <w:gridSpan w:val="2"/>
          </w:tcPr>
          <w:p>
            <w:pPr>
              <w:pStyle w:val="79"/>
              <w:ind w:firstLine="480"/>
            </w:pPr>
            <w:r>
              <w:rPr>
                <w:rFonts w:hint="eastAsia"/>
              </w:rPr>
              <w:t>岩土类别</w:t>
            </w:r>
          </w:p>
        </w:tc>
        <w:tc>
          <w:tcPr>
            <w:tcW w:w="3365" w:type="dxa"/>
          </w:tcPr>
          <w:p>
            <w:pPr>
              <w:pStyle w:val="79"/>
              <w:ind w:firstLine="480"/>
            </w:pPr>
            <w:r>
              <w:rPr>
                <w:rFonts w:hint="eastAsia"/>
              </w:rPr>
              <w:t>摩擦系数</w:t>
            </w:r>
            <m:oMath>
              <m:r>
                <w:rPr>
                  <w:rFonts w:ascii="Cambria Math" w:hAnsi="Cambria Math"/>
                  <w:noProof/>
                </w:rPr>
                <m:t xml:space="preserve">μ</m:t>
              </m:r>
            </m:oMath>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2779" w:type="dxa"/>
            <w:vMerge w:val="restart"/>
            <w:vAlign w:val="center"/>
          </w:tcPr>
          <w:p>
            <w:pPr>
              <w:pStyle w:val="79"/>
              <w:ind w:firstLine="480"/>
            </w:pPr>
            <w:r>
              <w:rPr>
                <w:rFonts w:hint="eastAsia"/>
              </w:rPr>
              <w:t>黏性土</w:t>
            </w:r>
          </w:p>
        </w:tc>
        <w:tc>
          <w:tcPr>
            <w:tcW w:w="2152" w:type="dxa"/>
          </w:tcPr>
          <w:p>
            <w:pPr>
              <w:pStyle w:val="79"/>
              <w:ind w:firstLine="480"/>
            </w:pPr>
            <w:r>
              <w:rPr>
                <w:rFonts w:hint="eastAsia"/>
              </w:rPr>
              <w:t>可塑</w:t>
            </w:r>
          </w:p>
        </w:tc>
        <w:tc>
          <w:tcPr>
            <w:tcW w:w="3365" w:type="dxa"/>
          </w:tcPr>
          <w:p>
            <w:pPr>
              <w:pStyle w:val="79"/>
              <w:ind w:firstLine="480"/>
            </w:pPr>
            <w:r>
              <w:rPr>
                <w:rFonts w:hint="eastAsia"/>
              </w:rPr>
              <w:t>0</w:t>
            </w:r>
            <w:r>
              <w:t>.25</w:t>
            </w:r>
            <w:r>
              <w:rPr>
                <w:rFonts w:hint="eastAsia"/>
              </w:rPr>
              <w:t>～0</w:t>
            </w:r>
            <w: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2779" w:type="dxa"/>
            <w:vMerge w:val="continue"/>
          </w:tcPr>
          <w:p>
            <w:pPr>
              <w:pStyle w:val="79"/>
              <w:ind w:firstLine="480"/>
            </w:pPr>
          </w:p>
        </w:tc>
        <w:tc>
          <w:tcPr>
            <w:tcW w:w="2152" w:type="dxa"/>
          </w:tcPr>
          <w:p>
            <w:pPr>
              <w:pStyle w:val="79"/>
              <w:ind w:firstLine="480"/>
            </w:pPr>
            <w:r>
              <w:rPr>
                <w:rFonts w:hint="eastAsia"/>
              </w:rPr>
              <w:t>硬塑</w:t>
            </w:r>
          </w:p>
        </w:tc>
        <w:tc>
          <w:tcPr>
            <w:tcW w:w="3365" w:type="dxa"/>
          </w:tcPr>
          <w:p>
            <w:pPr>
              <w:pStyle w:val="79"/>
              <w:ind w:firstLine="480"/>
            </w:pPr>
            <w:r>
              <w:rPr>
                <w:rFonts w:hint="eastAsia"/>
              </w:rPr>
              <w:t>0</w:t>
            </w:r>
            <w:r>
              <w:t>.30</w:t>
            </w:r>
            <w:r>
              <w:rPr>
                <w:rFonts w:hint="eastAsia"/>
              </w:rPr>
              <w:t>～0</w:t>
            </w:r>
            <w:r>
              <w:t>.35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2779" w:type="dxa"/>
            <w:vMerge w:val="continue"/>
          </w:tcPr>
          <w:p>
            <w:pPr>
              <w:pStyle w:val="79"/>
              <w:ind w:firstLine="480"/>
            </w:pPr>
          </w:p>
        </w:tc>
        <w:tc>
          <w:tcPr>
            <w:tcW w:w="2152" w:type="dxa"/>
          </w:tcPr>
          <w:p>
            <w:pPr>
              <w:pStyle w:val="79"/>
              <w:ind w:firstLine="480"/>
            </w:pPr>
            <w:r>
              <w:rPr>
                <w:rFonts w:hint="eastAsia"/>
              </w:rPr>
              <w:t>坚硬</w:t>
            </w:r>
          </w:p>
        </w:tc>
        <w:tc>
          <w:tcPr>
            <w:tcW w:w="3365" w:type="dxa"/>
          </w:tcPr>
          <w:p>
            <w:pPr>
              <w:pStyle w:val="79"/>
              <w:ind w:firstLine="480"/>
            </w:pPr>
            <w:r>
              <w:rPr>
                <w:rFonts w:hint="eastAsia"/>
              </w:rPr>
              <w:t>0</w:t>
            </w:r>
            <w:r>
              <w:t>.35</w:t>
            </w:r>
            <w:r>
              <w:rPr>
                <w:rFonts w:hint="eastAsia"/>
              </w:rPr>
              <w:t>～0</w:t>
            </w:r>
            <w:r>
              <w:t>.45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4931" w:type="dxa"/>
            <w:gridSpan w:val="2"/>
          </w:tcPr>
          <w:p>
            <w:pPr>
              <w:pStyle w:val="79"/>
              <w:ind w:firstLine="480"/>
            </w:pPr>
            <w:r>
              <w:rPr>
                <w:rFonts w:hint="eastAsia"/>
              </w:rPr>
              <w:t>粉土</w:t>
            </w:r>
          </w:p>
        </w:tc>
        <w:tc>
          <w:tcPr>
            <w:tcW w:w="3365" w:type="dxa"/>
          </w:tcPr>
          <w:p>
            <w:pPr>
              <w:pStyle w:val="79"/>
              <w:ind w:firstLine="480"/>
            </w:pPr>
            <w:r>
              <w:rPr>
                <w:rFonts w:hint="eastAsia"/>
              </w:rPr>
              <w:t>0</w:t>
            </w:r>
            <w:r>
              <w:t>.30</w:t>
            </w:r>
            <w:r>
              <w:rPr>
                <w:rFonts w:hint="eastAsia"/>
              </w:rPr>
              <w:t>～0</w:t>
            </w:r>
            <w:r>
              <w:t>.40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4931" w:type="dxa"/>
            <w:gridSpan w:val="2"/>
          </w:tcPr>
          <w:p>
            <w:pPr>
              <w:pStyle w:val="79"/>
              <w:ind w:firstLine="480"/>
            </w:pPr>
            <w:r>
              <w:rPr>
                <w:rFonts w:hint="eastAsia"/>
              </w:rPr>
              <w:t>中砂、粗砂、砾砂</w:t>
            </w:r>
          </w:p>
        </w:tc>
        <w:tc>
          <w:tcPr>
            <w:tcW w:w="3365" w:type="dxa"/>
          </w:tcPr>
          <w:p>
            <w:pPr>
              <w:pStyle w:val="79"/>
              <w:ind w:firstLine="480"/>
            </w:pPr>
            <w:r>
              <w:rPr>
                <w:rFonts w:hint="eastAsia"/>
              </w:rPr>
              <w:t>0</w:t>
            </w:r>
            <w:r>
              <w:t>.40</w:t>
            </w:r>
            <w:r>
              <w:rPr>
                <w:rFonts w:hint="eastAsia"/>
              </w:rPr>
              <w:t>～0</w:t>
            </w:r>
            <w: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4931" w:type="dxa"/>
            <w:gridSpan w:val="2"/>
          </w:tcPr>
          <w:p>
            <w:pPr>
              <w:pStyle w:val="79"/>
              <w:ind w:firstLine="480"/>
            </w:pPr>
            <w:r>
              <w:rPr>
                <w:rFonts w:hint="eastAsia"/>
              </w:rPr>
              <w:t>碎石土</w:t>
            </w:r>
          </w:p>
        </w:tc>
        <w:tc>
          <w:tcPr>
            <w:tcW w:w="3365" w:type="dxa"/>
          </w:tcPr>
          <w:p>
            <w:pPr>
              <w:pStyle w:val="79"/>
              <w:ind w:firstLine="480"/>
            </w:pPr>
            <w:r>
              <w:rPr>
                <w:rFonts w:hint="eastAsia"/>
              </w:rPr>
              <w:t>0</w:t>
            </w:r>
            <w:r>
              <w:t>.40</w:t>
            </w:r>
            <w:r>
              <w:rPr>
                <w:rFonts w:hint="eastAsia"/>
              </w:rPr>
              <w:t>～0</w:t>
            </w:r>
            <w:r>
              <w:t>.60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4931" w:type="dxa"/>
            <w:gridSpan w:val="2"/>
          </w:tcPr>
          <w:p>
            <w:pPr>
              <w:pStyle w:val="79"/>
              <w:ind w:firstLine="480"/>
            </w:pPr>
            <w:r>
              <w:rPr>
                <w:rFonts w:hint="eastAsia"/>
              </w:rPr>
              <w:t>软质岩</w:t>
            </w:r>
          </w:p>
        </w:tc>
        <w:tc>
          <w:tcPr>
            <w:tcW w:w="3365" w:type="dxa"/>
          </w:tcPr>
          <w:p>
            <w:pPr>
              <w:pStyle w:val="79"/>
              <w:ind w:firstLine="480"/>
            </w:pPr>
            <w:r>
              <w:t>0.40</w:t>
            </w:r>
            <w:r>
              <w:rPr>
                <w:rFonts w:hint="eastAsia"/>
              </w:rPr>
              <w:t>～0</w:t>
            </w:r>
            <w:r>
              <w:t>.60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4931" w:type="dxa"/>
            <w:gridSpan w:val="2"/>
          </w:tcPr>
          <w:p>
            <w:pPr>
              <w:pStyle w:val="79"/>
              <w:ind w:firstLine="480"/>
            </w:pPr>
            <w:r>
              <w:rPr>
                <w:rFonts w:hint="eastAsia"/>
              </w:rPr>
              <w:t>表面粗糙的硬质岩</w:t>
            </w:r>
          </w:p>
        </w:tc>
        <w:tc>
          <w:tcPr>
            <w:tcW w:w="3365" w:type="dxa"/>
          </w:tcPr>
          <w:p>
            <w:pPr>
              <w:pStyle w:val="79"/>
              <w:ind w:firstLine="480"/>
            </w:pPr>
            <w:r>
              <w:rPr>
                <w:rFonts w:hint="eastAsia"/>
              </w:rPr>
              <w:t>0</w:t>
            </w:r>
            <w:r>
              <w:t>.65</w:t>
            </w:r>
            <w:r>
              <w:rPr>
                <w:rFonts w:hint="eastAsia"/>
              </w:rPr>
              <w:t>～0</w:t>
            </w:r>
            <w:r>
              <w:t>.75</w:t>
            </w:r>
          </w:p>
        </w:tc>
      </w:tr>
    </w:tbl>
    <w:p>
      <w:pPr>
        <w:pStyle w:val="53"/>
        <w:ind w:firstLine="480"/>
      </w:pPr>
      <w:r>
        <w:rPr>
          <w:rFonts w:hint="eastAsia"/>
        </w:rPr>
        <w:t xml:space="preserve">注： </w:t>
      </w:r>
      <w:r>
        <w:t xml:space="preserve"> 1  </w:t>
      </w:r>
      <w:r>
        <w:rPr>
          <w:rFonts w:hint="eastAsia"/>
        </w:rPr>
        <w:t>对易风化的软质岩和塑性指数</w:t>
      </w:r>
      <m:oMath>
        <m:sSub>
          <m:sSubPr>
            <m:ctrlPr>
              <w:rPr>
                <w:rFonts w:ascii="Cambria Math" w:hAnsi="Cambria Math"/>
                <w:i/>
                <w:noProof/>
              </w:rPr>
            </m:ctrlPr>
          </m:sSubPr>
          <m:e>
            <m:r>
              <w:rPr>
                <w:rFonts w:ascii="Cambria Math" w:hAnsi="Cambria Math"/>
                <w:noProof/>
              </w:rPr>
              <m:t xml:space="preserve">I</m:t>
            </m:r>
          </m:e>
          <m:sub>
            <m:r>
              <w:rPr>
                <w:rFonts w:ascii="Cambria Math" w:hAnsi="Cambria Math"/>
                <w:noProof/>
              </w:rPr>
              <m:t xml:space="preserve">p</m:t>
            </m:r>
          </m:sub>
        </m:sSub>
      </m:oMath>
      <w:r>
        <w:rPr>
          <w:rFonts w:hint="eastAsia"/>
        </w:rPr>
        <w:t>大于2</w:t>
      </w:r>
      <w:r>
        <w:t>2</w:t>
      </w:r>
      <w:r>
        <w:rPr>
          <w:rFonts w:hint="eastAsia"/>
        </w:rPr>
        <w:t>的黏土，基底摩擦系数应通过试验确定。</w:t>
      </w:r>
    </w:p>
    <w:p>
      <w:pPr>
        <w:pStyle w:val="53"/>
        <w:ind w:firstLine="480"/>
      </w:pPr>
      <w:r>
        <w:rPr>
          <w:rFonts w:hint="eastAsia"/>
        </w:rPr>
        <w:t xml:space="preserve"> </w:t>
      </w:r>
      <w:r>
        <w:t xml:space="preserve">     2  </w:t>
      </w:r>
      <w:r>
        <w:rPr>
          <w:rFonts w:hint="eastAsia"/>
        </w:rPr>
        <w:t>对碎石土，可根据其密实程度、填充物状况、风化程度等确定。</w:t>
      </w:r>
    </w:p>
    <w:p>
      <w:pPr>
        <w:shd w:val="clear" w:color="auto" w:fill="FFFFFF"/>
        <w:snapToGrid w:val="0"/>
        <w:spacing w:line="360" w:lineRule="auto"/>
        <w:ind w:firstLine="480"/>
        <w:rPr>
          <w:rFonts w:hAnsi="宋体"/>
          <w:shd w:val="clear" w:color="auto" w:fill="FFFFFF"/>
        </w:rPr>
      </w:pPr>
      <w:r>
        <w:rPr>
          <w:rFonts w:hint="eastAsia" w:hAnsi="宋体"/>
          <w:shd w:val="clear" w:color="auto" w:fill="FFFFFF"/>
        </w:rPr>
        <w:t>当基础埋深范围为填土时，填土被动土压力不计入基础滑移稳定验算的有利条件。</w:t>
      </w:r>
    </w:p>
    <w:p>
      <w:pPr>
        <w:shd w:val="clear" w:color="auto" w:fill="FFFFFF"/>
        <w:snapToGrid w:val="0"/>
        <w:spacing w:line="360" w:lineRule="auto"/>
        <w:ind w:firstLine="482"/>
        <w:rPr>
          <w:rFonts w:hAnsi="宋体"/>
          <w:szCs w:val="21"/>
        </w:rPr>
      </w:pPr>
      <w:r>
        <w:rPr>
          <w:b/>
          <w:kern w:val="0"/>
          <w:szCs w:val="21"/>
        </w:rPr>
        <w:t>7.0.5</w:t>
      </w:r>
      <w:r>
        <w:rPr>
          <w:rFonts w:hint="eastAsia"/>
          <w:bCs/>
          <w:kern w:val="0"/>
          <w:szCs w:val="21"/>
        </w:rPr>
        <w:t>采用桩基设计的车辆基地</w:t>
      </w:r>
      <w:r>
        <w:rPr>
          <w:rFonts w:hint="eastAsia" w:hAnsi="宋体"/>
          <w:szCs w:val="21"/>
        </w:rPr>
        <w:t>柱下宜设置多桩承台。当承台之间沿两个主轴方向设置</w:t>
      </w:r>
      <w:r>
        <w:rPr>
          <w:rFonts w:hint="eastAsia" w:hAnsi="宋体"/>
        </w:rPr>
        <w:t>联系</w:t>
      </w:r>
      <w:r>
        <w:rPr>
          <w:rFonts w:hint="eastAsia" w:hAnsi="宋体"/>
          <w:szCs w:val="21"/>
        </w:rPr>
        <w:t>梁时，应采取有效措施减少车辆运行振动对上盖使用环境的影响；当垂直轨道方向无法设置</w:t>
      </w:r>
      <w:r>
        <w:rPr>
          <w:rFonts w:hint="eastAsia" w:hAnsi="宋体"/>
        </w:rPr>
        <w:t>联系</w:t>
      </w:r>
      <w:r>
        <w:rPr>
          <w:rFonts w:hint="eastAsia" w:hAnsi="宋体"/>
          <w:szCs w:val="21"/>
        </w:rPr>
        <w:t>梁时，可按7</w:t>
      </w:r>
      <w:r>
        <w:rPr>
          <w:rFonts w:hAnsi="宋体"/>
          <w:szCs w:val="21"/>
        </w:rPr>
        <w:t>.0.3</w:t>
      </w:r>
      <w:r>
        <w:rPr>
          <w:rFonts w:hint="eastAsia" w:hAnsi="宋体"/>
          <w:szCs w:val="21"/>
        </w:rPr>
        <w:t>条的规定，补充验算设防地震作用下的桩基承载力。</w:t>
      </w:r>
      <w:r>
        <w:rPr>
          <w:rFonts w:hint="eastAsia" w:hAnsi="宋体"/>
        </w:rPr>
        <w:t>联系</w:t>
      </w:r>
      <w:r>
        <w:rPr>
          <w:rFonts w:hint="eastAsia" w:hAnsi="宋体"/>
          <w:szCs w:val="21"/>
        </w:rPr>
        <w:t>梁的截面尺寸和配筋可按下述方法确定：以柱剪力作用于梁端，按轴心受压构件确定其截面尺寸，配筋则取与轴心受压相同的轴力（绝对值），按轴心受拉构件确定。也可取柱轴力的1/10为梁端拉压力的粗略方法确定截面尺寸及配筋。</w:t>
      </w:r>
    </w:p>
    <w:p>
      <w:pPr>
        <w:pStyle w:val="16"/>
        <w:snapToGrid w:val="0"/>
        <w:spacing w:line="360" w:lineRule="auto"/>
        <w:ind w:firstLine="480"/>
        <w:rPr>
          <w:rFonts w:hAnsi="宋体" w:eastAsia="宋体"/>
        </w:rPr>
      </w:pPr>
      <w:r>
        <w:rPr>
          <w:rFonts w:hint="eastAsia" w:eastAsia="等线"/>
          <w:b/>
          <w:bCs/>
        </w:rPr>
        <w:t>[条文说明]</w:t>
      </w:r>
      <w:r>
        <w:rPr>
          <w:rFonts w:hint="eastAsia" w:hAnsi="宋体" w:eastAsia="宋体"/>
        </w:rPr>
        <w:t>车辆基地列车停车位下有不小于1</w:t>
      </w:r>
      <w:r>
        <w:rPr>
          <w:rFonts w:hAnsi="宋体" w:eastAsia="宋体"/>
        </w:rPr>
        <w:t>m</w:t>
      </w:r>
      <w:r>
        <w:rPr>
          <w:rFonts w:hint="eastAsia" w:hAnsi="宋体" w:eastAsia="宋体"/>
        </w:rPr>
        <w:t>深的检修沟，因基础设计时需要考虑轨道振动的影响，垂直轨道方向基础间设置联系梁比较困难，一般建议柱下采用多桩基础，并采用性能设计对桩基承载力进行中震复核。</w:t>
      </w:r>
    </w:p>
    <w:p>
      <w:pPr>
        <w:shd w:val="clear" w:color="auto" w:fill="FFFFFF"/>
        <w:snapToGrid w:val="0"/>
        <w:spacing w:line="360" w:lineRule="auto"/>
        <w:ind w:firstLine="482"/>
        <w:rPr>
          <w:rFonts w:hAnsi="宋体"/>
          <w:szCs w:val="21"/>
        </w:rPr>
      </w:pPr>
      <w:r>
        <w:rPr>
          <w:b/>
          <w:kern w:val="0"/>
          <w:szCs w:val="21"/>
        </w:rPr>
        <w:t>7.0.6</w:t>
      </w:r>
      <w:r>
        <w:rPr>
          <w:rFonts w:hint="eastAsia" w:hAnsi="宋体"/>
        </w:rPr>
        <w:t>承台周围应采用灰土、级配砂石、压实性较好的素土回填，并分层夯实，也可采用素混凝土回填；</w:t>
      </w:r>
      <w:r>
        <w:rPr>
          <w:rFonts w:hint="eastAsia" w:hAnsi="宋体"/>
          <w:szCs w:val="21"/>
        </w:rPr>
        <w:t>当承台周围为可液化土或地基承载力特征值小于4</w:t>
      </w:r>
      <w:r>
        <w:rPr>
          <w:rFonts w:hAnsi="宋体"/>
          <w:szCs w:val="21"/>
        </w:rPr>
        <w:t>0kPa</w:t>
      </w:r>
      <w:r>
        <w:rPr>
          <w:rFonts w:hint="eastAsia" w:hAnsi="宋体"/>
          <w:szCs w:val="21"/>
        </w:rPr>
        <w:t>（或不排水抗剪强度小于1</w:t>
      </w:r>
      <w:r>
        <w:rPr>
          <w:rFonts w:hAnsi="宋体"/>
          <w:szCs w:val="21"/>
        </w:rPr>
        <w:t>5kPa</w:t>
      </w:r>
      <w:r>
        <w:rPr>
          <w:rFonts w:hint="eastAsia" w:hAnsi="宋体"/>
          <w:szCs w:val="21"/>
        </w:rPr>
        <w:t>）的软土，且桩基水平承载力不满足水平荷载作用验算要求时，可将承台（特别是边跨承台）外每侧1</w:t>
      </w:r>
      <w:r>
        <w:rPr>
          <w:rFonts w:hAnsi="宋体"/>
          <w:szCs w:val="21"/>
        </w:rPr>
        <w:t>/2</w:t>
      </w:r>
      <w:r>
        <w:rPr>
          <w:rFonts w:hint="eastAsia" w:hAnsi="宋体"/>
          <w:szCs w:val="21"/>
        </w:rPr>
        <w:t>承台边长内土体进行加固。</w:t>
      </w:r>
    </w:p>
    <w:p>
      <w:pPr>
        <w:shd w:val="clear" w:color="auto" w:fill="FFFFFF"/>
        <w:snapToGrid w:val="0"/>
        <w:spacing w:line="360" w:lineRule="auto"/>
        <w:ind w:firstLine="480"/>
        <w:rPr>
          <w:rFonts w:ascii="宋体" w:hAnsi="宋体"/>
          <w:szCs w:val="21"/>
        </w:rPr>
      </w:pPr>
      <w:r>
        <w:rPr>
          <w:rFonts w:hint="eastAsia" w:eastAsia="等线"/>
          <w:b/>
          <w:bCs/>
        </w:rPr>
        <w:t>[条文说明]</w:t>
      </w:r>
      <w:r>
        <w:rPr>
          <w:rFonts w:hint="eastAsia" w:ascii="宋体" w:hAnsi="宋体"/>
          <w:szCs w:val="21"/>
        </w:rPr>
        <w:t>本条摘自《建筑桩基技术规范》（JGJ94-2008）3</w:t>
      </w:r>
      <w:r>
        <w:rPr>
          <w:rFonts w:ascii="宋体" w:hAnsi="宋体"/>
          <w:szCs w:val="21"/>
        </w:rPr>
        <w:t>.4.6</w:t>
      </w:r>
      <w:r>
        <w:rPr>
          <w:rFonts w:hint="eastAsia" w:ascii="宋体" w:hAnsi="宋体"/>
          <w:szCs w:val="21"/>
        </w:rPr>
        <w:t>，是针对抗震设计的基本原则，对抵抗各类水平荷载作用均适用。对于车辆基地上盖高层项目实践中遇到类似问题，建议参考本条处理。</w:t>
      </w:r>
    </w:p>
    <w:p>
      <w:pPr>
        <w:pStyle w:val="16"/>
        <w:snapToGrid w:val="0"/>
        <w:spacing w:line="360" w:lineRule="auto"/>
        <w:ind w:firstLine="480"/>
        <w:rPr>
          <w:rFonts w:hAnsi="宋体" w:eastAsia="宋体"/>
        </w:rPr>
      </w:pPr>
      <w:r>
        <w:rPr>
          <w:rFonts w:hint="eastAsia" w:hAnsi="宋体" w:eastAsia="宋体"/>
        </w:rPr>
        <w:t>对承台周边软弱土体加固，可以约束承台下土体流动，增强对承台的侧限，增加桩基水平承载力，减小建筑物水平位移。承台外侧土体加固示意如图</w:t>
      </w:r>
      <w:r>
        <w:rPr>
          <w:rFonts w:hAnsi="宋体" w:eastAsia="宋体"/>
        </w:rPr>
        <w:t>1</w:t>
      </w:r>
      <w:r>
        <w:rPr>
          <w:rFonts w:hint="eastAsia" w:hAnsi="宋体" w:eastAsia="宋体"/>
        </w:rPr>
        <w:t>。为减少</w:t>
      </w:r>
      <w:r>
        <w:rPr>
          <w:rFonts w:hAnsi="宋体" w:eastAsia="宋体"/>
        </w:rPr>
        <w:t>地铁</w:t>
      </w:r>
      <w:r>
        <w:rPr>
          <w:rFonts w:hint="eastAsia" w:hAnsi="宋体" w:eastAsia="宋体"/>
        </w:rPr>
        <w:t>运行</w:t>
      </w:r>
      <w:r>
        <w:rPr>
          <w:rFonts w:hAnsi="宋体" w:eastAsia="宋体"/>
        </w:rPr>
        <w:t>振动</w:t>
      </w:r>
      <w:r>
        <w:rPr>
          <w:rFonts w:hint="eastAsia" w:hAnsi="宋体" w:eastAsia="宋体"/>
        </w:rPr>
        <w:t>对</w:t>
      </w:r>
      <w:r>
        <w:rPr>
          <w:rFonts w:hAnsi="宋体" w:eastAsia="宋体"/>
        </w:rPr>
        <w:t>上部</w:t>
      </w:r>
      <w:r>
        <w:rPr>
          <w:rFonts w:hint="eastAsia" w:hAnsi="宋体" w:eastAsia="宋体"/>
        </w:rPr>
        <w:t>建筑的</w:t>
      </w:r>
      <w:r>
        <w:rPr>
          <w:rFonts w:hAnsi="宋体" w:eastAsia="宋体"/>
        </w:rPr>
        <w:t>影响</w:t>
      </w:r>
      <w:r>
        <w:rPr>
          <w:rFonts w:hint="eastAsia" w:hAnsi="宋体" w:eastAsia="宋体"/>
        </w:rPr>
        <w:t>，</w:t>
      </w:r>
      <w:r>
        <w:rPr>
          <w:rFonts w:hAnsi="宋体" w:eastAsia="宋体"/>
        </w:rPr>
        <w:t>承台</w:t>
      </w:r>
      <w:r>
        <w:rPr>
          <w:rFonts w:hint="eastAsia" w:hAnsi="宋体" w:eastAsia="宋体"/>
        </w:rPr>
        <w:t>间</w:t>
      </w:r>
      <w:r>
        <w:rPr>
          <w:rFonts w:hAnsi="宋体" w:eastAsia="宋体"/>
        </w:rPr>
        <w:t>拉梁</w:t>
      </w:r>
      <w:r>
        <w:rPr>
          <w:rFonts w:hint="eastAsia" w:hAnsi="宋体" w:eastAsia="宋体"/>
        </w:rPr>
        <w:t>或周边</w:t>
      </w:r>
      <w:r>
        <w:rPr>
          <w:rFonts w:hAnsi="宋体" w:eastAsia="宋体"/>
        </w:rPr>
        <w:t>土体</w:t>
      </w:r>
      <w:r>
        <w:rPr>
          <w:rFonts w:hint="eastAsia" w:hAnsi="宋体" w:eastAsia="宋体"/>
        </w:rPr>
        <w:t>加固部分</w:t>
      </w:r>
      <w:r>
        <w:rPr>
          <w:rFonts w:hAnsi="宋体" w:eastAsia="宋体"/>
        </w:rPr>
        <w:t>应</w:t>
      </w:r>
      <w:r>
        <w:rPr>
          <w:rFonts w:hint="eastAsia" w:hAnsi="宋体" w:eastAsia="宋体"/>
        </w:rPr>
        <w:t>与轨道</w:t>
      </w:r>
      <w:r>
        <w:rPr>
          <w:rFonts w:hAnsi="宋体" w:eastAsia="宋体"/>
        </w:rPr>
        <w:t>基础</w:t>
      </w:r>
      <w:r>
        <w:rPr>
          <w:rFonts w:hint="eastAsia" w:hAnsi="宋体" w:eastAsia="宋体"/>
        </w:rPr>
        <w:t>或</w:t>
      </w:r>
      <w:r>
        <w:rPr>
          <w:rFonts w:hAnsi="宋体" w:eastAsia="宋体"/>
        </w:rPr>
        <w:t>检修</w:t>
      </w:r>
      <w:r>
        <w:rPr>
          <w:rFonts w:hint="eastAsia" w:hAnsi="宋体" w:eastAsia="宋体"/>
        </w:rPr>
        <w:t>沟</w:t>
      </w:r>
      <w:r>
        <w:rPr>
          <w:rFonts w:hAnsi="宋体" w:eastAsia="宋体"/>
        </w:rPr>
        <w:t>间</w:t>
      </w:r>
      <w:r>
        <w:rPr>
          <w:rFonts w:hint="eastAsia" w:hAnsi="宋体" w:eastAsia="宋体"/>
        </w:rPr>
        <w:t>采用</w:t>
      </w:r>
      <w:r>
        <w:rPr>
          <w:rFonts w:hAnsi="宋体" w:eastAsia="宋体"/>
        </w:rPr>
        <w:t>柔性</w:t>
      </w:r>
      <w:r>
        <w:rPr>
          <w:rFonts w:hint="eastAsia" w:hAnsi="宋体" w:eastAsia="宋体"/>
        </w:rPr>
        <w:t>连接</w:t>
      </w:r>
      <w:r>
        <w:rPr>
          <w:rFonts w:hAnsi="宋体" w:eastAsia="宋体"/>
        </w:rPr>
        <w:t>。</w:t>
      </w:r>
    </w:p>
    <w:p>
      <w:pPr>
        <w:pStyle w:val="16"/>
        <w:snapToGrid w:val="0"/>
        <w:spacing w:line="360" w:lineRule="auto"/>
        <w:ind w:firstLine="480"/>
        <w:jc w:val="center"/>
        <w:rPr>
          <w:rFonts w:ascii="Times New Roman" w:hAnsi="宋体"/>
        </w:rPr>
      </w:pPr>
      <w:r>
        <w:drawing>
          <wp:inline distT="0" distB="0" distL="0" distR="0">
            <wp:extent cx="3026410" cy="2556510"/>
            <wp:effectExtent l="0" t="0" r="2540"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3026410" cy="2556510"/>
                    </a:xfrm>
                    <a:prstGeom prst="rect">
                      <a:avLst/>
                    </a:prstGeom>
                    <a:noFill/>
                    <a:ln>
                      <a:noFill/>
                    </a:ln>
                  </pic:spPr>
                </pic:pic>
              </a:graphicData>
            </a:graphic>
          </wp:inline>
        </w:drawing>
      </w:r>
    </w:p>
    <w:p>
      <w:pPr>
        <w:pStyle w:val="91"/>
      </w:pPr>
      <w:r>
        <w:rPr>
          <w:rFonts w:hint="eastAsia"/>
        </w:rPr>
        <w:t>图</w:t>
      </w:r>
      <w:r>
        <w:t xml:space="preserve">1 </w:t>
      </w:r>
      <w:r>
        <w:rPr>
          <w:rFonts w:hint="eastAsia"/>
        </w:rPr>
        <w:t>承台外侧土体加固示意图</w:t>
      </w:r>
    </w:p>
    <w:p>
      <w:pPr>
        <w:widowControl/>
        <w:ind w:firstLine="480"/>
        <w:jc w:val="left"/>
        <w:rPr>
          <w:rFonts w:hAnsi="宋体"/>
          <w:szCs w:val="21"/>
        </w:rPr>
      </w:pPr>
      <w:r>
        <w:rPr>
          <w:rFonts w:hAnsi="宋体"/>
          <w:szCs w:val="21"/>
        </w:rPr>
        <w:br w:type="page"/>
      </w:r>
    </w:p>
    <w:bookmarkEnd w:id="145"/>
    <w:p>
      <w:pPr>
        <w:pStyle w:val="2"/>
        <w:numPr>
          <w:ilvl w:val="0"/>
          <w:numId w:val="0"/>
        </w:numPr>
        <w:spacing w:line="400" w:lineRule="exact"/>
        <w:rPr>
          <w:rFonts w:hAnsi="宋体"/>
        </w:rPr>
      </w:pPr>
      <w:bookmarkStart w:id="147" w:name="_Toc257127784"/>
      <w:bookmarkStart w:id="148" w:name="_Toc90922383"/>
      <w:r>
        <w:rPr>
          <w:rFonts w:hAnsi="宋体"/>
          <w:color w:val="000000"/>
        </w:rPr>
        <w:t xml:space="preserve">8  </w:t>
      </w:r>
      <w:bookmarkEnd w:id="131"/>
      <w:bookmarkEnd w:id="132"/>
      <w:bookmarkEnd w:id="133"/>
      <w:bookmarkEnd w:id="134"/>
      <w:bookmarkEnd w:id="135"/>
      <w:bookmarkEnd w:id="136"/>
      <w:bookmarkEnd w:id="137"/>
      <w:bookmarkEnd w:id="138"/>
      <w:bookmarkEnd w:id="139"/>
      <w:bookmarkEnd w:id="140"/>
      <w:bookmarkEnd w:id="141"/>
      <w:bookmarkEnd w:id="142"/>
      <w:bookmarkEnd w:id="147"/>
      <w:r>
        <w:rPr>
          <w:rFonts w:hint="eastAsia" w:hAnsi="宋体"/>
        </w:rPr>
        <w:t>预留要求</w:t>
      </w:r>
      <w:bookmarkEnd w:id="148"/>
    </w:p>
    <w:p>
      <w:pPr>
        <w:pStyle w:val="16"/>
        <w:snapToGrid w:val="0"/>
        <w:spacing w:line="360" w:lineRule="auto"/>
        <w:ind w:firstLine="482"/>
        <w:rPr>
          <w:rFonts w:ascii="Times New Roman" w:hAnsi="宋体"/>
        </w:rPr>
      </w:pPr>
      <w:r>
        <w:rPr>
          <w:rFonts w:hint="eastAsia" w:hAnsi="宋体" w:eastAsia="宋体"/>
          <w:b/>
          <w:bCs/>
          <w:szCs w:val="24"/>
        </w:rPr>
        <w:t>8</w:t>
      </w:r>
      <w:r>
        <w:rPr>
          <w:rFonts w:hAnsi="宋体" w:eastAsia="宋体"/>
          <w:b/>
          <w:bCs/>
          <w:szCs w:val="24"/>
        </w:rPr>
        <w:t>.0.1</w:t>
      </w:r>
      <w:r>
        <w:rPr>
          <w:rFonts w:hint="eastAsia" w:hAnsi="宋体" w:eastAsia="宋体"/>
        </w:rPr>
        <w:t>车辆基地上盖预留应在保证满足车辆基地功能及运营安全的基础上，具有一定的前瞻性。依据出让土地业态及配建要求，在控制性规划的指导下，充分考虑未来上盖开发强度及灵活布置的需求，结合经济性要求确定预留条件。</w:t>
      </w:r>
    </w:p>
    <w:p>
      <w:pPr>
        <w:pStyle w:val="16"/>
        <w:adjustRightInd w:val="0"/>
        <w:snapToGrid w:val="0"/>
        <w:spacing w:line="360" w:lineRule="auto"/>
        <w:ind w:firstLine="480"/>
        <w:rPr>
          <w:rFonts w:hAnsi="宋体" w:eastAsia="宋体"/>
        </w:rPr>
      </w:pPr>
      <w:r>
        <w:rPr>
          <w:rFonts w:hint="eastAsia" w:asciiTheme="minorHAnsi" w:hAnsiTheme="minorHAnsi" w:eastAsiaTheme="minorHAnsi"/>
          <w:b/>
          <w:bCs/>
        </w:rPr>
        <w:t>[条文说明]</w:t>
      </w:r>
      <w:r>
        <w:rPr>
          <w:rFonts w:hint="eastAsia" w:hAnsi="宋体" w:eastAsia="宋体"/>
        </w:rPr>
        <w:t>本节内容针对上盖建筑与车辆基地非一体化设计。通常上盖开发滞后于车辆基地的设计和施工，甚至相差十年以上。在上盖建筑开发存在诸多变数的条件下，车辆基地上盖预留需考虑未来物业开发趋势，为结构预留提供指导方向。</w:t>
      </w:r>
    </w:p>
    <w:p>
      <w:pPr>
        <w:pStyle w:val="16"/>
        <w:adjustRightInd w:val="0"/>
        <w:snapToGrid w:val="0"/>
        <w:spacing w:line="360" w:lineRule="auto"/>
        <w:ind w:firstLine="480"/>
        <w:rPr>
          <w:rFonts w:hAnsi="宋体" w:eastAsia="宋体"/>
        </w:rPr>
      </w:pPr>
      <w:r>
        <w:rPr>
          <w:rFonts w:hint="eastAsia" w:hAnsi="宋体" w:eastAsia="宋体"/>
        </w:rPr>
        <w:t>现阶段车辆基地开工建设的同时，一般会考虑上盖土地出让条件，明确控制性规划要求。有助于开发方根据规划意向，分区分块，有针对性地进行相关结构预留，提高项目整体的经济性。</w:t>
      </w:r>
    </w:p>
    <w:p>
      <w:pPr>
        <w:pStyle w:val="16"/>
        <w:snapToGrid w:val="0"/>
        <w:spacing w:line="360" w:lineRule="auto"/>
        <w:ind w:firstLine="482"/>
        <w:rPr>
          <w:rFonts w:ascii="Times New Roman" w:hAnsi="宋体"/>
        </w:rPr>
      </w:pPr>
      <w:r>
        <w:rPr>
          <w:rFonts w:hint="eastAsia" w:ascii="Times New Roman" w:hAnsi="Times New Roman"/>
          <w:b/>
          <w:bCs/>
          <w:szCs w:val="24"/>
        </w:rPr>
        <w:t>8</w:t>
      </w:r>
      <w:r>
        <w:rPr>
          <w:rFonts w:ascii="Times New Roman" w:hAnsi="Times New Roman"/>
          <w:b/>
          <w:bCs/>
          <w:szCs w:val="24"/>
        </w:rPr>
        <w:t>.0.2</w:t>
      </w:r>
      <w:r>
        <w:rPr>
          <w:rFonts w:hint="eastAsia" w:hAnsi="宋体" w:eastAsia="宋体"/>
        </w:rPr>
        <w:t>车辆基地设计应根据上盖与车辆基地自成体系、分开设置、相对独立的功能及使用要求，为近、远期上盖开发预留必要的交通接驳或设备配套。</w:t>
      </w:r>
    </w:p>
    <w:p>
      <w:pPr>
        <w:pStyle w:val="16"/>
        <w:snapToGrid w:val="0"/>
        <w:spacing w:line="360" w:lineRule="auto"/>
        <w:ind w:firstLine="480"/>
        <w:rPr>
          <w:rFonts w:hAnsi="宋体" w:eastAsia="宋体"/>
        </w:rPr>
      </w:pPr>
      <w:r>
        <w:rPr>
          <w:rFonts w:hint="eastAsia" w:asciiTheme="minorHAnsi" w:hAnsiTheme="minorHAnsi" w:eastAsiaTheme="minorHAnsi"/>
          <w:b/>
          <w:bCs/>
        </w:rPr>
        <w:t>[条文说明]</w:t>
      </w:r>
      <w:r>
        <w:rPr>
          <w:rFonts w:hint="eastAsia" w:hAnsi="宋体" w:eastAsia="宋体"/>
        </w:rPr>
        <w:t>车辆基地上盖预留是一项系统工程，盖板上下自成体系，先期建设的车辆基地需为后期上盖实现相对独立的使用功能预留条件，如垂直交通的接驳，给排水计量与分流、通风系统的协调、安全防护设置等。</w:t>
      </w:r>
    </w:p>
    <w:p>
      <w:pPr>
        <w:pStyle w:val="16"/>
        <w:snapToGrid w:val="0"/>
        <w:spacing w:line="360" w:lineRule="auto"/>
        <w:ind w:firstLine="482"/>
        <w:rPr>
          <w:rFonts w:ascii="Times New Roman" w:hAnsi="宋体"/>
        </w:rPr>
      </w:pPr>
      <w:r>
        <w:rPr>
          <w:rFonts w:hint="eastAsia" w:ascii="Times New Roman" w:hAnsi="Times New Roman"/>
          <w:b/>
        </w:rPr>
        <w:t>8</w:t>
      </w:r>
      <w:r>
        <w:rPr>
          <w:rFonts w:ascii="Times New Roman" w:hAnsi="Times New Roman"/>
          <w:b/>
        </w:rPr>
        <w:t>.0.3</w:t>
      </w:r>
      <w:r>
        <w:rPr>
          <w:rFonts w:hint="eastAsia" w:hAnsi="宋体" w:eastAsia="宋体"/>
        </w:rPr>
        <w:t>车辆基地结构预留应根据项目开发条件考虑荷载预留和构件预留。预留宜根据拟建上盖建筑的类别及高度等条件初步确定结构体系，选用适宜整体结构的抗震性能目标，采取满足底框预期抗震性能目标的抗震措施。后期实施的上盖设计，其耗能机制及能力应与预留设计相当。</w:t>
      </w:r>
    </w:p>
    <w:p>
      <w:pPr>
        <w:pStyle w:val="16"/>
        <w:adjustRightInd w:val="0"/>
        <w:snapToGrid w:val="0"/>
        <w:spacing w:line="360" w:lineRule="auto"/>
        <w:ind w:firstLine="480"/>
        <w:rPr>
          <w:rFonts w:ascii="Times New Roman" w:hAnsi="宋体"/>
        </w:rPr>
      </w:pPr>
      <w:r>
        <w:rPr>
          <w:rFonts w:hint="eastAsia" w:eastAsia="等线"/>
          <w:b/>
          <w:bCs/>
        </w:rPr>
        <w:t>[条文说明]</w:t>
      </w:r>
      <w:r>
        <w:rPr>
          <w:rFonts w:hint="eastAsia" w:hAnsi="宋体" w:eastAsia="宋体"/>
        </w:rPr>
        <w:t>由于上盖开发的滞后性导致竖向构件有可能无法与盖板下部构件对位，需要进行必要的结构转换，加之车辆基地的特殊使用要求，使得这类结构基本涵盖了《超限高层建筑工程抗震设防专项审查技术要点》（建质［2015］67号）涉及到的所有竖向不规则项目，需要进行超限高层建筑工程抗震设防专项审查。在上部结构未确定的条件下，这个程序在车辆基地设计阶段无法进行。结构预留必须保证盖板下竖向构件的截面及构造可以满足未来超限审查的要求，是这类项目荷载、构件截面及构造预留的重点。多年的设计实践表明，性能化设计可以根据结构体系的受力特点，对结构构件强度、延性及耗能等设置不同性能要求，通过精细化设计控制塑性变形发生在对结构整体危害较小的部位，实现地震能量的耗散，减小底框的地震输入，确保大震作用下结构整体安全，实现预期性能目标。</w:t>
      </w:r>
    </w:p>
    <w:p>
      <w:pPr>
        <w:pStyle w:val="16"/>
        <w:snapToGrid w:val="0"/>
        <w:spacing w:line="360" w:lineRule="auto"/>
        <w:ind w:firstLine="482"/>
        <w:rPr>
          <w:rFonts w:hAnsi="宋体" w:eastAsia="宋体"/>
        </w:rPr>
      </w:pPr>
      <w:r>
        <w:rPr>
          <w:rFonts w:hint="eastAsia" w:ascii="Times New Roman" w:hAnsi="Times New Roman"/>
          <w:b/>
          <w:bCs/>
        </w:rPr>
        <w:t>8</w:t>
      </w:r>
      <w:r>
        <w:rPr>
          <w:rFonts w:ascii="Times New Roman" w:hAnsi="Times New Roman"/>
          <w:b/>
          <w:bCs/>
        </w:rPr>
        <w:t>.0.4</w:t>
      </w:r>
      <w:r>
        <w:rPr>
          <w:rFonts w:hint="eastAsia" w:hAnsi="宋体" w:eastAsia="宋体"/>
        </w:rPr>
        <w:t>车辆基地结构预留宜根据上盖建筑的确定条件（程度），区分塔楼区域与裙房区域、塔楼中柱与塔楼边柱等荷载差别较大的区间，分别预留。上盖设计应提供对底框的承载要求，含性能目标、构件（包括基础）尺寸及构造要求等。车辆基地设计应对上盖设计提资进行复核，满足上盖建筑设计的承载力要求。</w:t>
      </w:r>
    </w:p>
    <w:p>
      <w:pPr>
        <w:pStyle w:val="16"/>
        <w:adjustRightInd w:val="0"/>
        <w:snapToGrid w:val="0"/>
        <w:spacing w:line="360" w:lineRule="auto"/>
        <w:ind w:firstLine="480"/>
        <w:rPr>
          <w:rFonts w:ascii="Times New Roman" w:hAnsi="宋体"/>
        </w:rPr>
      </w:pPr>
      <w:r>
        <w:rPr>
          <w:rFonts w:hint="eastAsia" w:eastAsia="等线"/>
          <w:b/>
          <w:bCs/>
        </w:rPr>
        <w:t>[条文说明]</w:t>
      </w:r>
      <w:r>
        <w:rPr>
          <w:rFonts w:hint="eastAsia" w:hAnsi="宋体" w:eastAsia="宋体"/>
        </w:rPr>
        <w:t>上盖建筑条件的确定性对项目的经济性有着很大的影响，因此车辆基地预留应尽可能与一体化设计的结构条件接近。</w:t>
      </w:r>
    </w:p>
    <w:p>
      <w:pPr>
        <w:adjustRightInd w:val="0"/>
        <w:snapToGrid w:val="0"/>
        <w:spacing w:line="360" w:lineRule="auto"/>
        <w:ind w:firstLine="480"/>
        <w:rPr>
          <w:rFonts w:hAnsi="宋体"/>
        </w:rPr>
      </w:pPr>
      <w:r>
        <w:rPr>
          <w:rFonts w:hint="eastAsia" w:hAnsi="宋体"/>
        </w:rPr>
        <w:t>上盖建筑塔楼区域和裙房区域荷载差别很大，塔楼区域中柱的荷载有时是边柱的3～4倍，因此荷载预留应综合考虑荷载的分布情况，适当预留，避免浪费或不足。</w:t>
      </w:r>
    </w:p>
    <w:p>
      <w:pPr>
        <w:adjustRightInd w:val="0"/>
        <w:snapToGrid w:val="0"/>
        <w:spacing w:line="360" w:lineRule="auto"/>
        <w:ind w:firstLine="480"/>
        <w:rPr>
          <w:rFonts w:hAnsi="宋体"/>
        </w:rPr>
      </w:pPr>
      <w:r>
        <w:rPr>
          <w:rFonts w:hint="eastAsia" w:hAnsi="宋体"/>
        </w:rPr>
        <w:t>带上盖车辆基地整体结构的复杂性远远高于车辆基地设计：上盖建筑竖向荷载需要车辆基地竖向构件具有足够的支承能力；上盖建筑抗侧力设计需要车辆基地结构提供足够的刚度。这些要求直接影响车辆基地构件（包括基础等）的截面尺寸、材料强度等，因此上盖设计需明确对底框的承载要求，车辆基地设计应满足车辆基地在各工况条件下的正常使用与安全。</w:t>
      </w:r>
    </w:p>
    <w:p>
      <w:pPr>
        <w:pStyle w:val="16"/>
        <w:snapToGrid w:val="0"/>
        <w:spacing w:line="360" w:lineRule="auto"/>
        <w:ind w:firstLine="482"/>
        <w:rPr>
          <w:rFonts w:ascii="Times New Roman" w:hAnsi="宋体"/>
        </w:rPr>
      </w:pPr>
      <w:r>
        <w:rPr>
          <w:rFonts w:hint="eastAsia" w:ascii="Times New Roman" w:hAnsi="Times New Roman"/>
          <w:b/>
        </w:rPr>
        <w:t>8</w:t>
      </w:r>
      <w:r>
        <w:rPr>
          <w:rFonts w:ascii="Times New Roman" w:hAnsi="Times New Roman"/>
          <w:b/>
        </w:rPr>
        <w:t>.0.5</w:t>
      </w:r>
      <w:r>
        <w:rPr>
          <w:rFonts w:hint="eastAsia" w:hAnsi="宋体" w:eastAsia="宋体"/>
        </w:rPr>
        <w:t>车辆基地上盖荷载预留应考虑车辆基地的设计工作年限，楼面和屋面活荷载取值应按设计工作年限调整，风荷载应取重现期为设计工作年限，地震作用可参考本标准</w:t>
      </w:r>
      <w:r>
        <w:rPr>
          <w:rFonts w:hAnsi="宋体" w:eastAsia="宋体"/>
        </w:rPr>
        <w:t>4.3</w:t>
      </w:r>
      <w:r>
        <w:rPr>
          <w:rFonts w:hint="eastAsia" w:hAnsi="宋体" w:eastAsia="宋体"/>
        </w:rPr>
        <w:t>.</w:t>
      </w:r>
      <w:r>
        <w:rPr>
          <w:rFonts w:hAnsi="宋体" w:eastAsia="宋体"/>
        </w:rPr>
        <w:t>3</w:t>
      </w:r>
      <w:r>
        <w:rPr>
          <w:rFonts w:hint="eastAsia" w:hAnsi="宋体" w:eastAsia="宋体"/>
        </w:rPr>
        <w:t>的相关规定。</w:t>
      </w:r>
    </w:p>
    <w:p>
      <w:pPr>
        <w:pStyle w:val="16"/>
        <w:snapToGrid w:val="0"/>
        <w:spacing w:line="360" w:lineRule="auto"/>
        <w:ind w:firstLine="482"/>
        <w:rPr>
          <w:rFonts w:ascii="Times New Roman" w:hAnsi="宋体"/>
        </w:rPr>
      </w:pPr>
      <w:r>
        <w:rPr>
          <w:rFonts w:hint="eastAsia" w:ascii="Times New Roman" w:hAnsi="Times New Roman"/>
          <w:b/>
        </w:rPr>
        <w:t>8</w:t>
      </w:r>
      <w:r>
        <w:rPr>
          <w:rFonts w:ascii="Times New Roman" w:hAnsi="Times New Roman"/>
          <w:b/>
        </w:rPr>
        <w:t>.0.6</w:t>
      </w:r>
      <w:r>
        <w:rPr>
          <w:rFonts w:hint="eastAsia" w:hAnsi="宋体" w:eastAsia="宋体"/>
        </w:rPr>
        <w:t>车辆基地上盖预留垂直电梯时，底坑设计宜考虑电梯竖向撞击荷载，其标准值可取电梯总重力荷载的（4～</w:t>
      </w:r>
      <w:r>
        <w:rPr>
          <w:rFonts w:hAnsi="宋体" w:eastAsia="宋体"/>
        </w:rPr>
        <w:t>6</w:t>
      </w:r>
      <w:r>
        <w:rPr>
          <w:rFonts w:hint="eastAsia" w:hAnsi="宋体" w:eastAsia="宋体"/>
        </w:rPr>
        <w:t>）倍。荷载偶然组合的效应设计值应按《建筑结构荷载规范》GB500</w:t>
      </w:r>
      <w:r>
        <w:rPr>
          <w:rFonts w:hAnsi="宋体" w:eastAsia="宋体"/>
        </w:rPr>
        <w:t>0</w:t>
      </w:r>
      <w:r>
        <w:rPr>
          <w:rFonts w:hint="eastAsia" w:hAnsi="宋体" w:eastAsia="宋体"/>
        </w:rPr>
        <w:t>9的相关规定采用。</w:t>
      </w:r>
    </w:p>
    <w:p>
      <w:pPr>
        <w:pStyle w:val="16"/>
        <w:snapToGrid w:val="0"/>
        <w:spacing w:line="360" w:lineRule="auto"/>
        <w:ind w:firstLine="480"/>
        <w:rPr>
          <w:rFonts w:ascii="Times New Roman" w:hAnsi="宋体"/>
        </w:rPr>
      </w:pPr>
      <w:r>
        <w:rPr>
          <w:rFonts w:hint="eastAsia" w:eastAsia="等线"/>
          <w:b/>
          <w:bCs/>
        </w:rPr>
        <w:t>[条文说明]</w:t>
      </w:r>
      <w:r>
        <w:rPr>
          <w:rFonts w:hint="eastAsia" w:ascii="Times New Roman" w:hAnsi="宋体"/>
        </w:rPr>
        <w:t xml:space="preserve"> </w:t>
      </w:r>
      <w:r>
        <w:rPr>
          <w:rFonts w:hint="eastAsia" w:hAnsi="宋体" w:eastAsia="宋体"/>
        </w:rPr>
        <w:t>考虑到车辆基地上盖电梯底坑下部空间为人或列车可以通达区间，从安全角度考虑，底坑设计需考虑电梯竖向撞击荷载。根据《电梯制造与安装安全规范》GB7588的相关规定，轿厢缓冲器和对重（或平衡重）缓冲器支座下底坑应能承受4倍的满载轿厢静载、对重（或平衡重）静载等作用力。本条文按《建筑结构荷载规范》GB50009相关规定取值，设计时可根据厂家提供的设计参数，参考《建筑结构荷载规范》GB50009的条文说明确定。</w:t>
      </w:r>
    </w:p>
    <w:p>
      <w:pPr>
        <w:pStyle w:val="16"/>
        <w:snapToGrid w:val="0"/>
        <w:spacing w:line="360" w:lineRule="auto"/>
        <w:ind w:firstLine="482"/>
        <w:rPr>
          <w:rFonts w:ascii="Times New Roman" w:hAnsi="宋体"/>
        </w:rPr>
      </w:pPr>
      <w:r>
        <w:rPr>
          <w:rFonts w:hint="eastAsia" w:ascii="Times New Roman" w:hAnsi="Times New Roman"/>
          <w:b/>
        </w:rPr>
        <w:t>8</w:t>
      </w:r>
      <w:r>
        <w:rPr>
          <w:rFonts w:ascii="Times New Roman" w:hAnsi="Times New Roman"/>
          <w:b/>
        </w:rPr>
        <w:t>.0.7</w:t>
      </w:r>
      <w:r>
        <w:rPr>
          <w:rFonts w:hAnsi="宋体" w:eastAsia="宋体"/>
        </w:rPr>
        <w:t>盖板、上盖地坪</w:t>
      </w:r>
      <w:r>
        <w:rPr>
          <w:rFonts w:hint="eastAsia" w:hAnsi="宋体" w:eastAsia="宋体"/>
        </w:rPr>
        <w:t>与</w:t>
      </w:r>
      <w:r>
        <w:rPr>
          <w:rFonts w:hAnsi="宋体" w:eastAsia="宋体"/>
        </w:rPr>
        <w:t>车辆基地相邻</w:t>
      </w:r>
      <w:r>
        <w:rPr>
          <w:rFonts w:hint="eastAsia" w:hAnsi="宋体" w:eastAsia="宋体"/>
        </w:rPr>
        <w:t>的</w:t>
      </w:r>
      <w:r>
        <w:rPr>
          <w:rFonts w:hAnsi="宋体" w:eastAsia="宋体"/>
        </w:rPr>
        <w:t>临空部位</w:t>
      </w:r>
      <w:r>
        <w:rPr>
          <w:rFonts w:hint="eastAsia" w:hAnsi="宋体" w:eastAsia="宋体"/>
        </w:rPr>
        <w:t>，其</w:t>
      </w:r>
      <w:r>
        <w:rPr>
          <w:rFonts w:hAnsi="宋体" w:eastAsia="宋体"/>
        </w:rPr>
        <w:t>防车辆坠入等安全防</w:t>
      </w:r>
      <w:r>
        <w:rPr>
          <w:rFonts w:hint="eastAsia" w:hAnsi="宋体" w:eastAsia="宋体"/>
        </w:rPr>
        <w:t>护结构应考虑汽车撞击荷载。荷载取值可根据通行车辆的载重、上盖通行限速等条件，按《建筑结构荷载规范》GB</w:t>
      </w:r>
      <w:r>
        <w:rPr>
          <w:rFonts w:hAnsi="宋体" w:eastAsia="宋体"/>
        </w:rPr>
        <w:t>50009</w:t>
      </w:r>
      <w:r>
        <w:rPr>
          <w:rFonts w:hint="eastAsia" w:hAnsi="宋体" w:eastAsia="宋体"/>
        </w:rPr>
        <w:t>及《</w:t>
      </w:r>
      <w:r>
        <w:rPr>
          <w:rFonts w:hAnsi="宋体" w:eastAsia="宋体"/>
        </w:rPr>
        <w:t>公路桥涵设计通用规范》</w:t>
      </w:r>
      <w:r>
        <w:rPr>
          <w:rFonts w:hint="eastAsia" w:hAnsi="宋体" w:eastAsia="宋体"/>
        </w:rPr>
        <w:t>JTG</w:t>
      </w:r>
      <w:r>
        <w:rPr>
          <w:rFonts w:hAnsi="宋体" w:eastAsia="宋体"/>
        </w:rPr>
        <w:t>D60</w:t>
      </w:r>
      <w:r>
        <w:rPr>
          <w:rFonts w:hint="eastAsia" w:hAnsi="宋体" w:eastAsia="宋体"/>
        </w:rPr>
        <w:t>的相关规定设计。</w:t>
      </w:r>
    </w:p>
    <w:p>
      <w:pPr>
        <w:pStyle w:val="16"/>
        <w:snapToGrid w:val="0"/>
        <w:spacing w:line="360" w:lineRule="auto"/>
        <w:ind w:firstLine="480"/>
        <w:rPr>
          <w:rFonts w:hAnsi="宋体" w:eastAsia="宋体"/>
        </w:rPr>
      </w:pPr>
      <w:r>
        <w:rPr>
          <w:rFonts w:hint="eastAsia" w:eastAsia="等线"/>
          <w:b/>
          <w:bCs/>
        </w:rPr>
        <w:t>[条文说明]</w:t>
      </w:r>
      <w:r>
        <w:rPr>
          <w:rFonts w:hint="eastAsia" w:ascii="Times New Roman" w:hAnsi="宋体"/>
        </w:rPr>
        <w:t xml:space="preserve"> </w:t>
      </w:r>
      <w:r>
        <w:rPr>
          <w:rFonts w:hint="eastAsia" w:hAnsi="宋体" w:eastAsia="宋体"/>
        </w:rPr>
        <w:t>从安全防护角度对上盖结构可能遇到的车辆撞击荷载提出设计要求，应采取综合措施进行防护设计。对于直接承受车辆撞击的结构构件，可根据《建筑结构荷载规范》GB50009及《</w:t>
      </w:r>
      <w:r>
        <w:rPr>
          <w:rFonts w:hAnsi="宋体" w:eastAsia="宋体"/>
        </w:rPr>
        <w:t>公路桥涵设计通用规范》</w:t>
      </w:r>
      <w:r>
        <w:rPr>
          <w:rFonts w:hint="eastAsia" w:hAnsi="宋体" w:eastAsia="宋体"/>
        </w:rPr>
        <w:t>JTG</w:t>
      </w:r>
      <w:r>
        <w:rPr>
          <w:rFonts w:hAnsi="宋体" w:eastAsia="宋体"/>
        </w:rPr>
        <w:t>D60</w:t>
      </w:r>
      <w:r>
        <w:rPr>
          <w:rFonts w:hint="eastAsia" w:hAnsi="宋体" w:eastAsia="宋体"/>
        </w:rPr>
        <w:t>的相关规定进行设计预留。</w:t>
      </w:r>
    </w:p>
    <w:p>
      <w:pPr>
        <w:pStyle w:val="16"/>
        <w:snapToGrid w:val="0"/>
        <w:spacing w:line="360" w:lineRule="auto"/>
        <w:ind w:firstLine="482"/>
        <w:rPr>
          <w:rFonts w:ascii="Times New Roman" w:hAnsi="宋体"/>
        </w:rPr>
      </w:pPr>
      <w:r>
        <w:rPr>
          <w:rFonts w:hint="eastAsia" w:ascii="Times New Roman" w:hAnsi="Times New Roman"/>
          <w:b/>
        </w:rPr>
        <w:t>8</w:t>
      </w:r>
      <w:r>
        <w:rPr>
          <w:rFonts w:ascii="Times New Roman" w:hAnsi="Times New Roman"/>
          <w:b/>
        </w:rPr>
        <w:t>.0.8</w:t>
      </w:r>
      <w:r>
        <w:rPr>
          <w:rFonts w:hint="eastAsia" w:hAnsi="宋体" w:eastAsia="宋体"/>
        </w:rPr>
        <w:t>车辆基地基础设计应根据上盖开发结构的特点，采取相关构造措施，预留必要条件，满足整体结构基础埋深、地基承载力、变形及稳定性要求。</w:t>
      </w:r>
    </w:p>
    <w:p>
      <w:pPr>
        <w:pStyle w:val="16"/>
        <w:snapToGrid w:val="0"/>
        <w:spacing w:line="360" w:lineRule="auto"/>
        <w:ind w:firstLine="480"/>
        <w:rPr>
          <w:rFonts w:ascii="Times New Roman" w:hAnsi="宋体"/>
        </w:rPr>
      </w:pPr>
      <w:r>
        <w:rPr>
          <w:rFonts w:hint="eastAsia" w:eastAsia="等线"/>
          <w:b/>
          <w:bCs/>
        </w:rPr>
        <w:t>[条文说明]</w:t>
      </w:r>
      <w:r>
        <w:rPr>
          <w:rFonts w:hint="eastAsia" w:hAnsi="宋体" w:eastAsia="宋体"/>
        </w:rPr>
        <w:t xml:space="preserve"> 车辆基地通常为跨度较大的框架，对地基变形比较敏感。当上盖开发高大建筑可能导致车辆基地柱基础发生不均匀沉降时，宜采取必要措施减小差异沉降对上部结构的影响；对于分期开发的车辆基地上盖，还应通过施工模拟，合理安排加载时序，保证结构在各使用阶段的正常使用与安全要求。</w:t>
      </w:r>
    </w:p>
    <w:p>
      <w:pPr>
        <w:pStyle w:val="16"/>
        <w:snapToGrid w:val="0"/>
        <w:spacing w:line="360" w:lineRule="auto"/>
        <w:ind w:firstLine="482"/>
        <w:rPr>
          <w:rFonts w:ascii="Times New Roman" w:hAnsi="宋体"/>
        </w:rPr>
      </w:pPr>
      <w:r>
        <w:rPr>
          <w:rFonts w:hint="eastAsia" w:ascii="Times New Roman" w:hAnsi="Times New Roman"/>
          <w:b/>
        </w:rPr>
        <w:t>8</w:t>
      </w:r>
      <w:r>
        <w:rPr>
          <w:rFonts w:ascii="Times New Roman" w:hAnsi="Times New Roman"/>
          <w:b/>
        </w:rPr>
        <w:t>.0.9</w:t>
      </w:r>
      <w:r>
        <w:rPr>
          <w:rFonts w:hint="eastAsia" w:hAnsi="宋体" w:eastAsia="宋体"/>
        </w:rPr>
        <w:t>车辆基地上盖所有竖向构件的纵筋（或型钢）、上盖可能增设构件的埋件等均应在盖板施工阶段进行预留，并采取有效措施进行保护。</w:t>
      </w:r>
    </w:p>
    <w:p>
      <w:pPr>
        <w:pStyle w:val="16"/>
        <w:snapToGrid w:val="0"/>
        <w:spacing w:line="360" w:lineRule="auto"/>
        <w:ind w:firstLine="482"/>
        <w:rPr>
          <w:rFonts w:hAnsi="宋体" w:eastAsia="宋体"/>
        </w:rPr>
      </w:pPr>
      <w:r>
        <w:rPr>
          <w:rFonts w:hint="eastAsia" w:ascii="Times New Roman" w:hAnsi="Times New Roman"/>
          <w:b/>
          <w:bCs/>
        </w:rPr>
        <w:t>8</w:t>
      </w:r>
      <w:r>
        <w:rPr>
          <w:rFonts w:ascii="Times New Roman" w:hAnsi="Times New Roman"/>
          <w:b/>
          <w:bCs/>
        </w:rPr>
        <w:t>.0.10</w:t>
      </w:r>
      <w:r>
        <w:rPr>
          <w:rFonts w:hint="eastAsia" w:hAnsi="宋体" w:eastAsia="宋体"/>
        </w:rPr>
        <w:t>车辆基地屋面楼板设计应考虑预留上盖建筑的施工荷载，包括施工堆载、施工电梯、塔吊、重车通行、转换层支模等，荷载取值不宜小于</w:t>
      </w:r>
      <w:r>
        <w:rPr>
          <w:rFonts w:hAnsi="宋体" w:eastAsia="宋体"/>
        </w:rPr>
        <w:t>1</w:t>
      </w:r>
      <w:r>
        <w:rPr>
          <w:rFonts w:hint="eastAsia" w:hAnsi="宋体" w:eastAsia="宋体"/>
        </w:rPr>
        <w:t>0kN/m</w:t>
      </w:r>
      <w:r>
        <w:rPr>
          <w:rFonts w:hint="eastAsia" w:hAnsi="宋体" w:eastAsia="宋体"/>
          <w:vertAlign w:val="superscript"/>
        </w:rPr>
        <w:t>2</w:t>
      </w:r>
      <w:r>
        <w:rPr>
          <w:rFonts w:hint="eastAsia" w:hAnsi="宋体" w:eastAsia="宋体"/>
        </w:rPr>
        <w:t>。</w:t>
      </w:r>
    </w:p>
    <w:p>
      <w:pPr>
        <w:pStyle w:val="16"/>
        <w:snapToGrid w:val="0"/>
        <w:spacing w:line="360" w:lineRule="auto"/>
        <w:ind w:firstLine="482"/>
        <w:rPr>
          <w:rFonts w:hAnsi="宋体"/>
        </w:rPr>
      </w:pPr>
      <w:r>
        <w:rPr>
          <w:rFonts w:hint="eastAsia" w:ascii="Times New Roman" w:hAnsi="Times New Roman"/>
          <w:b/>
          <w:bCs/>
        </w:rPr>
        <w:t>8</w:t>
      </w:r>
      <w:r>
        <w:rPr>
          <w:rFonts w:ascii="Times New Roman" w:hAnsi="Times New Roman"/>
          <w:b/>
          <w:bCs/>
        </w:rPr>
        <w:t>.0.11</w:t>
      </w:r>
      <w:r>
        <w:rPr>
          <w:rFonts w:hint="eastAsia" w:hAnsi="宋体" w:eastAsia="宋体"/>
        </w:rPr>
        <w:t>上盖结构和车辆基地分期施工时，车辆基地设计、施工单位应采取有效防护措施，保证盖板的屋面使用功能如保温、防水等要求，以免上盖建筑的施工对车辆基地使用造成不利影响。</w:t>
      </w:r>
    </w:p>
    <w:p>
      <w:pPr>
        <w:pStyle w:val="2"/>
        <w:numPr>
          <w:ilvl w:val="0"/>
          <w:numId w:val="0"/>
        </w:numPr>
        <w:spacing w:line="400" w:lineRule="exact"/>
        <w:rPr>
          <w:b w:val="0"/>
          <w:bCs w:val="0"/>
          <w:kern w:val="32"/>
          <w:sz w:val="30"/>
          <w:szCs w:val="32"/>
        </w:rPr>
      </w:pPr>
      <w:r>
        <w:rPr>
          <w:rFonts w:hAnsi="宋体"/>
        </w:rPr>
        <w:br w:type="page"/>
      </w:r>
    </w:p>
    <w:p>
      <w:pPr>
        <w:pStyle w:val="2"/>
        <w:numPr>
          <w:ilvl w:val="0"/>
          <w:numId w:val="0"/>
        </w:numPr>
        <w:rPr>
          <w:rFonts w:ascii="Times New Roman" w:hAnsi="Times New Roman"/>
          <w:color w:val="000000"/>
        </w:rPr>
      </w:pPr>
      <w:bookmarkStart w:id="149" w:name="_Toc257127829"/>
      <w:bookmarkStart w:id="150" w:name="_Toc90922384"/>
      <w:r>
        <w:rPr>
          <w:rFonts w:ascii="Times New Roman" w:hAnsi="Times New Roman"/>
          <w:color w:val="000000"/>
        </w:rPr>
        <w:t>附录</w:t>
      </w:r>
      <w:r>
        <w:rPr>
          <w:rFonts w:hint="eastAsia" w:ascii="Times New Roman" w:hAnsi="Times New Roman"/>
          <w:color w:val="000000"/>
        </w:rPr>
        <w:t xml:space="preserve">A  </w:t>
      </w:r>
      <w:bookmarkEnd w:id="149"/>
      <w:r>
        <w:rPr>
          <w:rFonts w:hint="eastAsia" w:ascii="Times New Roman" w:hAnsi="Times New Roman"/>
          <w:color w:val="000000"/>
        </w:rPr>
        <w:t>性能设计</w:t>
      </w:r>
      <w:bookmarkEnd w:id="150"/>
    </w:p>
    <w:p>
      <w:pPr>
        <w:adjustRightInd w:val="0"/>
        <w:snapToGrid w:val="0"/>
        <w:spacing w:before="156" w:beforeLines="50" w:line="360" w:lineRule="auto"/>
        <w:ind w:firstLine="482"/>
        <w:rPr>
          <w:rFonts w:hAnsi="宋体"/>
          <w:kern w:val="0"/>
        </w:rPr>
      </w:pPr>
      <w:r>
        <w:rPr>
          <w:b/>
          <w:bCs/>
          <w:kern w:val="0"/>
        </w:rPr>
        <w:t>A.1</w:t>
      </w:r>
      <w:r>
        <w:rPr>
          <w:rFonts w:hint="eastAsia" w:hAnsi="宋体"/>
          <w:kern w:val="0"/>
        </w:rPr>
        <w:t>车辆基地上盖建筑的抗震性能设计应基于车辆基地及其上盖结构的特点，建立能够形成合理屈服机制的结构体系，保证结构在遭受预设罕遇地震时能够实现预期的安全目标和使用要求。</w:t>
      </w:r>
    </w:p>
    <w:p>
      <w:pPr>
        <w:adjustRightInd w:val="0"/>
        <w:snapToGrid w:val="0"/>
        <w:spacing w:before="156" w:beforeLines="50" w:line="360" w:lineRule="auto"/>
        <w:ind w:firstLine="480"/>
        <w:rPr>
          <w:rFonts w:hAnsi="宋体"/>
          <w:szCs w:val="21"/>
        </w:rPr>
      </w:pPr>
      <w:r>
        <w:rPr>
          <w:rFonts w:hint="eastAsia" w:eastAsia="等线"/>
          <w:b/>
          <w:bCs/>
          <w:color w:val="000000"/>
        </w:rPr>
        <w:t>[条文说明]</w:t>
      </w:r>
      <w:r>
        <w:rPr>
          <w:rFonts w:hint="eastAsia" w:hAnsi="宋体"/>
          <w:szCs w:val="21"/>
        </w:rPr>
        <w:t>车辆基地上盖高层建筑几乎包含了所有的竖向不规则项目，单纯的线弹性设计无法准确反映结构的变形机构和破坏机制。性能设计方法的优点在于可通过非线性分析发现结构薄弱部位，控制发生塑性变形的位置和时序，加强关键构件的抗震承载力，使结构整体具备现行《建筑抗震设计规范》GB50011和《高层建筑混凝土结构技术规程》JGJ3要求的抗震性能。</w:t>
      </w:r>
    </w:p>
    <w:p>
      <w:pPr>
        <w:adjustRightInd w:val="0"/>
        <w:snapToGrid w:val="0"/>
        <w:spacing w:before="156" w:beforeLines="50" w:line="360" w:lineRule="auto"/>
        <w:ind w:firstLine="482"/>
        <w:rPr>
          <w:rFonts w:hAnsi="宋体"/>
          <w:kern w:val="0"/>
        </w:rPr>
      </w:pPr>
      <w:r>
        <w:rPr>
          <w:b/>
          <w:bCs/>
          <w:kern w:val="0"/>
        </w:rPr>
        <w:t>A.2</w:t>
      </w:r>
      <w:r>
        <w:rPr>
          <w:rFonts w:hint="eastAsia" w:hAnsi="宋体"/>
          <w:kern w:val="0"/>
        </w:rPr>
        <w:t>车辆基地上盖建筑的抗震性能目标可根据上盖和盖下结构体系的各自特点，分别设置，并按《高层建筑混凝土结构技术规程》JGJ3的相关标准划分为A、B、C、D四个等级，结构抗震性能分为1、2、3、4、5水准，不同抗震性能水准的结构可按《高层建筑混凝土结构技术规程》JGJ3的相关规定进行设计，并采取满足预期抗震性能目标的措施。</w:t>
      </w:r>
    </w:p>
    <w:p>
      <w:pPr>
        <w:adjustRightInd w:val="0"/>
        <w:snapToGrid w:val="0"/>
        <w:spacing w:before="156" w:beforeLines="50" w:line="360" w:lineRule="auto"/>
        <w:ind w:firstLine="480"/>
        <w:rPr>
          <w:rFonts w:hAnsi="宋体"/>
          <w:kern w:val="0"/>
        </w:rPr>
      </w:pPr>
      <w:r>
        <w:rPr>
          <w:rFonts w:hint="eastAsia" w:eastAsia="等线"/>
          <w:b/>
          <w:bCs/>
          <w:color w:val="000000"/>
        </w:rPr>
        <w:t>[条文说明]</w:t>
      </w:r>
      <w:r>
        <w:rPr>
          <w:rFonts w:hint="eastAsia" w:hAnsi="宋体"/>
          <w:szCs w:val="21"/>
        </w:rPr>
        <w:t>车辆基地上盖高层建筑性能设计的关键在于选择一个合理的，动力特性可行的塑性铰机构，当上盖与盖下结构体系不同时，可根据各自的破坏模式及对整体结构安全的重要性加以区别，分别选定性能目标，也便于对相关规范条文的执行；对于特别重要的关键构件，亦可采用这种思想方法，设置相应的性能目标。</w:t>
      </w:r>
    </w:p>
    <w:p>
      <w:pPr>
        <w:adjustRightInd w:val="0"/>
        <w:snapToGrid w:val="0"/>
        <w:spacing w:before="156" w:beforeLines="50" w:line="360" w:lineRule="auto"/>
        <w:ind w:firstLine="480"/>
        <w:rPr>
          <w:rFonts w:hAnsi="宋体"/>
          <w:kern w:val="0"/>
        </w:rPr>
      </w:pPr>
      <w:r>
        <w:rPr>
          <w:rFonts w:hint="eastAsia" w:hAnsi="宋体"/>
          <w:szCs w:val="21"/>
        </w:rPr>
        <w:t>《建筑隔震设计标准》GB/T</w:t>
      </w:r>
      <w:r>
        <w:rPr>
          <w:rFonts w:hAnsi="宋体"/>
          <w:szCs w:val="21"/>
        </w:rPr>
        <w:t xml:space="preserve"> </w:t>
      </w:r>
      <w:r>
        <w:rPr>
          <w:rFonts w:hint="eastAsia" w:hAnsi="宋体"/>
          <w:szCs w:val="21"/>
        </w:rPr>
        <w:t>51408、广东省标准《建筑工程混凝土结构抗震性能设计规程》DBJ</w:t>
      </w:r>
      <w:r>
        <w:rPr>
          <w:rFonts w:hAnsi="宋体"/>
          <w:szCs w:val="21"/>
        </w:rPr>
        <w:t>/T15-151</w:t>
      </w:r>
      <w:r>
        <w:rPr>
          <w:rFonts w:hint="eastAsia" w:hAnsi="宋体"/>
          <w:szCs w:val="21"/>
        </w:rPr>
        <w:t>等关于性能目标和性能水准的分类与</w:t>
      </w:r>
      <w:r>
        <w:rPr>
          <w:rFonts w:hint="eastAsia" w:hAnsi="宋体"/>
        </w:rPr>
        <w:t>《高层建筑混凝土结构技术规程》</w:t>
      </w:r>
      <w:r>
        <w:rPr>
          <w:rFonts w:hint="eastAsia" w:hAnsi="宋体"/>
          <w:szCs w:val="21"/>
        </w:rPr>
        <w:t>JGJ3不完全相同，本标准建议按</w:t>
      </w:r>
      <w:r>
        <w:rPr>
          <w:rFonts w:hint="eastAsia" w:hAnsi="宋体"/>
          <w:kern w:val="0"/>
        </w:rPr>
        <w:t>《高层建筑混凝土结构技术规程》</w:t>
      </w:r>
      <w:r>
        <w:rPr>
          <w:rFonts w:hint="eastAsia" w:hAnsi="宋体"/>
          <w:szCs w:val="21"/>
        </w:rPr>
        <w:t>JGJ3的相关规定设计。</w:t>
      </w:r>
    </w:p>
    <w:p>
      <w:pPr>
        <w:snapToGrid w:val="0"/>
        <w:spacing w:before="156" w:beforeLines="50" w:line="360" w:lineRule="auto"/>
        <w:ind w:firstLine="482"/>
        <w:rPr>
          <w:rFonts w:ascii="宋体" w:hAnsi="宋体"/>
          <w:szCs w:val="21"/>
        </w:rPr>
      </w:pPr>
      <w:r>
        <w:rPr>
          <w:b/>
          <w:szCs w:val="21"/>
        </w:rPr>
        <w:t>A.3</w:t>
      </w:r>
      <w:r>
        <w:rPr>
          <w:rFonts w:hint="eastAsia"/>
          <w:szCs w:val="21"/>
        </w:rPr>
        <w:t>车辆基地上盖各类结构整体或结构局部部位的抗震性能目标可参考表</w:t>
      </w:r>
      <w:r>
        <w:rPr>
          <w:rFonts w:hint="eastAsia" w:ascii="宋体" w:hAnsi="宋体"/>
          <w:szCs w:val="21"/>
        </w:rPr>
        <w:t>A.3.1～A.3.4（</w:t>
      </w:r>
      <w:r>
        <w:rPr>
          <w:rStyle w:val="50"/>
          <w:rFonts w:hint="default"/>
          <w:bCs/>
        </w:rPr>
        <w:t>表中B、C分别代表性能目标为B级和C级）</w:t>
      </w:r>
      <w:r>
        <w:rPr>
          <w:rFonts w:hint="eastAsia" w:ascii="宋体" w:hAnsi="宋体"/>
          <w:szCs w:val="21"/>
        </w:rPr>
        <w:t>：</w:t>
      </w:r>
    </w:p>
    <w:p>
      <w:pPr>
        <w:snapToGrid w:val="0"/>
        <w:spacing w:before="156" w:beforeLines="50" w:line="360" w:lineRule="auto"/>
        <w:ind w:firstLine="480"/>
        <w:rPr>
          <w:rFonts w:ascii="宋体" w:hAnsi="宋体"/>
          <w:color w:val="000000"/>
        </w:rPr>
      </w:pPr>
      <w:r>
        <w:rPr>
          <w:rFonts w:hint="eastAsia" w:eastAsia="等线"/>
          <w:b/>
          <w:bCs/>
          <w:color w:val="000000"/>
        </w:rPr>
        <w:t>[条文说明]</w:t>
      </w:r>
      <w:r>
        <w:rPr>
          <w:rFonts w:hint="eastAsia" w:ascii="宋体" w:hAnsi="宋体"/>
          <w:color w:val="000000"/>
        </w:rPr>
        <w:t>本标准所建议的抗震性能目标，是近年在深圳、广州地区工程实践中采用较多的成熟做法，可作为相关设计参照。当业主有特别要求时，在保证结构屈服机制合理的基础上，可进行适当调整。</w:t>
      </w:r>
    </w:p>
    <w:p>
      <w:pPr>
        <w:snapToGrid w:val="0"/>
        <w:spacing w:before="156" w:beforeLines="50" w:line="360" w:lineRule="auto"/>
        <w:ind w:firstLine="480"/>
        <w:rPr>
          <w:rFonts w:ascii="宋体" w:hAnsi="宋体"/>
          <w:color w:val="000000"/>
        </w:rPr>
      </w:pPr>
    </w:p>
    <w:p>
      <w:pPr>
        <w:snapToGrid w:val="0"/>
        <w:spacing w:before="156" w:beforeLines="50" w:line="360" w:lineRule="auto"/>
        <w:ind w:firstLine="480"/>
        <w:rPr>
          <w:szCs w:val="21"/>
        </w:rPr>
      </w:pPr>
    </w:p>
    <w:p>
      <w:pPr>
        <w:snapToGrid w:val="0"/>
        <w:spacing w:before="156" w:beforeLines="50" w:line="360" w:lineRule="auto"/>
        <w:ind w:firstLine="480"/>
        <w:rPr>
          <w:szCs w:val="21"/>
        </w:rPr>
      </w:pPr>
    </w:p>
    <w:p>
      <w:pPr>
        <w:snapToGrid w:val="0"/>
        <w:spacing w:before="156" w:beforeLines="50" w:line="360" w:lineRule="auto"/>
        <w:ind w:firstLine="480"/>
        <w:rPr>
          <w:szCs w:val="21"/>
        </w:rPr>
      </w:pPr>
    </w:p>
    <w:p>
      <w:pPr>
        <w:pStyle w:val="80"/>
        <w:adjustRightInd w:val="0"/>
        <w:snapToGrid w:val="0"/>
        <w:spacing w:before="156" w:beforeLines="50"/>
        <w:ind w:firstLine="480"/>
        <w:rPr>
          <w:rFonts w:eastAsia="宋体"/>
          <w:b/>
        </w:rPr>
      </w:pPr>
      <w:bookmarkStart w:id="151" w:name="_Hlk86926925"/>
      <w:r>
        <w:rPr>
          <w:szCs w:val="21"/>
        </w:rPr>
        <w:t xml:space="preserve"> </w:t>
      </w:r>
      <w:r>
        <w:rPr>
          <w:rFonts w:hAnsi="宋体" w:eastAsia="宋体"/>
          <w:b/>
        </w:rPr>
        <w:t>表</w:t>
      </w:r>
      <w:r>
        <w:rPr>
          <w:rFonts w:eastAsia="宋体"/>
          <w:b/>
        </w:rPr>
        <w:t>A.3-1</w:t>
      </w:r>
      <w:r>
        <w:rPr>
          <w:rFonts w:hint="eastAsia" w:hAnsi="宋体" w:eastAsia="宋体"/>
          <w:b/>
        </w:rPr>
        <w:t>全框支剪力墙结构抗震性能目标</w:t>
      </w:r>
    </w:p>
    <w:tbl>
      <w:tblPr>
        <w:tblStyle w:val="37"/>
        <w:tblW w:w="82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13"/>
        <w:gridCol w:w="1991"/>
        <w:gridCol w:w="1314"/>
        <w:gridCol w:w="1882"/>
        <w:gridCol w:w="209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blHeader/>
        </w:trPr>
        <w:tc>
          <w:tcPr>
            <w:tcW w:w="3004" w:type="dxa"/>
            <w:gridSpan w:val="2"/>
            <w:vAlign w:val="center"/>
          </w:tcPr>
          <w:p>
            <w:pPr>
              <w:pStyle w:val="76"/>
              <w:ind w:firstLine="480"/>
            </w:pPr>
            <w:r>
              <w:rPr>
                <w:rFonts w:hint="eastAsia"/>
              </w:rPr>
              <w:t>结构构件（性能目标）</w:t>
            </w:r>
          </w:p>
        </w:tc>
        <w:tc>
          <w:tcPr>
            <w:tcW w:w="1314" w:type="dxa"/>
            <w:vAlign w:val="center"/>
          </w:tcPr>
          <w:p>
            <w:pPr>
              <w:pStyle w:val="76"/>
            </w:pPr>
            <w:r>
              <w:rPr>
                <w:rFonts w:hint="eastAsia" w:eastAsia="等线" w:cs="华文仿宋"/>
              </w:rPr>
              <w:t>多遇地震（性能水准）</w:t>
            </w:r>
          </w:p>
        </w:tc>
        <w:tc>
          <w:tcPr>
            <w:tcW w:w="1882" w:type="dxa"/>
            <w:vAlign w:val="center"/>
          </w:tcPr>
          <w:p>
            <w:pPr>
              <w:pStyle w:val="76"/>
            </w:pPr>
            <w:r>
              <w:rPr>
                <w:rFonts w:hint="eastAsia"/>
              </w:rPr>
              <w:t>设防烈度地震</w:t>
            </w:r>
            <w:r>
              <w:rPr>
                <w:rFonts w:hint="eastAsia" w:eastAsia="等线" w:cs="华文仿宋"/>
              </w:rPr>
              <w:t>（性能水准）</w:t>
            </w:r>
          </w:p>
        </w:tc>
        <w:tc>
          <w:tcPr>
            <w:tcW w:w="2096" w:type="dxa"/>
            <w:vAlign w:val="center"/>
          </w:tcPr>
          <w:p>
            <w:pPr>
              <w:pStyle w:val="76"/>
            </w:pPr>
            <w:r>
              <w:rPr>
                <w:rFonts w:hint="eastAsia" w:eastAsia="等线" w:cs="华文仿宋"/>
              </w:rPr>
              <w:t>预估的罕遇地震（性能水准）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13" w:type="dxa"/>
            <w:vMerge w:val="restart"/>
            <w:vAlign w:val="center"/>
          </w:tcPr>
          <w:p>
            <w:pPr>
              <w:pStyle w:val="76"/>
            </w:pPr>
            <w:r>
              <w:rPr>
                <w:rFonts w:hint="eastAsia"/>
              </w:rPr>
              <w:t>关键构件</w:t>
            </w:r>
          </w:p>
        </w:tc>
        <w:tc>
          <w:tcPr>
            <w:tcW w:w="1991" w:type="dxa"/>
            <w:vAlign w:val="center"/>
          </w:tcPr>
          <w:p>
            <w:pPr>
              <w:pStyle w:val="76"/>
            </w:pPr>
            <w:r>
              <w:rPr>
                <w:rFonts w:hint="eastAsia"/>
              </w:rPr>
              <w:t>框支柱（B）</w:t>
            </w:r>
          </w:p>
        </w:tc>
        <w:tc>
          <w:tcPr>
            <w:tcW w:w="1314" w:type="dxa"/>
            <w:vAlign w:val="center"/>
          </w:tcPr>
          <w:p>
            <w:pPr>
              <w:pStyle w:val="83"/>
              <w:jc w:val="center"/>
              <w:rPr>
                <w:rFonts w:eastAsia="等线" w:cs="华文仿宋"/>
              </w:rPr>
            </w:pPr>
            <w:r>
              <w:rPr>
                <w:rFonts w:hint="eastAsia" w:eastAsia="等线" w:cs="华文仿宋"/>
              </w:rPr>
              <w:t>弹性（1水准）</w:t>
            </w:r>
          </w:p>
        </w:tc>
        <w:tc>
          <w:tcPr>
            <w:tcW w:w="1882" w:type="dxa"/>
            <w:vAlign w:val="center"/>
          </w:tcPr>
          <w:p>
            <w:pPr>
              <w:pStyle w:val="83"/>
              <w:jc w:val="center"/>
              <w:rPr>
                <w:rFonts w:eastAsia="等线" w:cs="华文仿宋"/>
              </w:rPr>
            </w:pPr>
            <w:r>
              <w:rPr>
                <w:rFonts w:hint="eastAsia" w:eastAsia="等线" w:cs="华文仿宋"/>
              </w:rPr>
              <w:t>弹性（2水准）</w:t>
            </w:r>
          </w:p>
        </w:tc>
        <w:tc>
          <w:tcPr>
            <w:tcW w:w="2096" w:type="dxa"/>
            <w:vAlign w:val="center"/>
          </w:tcPr>
          <w:p>
            <w:pPr>
              <w:pStyle w:val="83"/>
              <w:jc w:val="center"/>
              <w:rPr>
                <w:rFonts w:eastAsia="等线" w:cs="华文仿宋"/>
              </w:rPr>
            </w:pPr>
            <w:r>
              <w:rPr>
                <w:rFonts w:hint="eastAsia" w:eastAsia="等线" w:cs="华文仿宋"/>
              </w:rPr>
              <w:t>抗弯不屈服，抗剪弹性（3水准）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13" w:type="dxa"/>
            <w:vMerge w:val="continue"/>
            <w:vAlign w:val="center"/>
          </w:tcPr>
          <w:p>
            <w:pPr>
              <w:pStyle w:val="76"/>
            </w:pPr>
          </w:p>
        </w:tc>
        <w:tc>
          <w:tcPr>
            <w:tcW w:w="1991" w:type="dxa"/>
            <w:vAlign w:val="center"/>
          </w:tcPr>
          <w:p>
            <w:pPr>
              <w:pStyle w:val="76"/>
            </w:pPr>
            <w:r>
              <w:rPr>
                <w:rFonts w:hint="eastAsia"/>
              </w:rPr>
              <w:t>转换梁（B）</w:t>
            </w:r>
          </w:p>
        </w:tc>
        <w:tc>
          <w:tcPr>
            <w:tcW w:w="1314" w:type="dxa"/>
            <w:vAlign w:val="center"/>
          </w:tcPr>
          <w:p>
            <w:pPr>
              <w:pStyle w:val="83"/>
              <w:jc w:val="center"/>
              <w:rPr>
                <w:rFonts w:eastAsia="等线" w:cs="华文仿宋"/>
              </w:rPr>
            </w:pPr>
            <w:r>
              <w:rPr>
                <w:rFonts w:hint="eastAsia" w:eastAsia="等线" w:cs="华文仿宋"/>
              </w:rPr>
              <w:t>弹性（1水准）</w:t>
            </w:r>
          </w:p>
        </w:tc>
        <w:tc>
          <w:tcPr>
            <w:tcW w:w="1882" w:type="dxa"/>
            <w:vAlign w:val="center"/>
          </w:tcPr>
          <w:p>
            <w:pPr>
              <w:pStyle w:val="83"/>
              <w:jc w:val="center"/>
              <w:rPr>
                <w:rFonts w:eastAsia="等线" w:cs="华文仿宋"/>
              </w:rPr>
            </w:pPr>
            <w:r>
              <w:rPr>
                <w:rFonts w:hint="eastAsia" w:eastAsia="等线" w:cs="华文仿宋"/>
              </w:rPr>
              <w:t>弹性（2水准）</w:t>
            </w:r>
          </w:p>
        </w:tc>
        <w:tc>
          <w:tcPr>
            <w:tcW w:w="2096" w:type="dxa"/>
            <w:vAlign w:val="center"/>
          </w:tcPr>
          <w:p>
            <w:pPr>
              <w:pStyle w:val="83"/>
              <w:jc w:val="center"/>
              <w:rPr>
                <w:rFonts w:eastAsia="等线" w:cs="华文仿宋"/>
              </w:rPr>
            </w:pPr>
            <w:r>
              <w:rPr>
                <w:rFonts w:hint="eastAsia" w:eastAsia="等线" w:cs="华文仿宋"/>
              </w:rPr>
              <w:t>抗弯不屈服，抗剪弹性（3水准）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13" w:type="dxa"/>
            <w:vMerge w:val="continue"/>
            <w:vAlign w:val="center"/>
          </w:tcPr>
          <w:p>
            <w:pPr>
              <w:pStyle w:val="76"/>
            </w:pPr>
          </w:p>
        </w:tc>
        <w:tc>
          <w:tcPr>
            <w:tcW w:w="1991" w:type="dxa"/>
            <w:vAlign w:val="center"/>
          </w:tcPr>
          <w:p>
            <w:pPr>
              <w:pStyle w:val="76"/>
            </w:pPr>
            <w:r>
              <w:rPr>
                <w:rFonts w:hint="eastAsia"/>
              </w:rPr>
              <w:t>塔楼范围外扩一跨框柱（</w:t>
            </w:r>
            <w:r>
              <w:t>B</w:t>
            </w:r>
            <w:r>
              <w:rPr>
                <w:rFonts w:hint="eastAsia"/>
              </w:rPr>
              <w:t>）</w:t>
            </w:r>
          </w:p>
        </w:tc>
        <w:tc>
          <w:tcPr>
            <w:tcW w:w="1314" w:type="dxa"/>
            <w:vAlign w:val="center"/>
          </w:tcPr>
          <w:p>
            <w:pPr>
              <w:pStyle w:val="83"/>
              <w:jc w:val="center"/>
              <w:rPr>
                <w:rFonts w:eastAsia="等线" w:cs="华文仿宋"/>
              </w:rPr>
            </w:pPr>
            <w:r>
              <w:rPr>
                <w:rFonts w:hint="eastAsia" w:eastAsia="等线" w:cs="华文仿宋"/>
              </w:rPr>
              <w:t>弹性（1水准）</w:t>
            </w:r>
          </w:p>
        </w:tc>
        <w:tc>
          <w:tcPr>
            <w:tcW w:w="1882" w:type="dxa"/>
            <w:vAlign w:val="center"/>
          </w:tcPr>
          <w:p>
            <w:pPr>
              <w:pStyle w:val="83"/>
              <w:jc w:val="center"/>
              <w:rPr>
                <w:rFonts w:eastAsia="等线" w:cs="华文仿宋"/>
              </w:rPr>
            </w:pPr>
            <w:r>
              <w:rPr>
                <w:rFonts w:hint="eastAsia" w:eastAsia="等线" w:cs="华文仿宋"/>
              </w:rPr>
              <w:t>弹性（</w:t>
            </w:r>
            <w:r>
              <w:rPr>
                <w:rFonts w:eastAsia="等线" w:cs="华文仿宋"/>
              </w:rPr>
              <w:t>2</w:t>
            </w:r>
            <w:r>
              <w:rPr>
                <w:rFonts w:hint="eastAsia" w:eastAsia="等线" w:cs="华文仿宋"/>
              </w:rPr>
              <w:t>水准）</w:t>
            </w:r>
          </w:p>
        </w:tc>
        <w:tc>
          <w:tcPr>
            <w:tcW w:w="2096" w:type="dxa"/>
            <w:vAlign w:val="center"/>
          </w:tcPr>
          <w:p>
            <w:pPr>
              <w:pStyle w:val="83"/>
              <w:rPr>
                <w:rFonts w:eastAsia="等线" w:cs="华文仿宋"/>
              </w:rPr>
            </w:pPr>
            <w:r>
              <w:rPr>
                <w:rFonts w:hint="eastAsia" w:eastAsia="等线" w:cs="华文仿宋"/>
              </w:rPr>
              <w:t>抗弯不屈服，抗剪弹性（</w:t>
            </w:r>
            <w:r>
              <w:rPr>
                <w:rFonts w:eastAsia="等线" w:cs="华文仿宋"/>
              </w:rPr>
              <w:t>3</w:t>
            </w:r>
            <w:r>
              <w:rPr>
                <w:rFonts w:hint="eastAsia" w:eastAsia="等线" w:cs="华文仿宋"/>
              </w:rPr>
              <w:t>水准）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13" w:type="dxa"/>
            <w:vMerge w:val="continue"/>
            <w:vAlign w:val="center"/>
          </w:tcPr>
          <w:p>
            <w:pPr>
              <w:pStyle w:val="76"/>
            </w:pPr>
          </w:p>
        </w:tc>
        <w:tc>
          <w:tcPr>
            <w:tcW w:w="1991" w:type="dxa"/>
            <w:vAlign w:val="center"/>
          </w:tcPr>
          <w:p>
            <w:pPr>
              <w:pStyle w:val="76"/>
            </w:pPr>
            <w:r>
              <w:rPr>
                <w:rFonts w:hint="eastAsia" w:eastAsia="等线" w:cs="华文仿宋"/>
              </w:rPr>
              <w:t>底部加强部位剪力墙（C）</w:t>
            </w:r>
          </w:p>
        </w:tc>
        <w:tc>
          <w:tcPr>
            <w:tcW w:w="1314" w:type="dxa"/>
            <w:vAlign w:val="center"/>
          </w:tcPr>
          <w:p>
            <w:pPr>
              <w:pStyle w:val="83"/>
              <w:jc w:val="center"/>
              <w:rPr>
                <w:rFonts w:eastAsia="等线" w:cs="华文仿宋"/>
              </w:rPr>
            </w:pPr>
            <w:r>
              <w:rPr>
                <w:rFonts w:hint="eastAsia" w:eastAsia="等线" w:cs="华文仿宋"/>
              </w:rPr>
              <w:t>弹性（1水准）</w:t>
            </w:r>
          </w:p>
        </w:tc>
        <w:tc>
          <w:tcPr>
            <w:tcW w:w="1882" w:type="dxa"/>
            <w:vAlign w:val="center"/>
          </w:tcPr>
          <w:p>
            <w:pPr>
              <w:pStyle w:val="83"/>
              <w:jc w:val="center"/>
              <w:rPr>
                <w:rFonts w:eastAsia="等线" w:cs="华文仿宋"/>
              </w:rPr>
            </w:pPr>
            <w:r>
              <w:rPr>
                <w:rFonts w:hint="eastAsia" w:eastAsia="等线" w:cs="华文仿宋"/>
              </w:rPr>
              <w:t>抗弯不屈服，抗剪弹性（3水准）</w:t>
            </w:r>
          </w:p>
        </w:tc>
        <w:tc>
          <w:tcPr>
            <w:tcW w:w="2096" w:type="dxa"/>
            <w:vAlign w:val="center"/>
          </w:tcPr>
          <w:p>
            <w:pPr>
              <w:pStyle w:val="83"/>
              <w:jc w:val="center"/>
              <w:rPr>
                <w:rFonts w:eastAsia="等线" w:cs="华文仿宋"/>
              </w:rPr>
            </w:pPr>
            <w:r>
              <w:rPr>
                <w:rFonts w:hint="eastAsia" w:eastAsia="等线" w:cs="华文仿宋"/>
              </w:rPr>
              <w:t>抗弯不屈服，抗剪不屈服（</w:t>
            </w:r>
            <w:r>
              <w:rPr>
                <w:rFonts w:eastAsia="等线" w:cs="华文仿宋"/>
              </w:rPr>
              <w:t>4</w:t>
            </w:r>
            <w:r>
              <w:rPr>
                <w:rFonts w:hint="eastAsia" w:eastAsia="等线" w:cs="华文仿宋"/>
              </w:rPr>
              <w:t>水准）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13" w:type="dxa"/>
            <w:vAlign w:val="center"/>
          </w:tcPr>
          <w:p>
            <w:pPr>
              <w:pStyle w:val="83"/>
              <w:jc w:val="center"/>
              <w:rPr>
                <w:rFonts w:eastAsia="等线" w:cs="华文仿宋"/>
              </w:rPr>
            </w:pPr>
            <w:r>
              <w:rPr>
                <w:rFonts w:hint="eastAsia" w:eastAsia="等线" w:cs="华文仿宋"/>
              </w:rPr>
              <w:t>普通竖向构件</w:t>
            </w:r>
          </w:p>
        </w:tc>
        <w:tc>
          <w:tcPr>
            <w:tcW w:w="1991" w:type="dxa"/>
            <w:vAlign w:val="center"/>
          </w:tcPr>
          <w:p>
            <w:pPr>
              <w:pStyle w:val="83"/>
              <w:jc w:val="center"/>
              <w:rPr>
                <w:rFonts w:eastAsia="等线" w:cs="华文仿宋"/>
              </w:rPr>
            </w:pPr>
            <w:r>
              <w:rPr>
                <w:rFonts w:hint="eastAsia" w:eastAsia="等线" w:cs="华文仿宋"/>
              </w:rPr>
              <w:t>除关键构件外的剪力墙、框架柱（C）</w:t>
            </w:r>
          </w:p>
        </w:tc>
        <w:tc>
          <w:tcPr>
            <w:tcW w:w="1314" w:type="dxa"/>
            <w:vAlign w:val="center"/>
          </w:tcPr>
          <w:p>
            <w:pPr>
              <w:pStyle w:val="83"/>
              <w:jc w:val="center"/>
              <w:rPr>
                <w:rFonts w:eastAsia="等线" w:cs="华文仿宋"/>
              </w:rPr>
            </w:pPr>
            <w:r>
              <w:rPr>
                <w:rFonts w:hint="eastAsia" w:eastAsia="等线" w:cs="华文仿宋"/>
              </w:rPr>
              <w:t>弹性（1水准）</w:t>
            </w:r>
          </w:p>
        </w:tc>
        <w:tc>
          <w:tcPr>
            <w:tcW w:w="1882" w:type="dxa"/>
            <w:vAlign w:val="center"/>
          </w:tcPr>
          <w:p>
            <w:pPr>
              <w:pStyle w:val="83"/>
              <w:jc w:val="center"/>
              <w:rPr>
                <w:rFonts w:eastAsia="等线" w:cs="华文仿宋"/>
              </w:rPr>
            </w:pPr>
            <w:r>
              <w:rPr>
                <w:rFonts w:hint="eastAsia" w:eastAsia="等线" w:cs="华文仿宋"/>
              </w:rPr>
              <w:t>抗弯不屈服，抗剪弹性（3水准）</w:t>
            </w:r>
          </w:p>
        </w:tc>
        <w:tc>
          <w:tcPr>
            <w:tcW w:w="2096" w:type="dxa"/>
            <w:vAlign w:val="center"/>
          </w:tcPr>
          <w:p>
            <w:pPr>
              <w:pStyle w:val="83"/>
              <w:jc w:val="center"/>
              <w:rPr>
                <w:rFonts w:eastAsia="等线" w:cs="华文仿宋"/>
                <w:color w:val="000000"/>
              </w:rPr>
            </w:pPr>
            <w:r>
              <w:rPr>
                <w:rFonts w:hint="eastAsia" w:eastAsia="等线" w:cs="华文仿宋"/>
                <w:color w:val="000000"/>
              </w:rPr>
              <w:t>部分抗弯屈服，满足截面抗剪（4水准）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37" w:hRule="atLeast"/>
        </w:trPr>
        <w:tc>
          <w:tcPr>
            <w:tcW w:w="1013" w:type="dxa"/>
            <w:vMerge w:val="restart"/>
            <w:vAlign w:val="center"/>
          </w:tcPr>
          <w:p>
            <w:pPr>
              <w:pStyle w:val="83"/>
              <w:jc w:val="both"/>
              <w:rPr>
                <w:rFonts w:eastAsia="等线" w:cs="华文仿宋"/>
              </w:rPr>
            </w:pPr>
            <w:r>
              <w:rPr>
                <w:rFonts w:hint="eastAsia" w:eastAsia="等线" w:cs="华文仿宋"/>
              </w:rPr>
              <w:t>耗能构件</w:t>
            </w:r>
          </w:p>
        </w:tc>
        <w:tc>
          <w:tcPr>
            <w:tcW w:w="1991" w:type="dxa"/>
            <w:vAlign w:val="center"/>
          </w:tcPr>
          <w:p>
            <w:pPr>
              <w:pStyle w:val="83"/>
              <w:jc w:val="center"/>
              <w:rPr>
                <w:rFonts w:eastAsia="等线" w:cs="华文仿宋"/>
              </w:rPr>
            </w:pPr>
            <w:r>
              <w:rPr>
                <w:rFonts w:hint="eastAsia" w:eastAsia="等线" w:cs="华文仿宋"/>
              </w:rPr>
              <w:t>转换层塔楼范围及外扩一跨框架梁（B）</w:t>
            </w:r>
          </w:p>
        </w:tc>
        <w:tc>
          <w:tcPr>
            <w:tcW w:w="1314" w:type="dxa"/>
            <w:vAlign w:val="center"/>
          </w:tcPr>
          <w:p>
            <w:pPr>
              <w:pStyle w:val="83"/>
              <w:jc w:val="center"/>
              <w:rPr>
                <w:rFonts w:eastAsia="等线" w:cs="华文仿宋"/>
              </w:rPr>
            </w:pPr>
            <w:r>
              <w:rPr>
                <w:rFonts w:hint="eastAsia" w:eastAsia="等线" w:cs="华文仿宋"/>
              </w:rPr>
              <w:t>弹性（1水准）</w:t>
            </w:r>
          </w:p>
        </w:tc>
        <w:tc>
          <w:tcPr>
            <w:tcW w:w="1882" w:type="dxa"/>
            <w:vAlign w:val="center"/>
          </w:tcPr>
          <w:p>
            <w:pPr>
              <w:pStyle w:val="83"/>
              <w:jc w:val="center"/>
              <w:rPr>
                <w:rFonts w:eastAsia="等线" w:cs="华文仿宋"/>
              </w:rPr>
            </w:pPr>
            <w:r>
              <w:rPr>
                <w:rFonts w:hint="eastAsia" w:eastAsia="等线" w:cs="华文仿宋"/>
              </w:rPr>
              <w:t>抗弯不屈服，抗剪弹性，（2水准）</w:t>
            </w:r>
          </w:p>
        </w:tc>
        <w:tc>
          <w:tcPr>
            <w:tcW w:w="2096" w:type="dxa"/>
            <w:vAlign w:val="center"/>
          </w:tcPr>
          <w:p>
            <w:pPr>
              <w:pStyle w:val="83"/>
              <w:jc w:val="center"/>
              <w:rPr>
                <w:rFonts w:eastAsia="等线" w:cs="华文仿宋"/>
                <w:color w:val="000000"/>
              </w:rPr>
            </w:pPr>
            <w:r>
              <w:rPr>
                <w:rFonts w:hint="eastAsia" w:eastAsia="等线" w:cs="华文仿宋"/>
              </w:rPr>
              <w:t>部分抗弯屈服，抗剪不屈服（3水准）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13" w:type="dxa"/>
            <w:vMerge w:val="continue"/>
            <w:vAlign w:val="center"/>
          </w:tcPr>
          <w:p>
            <w:pPr>
              <w:pStyle w:val="83"/>
              <w:ind w:firstLine="480"/>
              <w:jc w:val="both"/>
              <w:rPr>
                <w:rFonts w:eastAsia="等线" w:cs="华文仿宋"/>
              </w:rPr>
            </w:pPr>
          </w:p>
        </w:tc>
        <w:tc>
          <w:tcPr>
            <w:tcW w:w="1991" w:type="dxa"/>
            <w:vAlign w:val="center"/>
          </w:tcPr>
          <w:p>
            <w:pPr>
              <w:pStyle w:val="83"/>
              <w:jc w:val="center"/>
              <w:rPr>
                <w:rFonts w:eastAsia="等线" w:cs="华文仿宋"/>
              </w:rPr>
            </w:pPr>
            <w:r>
              <w:rPr>
                <w:rFonts w:hint="eastAsia" w:eastAsia="等线" w:cs="华文仿宋"/>
              </w:rPr>
              <w:t>其它框架梁、连梁（C）</w:t>
            </w:r>
          </w:p>
        </w:tc>
        <w:tc>
          <w:tcPr>
            <w:tcW w:w="1314" w:type="dxa"/>
            <w:vAlign w:val="center"/>
          </w:tcPr>
          <w:p>
            <w:pPr>
              <w:pStyle w:val="83"/>
              <w:jc w:val="center"/>
              <w:rPr>
                <w:rFonts w:eastAsia="等线" w:cs="华文仿宋"/>
              </w:rPr>
            </w:pPr>
            <w:r>
              <w:rPr>
                <w:rFonts w:hint="eastAsia" w:eastAsia="等线" w:cs="华文仿宋"/>
              </w:rPr>
              <w:t>弹性（1水准）</w:t>
            </w:r>
          </w:p>
        </w:tc>
        <w:tc>
          <w:tcPr>
            <w:tcW w:w="1882" w:type="dxa"/>
            <w:vAlign w:val="center"/>
          </w:tcPr>
          <w:p>
            <w:pPr>
              <w:pStyle w:val="83"/>
              <w:jc w:val="center"/>
              <w:rPr>
                <w:rFonts w:eastAsia="等线" w:cs="华文仿宋"/>
              </w:rPr>
            </w:pPr>
            <w:r>
              <w:rPr>
                <w:rFonts w:hint="eastAsia" w:eastAsia="等线" w:cs="华文仿宋"/>
              </w:rPr>
              <w:t>部分抗弯屈服，抗剪不屈服（3水准）</w:t>
            </w:r>
          </w:p>
        </w:tc>
        <w:tc>
          <w:tcPr>
            <w:tcW w:w="2096" w:type="dxa"/>
            <w:vAlign w:val="center"/>
          </w:tcPr>
          <w:p>
            <w:pPr>
              <w:pStyle w:val="83"/>
              <w:jc w:val="center"/>
              <w:rPr>
                <w:rFonts w:eastAsia="等线" w:cs="华文仿宋"/>
              </w:rPr>
            </w:pPr>
            <w:r>
              <w:rPr>
                <w:rFonts w:hint="eastAsia" w:eastAsia="等线" w:cs="华文仿宋"/>
                <w:color w:val="000000"/>
              </w:rPr>
              <w:t>大部分抗弯屈服，满足截面抗剪（4水准）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13" w:type="dxa"/>
            <w:vMerge w:val="restart"/>
            <w:vAlign w:val="center"/>
          </w:tcPr>
          <w:p>
            <w:pPr>
              <w:pStyle w:val="83"/>
              <w:jc w:val="center"/>
              <w:rPr>
                <w:rFonts w:eastAsia="等线" w:cs="华文仿宋"/>
              </w:rPr>
            </w:pPr>
            <w:r>
              <w:rPr>
                <w:rFonts w:hint="eastAsia" w:eastAsia="等线" w:cs="华文仿宋"/>
              </w:rPr>
              <w:t>竖向构件变形要求</w:t>
            </w:r>
          </w:p>
        </w:tc>
        <w:tc>
          <w:tcPr>
            <w:tcW w:w="1991" w:type="dxa"/>
            <w:vAlign w:val="center"/>
          </w:tcPr>
          <w:p>
            <w:pPr>
              <w:pStyle w:val="83"/>
              <w:jc w:val="center"/>
              <w:rPr>
                <w:rFonts w:eastAsia="等线" w:cs="华文仿宋"/>
              </w:rPr>
            </w:pPr>
            <w:r>
              <w:rPr>
                <w:rFonts w:hint="eastAsia" w:eastAsia="等线" w:cs="华文仿宋"/>
              </w:rPr>
              <w:t>转换层以上</w:t>
            </w:r>
          </w:p>
        </w:tc>
        <w:tc>
          <w:tcPr>
            <w:tcW w:w="1314" w:type="dxa"/>
            <w:vAlign w:val="center"/>
          </w:tcPr>
          <w:p>
            <w:pPr>
              <w:pStyle w:val="83"/>
              <w:jc w:val="center"/>
              <w:rPr>
                <w:rFonts w:eastAsia="等线" w:cs="华文仿宋"/>
              </w:rPr>
            </w:pPr>
            <w:r>
              <w:rPr>
                <w:rFonts w:hint="eastAsia" w:eastAsia="等线" w:cs="华文仿宋"/>
              </w:rPr>
              <w:t>≤1/</w:t>
            </w:r>
            <w:r>
              <w:rPr>
                <w:rFonts w:eastAsia="等线" w:cs="华文仿宋"/>
              </w:rPr>
              <w:t>800</w:t>
            </w:r>
          </w:p>
        </w:tc>
        <w:tc>
          <w:tcPr>
            <w:tcW w:w="1882" w:type="dxa"/>
            <w:vAlign w:val="center"/>
          </w:tcPr>
          <w:p>
            <w:pPr>
              <w:pStyle w:val="83"/>
              <w:jc w:val="center"/>
              <w:rPr>
                <w:rFonts w:eastAsia="等线" w:cs="华文仿宋"/>
              </w:rPr>
            </w:pPr>
            <w:r>
              <w:rPr>
                <w:rFonts w:hint="eastAsia" w:eastAsia="等线" w:cs="华文仿宋"/>
              </w:rPr>
              <w:t>-</w:t>
            </w:r>
          </w:p>
        </w:tc>
        <w:tc>
          <w:tcPr>
            <w:tcW w:w="2096" w:type="dxa"/>
            <w:vAlign w:val="center"/>
          </w:tcPr>
          <w:p>
            <w:pPr>
              <w:pStyle w:val="83"/>
              <w:jc w:val="center"/>
              <w:rPr>
                <w:rFonts w:eastAsia="等线" w:cs="华文仿宋"/>
              </w:rPr>
            </w:pPr>
            <w:r>
              <w:rPr>
                <w:rFonts w:hint="eastAsia" w:eastAsia="等线" w:cs="华文仿宋"/>
              </w:rPr>
              <w:t>≤1/</w:t>
            </w:r>
            <w:r>
              <w:rPr>
                <w:rFonts w:eastAsia="等线" w:cs="华文仿宋"/>
              </w:rPr>
              <w:t>120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13" w:type="dxa"/>
            <w:vMerge w:val="continue"/>
            <w:vAlign w:val="center"/>
          </w:tcPr>
          <w:p>
            <w:pPr>
              <w:pStyle w:val="83"/>
              <w:ind w:firstLine="480"/>
              <w:jc w:val="center"/>
              <w:rPr>
                <w:rFonts w:eastAsia="等线" w:cs="华文仿宋"/>
              </w:rPr>
            </w:pPr>
          </w:p>
        </w:tc>
        <w:tc>
          <w:tcPr>
            <w:tcW w:w="1991" w:type="dxa"/>
            <w:vAlign w:val="center"/>
          </w:tcPr>
          <w:p>
            <w:pPr>
              <w:pStyle w:val="83"/>
              <w:jc w:val="center"/>
              <w:rPr>
                <w:rFonts w:eastAsia="等线" w:cs="华文仿宋"/>
              </w:rPr>
            </w:pPr>
            <w:r>
              <w:rPr>
                <w:rFonts w:hint="eastAsia" w:eastAsia="等线" w:cs="华文仿宋"/>
              </w:rPr>
              <w:t>转换层以下塔楼范围及外扩一跨</w:t>
            </w:r>
          </w:p>
        </w:tc>
        <w:tc>
          <w:tcPr>
            <w:tcW w:w="1314" w:type="dxa"/>
            <w:vAlign w:val="center"/>
          </w:tcPr>
          <w:p>
            <w:pPr>
              <w:pStyle w:val="83"/>
              <w:jc w:val="center"/>
              <w:rPr>
                <w:rFonts w:eastAsia="等线" w:cs="华文仿宋"/>
              </w:rPr>
            </w:pPr>
            <w:r>
              <w:rPr>
                <w:rFonts w:hint="eastAsia" w:eastAsia="等线" w:cs="华文仿宋"/>
              </w:rPr>
              <w:t>≤1/</w:t>
            </w:r>
            <w:r>
              <w:rPr>
                <w:rFonts w:eastAsia="等线" w:cs="华文仿宋"/>
              </w:rPr>
              <w:t>2</w:t>
            </w:r>
            <w:r>
              <w:rPr>
                <w:rFonts w:hint="eastAsia" w:eastAsia="等线" w:cs="华文仿宋"/>
              </w:rPr>
              <w:t>000</w:t>
            </w:r>
          </w:p>
        </w:tc>
        <w:tc>
          <w:tcPr>
            <w:tcW w:w="1882" w:type="dxa"/>
            <w:vAlign w:val="center"/>
          </w:tcPr>
          <w:p>
            <w:pPr>
              <w:pStyle w:val="83"/>
              <w:jc w:val="center"/>
              <w:rPr>
                <w:rFonts w:eastAsia="等线" w:cs="华文仿宋"/>
              </w:rPr>
            </w:pPr>
            <w:r>
              <w:rPr>
                <w:rFonts w:hint="eastAsia" w:eastAsia="等线" w:cs="华文仿宋"/>
              </w:rPr>
              <w:t>-</w:t>
            </w:r>
          </w:p>
        </w:tc>
        <w:tc>
          <w:tcPr>
            <w:tcW w:w="2096" w:type="dxa"/>
            <w:vAlign w:val="center"/>
          </w:tcPr>
          <w:p>
            <w:pPr>
              <w:pStyle w:val="83"/>
              <w:jc w:val="center"/>
              <w:rPr>
                <w:rFonts w:eastAsia="等线" w:cs="华文仿宋"/>
              </w:rPr>
            </w:pPr>
            <w:r>
              <w:rPr>
                <w:rFonts w:hint="eastAsia" w:eastAsia="等线" w:cs="华文仿宋"/>
              </w:rPr>
              <w:t>≤1/</w:t>
            </w:r>
            <w:r>
              <w:rPr>
                <w:rFonts w:eastAsia="等线" w:cs="华文仿宋"/>
              </w:rPr>
              <w:t>20</w:t>
            </w:r>
            <w:r>
              <w:rPr>
                <w:rFonts w:hint="eastAsia" w:eastAsia="等线" w:cs="华文仿宋"/>
              </w:rPr>
              <w:t>0</w:t>
            </w:r>
          </w:p>
        </w:tc>
      </w:tr>
    </w:tbl>
    <w:p>
      <w:pPr>
        <w:pStyle w:val="53"/>
      </w:pPr>
      <w:r>
        <w:rPr>
          <w:rFonts w:hint="eastAsia"/>
        </w:rPr>
        <w:t>注：表中量词“部分”和“大部分”可分别按2</w:t>
      </w:r>
      <w:r>
        <w:t>0%</w:t>
      </w:r>
      <w:r>
        <w:rPr>
          <w:rFonts w:hint="eastAsia"/>
        </w:rPr>
        <w:t>和5</w:t>
      </w:r>
      <w:r>
        <w:t>0%</w:t>
      </w:r>
      <w:r>
        <w:rPr>
          <w:rFonts w:hint="eastAsia"/>
        </w:rPr>
        <w:t>左右控制（以下同）。</w:t>
      </w:r>
    </w:p>
    <w:bookmarkEnd w:id="151"/>
    <w:p>
      <w:pPr>
        <w:pStyle w:val="80"/>
        <w:adjustRightInd w:val="0"/>
        <w:snapToGrid w:val="0"/>
        <w:spacing w:before="312" w:beforeLines="100"/>
        <w:ind w:firstLine="482"/>
        <w:rPr>
          <w:rFonts w:hAnsi="宋体" w:eastAsia="宋体"/>
          <w:b/>
        </w:rPr>
      </w:pPr>
      <w:r>
        <w:rPr>
          <w:rFonts w:hAnsi="宋体" w:eastAsia="宋体"/>
          <w:b/>
        </w:rPr>
        <w:t>表</w:t>
      </w:r>
      <w:r>
        <w:rPr>
          <w:rFonts w:eastAsia="宋体"/>
          <w:b/>
        </w:rPr>
        <w:t>A.3-2</w:t>
      </w:r>
      <w:r>
        <w:rPr>
          <w:rFonts w:hint="eastAsia" w:hAnsi="宋体" w:eastAsia="宋体"/>
          <w:b/>
        </w:rPr>
        <w:t>托柱框架结构抗震性能目标</w:t>
      </w:r>
    </w:p>
    <w:tbl>
      <w:tblPr>
        <w:tblStyle w:val="37"/>
        <w:tblW w:w="829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90"/>
        <w:gridCol w:w="1529"/>
        <w:gridCol w:w="1389"/>
        <w:gridCol w:w="2041"/>
        <w:gridCol w:w="224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2619" w:type="dxa"/>
            <w:gridSpan w:val="2"/>
            <w:vAlign w:val="center"/>
          </w:tcPr>
          <w:p>
            <w:pPr>
              <w:pStyle w:val="76"/>
            </w:pPr>
            <w:r>
              <w:rPr>
                <w:rFonts w:hint="eastAsia"/>
              </w:rPr>
              <w:t>结构构件（性能目标）</w:t>
            </w:r>
          </w:p>
        </w:tc>
        <w:tc>
          <w:tcPr>
            <w:tcW w:w="1389" w:type="dxa"/>
            <w:vAlign w:val="center"/>
          </w:tcPr>
          <w:p>
            <w:pPr>
              <w:pStyle w:val="76"/>
            </w:pPr>
            <w:r>
              <w:rPr>
                <w:rFonts w:hint="eastAsia" w:eastAsia="等线" w:cs="华文仿宋"/>
              </w:rPr>
              <w:t>多遇地震（性能水准）</w:t>
            </w:r>
          </w:p>
        </w:tc>
        <w:tc>
          <w:tcPr>
            <w:tcW w:w="2041" w:type="dxa"/>
            <w:vAlign w:val="center"/>
          </w:tcPr>
          <w:p>
            <w:pPr>
              <w:pStyle w:val="76"/>
            </w:pPr>
            <w:r>
              <w:rPr>
                <w:rFonts w:hint="eastAsia"/>
              </w:rPr>
              <w:t>设防烈度地震</w:t>
            </w:r>
            <w:r>
              <w:rPr>
                <w:rFonts w:hint="eastAsia" w:eastAsia="等线" w:cs="华文仿宋"/>
              </w:rPr>
              <w:t>（性能水准）</w:t>
            </w:r>
          </w:p>
        </w:tc>
        <w:tc>
          <w:tcPr>
            <w:tcW w:w="2247" w:type="dxa"/>
            <w:vAlign w:val="center"/>
          </w:tcPr>
          <w:p>
            <w:pPr>
              <w:pStyle w:val="76"/>
            </w:pPr>
            <w:r>
              <w:rPr>
                <w:rFonts w:hint="eastAsia" w:eastAsia="等线" w:cs="华文仿宋"/>
              </w:rPr>
              <w:t>预估的罕遇地震（性能水准）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090" w:type="dxa"/>
            <w:vMerge w:val="restart"/>
            <w:vAlign w:val="center"/>
          </w:tcPr>
          <w:p>
            <w:pPr>
              <w:pStyle w:val="76"/>
            </w:pPr>
            <w:r>
              <w:rPr>
                <w:rFonts w:hint="eastAsia"/>
              </w:rPr>
              <w:t>关键构件</w:t>
            </w:r>
          </w:p>
        </w:tc>
        <w:tc>
          <w:tcPr>
            <w:tcW w:w="1529" w:type="dxa"/>
            <w:vAlign w:val="center"/>
          </w:tcPr>
          <w:p>
            <w:pPr>
              <w:pStyle w:val="76"/>
            </w:pPr>
            <w:r>
              <w:rPr>
                <w:rFonts w:hint="eastAsia"/>
              </w:rPr>
              <w:t>托柱转换柱（</w:t>
            </w:r>
            <w:r>
              <w:t>C</w:t>
            </w:r>
            <w:r>
              <w:rPr>
                <w:rFonts w:hint="eastAsia"/>
              </w:rPr>
              <w:t>）</w:t>
            </w:r>
          </w:p>
        </w:tc>
        <w:tc>
          <w:tcPr>
            <w:tcW w:w="1389" w:type="dxa"/>
            <w:vAlign w:val="center"/>
          </w:tcPr>
          <w:p>
            <w:pPr>
              <w:pStyle w:val="83"/>
              <w:jc w:val="center"/>
              <w:rPr>
                <w:rFonts w:eastAsia="等线" w:cs="华文仿宋"/>
              </w:rPr>
            </w:pPr>
            <w:r>
              <w:rPr>
                <w:rFonts w:hint="eastAsia" w:eastAsia="等线" w:cs="华文仿宋"/>
              </w:rPr>
              <w:t>弹性（1水准）</w:t>
            </w:r>
          </w:p>
        </w:tc>
        <w:tc>
          <w:tcPr>
            <w:tcW w:w="2041" w:type="dxa"/>
            <w:vAlign w:val="center"/>
          </w:tcPr>
          <w:p>
            <w:pPr>
              <w:pStyle w:val="83"/>
              <w:jc w:val="center"/>
              <w:rPr>
                <w:rFonts w:eastAsia="等线" w:cs="华文仿宋"/>
              </w:rPr>
            </w:pPr>
            <w:r>
              <w:rPr>
                <w:rFonts w:hint="eastAsia" w:eastAsia="等线" w:cs="华文仿宋"/>
              </w:rPr>
              <w:t>抗弯不屈服，抗剪弹性（</w:t>
            </w:r>
            <w:r>
              <w:rPr>
                <w:rFonts w:eastAsia="等线" w:cs="华文仿宋"/>
              </w:rPr>
              <w:t>3</w:t>
            </w:r>
            <w:r>
              <w:rPr>
                <w:rFonts w:hint="eastAsia" w:eastAsia="等线" w:cs="华文仿宋"/>
              </w:rPr>
              <w:t>水准）</w:t>
            </w:r>
          </w:p>
        </w:tc>
        <w:tc>
          <w:tcPr>
            <w:tcW w:w="2247" w:type="dxa"/>
            <w:vAlign w:val="center"/>
          </w:tcPr>
          <w:p>
            <w:pPr>
              <w:pStyle w:val="83"/>
              <w:jc w:val="center"/>
              <w:rPr>
                <w:rFonts w:eastAsia="等线" w:cs="华文仿宋"/>
              </w:rPr>
            </w:pPr>
            <w:r>
              <w:rPr>
                <w:rFonts w:hint="eastAsia" w:eastAsia="等线" w:cs="华文仿宋"/>
              </w:rPr>
              <w:t>抗弯不屈服，抗剪不屈服（</w:t>
            </w:r>
            <w:r>
              <w:rPr>
                <w:rFonts w:eastAsia="等线" w:cs="华文仿宋"/>
              </w:rPr>
              <w:t>4</w:t>
            </w:r>
            <w:r>
              <w:rPr>
                <w:rFonts w:hint="eastAsia" w:eastAsia="等线" w:cs="华文仿宋"/>
              </w:rPr>
              <w:t>水准）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090" w:type="dxa"/>
            <w:vMerge w:val="continue"/>
            <w:vAlign w:val="center"/>
          </w:tcPr>
          <w:p>
            <w:pPr>
              <w:pStyle w:val="76"/>
            </w:pPr>
          </w:p>
        </w:tc>
        <w:tc>
          <w:tcPr>
            <w:tcW w:w="1529" w:type="dxa"/>
            <w:vAlign w:val="center"/>
          </w:tcPr>
          <w:p>
            <w:pPr>
              <w:pStyle w:val="76"/>
            </w:pPr>
            <w:r>
              <w:rPr>
                <w:rFonts w:hint="eastAsia"/>
              </w:rPr>
              <w:t>转换梁（</w:t>
            </w:r>
            <w:r>
              <w:t>C</w:t>
            </w:r>
            <w:r>
              <w:rPr>
                <w:rFonts w:hint="eastAsia"/>
              </w:rPr>
              <w:t>）</w:t>
            </w:r>
          </w:p>
        </w:tc>
        <w:tc>
          <w:tcPr>
            <w:tcW w:w="1389" w:type="dxa"/>
            <w:vAlign w:val="center"/>
          </w:tcPr>
          <w:p>
            <w:pPr>
              <w:pStyle w:val="83"/>
              <w:jc w:val="center"/>
              <w:rPr>
                <w:rFonts w:eastAsia="等线" w:cs="华文仿宋"/>
              </w:rPr>
            </w:pPr>
            <w:r>
              <w:rPr>
                <w:rFonts w:hint="eastAsia" w:eastAsia="等线" w:cs="华文仿宋"/>
              </w:rPr>
              <w:t>弹性（1水准）</w:t>
            </w:r>
          </w:p>
        </w:tc>
        <w:tc>
          <w:tcPr>
            <w:tcW w:w="2041" w:type="dxa"/>
            <w:vAlign w:val="center"/>
          </w:tcPr>
          <w:p>
            <w:pPr>
              <w:pStyle w:val="83"/>
              <w:jc w:val="center"/>
              <w:rPr>
                <w:rFonts w:eastAsia="等线" w:cs="华文仿宋"/>
              </w:rPr>
            </w:pPr>
            <w:r>
              <w:rPr>
                <w:rFonts w:hint="eastAsia" w:eastAsia="等线" w:cs="华文仿宋"/>
              </w:rPr>
              <w:t>抗弯不屈服，抗剪弹性（</w:t>
            </w:r>
            <w:r>
              <w:rPr>
                <w:rFonts w:eastAsia="等线" w:cs="华文仿宋"/>
              </w:rPr>
              <w:t>3</w:t>
            </w:r>
            <w:r>
              <w:rPr>
                <w:rFonts w:hint="eastAsia" w:eastAsia="等线" w:cs="华文仿宋"/>
              </w:rPr>
              <w:t>水准）</w:t>
            </w:r>
          </w:p>
        </w:tc>
        <w:tc>
          <w:tcPr>
            <w:tcW w:w="2247" w:type="dxa"/>
            <w:vAlign w:val="center"/>
          </w:tcPr>
          <w:p>
            <w:pPr>
              <w:pStyle w:val="83"/>
              <w:jc w:val="center"/>
              <w:rPr>
                <w:rFonts w:eastAsia="等线" w:cs="华文仿宋"/>
              </w:rPr>
            </w:pPr>
            <w:r>
              <w:rPr>
                <w:rFonts w:hint="eastAsia" w:eastAsia="等线" w:cs="华文仿宋"/>
              </w:rPr>
              <w:t>抗弯不屈服，抗剪不屈服（</w:t>
            </w:r>
            <w:r>
              <w:rPr>
                <w:rFonts w:eastAsia="等线" w:cs="华文仿宋"/>
              </w:rPr>
              <w:t>4</w:t>
            </w:r>
            <w:r>
              <w:rPr>
                <w:rFonts w:hint="eastAsia" w:eastAsia="等线" w:cs="华文仿宋"/>
              </w:rPr>
              <w:t>水准）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090" w:type="dxa"/>
            <w:vAlign w:val="center"/>
          </w:tcPr>
          <w:p>
            <w:pPr>
              <w:pStyle w:val="83"/>
              <w:jc w:val="center"/>
              <w:rPr>
                <w:rFonts w:eastAsia="等线" w:cs="华文仿宋"/>
              </w:rPr>
            </w:pPr>
            <w:r>
              <w:rPr>
                <w:rFonts w:hint="eastAsia" w:eastAsia="等线" w:cs="华文仿宋"/>
              </w:rPr>
              <w:t>普通竖向构件</w:t>
            </w:r>
          </w:p>
        </w:tc>
        <w:tc>
          <w:tcPr>
            <w:tcW w:w="1529" w:type="dxa"/>
            <w:vAlign w:val="center"/>
          </w:tcPr>
          <w:p>
            <w:pPr>
              <w:pStyle w:val="83"/>
              <w:jc w:val="center"/>
              <w:rPr>
                <w:rFonts w:eastAsia="等线" w:cs="华文仿宋"/>
              </w:rPr>
            </w:pPr>
            <w:r>
              <w:rPr>
                <w:rFonts w:hint="eastAsia" w:eastAsia="等线" w:cs="华文仿宋"/>
              </w:rPr>
              <w:t>除关键构件外框架柱（C）</w:t>
            </w:r>
          </w:p>
        </w:tc>
        <w:tc>
          <w:tcPr>
            <w:tcW w:w="1389" w:type="dxa"/>
            <w:vAlign w:val="center"/>
          </w:tcPr>
          <w:p>
            <w:pPr>
              <w:pStyle w:val="83"/>
              <w:jc w:val="center"/>
              <w:rPr>
                <w:rFonts w:eastAsia="等线" w:cs="华文仿宋"/>
              </w:rPr>
            </w:pPr>
            <w:r>
              <w:rPr>
                <w:rFonts w:hint="eastAsia" w:eastAsia="等线" w:cs="华文仿宋"/>
              </w:rPr>
              <w:t>弹性（1水准）</w:t>
            </w:r>
          </w:p>
        </w:tc>
        <w:tc>
          <w:tcPr>
            <w:tcW w:w="2041" w:type="dxa"/>
            <w:vAlign w:val="center"/>
          </w:tcPr>
          <w:p>
            <w:pPr>
              <w:pStyle w:val="83"/>
              <w:jc w:val="center"/>
              <w:rPr>
                <w:rFonts w:eastAsia="等线" w:cs="华文仿宋"/>
              </w:rPr>
            </w:pPr>
            <w:r>
              <w:rPr>
                <w:rFonts w:hint="eastAsia" w:eastAsia="等线" w:cs="华文仿宋"/>
              </w:rPr>
              <w:t>抗弯不屈服，抗剪弹性（3水准）</w:t>
            </w:r>
          </w:p>
        </w:tc>
        <w:tc>
          <w:tcPr>
            <w:tcW w:w="2247" w:type="dxa"/>
            <w:vAlign w:val="center"/>
          </w:tcPr>
          <w:p>
            <w:pPr>
              <w:pStyle w:val="83"/>
              <w:jc w:val="center"/>
              <w:rPr>
                <w:rFonts w:eastAsia="等线" w:cs="华文仿宋"/>
                <w:color w:val="000000"/>
              </w:rPr>
            </w:pPr>
            <w:r>
              <w:rPr>
                <w:rFonts w:hint="eastAsia" w:eastAsia="等线" w:cs="华文仿宋"/>
                <w:color w:val="000000"/>
              </w:rPr>
              <w:t>部分抗弯屈服，满足截面抗剪（4水准）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090" w:type="dxa"/>
            <w:vAlign w:val="center"/>
          </w:tcPr>
          <w:p>
            <w:pPr>
              <w:pStyle w:val="83"/>
              <w:jc w:val="center"/>
              <w:rPr>
                <w:rFonts w:eastAsia="等线" w:cs="华文仿宋"/>
              </w:rPr>
            </w:pPr>
            <w:r>
              <w:rPr>
                <w:rFonts w:hint="eastAsia" w:eastAsia="等线" w:cs="华文仿宋"/>
              </w:rPr>
              <w:t>耗能构件</w:t>
            </w:r>
          </w:p>
        </w:tc>
        <w:tc>
          <w:tcPr>
            <w:tcW w:w="1529" w:type="dxa"/>
            <w:vAlign w:val="center"/>
          </w:tcPr>
          <w:p>
            <w:pPr>
              <w:pStyle w:val="83"/>
              <w:jc w:val="center"/>
              <w:rPr>
                <w:rFonts w:eastAsia="等线" w:cs="华文仿宋"/>
              </w:rPr>
            </w:pPr>
            <w:r>
              <w:rPr>
                <w:rFonts w:hint="eastAsia" w:eastAsia="等线" w:cs="华文仿宋"/>
              </w:rPr>
              <w:t>框架梁（C）</w:t>
            </w:r>
          </w:p>
        </w:tc>
        <w:tc>
          <w:tcPr>
            <w:tcW w:w="1389" w:type="dxa"/>
            <w:vAlign w:val="center"/>
          </w:tcPr>
          <w:p>
            <w:pPr>
              <w:pStyle w:val="83"/>
              <w:jc w:val="center"/>
              <w:rPr>
                <w:rFonts w:eastAsia="等线" w:cs="华文仿宋"/>
              </w:rPr>
            </w:pPr>
            <w:r>
              <w:rPr>
                <w:rFonts w:hint="eastAsia" w:eastAsia="等线" w:cs="华文仿宋"/>
              </w:rPr>
              <w:t>弹性（1水准）</w:t>
            </w:r>
          </w:p>
        </w:tc>
        <w:tc>
          <w:tcPr>
            <w:tcW w:w="2041" w:type="dxa"/>
            <w:vAlign w:val="center"/>
          </w:tcPr>
          <w:p>
            <w:pPr>
              <w:pStyle w:val="83"/>
              <w:jc w:val="center"/>
              <w:rPr>
                <w:rFonts w:eastAsia="等线" w:cs="华文仿宋"/>
              </w:rPr>
            </w:pPr>
            <w:r>
              <w:rPr>
                <w:rFonts w:hint="eastAsia" w:eastAsia="等线" w:cs="华文仿宋"/>
              </w:rPr>
              <w:t>部分抗弯屈服，抗剪不屈服（3水准）</w:t>
            </w:r>
          </w:p>
        </w:tc>
        <w:tc>
          <w:tcPr>
            <w:tcW w:w="2247" w:type="dxa"/>
            <w:vAlign w:val="center"/>
          </w:tcPr>
          <w:p>
            <w:pPr>
              <w:pStyle w:val="83"/>
              <w:jc w:val="center"/>
              <w:rPr>
                <w:rFonts w:eastAsia="等线" w:cs="华文仿宋"/>
                <w:color w:val="000000"/>
              </w:rPr>
            </w:pPr>
            <w:r>
              <w:rPr>
                <w:rFonts w:hint="eastAsia" w:eastAsia="等线" w:cs="华文仿宋"/>
                <w:color w:val="000000"/>
              </w:rPr>
              <w:t>大部分抗弯屈服，满足截面抗剪（4水准）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090" w:type="dxa"/>
            <w:vAlign w:val="center"/>
          </w:tcPr>
          <w:p>
            <w:pPr>
              <w:pStyle w:val="83"/>
              <w:jc w:val="center"/>
              <w:rPr>
                <w:rFonts w:eastAsia="等线" w:cs="华文仿宋"/>
              </w:rPr>
            </w:pPr>
            <w:r>
              <w:rPr>
                <w:rFonts w:hint="eastAsia" w:eastAsia="等线" w:cs="华文仿宋"/>
              </w:rPr>
              <w:t>竖向构件变形要求</w:t>
            </w:r>
          </w:p>
        </w:tc>
        <w:tc>
          <w:tcPr>
            <w:tcW w:w="1529" w:type="dxa"/>
            <w:vAlign w:val="center"/>
          </w:tcPr>
          <w:p>
            <w:pPr>
              <w:pStyle w:val="83"/>
              <w:jc w:val="center"/>
              <w:rPr>
                <w:rFonts w:eastAsia="等线" w:cs="华文仿宋"/>
              </w:rPr>
            </w:pPr>
          </w:p>
        </w:tc>
        <w:tc>
          <w:tcPr>
            <w:tcW w:w="1389" w:type="dxa"/>
            <w:vAlign w:val="center"/>
          </w:tcPr>
          <w:p>
            <w:pPr>
              <w:pStyle w:val="83"/>
              <w:jc w:val="center"/>
              <w:rPr>
                <w:rFonts w:eastAsia="等线" w:cs="华文仿宋"/>
              </w:rPr>
            </w:pPr>
            <w:r>
              <w:rPr>
                <w:rFonts w:hint="eastAsia" w:eastAsia="等线" w:cs="华文仿宋"/>
              </w:rPr>
              <w:t>≤1/</w:t>
            </w:r>
            <w:r>
              <w:rPr>
                <w:rFonts w:eastAsia="等线" w:cs="华文仿宋"/>
              </w:rPr>
              <w:t>500</w:t>
            </w:r>
            <w:r>
              <w:rPr>
                <w:rFonts w:hint="eastAsia" w:eastAsia="等线" w:cs="华文仿宋"/>
              </w:rPr>
              <w:t>-</w:t>
            </w:r>
          </w:p>
        </w:tc>
        <w:tc>
          <w:tcPr>
            <w:tcW w:w="2041" w:type="dxa"/>
            <w:vAlign w:val="center"/>
          </w:tcPr>
          <w:p>
            <w:pPr>
              <w:pStyle w:val="83"/>
              <w:jc w:val="center"/>
              <w:rPr>
                <w:rFonts w:eastAsia="等线" w:cs="华文仿宋"/>
              </w:rPr>
            </w:pPr>
            <w:r>
              <w:rPr>
                <w:rFonts w:hint="eastAsia" w:eastAsia="等线" w:cs="华文仿宋"/>
              </w:rPr>
              <w:t>-</w:t>
            </w:r>
          </w:p>
        </w:tc>
        <w:tc>
          <w:tcPr>
            <w:tcW w:w="2247" w:type="dxa"/>
            <w:vAlign w:val="center"/>
          </w:tcPr>
          <w:p>
            <w:pPr>
              <w:pStyle w:val="83"/>
              <w:jc w:val="center"/>
              <w:rPr>
                <w:rFonts w:eastAsia="等线" w:cs="华文仿宋"/>
              </w:rPr>
            </w:pPr>
            <w:r>
              <w:rPr>
                <w:rFonts w:hint="eastAsia" w:eastAsia="等线" w:cs="华文仿宋"/>
              </w:rPr>
              <w:t>≤1/</w:t>
            </w:r>
            <w:r>
              <w:rPr>
                <w:rFonts w:eastAsia="等线" w:cs="华文仿宋"/>
              </w:rPr>
              <w:t>50</w:t>
            </w:r>
          </w:p>
        </w:tc>
      </w:tr>
    </w:tbl>
    <w:p>
      <w:pPr>
        <w:pStyle w:val="80"/>
        <w:adjustRightInd w:val="0"/>
        <w:snapToGrid w:val="0"/>
        <w:spacing w:before="156" w:beforeLines="50"/>
        <w:ind w:firstLine="482"/>
        <w:rPr>
          <w:rFonts w:hAnsi="宋体" w:eastAsia="宋体"/>
          <w:b/>
        </w:rPr>
      </w:pPr>
    </w:p>
    <w:p>
      <w:pPr>
        <w:pStyle w:val="80"/>
        <w:adjustRightInd w:val="0"/>
        <w:snapToGrid w:val="0"/>
        <w:spacing w:before="156" w:beforeLines="50"/>
        <w:ind w:firstLine="482"/>
        <w:rPr>
          <w:rFonts w:eastAsia="宋体"/>
          <w:b/>
        </w:rPr>
      </w:pPr>
      <w:r>
        <w:rPr>
          <w:rFonts w:hAnsi="宋体" w:eastAsia="宋体"/>
          <w:b/>
        </w:rPr>
        <w:t>表</w:t>
      </w:r>
      <w:r>
        <w:rPr>
          <w:rFonts w:eastAsia="宋体"/>
          <w:b/>
        </w:rPr>
        <w:t>A.3-3</w:t>
      </w:r>
      <w:r>
        <w:rPr>
          <w:rFonts w:hint="eastAsia" w:hAnsi="宋体" w:eastAsia="宋体"/>
          <w:b/>
        </w:rPr>
        <w:t>全框支框架-剪力墙结构抗震性能目标</w:t>
      </w:r>
    </w:p>
    <w:tbl>
      <w:tblPr>
        <w:tblStyle w:val="37"/>
        <w:tblW w:w="829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14"/>
        <w:gridCol w:w="1990"/>
        <w:gridCol w:w="1314"/>
        <w:gridCol w:w="1882"/>
        <w:gridCol w:w="209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3004" w:type="dxa"/>
            <w:gridSpan w:val="2"/>
            <w:vAlign w:val="center"/>
          </w:tcPr>
          <w:p>
            <w:pPr>
              <w:pStyle w:val="76"/>
            </w:pPr>
            <w:r>
              <w:rPr>
                <w:rFonts w:hint="eastAsia"/>
              </w:rPr>
              <w:t>结构构件（性能目标）</w:t>
            </w:r>
          </w:p>
        </w:tc>
        <w:tc>
          <w:tcPr>
            <w:tcW w:w="1314" w:type="dxa"/>
            <w:vAlign w:val="center"/>
          </w:tcPr>
          <w:p>
            <w:pPr>
              <w:pStyle w:val="76"/>
            </w:pPr>
            <w:r>
              <w:rPr>
                <w:rFonts w:hint="eastAsia" w:eastAsia="等线" w:cs="华文仿宋"/>
              </w:rPr>
              <w:t>多遇地震（性能水准）</w:t>
            </w:r>
          </w:p>
        </w:tc>
        <w:tc>
          <w:tcPr>
            <w:tcW w:w="1882" w:type="dxa"/>
            <w:vAlign w:val="center"/>
          </w:tcPr>
          <w:p>
            <w:pPr>
              <w:pStyle w:val="76"/>
            </w:pPr>
            <w:r>
              <w:rPr>
                <w:rFonts w:hint="eastAsia"/>
              </w:rPr>
              <w:t>设防烈度地震</w:t>
            </w:r>
            <w:r>
              <w:rPr>
                <w:rFonts w:hint="eastAsia" w:eastAsia="等线" w:cs="华文仿宋"/>
              </w:rPr>
              <w:t>（性能水准）</w:t>
            </w:r>
          </w:p>
        </w:tc>
        <w:tc>
          <w:tcPr>
            <w:tcW w:w="2096" w:type="dxa"/>
            <w:vAlign w:val="center"/>
          </w:tcPr>
          <w:p>
            <w:pPr>
              <w:pStyle w:val="76"/>
            </w:pPr>
            <w:r>
              <w:rPr>
                <w:rFonts w:hint="eastAsia" w:eastAsia="等线" w:cs="华文仿宋"/>
              </w:rPr>
              <w:t>预估的罕遇地震（性能水准）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014" w:type="dxa"/>
            <w:vMerge w:val="restart"/>
            <w:vAlign w:val="center"/>
          </w:tcPr>
          <w:p>
            <w:pPr>
              <w:pStyle w:val="76"/>
            </w:pPr>
            <w:r>
              <w:rPr>
                <w:rFonts w:hint="eastAsia"/>
              </w:rPr>
              <w:t>关键构件</w:t>
            </w:r>
          </w:p>
        </w:tc>
        <w:tc>
          <w:tcPr>
            <w:tcW w:w="1990" w:type="dxa"/>
            <w:vAlign w:val="center"/>
          </w:tcPr>
          <w:p>
            <w:pPr>
              <w:pStyle w:val="76"/>
            </w:pPr>
            <w:r>
              <w:rPr>
                <w:rFonts w:hint="eastAsia"/>
              </w:rPr>
              <w:t>框支柱（B）</w:t>
            </w:r>
          </w:p>
        </w:tc>
        <w:tc>
          <w:tcPr>
            <w:tcW w:w="1314" w:type="dxa"/>
            <w:vAlign w:val="center"/>
          </w:tcPr>
          <w:p>
            <w:pPr>
              <w:pStyle w:val="83"/>
              <w:jc w:val="center"/>
              <w:rPr>
                <w:rFonts w:eastAsia="等线" w:cs="华文仿宋"/>
              </w:rPr>
            </w:pPr>
            <w:r>
              <w:rPr>
                <w:rFonts w:hint="eastAsia" w:eastAsia="等线" w:cs="华文仿宋"/>
              </w:rPr>
              <w:t>弹性（1水准）</w:t>
            </w:r>
          </w:p>
        </w:tc>
        <w:tc>
          <w:tcPr>
            <w:tcW w:w="1882" w:type="dxa"/>
            <w:vAlign w:val="center"/>
          </w:tcPr>
          <w:p>
            <w:pPr>
              <w:pStyle w:val="83"/>
              <w:jc w:val="center"/>
              <w:rPr>
                <w:rFonts w:eastAsia="等线" w:cs="华文仿宋"/>
              </w:rPr>
            </w:pPr>
            <w:r>
              <w:rPr>
                <w:rFonts w:hint="eastAsia" w:eastAsia="等线" w:cs="华文仿宋"/>
              </w:rPr>
              <w:t>弹性（2水准）</w:t>
            </w:r>
          </w:p>
        </w:tc>
        <w:tc>
          <w:tcPr>
            <w:tcW w:w="2096" w:type="dxa"/>
            <w:vAlign w:val="center"/>
          </w:tcPr>
          <w:p>
            <w:pPr>
              <w:pStyle w:val="83"/>
              <w:jc w:val="center"/>
              <w:rPr>
                <w:rFonts w:eastAsia="等线" w:cs="华文仿宋"/>
              </w:rPr>
            </w:pPr>
            <w:r>
              <w:rPr>
                <w:rFonts w:hint="eastAsia" w:eastAsia="等线" w:cs="华文仿宋"/>
              </w:rPr>
              <w:t>抗弯不屈服，抗剪弹性（3水准）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014" w:type="dxa"/>
            <w:vMerge w:val="continue"/>
            <w:vAlign w:val="center"/>
          </w:tcPr>
          <w:p>
            <w:pPr>
              <w:pStyle w:val="76"/>
            </w:pPr>
          </w:p>
        </w:tc>
        <w:tc>
          <w:tcPr>
            <w:tcW w:w="1990" w:type="dxa"/>
            <w:vAlign w:val="center"/>
          </w:tcPr>
          <w:p>
            <w:pPr>
              <w:pStyle w:val="76"/>
            </w:pPr>
            <w:r>
              <w:rPr>
                <w:rFonts w:hint="eastAsia"/>
              </w:rPr>
              <w:t>转换梁（B）</w:t>
            </w:r>
          </w:p>
        </w:tc>
        <w:tc>
          <w:tcPr>
            <w:tcW w:w="1314" w:type="dxa"/>
            <w:vAlign w:val="center"/>
          </w:tcPr>
          <w:p>
            <w:pPr>
              <w:pStyle w:val="83"/>
              <w:jc w:val="center"/>
              <w:rPr>
                <w:rFonts w:eastAsia="等线" w:cs="华文仿宋"/>
              </w:rPr>
            </w:pPr>
            <w:r>
              <w:rPr>
                <w:rFonts w:hint="eastAsia" w:eastAsia="等线" w:cs="华文仿宋"/>
              </w:rPr>
              <w:t>弹性（1水准）</w:t>
            </w:r>
          </w:p>
        </w:tc>
        <w:tc>
          <w:tcPr>
            <w:tcW w:w="1882" w:type="dxa"/>
            <w:vAlign w:val="center"/>
          </w:tcPr>
          <w:p>
            <w:pPr>
              <w:pStyle w:val="83"/>
              <w:jc w:val="center"/>
              <w:rPr>
                <w:rFonts w:eastAsia="等线" w:cs="华文仿宋"/>
              </w:rPr>
            </w:pPr>
            <w:r>
              <w:rPr>
                <w:rFonts w:hint="eastAsia" w:eastAsia="等线" w:cs="华文仿宋"/>
              </w:rPr>
              <w:t>弹性（2水准）</w:t>
            </w:r>
          </w:p>
        </w:tc>
        <w:tc>
          <w:tcPr>
            <w:tcW w:w="2096" w:type="dxa"/>
            <w:vAlign w:val="center"/>
          </w:tcPr>
          <w:p>
            <w:pPr>
              <w:pStyle w:val="83"/>
              <w:jc w:val="center"/>
              <w:rPr>
                <w:rFonts w:eastAsia="等线" w:cs="华文仿宋"/>
              </w:rPr>
            </w:pPr>
            <w:r>
              <w:rPr>
                <w:rFonts w:hint="eastAsia" w:eastAsia="等线" w:cs="华文仿宋"/>
              </w:rPr>
              <w:t>抗弯不屈服，抗剪弹性（3水准）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014" w:type="dxa"/>
            <w:vMerge w:val="continue"/>
            <w:vAlign w:val="center"/>
          </w:tcPr>
          <w:p>
            <w:pPr>
              <w:pStyle w:val="76"/>
            </w:pPr>
          </w:p>
        </w:tc>
        <w:tc>
          <w:tcPr>
            <w:tcW w:w="1990" w:type="dxa"/>
            <w:vAlign w:val="center"/>
          </w:tcPr>
          <w:p>
            <w:pPr>
              <w:pStyle w:val="76"/>
              <w:rPr>
                <w:color w:val="000000" w:themeColor="text1"/>
                <w14:textFill>
                  <w14:solidFill>
                    <w14:schemeClr w14:val="tx1"/>
                  </w14:solidFill>
                </w14:textFill>
              </w:rPr>
            </w:pPr>
            <w:r>
              <w:rPr>
                <w:rFonts w:hint="eastAsia"/>
                <w:color w:val="000000" w:themeColor="text1"/>
                <w14:textFill>
                  <w14:solidFill>
                    <w14:schemeClr w14:val="tx1"/>
                  </w14:solidFill>
                </w14:textFill>
              </w:rPr>
              <w:t>塔楼范围外扩一跨框柱（</w:t>
            </w:r>
            <w:r>
              <w:rPr>
                <w:color w:val="000000" w:themeColor="text1"/>
                <w14:textFill>
                  <w14:solidFill>
                    <w14:schemeClr w14:val="tx1"/>
                  </w14:solidFill>
                </w14:textFill>
              </w:rPr>
              <w:t>B</w:t>
            </w:r>
            <w:r>
              <w:rPr>
                <w:rFonts w:hint="eastAsia"/>
                <w:color w:val="000000" w:themeColor="text1"/>
                <w14:textFill>
                  <w14:solidFill>
                    <w14:schemeClr w14:val="tx1"/>
                  </w14:solidFill>
                </w14:textFill>
              </w:rPr>
              <w:t>）</w:t>
            </w:r>
          </w:p>
        </w:tc>
        <w:tc>
          <w:tcPr>
            <w:tcW w:w="1314" w:type="dxa"/>
            <w:vAlign w:val="center"/>
          </w:tcPr>
          <w:p>
            <w:pPr>
              <w:pStyle w:val="83"/>
              <w:jc w:val="center"/>
              <w:rPr>
                <w:rFonts w:eastAsia="等线" w:cs="华文仿宋"/>
                <w:color w:val="000000" w:themeColor="text1"/>
                <w14:textFill>
                  <w14:solidFill>
                    <w14:schemeClr w14:val="tx1"/>
                  </w14:solidFill>
                </w14:textFill>
              </w:rPr>
            </w:pPr>
            <w:r>
              <w:rPr>
                <w:rFonts w:hint="eastAsia" w:eastAsia="等线" w:cs="华文仿宋"/>
              </w:rPr>
              <w:t>弹性（1水准）</w:t>
            </w:r>
          </w:p>
        </w:tc>
        <w:tc>
          <w:tcPr>
            <w:tcW w:w="1882" w:type="dxa"/>
            <w:vAlign w:val="center"/>
          </w:tcPr>
          <w:p>
            <w:pPr>
              <w:pStyle w:val="83"/>
              <w:jc w:val="center"/>
              <w:rPr>
                <w:rFonts w:eastAsia="等线" w:cs="华文仿宋"/>
                <w:color w:val="000000" w:themeColor="text1"/>
                <w14:textFill>
                  <w14:solidFill>
                    <w14:schemeClr w14:val="tx1"/>
                  </w14:solidFill>
                </w14:textFill>
              </w:rPr>
            </w:pPr>
            <w:r>
              <w:rPr>
                <w:rFonts w:hint="eastAsia" w:eastAsia="等线" w:cs="华文仿宋"/>
              </w:rPr>
              <w:t>弹性（</w:t>
            </w:r>
            <w:r>
              <w:rPr>
                <w:rFonts w:eastAsia="等线" w:cs="华文仿宋"/>
              </w:rPr>
              <w:t>2</w:t>
            </w:r>
            <w:r>
              <w:rPr>
                <w:rFonts w:hint="eastAsia" w:eastAsia="等线" w:cs="华文仿宋"/>
              </w:rPr>
              <w:t>水准）</w:t>
            </w:r>
          </w:p>
        </w:tc>
        <w:tc>
          <w:tcPr>
            <w:tcW w:w="2096" w:type="dxa"/>
            <w:vAlign w:val="center"/>
          </w:tcPr>
          <w:p>
            <w:pPr>
              <w:pStyle w:val="83"/>
              <w:jc w:val="center"/>
              <w:rPr>
                <w:rFonts w:eastAsia="等线" w:cs="华文仿宋"/>
                <w:color w:val="000000" w:themeColor="text1"/>
                <w14:textFill>
                  <w14:solidFill>
                    <w14:schemeClr w14:val="tx1"/>
                  </w14:solidFill>
                </w14:textFill>
              </w:rPr>
            </w:pPr>
            <w:r>
              <w:rPr>
                <w:rFonts w:hint="eastAsia" w:eastAsia="等线" w:cs="华文仿宋"/>
              </w:rPr>
              <w:t>抗弯不屈服，抗剪弹性（</w:t>
            </w:r>
            <w:r>
              <w:rPr>
                <w:rFonts w:eastAsia="等线" w:cs="华文仿宋"/>
              </w:rPr>
              <w:t>3</w:t>
            </w:r>
            <w:r>
              <w:rPr>
                <w:rFonts w:hint="eastAsia" w:eastAsia="等线" w:cs="华文仿宋"/>
              </w:rPr>
              <w:t>水准）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014" w:type="dxa"/>
            <w:vMerge w:val="continue"/>
            <w:vAlign w:val="center"/>
          </w:tcPr>
          <w:p>
            <w:pPr>
              <w:pStyle w:val="76"/>
            </w:pPr>
          </w:p>
        </w:tc>
        <w:tc>
          <w:tcPr>
            <w:tcW w:w="1990" w:type="dxa"/>
            <w:vAlign w:val="center"/>
          </w:tcPr>
          <w:p>
            <w:pPr>
              <w:pStyle w:val="76"/>
            </w:pPr>
            <w:r>
              <w:rPr>
                <w:rFonts w:hint="eastAsia" w:eastAsia="等线" w:cs="华文仿宋"/>
              </w:rPr>
              <w:t>转换层以上加强部位剪力墙（C）</w:t>
            </w:r>
          </w:p>
        </w:tc>
        <w:tc>
          <w:tcPr>
            <w:tcW w:w="1314" w:type="dxa"/>
            <w:vAlign w:val="center"/>
          </w:tcPr>
          <w:p>
            <w:pPr>
              <w:pStyle w:val="83"/>
              <w:jc w:val="center"/>
              <w:rPr>
                <w:rFonts w:eastAsia="等线" w:cs="华文仿宋"/>
              </w:rPr>
            </w:pPr>
            <w:r>
              <w:rPr>
                <w:rFonts w:hint="eastAsia" w:eastAsia="等线" w:cs="华文仿宋"/>
              </w:rPr>
              <w:t>弹性（1水准）</w:t>
            </w:r>
          </w:p>
        </w:tc>
        <w:tc>
          <w:tcPr>
            <w:tcW w:w="1882" w:type="dxa"/>
            <w:vAlign w:val="center"/>
          </w:tcPr>
          <w:p>
            <w:pPr>
              <w:pStyle w:val="83"/>
              <w:jc w:val="center"/>
              <w:rPr>
                <w:rFonts w:eastAsia="等线" w:cs="华文仿宋"/>
              </w:rPr>
            </w:pPr>
            <w:r>
              <w:rPr>
                <w:rFonts w:hint="eastAsia" w:eastAsia="等线" w:cs="华文仿宋"/>
              </w:rPr>
              <w:t>抗弯不屈服，抗剪弹性（3水准）</w:t>
            </w:r>
          </w:p>
        </w:tc>
        <w:tc>
          <w:tcPr>
            <w:tcW w:w="2096" w:type="dxa"/>
            <w:vAlign w:val="center"/>
          </w:tcPr>
          <w:p>
            <w:pPr>
              <w:pStyle w:val="83"/>
              <w:jc w:val="center"/>
              <w:rPr>
                <w:rFonts w:eastAsia="等线" w:cs="华文仿宋"/>
              </w:rPr>
            </w:pPr>
            <w:r>
              <w:rPr>
                <w:rFonts w:hint="eastAsia" w:eastAsia="等线" w:cs="华文仿宋"/>
              </w:rPr>
              <w:t>抗弯不屈服，抗剪不屈服（</w:t>
            </w:r>
            <w:r>
              <w:rPr>
                <w:rFonts w:eastAsia="等线" w:cs="华文仿宋"/>
              </w:rPr>
              <w:t>4</w:t>
            </w:r>
            <w:r>
              <w:rPr>
                <w:rFonts w:hint="eastAsia" w:eastAsia="等线" w:cs="华文仿宋"/>
              </w:rPr>
              <w:t>水准）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014" w:type="dxa"/>
            <w:vAlign w:val="center"/>
          </w:tcPr>
          <w:p>
            <w:pPr>
              <w:pStyle w:val="83"/>
              <w:jc w:val="center"/>
              <w:rPr>
                <w:rFonts w:eastAsia="等线" w:cs="华文仿宋"/>
              </w:rPr>
            </w:pPr>
            <w:r>
              <w:rPr>
                <w:rFonts w:hint="eastAsia" w:eastAsia="等线" w:cs="华文仿宋"/>
              </w:rPr>
              <w:t>普通竖向构件</w:t>
            </w:r>
          </w:p>
        </w:tc>
        <w:tc>
          <w:tcPr>
            <w:tcW w:w="1990" w:type="dxa"/>
            <w:vAlign w:val="center"/>
          </w:tcPr>
          <w:p>
            <w:pPr>
              <w:pStyle w:val="83"/>
              <w:jc w:val="center"/>
              <w:rPr>
                <w:rFonts w:eastAsia="等线" w:cs="华文仿宋"/>
              </w:rPr>
            </w:pPr>
            <w:r>
              <w:rPr>
                <w:rFonts w:hint="eastAsia" w:eastAsia="等线" w:cs="华文仿宋"/>
              </w:rPr>
              <w:t>除关键构件外的剪力墙、框架柱（C）</w:t>
            </w:r>
          </w:p>
        </w:tc>
        <w:tc>
          <w:tcPr>
            <w:tcW w:w="1314" w:type="dxa"/>
            <w:vAlign w:val="center"/>
          </w:tcPr>
          <w:p>
            <w:pPr>
              <w:pStyle w:val="83"/>
              <w:jc w:val="center"/>
              <w:rPr>
                <w:rFonts w:eastAsia="等线" w:cs="华文仿宋"/>
              </w:rPr>
            </w:pPr>
            <w:r>
              <w:rPr>
                <w:rFonts w:hint="eastAsia" w:eastAsia="等线" w:cs="华文仿宋"/>
              </w:rPr>
              <w:t>弹性（1水准）</w:t>
            </w:r>
          </w:p>
        </w:tc>
        <w:tc>
          <w:tcPr>
            <w:tcW w:w="1882" w:type="dxa"/>
            <w:vAlign w:val="center"/>
          </w:tcPr>
          <w:p>
            <w:pPr>
              <w:pStyle w:val="83"/>
              <w:jc w:val="center"/>
              <w:rPr>
                <w:rFonts w:eastAsia="等线" w:cs="华文仿宋"/>
              </w:rPr>
            </w:pPr>
            <w:r>
              <w:rPr>
                <w:rFonts w:hint="eastAsia" w:eastAsia="等线" w:cs="华文仿宋"/>
              </w:rPr>
              <w:t>抗弯不屈服，抗剪弹性（3水准）</w:t>
            </w:r>
          </w:p>
        </w:tc>
        <w:tc>
          <w:tcPr>
            <w:tcW w:w="2096" w:type="dxa"/>
            <w:vAlign w:val="center"/>
          </w:tcPr>
          <w:p>
            <w:pPr>
              <w:pStyle w:val="83"/>
              <w:jc w:val="center"/>
              <w:rPr>
                <w:rFonts w:eastAsia="等线" w:cs="华文仿宋"/>
                <w:color w:val="000000"/>
              </w:rPr>
            </w:pPr>
            <w:r>
              <w:rPr>
                <w:rFonts w:hint="eastAsia" w:eastAsia="等线" w:cs="华文仿宋"/>
                <w:color w:val="000000"/>
              </w:rPr>
              <w:t>部分抗弯屈服，满足截面抗剪（4水准）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89" w:hRule="atLeast"/>
          <w:jc w:val="center"/>
        </w:trPr>
        <w:tc>
          <w:tcPr>
            <w:tcW w:w="1014" w:type="dxa"/>
            <w:vMerge w:val="restart"/>
            <w:vAlign w:val="center"/>
          </w:tcPr>
          <w:p>
            <w:pPr>
              <w:pStyle w:val="83"/>
              <w:jc w:val="center"/>
              <w:rPr>
                <w:rFonts w:eastAsia="等线" w:cs="华文仿宋"/>
              </w:rPr>
            </w:pPr>
            <w:r>
              <w:rPr>
                <w:rFonts w:hint="eastAsia" w:eastAsia="等线" w:cs="华文仿宋"/>
              </w:rPr>
              <w:t>耗能构件</w:t>
            </w:r>
          </w:p>
        </w:tc>
        <w:tc>
          <w:tcPr>
            <w:tcW w:w="1990" w:type="dxa"/>
            <w:vAlign w:val="center"/>
          </w:tcPr>
          <w:p>
            <w:pPr>
              <w:pStyle w:val="83"/>
              <w:jc w:val="center"/>
              <w:rPr>
                <w:rFonts w:eastAsia="等线" w:cs="华文仿宋"/>
              </w:rPr>
            </w:pPr>
            <w:r>
              <w:rPr>
                <w:rFonts w:hint="eastAsia" w:eastAsia="等线" w:cs="华文仿宋"/>
              </w:rPr>
              <w:t>转换层塔楼范围及外扩一跨框架梁（B）</w:t>
            </w:r>
          </w:p>
        </w:tc>
        <w:tc>
          <w:tcPr>
            <w:tcW w:w="1314" w:type="dxa"/>
            <w:vAlign w:val="center"/>
          </w:tcPr>
          <w:p>
            <w:pPr>
              <w:pStyle w:val="83"/>
              <w:jc w:val="center"/>
              <w:rPr>
                <w:rFonts w:eastAsia="等线" w:cs="华文仿宋"/>
              </w:rPr>
            </w:pPr>
            <w:r>
              <w:rPr>
                <w:rFonts w:hint="eastAsia" w:eastAsia="等线" w:cs="华文仿宋"/>
              </w:rPr>
              <w:t>弹性（1水准）</w:t>
            </w:r>
          </w:p>
        </w:tc>
        <w:tc>
          <w:tcPr>
            <w:tcW w:w="1882" w:type="dxa"/>
            <w:vAlign w:val="center"/>
          </w:tcPr>
          <w:p>
            <w:pPr>
              <w:pStyle w:val="83"/>
              <w:jc w:val="center"/>
              <w:rPr>
                <w:rFonts w:eastAsia="等线" w:cs="华文仿宋"/>
              </w:rPr>
            </w:pPr>
            <w:r>
              <w:rPr>
                <w:rFonts w:hint="eastAsia" w:eastAsia="等线" w:cs="华文仿宋"/>
              </w:rPr>
              <w:t>抗弯不屈服，抗剪弹性，（2水准）</w:t>
            </w:r>
          </w:p>
        </w:tc>
        <w:tc>
          <w:tcPr>
            <w:tcW w:w="2096" w:type="dxa"/>
            <w:vAlign w:val="center"/>
          </w:tcPr>
          <w:p>
            <w:pPr>
              <w:pStyle w:val="83"/>
              <w:jc w:val="center"/>
              <w:rPr>
                <w:rFonts w:eastAsia="等线" w:cs="华文仿宋"/>
                <w:color w:val="000000"/>
              </w:rPr>
            </w:pPr>
            <w:r>
              <w:rPr>
                <w:rFonts w:hint="eastAsia" w:eastAsia="等线" w:cs="华文仿宋"/>
              </w:rPr>
              <w:t>部分抗弯屈服，抗剪不屈服（3水准）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89" w:hRule="atLeast"/>
          <w:jc w:val="center"/>
        </w:trPr>
        <w:tc>
          <w:tcPr>
            <w:tcW w:w="1014" w:type="dxa"/>
            <w:vMerge w:val="continue"/>
            <w:vAlign w:val="center"/>
          </w:tcPr>
          <w:p>
            <w:pPr>
              <w:pStyle w:val="83"/>
              <w:jc w:val="center"/>
              <w:rPr>
                <w:rFonts w:eastAsia="等线" w:cs="华文仿宋"/>
              </w:rPr>
            </w:pPr>
          </w:p>
        </w:tc>
        <w:tc>
          <w:tcPr>
            <w:tcW w:w="1990" w:type="dxa"/>
            <w:vAlign w:val="center"/>
          </w:tcPr>
          <w:p>
            <w:pPr>
              <w:pStyle w:val="83"/>
              <w:jc w:val="center"/>
              <w:rPr>
                <w:rFonts w:eastAsia="等线" w:cs="华文仿宋"/>
              </w:rPr>
            </w:pPr>
            <w:r>
              <w:rPr>
                <w:rFonts w:hint="eastAsia" w:eastAsia="等线" w:cs="华文仿宋"/>
              </w:rPr>
              <w:t>其它框架梁、连梁（C）</w:t>
            </w:r>
          </w:p>
        </w:tc>
        <w:tc>
          <w:tcPr>
            <w:tcW w:w="1314" w:type="dxa"/>
            <w:vAlign w:val="center"/>
          </w:tcPr>
          <w:p>
            <w:pPr>
              <w:pStyle w:val="83"/>
              <w:jc w:val="center"/>
              <w:rPr>
                <w:rFonts w:eastAsia="等线" w:cs="华文仿宋"/>
              </w:rPr>
            </w:pPr>
            <w:r>
              <w:rPr>
                <w:rFonts w:hint="eastAsia" w:eastAsia="等线" w:cs="华文仿宋"/>
              </w:rPr>
              <w:t>弹性（1水准）</w:t>
            </w:r>
          </w:p>
        </w:tc>
        <w:tc>
          <w:tcPr>
            <w:tcW w:w="1882" w:type="dxa"/>
            <w:vAlign w:val="center"/>
          </w:tcPr>
          <w:p>
            <w:pPr>
              <w:pStyle w:val="83"/>
              <w:jc w:val="center"/>
              <w:rPr>
                <w:rFonts w:eastAsia="等线" w:cs="华文仿宋"/>
              </w:rPr>
            </w:pPr>
            <w:r>
              <w:rPr>
                <w:rFonts w:hint="eastAsia" w:eastAsia="等线" w:cs="华文仿宋"/>
              </w:rPr>
              <w:t>部分抗弯屈服，抗剪不屈服（3水准）</w:t>
            </w:r>
          </w:p>
        </w:tc>
        <w:tc>
          <w:tcPr>
            <w:tcW w:w="2096" w:type="dxa"/>
            <w:vAlign w:val="center"/>
          </w:tcPr>
          <w:p>
            <w:pPr>
              <w:pStyle w:val="83"/>
              <w:jc w:val="center"/>
              <w:rPr>
                <w:rFonts w:eastAsia="等线" w:cs="华文仿宋"/>
                <w:color w:val="000000"/>
              </w:rPr>
            </w:pPr>
            <w:r>
              <w:rPr>
                <w:rFonts w:hint="eastAsia" w:eastAsia="等线" w:cs="华文仿宋"/>
                <w:color w:val="000000"/>
              </w:rPr>
              <w:t>大部分抗弯屈服，满足截面抗剪（4水准）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014" w:type="dxa"/>
            <w:vMerge w:val="restart"/>
            <w:vAlign w:val="center"/>
          </w:tcPr>
          <w:p>
            <w:pPr>
              <w:pStyle w:val="83"/>
              <w:jc w:val="center"/>
              <w:rPr>
                <w:rFonts w:eastAsia="等线" w:cs="华文仿宋"/>
              </w:rPr>
            </w:pPr>
            <w:r>
              <w:rPr>
                <w:rFonts w:hint="eastAsia" w:eastAsia="等线" w:cs="华文仿宋"/>
              </w:rPr>
              <w:t>竖向构件变形要求</w:t>
            </w:r>
          </w:p>
        </w:tc>
        <w:tc>
          <w:tcPr>
            <w:tcW w:w="1990" w:type="dxa"/>
            <w:vAlign w:val="center"/>
          </w:tcPr>
          <w:p>
            <w:pPr>
              <w:pStyle w:val="83"/>
              <w:jc w:val="center"/>
              <w:rPr>
                <w:rFonts w:eastAsia="等线" w:cs="华文仿宋"/>
              </w:rPr>
            </w:pPr>
            <w:r>
              <w:rPr>
                <w:rFonts w:hint="eastAsia" w:eastAsia="等线" w:cs="华文仿宋"/>
              </w:rPr>
              <w:t>转换层以上</w:t>
            </w:r>
          </w:p>
        </w:tc>
        <w:tc>
          <w:tcPr>
            <w:tcW w:w="1314" w:type="dxa"/>
            <w:vAlign w:val="center"/>
          </w:tcPr>
          <w:p>
            <w:pPr>
              <w:pStyle w:val="83"/>
              <w:jc w:val="center"/>
              <w:rPr>
                <w:rFonts w:eastAsia="等线" w:cs="华文仿宋"/>
              </w:rPr>
            </w:pPr>
            <w:r>
              <w:rPr>
                <w:rFonts w:hint="eastAsia" w:eastAsia="等线" w:cs="华文仿宋"/>
              </w:rPr>
              <w:t>≤1/</w:t>
            </w:r>
            <w:r>
              <w:rPr>
                <w:rFonts w:eastAsia="等线" w:cs="华文仿宋"/>
              </w:rPr>
              <w:t>650</w:t>
            </w:r>
          </w:p>
        </w:tc>
        <w:tc>
          <w:tcPr>
            <w:tcW w:w="1882" w:type="dxa"/>
            <w:vAlign w:val="center"/>
          </w:tcPr>
          <w:p>
            <w:pPr>
              <w:pStyle w:val="83"/>
              <w:jc w:val="center"/>
              <w:rPr>
                <w:rFonts w:eastAsia="等线" w:cs="华文仿宋"/>
              </w:rPr>
            </w:pPr>
            <w:r>
              <w:rPr>
                <w:rFonts w:hint="eastAsia" w:eastAsia="等线" w:cs="华文仿宋"/>
              </w:rPr>
              <w:t>-</w:t>
            </w:r>
          </w:p>
        </w:tc>
        <w:tc>
          <w:tcPr>
            <w:tcW w:w="2096" w:type="dxa"/>
            <w:vAlign w:val="center"/>
          </w:tcPr>
          <w:p>
            <w:pPr>
              <w:pStyle w:val="83"/>
              <w:jc w:val="center"/>
              <w:rPr>
                <w:rFonts w:eastAsia="等线" w:cs="华文仿宋"/>
              </w:rPr>
            </w:pPr>
            <w:r>
              <w:rPr>
                <w:rFonts w:hint="eastAsia" w:eastAsia="等线" w:cs="华文仿宋"/>
              </w:rPr>
              <w:t>≤1/</w:t>
            </w:r>
            <w:r>
              <w:rPr>
                <w:rFonts w:eastAsia="等线" w:cs="华文仿宋"/>
              </w:rPr>
              <w: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014" w:type="dxa"/>
            <w:vMerge w:val="continue"/>
            <w:vAlign w:val="center"/>
          </w:tcPr>
          <w:p>
            <w:pPr>
              <w:pStyle w:val="83"/>
              <w:jc w:val="center"/>
              <w:rPr>
                <w:rFonts w:eastAsia="等线" w:cs="华文仿宋"/>
              </w:rPr>
            </w:pPr>
          </w:p>
        </w:tc>
        <w:tc>
          <w:tcPr>
            <w:tcW w:w="1990" w:type="dxa"/>
            <w:vAlign w:val="center"/>
          </w:tcPr>
          <w:p>
            <w:pPr>
              <w:pStyle w:val="83"/>
              <w:jc w:val="center"/>
              <w:rPr>
                <w:rFonts w:eastAsia="等线" w:cs="华文仿宋"/>
              </w:rPr>
            </w:pPr>
            <w:r>
              <w:rPr>
                <w:rFonts w:hint="eastAsia" w:eastAsia="等线" w:cs="华文仿宋"/>
              </w:rPr>
              <w:t>转换层以下塔楼范围及外扩一跨</w:t>
            </w:r>
          </w:p>
        </w:tc>
        <w:tc>
          <w:tcPr>
            <w:tcW w:w="1314" w:type="dxa"/>
            <w:vAlign w:val="center"/>
          </w:tcPr>
          <w:p>
            <w:pPr>
              <w:pStyle w:val="83"/>
              <w:jc w:val="center"/>
              <w:rPr>
                <w:rFonts w:eastAsia="等线" w:cs="华文仿宋"/>
              </w:rPr>
            </w:pPr>
            <w:r>
              <w:rPr>
                <w:rFonts w:hint="eastAsia" w:eastAsia="等线" w:cs="华文仿宋"/>
              </w:rPr>
              <w:t>≤1/</w:t>
            </w:r>
            <w:r>
              <w:rPr>
                <w:rFonts w:eastAsia="等线" w:cs="华文仿宋"/>
              </w:rPr>
              <w:t>2</w:t>
            </w:r>
            <w:r>
              <w:rPr>
                <w:rFonts w:hint="eastAsia" w:eastAsia="等线" w:cs="华文仿宋"/>
              </w:rPr>
              <w:t>000</w:t>
            </w:r>
          </w:p>
        </w:tc>
        <w:tc>
          <w:tcPr>
            <w:tcW w:w="1882" w:type="dxa"/>
            <w:vAlign w:val="center"/>
          </w:tcPr>
          <w:p>
            <w:pPr>
              <w:pStyle w:val="83"/>
              <w:jc w:val="center"/>
              <w:rPr>
                <w:rFonts w:eastAsia="等线" w:cs="华文仿宋"/>
              </w:rPr>
            </w:pPr>
            <w:r>
              <w:rPr>
                <w:rFonts w:hint="eastAsia" w:eastAsia="等线" w:cs="华文仿宋"/>
              </w:rPr>
              <w:t>-</w:t>
            </w:r>
          </w:p>
        </w:tc>
        <w:tc>
          <w:tcPr>
            <w:tcW w:w="2096" w:type="dxa"/>
            <w:vAlign w:val="center"/>
          </w:tcPr>
          <w:p>
            <w:pPr>
              <w:pStyle w:val="83"/>
              <w:jc w:val="center"/>
              <w:rPr>
                <w:rFonts w:eastAsia="等线" w:cs="华文仿宋"/>
              </w:rPr>
            </w:pPr>
            <w:r>
              <w:rPr>
                <w:rFonts w:hint="eastAsia" w:eastAsia="等线" w:cs="华文仿宋"/>
              </w:rPr>
              <w:t>≤1/</w:t>
            </w:r>
            <w:r>
              <w:rPr>
                <w:rFonts w:eastAsia="等线" w:cs="华文仿宋"/>
              </w:rPr>
              <w:t>20</w:t>
            </w:r>
            <w:r>
              <w:rPr>
                <w:rFonts w:hint="eastAsia" w:eastAsia="等线" w:cs="华文仿宋"/>
              </w:rPr>
              <w:t>0</w:t>
            </w:r>
          </w:p>
        </w:tc>
      </w:tr>
    </w:tbl>
    <w:p>
      <w:pPr>
        <w:pStyle w:val="80"/>
        <w:adjustRightInd w:val="0"/>
        <w:snapToGrid w:val="0"/>
        <w:spacing w:before="156" w:beforeLines="50"/>
        <w:ind w:firstLine="480"/>
        <w:jc w:val="both"/>
        <w:rPr>
          <w:rStyle w:val="50"/>
          <w:rFonts w:hint="default"/>
          <w:bCs/>
        </w:rPr>
      </w:pPr>
    </w:p>
    <w:p>
      <w:pPr>
        <w:pStyle w:val="80"/>
        <w:adjustRightInd w:val="0"/>
        <w:snapToGrid w:val="0"/>
        <w:spacing w:before="156" w:beforeLines="50"/>
        <w:ind w:firstLine="482"/>
        <w:rPr>
          <w:rFonts w:eastAsia="宋体"/>
          <w:b/>
        </w:rPr>
      </w:pPr>
      <w:r>
        <w:rPr>
          <w:rFonts w:hAnsi="宋体" w:eastAsia="宋体"/>
          <w:b/>
        </w:rPr>
        <w:t>表</w:t>
      </w:r>
      <w:r>
        <w:rPr>
          <w:rFonts w:eastAsia="宋体"/>
          <w:b/>
        </w:rPr>
        <w:t>A.3-4</w:t>
      </w:r>
      <w:r>
        <w:rPr>
          <w:rFonts w:hint="eastAsia" w:hAnsi="宋体" w:eastAsia="宋体"/>
          <w:b/>
        </w:rPr>
        <w:t>全框支框架-核心筒结构抗震性能目标</w:t>
      </w:r>
    </w:p>
    <w:tbl>
      <w:tblPr>
        <w:tblStyle w:val="37"/>
        <w:tblW w:w="829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04"/>
        <w:gridCol w:w="2058"/>
        <w:gridCol w:w="1303"/>
        <w:gridCol w:w="1860"/>
        <w:gridCol w:w="207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3062" w:type="dxa"/>
            <w:gridSpan w:val="2"/>
            <w:vAlign w:val="center"/>
          </w:tcPr>
          <w:p>
            <w:pPr>
              <w:pStyle w:val="76"/>
            </w:pPr>
            <w:r>
              <w:rPr>
                <w:rFonts w:hint="eastAsia"/>
              </w:rPr>
              <w:t>结构构件（性能目标）</w:t>
            </w:r>
          </w:p>
        </w:tc>
        <w:tc>
          <w:tcPr>
            <w:tcW w:w="1303" w:type="dxa"/>
            <w:vAlign w:val="center"/>
          </w:tcPr>
          <w:p>
            <w:pPr>
              <w:pStyle w:val="76"/>
            </w:pPr>
            <w:r>
              <w:rPr>
                <w:rFonts w:hint="eastAsia" w:eastAsia="等线" w:cs="华文仿宋"/>
              </w:rPr>
              <w:t>多遇地震（性能水准）</w:t>
            </w:r>
          </w:p>
        </w:tc>
        <w:tc>
          <w:tcPr>
            <w:tcW w:w="1860" w:type="dxa"/>
            <w:vAlign w:val="center"/>
          </w:tcPr>
          <w:p>
            <w:pPr>
              <w:pStyle w:val="76"/>
            </w:pPr>
            <w:r>
              <w:rPr>
                <w:rFonts w:hint="eastAsia"/>
              </w:rPr>
              <w:t>设防烈度地震</w:t>
            </w:r>
            <w:r>
              <w:rPr>
                <w:rFonts w:hint="eastAsia" w:eastAsia="等线" w:cs="华文仿宋"/>
              </w:rPr>
              <w:t>（性能水准）</w:t>
            </w:r>
          </w:p>
        </w:tc>
        <w:tc>
          <w:tcPr>
            <w:tcW w:w="2071" w:type="dxa"/>
            <w:vAlign w:val="center"/>
          </w:tcPr>
          <w:p>
            <w:pPr>
              <w:pStyle w:val="76"/>
            </w:pPr>
            <w:r>
              <w:rPr>
                <w:rFonts w:hint="eastAsia" w:eastAsia="等线" w:cs="华文仿宋"/>
              </w:rPr>
              <w:t>预估的罕遇地震（性能水准）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004" w:type="dxa"/>
            <w:vMerge w:val="restart"/>
            <w:vAlign w:val="center"/>
          </w:tcPr>
          <w:p>
            <w:pPr>
              <w:pStyle w:val="76"/>
            </w:pPr>
            <w:r>
              <w:rPr>
                <w:rFonts w:hint="eastAsia"/>
              </w:rPr>
              <w:t>关键构件</w:t>
            </w:r>
          </w:p>
        </w:tc>
        <w:tc>
          <w:tcPr>
            <w:tcW w:w="2058" w:type="dxa"/>
            <w:vAlign w:val="center"/>
          </w:tcPr>
          <w:p>
            <w:pPr>
              <w:pStyle w:val="76"/>
            </w:pPr>
            <w:r>
              <w:rPr>
                <w:rFonts w:hint="eastAsia"/>
              </w:rPr>
              <w:t>框支柱（B）</w:t>
            </w:r>
          </w:p>
        </w:tc>
        <w:tc>
          <w:tcPr>
            <w:tcW w:w="1303" w:type="dxa"/>
            <w:vAlign w:val="center"/>
          </w:tcPr>
          <w:p>
            <w:pPr>
              <w:pStyle w:val="83"/>
              <w:jc w:val="center"/>
              <w:rPr>
                <w:rFonts w:eastAsia="等线" w:cs="华文仿宋"/>
              </w:rPr>
            </w:pPr>
            <w:r>
              <w:rPr>
                <w:rFonts w:hint="eastAsia" w:eastAsia="等线" w:cs="华文仿宋"/>
              </w:rPr>
              <w:t>弹性（1水准）</w:t>
            </w:r>
          </w:p>
        </w:tc>
        <w:tc>
          <w:tcPr>
            <w:tcW w:w="1860" w:type="dxa"/>
            <w:vAlign w:val="center"/>
          </w:tcPr>
          <w:p>
            <w:pPr>
              <w:pStyle w:val="83"/>
              <w:jc w:val="center"/>
              <w:rPr>
                <w:rFonts w:eastAsia="等线" w:cs="华文仿宋"/>
              </w:rPr>
            </w:pPr>
            <w:r>
              <w:rPr>
                <w:rFonts w:hint="eastAsia" w:eastAsia="等线" w:cs="华文仿宋"/>
              </w:rPr>
              <w:t>弹性（2水准）</w:t>
            </w:r>
          </w:p>
        </w:tc>
        <w:tc>
          <w:tcPr>
            <w:tcW w:w="2071" w:type="dxa"/>
            <w:vAlign w:val="center"/>
          </w:tcPr>
          <w:p>
            <w:pPr>
              <w:pStyle w:val="83"/>
              <w:jc w:val="center"/>
              <w:rPr>
                <w:rFonts w:eastAsia="等线" w:cs="华文仿宋"/>
              </w:rPr>
            </w:pPr>
            <w:r>
              <w:rPr>
                <w:rFonts w:hint="eastAsia" w:eastAsia="等线" w:cs="华文仿宋"/>
              </w:rPr>
              <w:t>抗弯不屈服，抗剪弹性（3水准）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004" w:type="dxa"/>
            <w:vMerge w:val="continue"/>
            <w:vAlign w:val="center"/>
          </w:tcPr>
          <w:p>
            <w:pPr>
              <w:pStyle w:val="76"/>
            </w:pPr>
          </w:p>
        </w:tc>
        <w:tc>
          <w:tcPr>
            <w:tcW w:w="2058" w:type="dxa"/>
            <w:vAlign w:val="center"/>
          </w:tcPr>
          <w:p>
            <w:pPr>
              <w:pStyle w:val="76"/>
            </w:pPr>
            <w:r>
              <w:rPr>
                <w:rFonts w:hint="eastAsia"/>
              </w:rPr>
              <w:t>转换梁（B）</w:t>
            </w:r>
          </w:p>
        </w:tc>
        <w:tc>
          <w:tcPr>
            <w:tcW w:w="1303" w:type="dxa"/>
            <w:vAlign w:val="center"/>
          </w:tcPr>
          <w:p>
            <w:pPr>
              <w:pStyle w:val="83"/>
              <w:jc w:val="center"/>
              <w:rPr>
                <w:rFonts w:eastAsia="等线" w:cs="华文仿宋"/>
              </w:rPr>
            </w:pPr>
            <w:r>
              <w:rPr>
                <w:rFonts w:hint="eastAsia" w:eastAsia="等线" w:cs="华文仿宋"/>
              </w:rPr>
              <w:t>弹性（1水准）</w:t>
            </w:r>
          </w:p>
        </w:tc>
        <w:tc>
          <w:tcPr>
            <w:tcW w:w="1860" w:type="dxa"/>
            <w:vAlign w:val="center"/>
          </w:tcPr>
          <w:p>
            <w:pPr>
              <w:pStyle w:val="83"/>
              <w:jc w:val="center"/>
              <w:rPr>
                <w:rFonts w:eastAsia="等线" w:cs="华文仿宋"/>
              </w:rPr>
            </w:pPr>
            <w:r>
              <w:rPr>
                <w:rFonts w:hint="eastAsia" w:eastAsia="等线" w:cs="华文仿宋"/>
              </w:rPr>
              <w:t>弹性（2水准）</w:t>
            </w:r>
          </w:p>
        </w:tc>
        <w:tc>
          <w:tcPr>
            <w:tcW w:w="2071" w:type="dxa"/>
            <w:vAlign w:val="center"/>
          </w:tcPr>
          <w:p>
            <w:pPr>
              <w:pStyle w:val="83"/>
              <w:jc w:val="center"/>
              <w:rPr>
                <w:rFonts w:eastAsia="等线" w:cs="华文仿宋"/>
              </w:rPr>
            </w:pPr>
            <w:r>
              <w:rPr>
                <w:rFonts w:hint="eastAsia" w:eastAsia="等线" w:cs="华文仿宋"/>
              </w:rPr>
              <w:t>抗弯不屈服，抗剪弹性（3水准）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004" w:type="dxa"/>
            <w:vMerge w:val="continue"/>
            <w:vAlign w:val="center"/>
          </w:tcPr>
          <w:p>
            <w:pPr>
              <w:pStyle w:val="76"/>
            </w:pPr>
          </w:p>
        </w:tc>
        <w:tc>
          <w:tcPr>
            <w:tcW w:w="2058" w:type="dxa"/>
            <w:vAlign w:val="center"/>
          </w:tcPr>
          <w:p>
            <w:pPr>
              <w:pStyle w:val="76"/>
            </w:pPr>
            <w:r>
              <w:rPr>
                <w:rFonts w:hint="eastAsia"/>
              </w:rPr>
              <w:t>塔楼范围外扩一跨框柱（</w:t>
            </w:r>
            <w:r>
              <w:t>C</w:t>
            </w:r>
            <w:r>
              <w:rPr>
                <w:rFonts w:hint="eastAsia"/>
              </w:rPr>
              <w:t>）</w:t>
            </w:r>
          </w:p>
        </w:tc>
        <w:tc>
          <w:tcPr>
            <w:tcW w:w="1303" w:type="dxa"/>
            <w:vAlign w:val="center"/>
          </w:tcPr>
          <w:p>
            <w:pPr>
              <w:pStyle w:val="83"/>
              <w:jc w:val="center"/>
              <w:rPr>
                <w:rFonts w:eastAsia="等线" w:cs="华文仿宋"/>
              </w:rPr>
            </w:pPr>
            <w:r>
              <w:rPr>
                <w:rFonts w:hint="eastAsia" w:eastAsia="等线" w:cs="华文仿宋"/>
              </w:rPr>
              <w:t>弹性（1水准）</w:t>
            </w:r>
          </w:p>
        </w:tc>
        <w:tc>
          <w:tcPr>
            <w:tcW w:w="1860" w:type="dxa"/>
            <w:vAlign w:val="center"/>
          </w:tcPr>
          <w:p>
            <w:pPr>
              <w:pStyle w:val="83"/>
              <w:jc w:val="center"/>
              <w:rPr>
                <w:rFonts w:eastAsia="等线" w:cs="华文仿宋"/>
              </w:rPr>
            </w:pPr>
            <w:r>
              <w:rPr>
                <w:rFonts w:hint="eastAsia" w:eastAsia="等线" w:cs="华文仿宋"/>
              </w:rPr>
              <w:t>抗弯不屈服，抗剪弹性（</w:t>
            </w:r>
            <w:r>
              <w:rPr>
                <w:rFonts w:eastAsia="等线" w:cs="华文仿宋"/>
              </w:rPr>
              <w:t>3</w:t>
            </w:r>
            <w:r>
              <w:rPr>
                <w:rFonts w:hint="eastAsia" w:eastAsia="等线" w:cs="华文仿宋"/>
              </w:rPr>
              <w:t>水准）</w:t>
            </w:r>
          </w:p>
        </w:tc>
        <w:tc>
          <w:tcPr>
            <w:tcW w:w="2071" w:type="dxa"/>
            <w:vAlign w:val="center"/>
          </w:tcPr>
          <w:p>
            <w:pPr>
              <w:pStyle w:val="83"/>
              <w:rPr>
                <w:rFonts w:eastAsia="等线" w:cs="华文仿宋"/>
              </w:rPr>
            </w:pPr>
            <w:r>
              <w:rPr>
                <w:rFonts w:hint="eastAsia" w:eastAsia="等线" w:cs="华文仿宋"/>
              </w:rPr>
              <w:t>抗弯不屈服，抗剪弹性（</w:t>
            </w:r>
            <w:r>
              <w:rPr>
                <w:rFonts w:eastAsia="等线" w:cs="华文仿宋"/>
              </w:rPr>
              <w:t>4</w:t>
            </w:r>
            <w:r>
              <w:rPr>
                <w:rFonts w:hint="eastAsia" w:eastAsia="等线" w:cs="华文仿宋"/>
              </w:rPr>
              <w:t>水准）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004" w:type="dxa"/>
            <w:vMerge w:val="continue"/>
            <w:vAlign w:val="center"/>
          </w:tcPr>
          <w:p>
            <w:pPr>
              <w:pStyle w:val="76"/>
            </w:pPr>
          </w:p>
        </w:tc>
        <w:tc>
          <w:tcPr>
            <w:tcW w:w="2058" w:type="dxa"/>
            <w:vAlign w:val="center"/>
          </w:tcPr>
          <w:p>
            <w:pPr>
              <w:pStyle w:val="76"/>
            </w:pPr>
            <w:r>
              <w:rPr>
                <w:rFonts w:hint="eastAsia" w:eastAsia="等线" w:cs="华文仿宋"/>
              </w:rPr>
              <w:t>转换层以上加强部位剪力墙（C）</w:t>
            </w:r>
          </w:p>
        </w:tc>
        <w:tc>
          <w:tcPr>
            <w:tcW w:w="1303" w:type="dxa"/>
            <w:vAlign w:val="center"/>
          </w:tcPr>
          <w:p>
            <w:pPr>
              <w:pStyle w:val="83"/>
              <w:jc w:val="center"/>
              <w:rPr>
                <w:rFonts w:eastAsia="等线" w:cs="华文仿宋"/>
              </w:rPr>
            </w:pPr>
            <w:r>
              <w:rPr>
                <w:rFonts w:hint="eastAsia" w:eastAsia="等线" w:cs="华文仿宋"/>
              </w:rPr>
              <w:t>弹性（1水准）</w:t>
            </w:r>
          </w:p>
        </w:tc>
        <w:tc>
          <w:tcPr>
            <w:tcW w:w="1860" w:type="dxa"/>
            <w:vAlign w:val="center"/>
          </w:tcPr>
          <w:p>
            <w:pPr>
              <w:pStyle w:val="83"/>
              <w:jc w:val="center"/>
              <w:rPr>
                <w:rFonts w:eastAsia="等线" w:cs="华文仿宋"/>
              </w:rPr>
            </w:pPr>
            <w:r>
              <w:rPr>
                <w:rFonts w:hint="eastAsia" w:eastAsia="等线" w:cs="华文仿宋"/>
              </w:rPr>
              <w:t>抗弯不屈服，抗剪弹性（3水准）</w:t>
            </w:r>
          </w:p>
        </w:tc>
        <w:tc>
          <w:tcPr>
            <w:tcW w:w="2071" w:type="dxa"/>
            <w:vAlign w:val="center"/>
          </w:tcPr>
          <w:p>
            <w:pPr>
              <w:pStyle w:val="83"/>
              <w:jc w:val="center"/>
              <w:rPr>
                <w:rFonts w:eastAsia="等线" w:cs="华文仿宋"/>
              </w:rPr>
            </w:pPr>
            <w:r>
              <w:rPr>
                <w:rFonts w:hint="eastAsia" w:eastAsia="等线" w:cs="华文仿宋"/>
              </w:rPr>
              <w:t>抗弯不屈服，抗剪不屈服（</w:t>
            </w:r>
            <w:r>
              <w:rPr>
                <w:rFonts w:eastAsia="等线" w:cs="华文仿宋"/>
              </w:rPr>
              <w:t>4</w:t>
            </w:r>
            <w:r>
              <w:rPr>
                <w:rFonts w:hint="eastAsia" w:eastAsia="等线" w:cs="华文仿宋"/>
              </w:rPr>
              <w:t>水准）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004" w:type="dxa"/>
            <w:vAlign w:val="center"/>
          </w:tcPr>
          <w:p>
            <w:pPr>
              <w:pStyle w:val="83"/>
              <w:jc w:val="center"/>
              <w:rPr>
                <w:rFonts w:eastAsia="等线" w:cs="华文仿宋"/>
              </w:rPr>
            </w:pPr>
            <w:r>
              <w:rPr>
                <w:rFonts w:hint="eastAsia" w:eastAsia="等线" w:cs="华文仿宋"/>
              </w:rPr>
              <w:t>普通竖向构件</w:t>
            </w:r>
          </w:p>
        </w:tc>
        <w:tc>
          <w:tcPr>
            <w:tcW w:w="2058" w:type="dxa"/>
            <w:vAlign w:val="center"/>
          </w:tcPr>
          <w:p>
            <w:pPr>
              <w:pStyle w:val="83"/>
              <w:jc w:val="center"/>
              <w:rPr>
                <w:rFonts w:eastAsia="等线" w:cs="华文仿宋"/>
              </w:rPr>
            </w:pPr>
            <w:r>
              <w:rPr>
                <w:rFonts w:hint="eastAsia" w:eastAsia="等线" w:cs="华文仿宋"/>
              </w:rPr>
              <w:t>除关键构件外的筒体剪力墙、框架柱（C）</w:t>
            </w:r>
          </w:p>
        </w:tc>
        <w:tc>
          <w:tcPr>
            <w:tcW w:w="1303" w:type="dxa"/>
            <w:vAlign w:val="center"/>
          </w:tcPr>
          <w:p>
            <w:pPr>
              <w:pStyle w:val="83"/>
              <w:jc w:val="center"/>
              <w:rPr>
                <w:rFonts w:eastAsia="等线" w:cs="华文仿宋"/>
              </w:rPr>
            </w:pPr>
            <w:r>
              <w:rPr>
                <w:rFonts w:hint="eastAsia" w:eastAsia="等线" w:cs="华文仿宋"/>
              </w:rPr>
              <w:t>弹性（1水准）</w:t>
            </w:r>
          </w:p>
        </w:tc>
        <w:tc>
          <w:tcPr>
            <w:tcW w:w="1860" w:type="dxa"/>
            <w:vAlign w:val="center"/>
          </w:tcPr>
          <w:p>
            <w:pPr>
              <w:pStyle w:val="83"/>
              <w:jc w:val="center"/>
              <w:rPr>
                <w:rFonts w:eastAsia="等线" w:cs="华文仿宋"/>
              </w:rPr>
            </w:pPr>
            <w:r>
              <w:rPr>
                <w:rFonts w:hint="eastAsia" w:eastAsia="等线" w:cs="华文仿宋"/>
              </w:rPr>
              <w:t>抗弯不屈服，抗剪弹性（3水准）</w:t>
            </w:r>
          </w:p>
        </w:tc>
        <w:tc>
          <w:tcPr>
            <w:tcW w:w="2071" w:type="dxa"/>
            <w:vAlign w:val="center"/>
          </w:tcPr>
          <w:p>
            <w:pPr>
              <w:pStyle w:val="83"/>
              <w:jc w:val="center"/>
              <w:rPr>
                <w:rFonts w:eastAsia="等线" w:cs="华文仿宋"/>
                <w:color w:val="000000"/>
              </w:rPr>
            </w:pPr>
            <w:r>
              <w:rPr>
                <w:rFonts w:hint="eastAsia" w:eastAsia="等线" w:cs="华文仿宋"/>
                <w:color w:val="000000"/>
              </w:rPr>
              <w:t>部分抗弯屈服，满足截面抗剪（4水准）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89" w:hRule="atLeast"/>
          <w:jc w:val="center"/>
        </w:trPr>
        <w:tc>
          <w:tcPr>
            <w:tcW w:w="1004" w:type="dxa"/>
            <w:vMerge w:val="restart"/>
            <w:vAlign w:val="center"/>
          </w:tcPr>
          <w:p>
            <w:pPr>
              <w:pStyle w:val="83"/>
              <w:jc w:val="center"/>
              <w:rPr>
                <w:rFonts w:eastAsia="等线" w:cs="华文仿宋"/>
              </w:rPr>
            </w:pPr>
            <w:r>
              <w:rPr>
                <w:rFonts w:hint="eastAsia" w:eastAsia="等线" w:cs="华文仿宋"/>
              </w:rPr>
              <w:t>耗能构件</w:t>
            </w:r>
          </w:p>
        </w:tc>
        <w:tc>
          <w:tcPr>
            <w:tcW w:w="2058" w:type="dxa"/>
            <w:vAlign w:val="center"/>
          </w:tcPr>
          <w:p>
            <w:pPr>
              <w:pStyle w:val="83"/>
              <w:jc w:val="center"/>
              <w:rPr>
                <w:rFonts w:eastAsia="等线" w:cs="华文仿宋"/>
              </w:rPr>
            </w:pPr>
            <w:r>
              <w:rPr>
                <w:rFonts w:hint="eastAsia" w:eastAsia="等线" w:cs="华文仿宋"/>
              </w:rPr>
              <w:t>转换层塔楼范围及外扩一跨框架梁（B）</w:t>
            </w:r>
          </w:p>
        </w:tc>
        <w:tc>
          <w:tcPr>
            <w:tcW w:w="1303" w:type="dxa"/>
            <w:vAlign w:val="center"/>
          </w:tcPr>
          <w:p>
            <w:pPr>
              <w:pStyle w:val="83"/>
              <w:jc w:val="center"/>
              <w:rPr>
                <w:rFonts w:eastAsia="等线" w:cs="华文仿宋"/>
              </w:rPr>
            </w:pPr>
            <w:r>
              <w:rPr>
                <w:rFonts w:hint="eastAsia" w:eastAsia="等线" w:cs="华文仿宋"/>
              </w:rPr>
              <w:t>弹性（1水准）</w:t>
            </w:r>
          </w:p>
        </w:tc>
        <w:tc>
          <w:tcPr>
            <w:tcW w:w="1860" w:type="dxa"/>
            <w:vAlign w:val="center"/>
          </w:tcPr>
          <w:p>
            <w:pPr>
              <w:pStyle w:val="83"/>
              <w:jc w:val="center"/>
              <w:rPr>
                <w:rFonts w:eastAsia="等线" w:cs="华文仿宋"/>
              </w:rPr>
            </w:pPr>
            <w:r>
              <w:rPr>
                <w:rFonts w:hint="eastAsia" w:eastAsia="等线" w:cs="华文仿宋"/>
              </w:rPr>
              <w:t>抗弯不屈服，抗剪弹性，（2水准）</w:t>
            </w:r>
          </w:p>
        </w:tc>
        <w:tc>
          <w:tcPr>
            <w:tcW w:w="2071" w:type="dxa"/>
            <w:vAlign w:val="center"/>
          </w:tcPr>
          <w:p>
            <w:pPr>
              <w:pStyle w:val="83"/>
              <w:jc w:val="center"/>
              <w:rPr>
                <w:rFonts w:eastAsia="等线" w:cs="华文仿宋"/>
                <w:color w:val="000000"/>
              </w:rPr>
            </w:pPr>
            <w:r>
              <w:rPr>
                <w:rFonts w:hint="eastAsia" w:eastAsia="等线" w:cs="华文仿宋"/>
              </w:rPr>
              <w:t>部分抗弯屈服，抗剪不屈服（3水准）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89" w:hRule="atLeast"/>
          <w:jc w:val="center"/>
        </w:trPr>
        <w:tc>
          <w:tcPr>
            <w:tcW w:w="1004" w:type="dxa"/>
            <w:vMerge w:val="continue"/>
            <w:vAlign w:val="center"/>
          </w:tcPr>
          <w:p>
            <w:pPr>
              <w:pStyle w:val="83"/>
              <w:jc w:val="center"/>
              <w:rPr>
                <w:rFonts w:eastAsia="等线" w:cs="华文仿宋"/>
              </w:rPr>
            </w:pPr>
          </w:p>
        </w:tc>
        <w:tc>
          <w:tcPr>
            <w:tcW w:w="2058" w:type="dxa"/>
            <w:vAlign w:val="center"/>
          </w:tcPr>
          <w:p>
            <w:pPr>
              <w:pStyle w:val="83"/>
              <w:jc w:val="center"/>
              <w:rPr>
                <w:rFonts w:eastAsia="等线" w:cs="华文仿宋"/>
              </w:rPr>
            </w:pPr>
            <w:r>
              <w:rPr>
                <w:rFonts w:hint="eastAsia" w:eastAsia="等线" w:cs="华文仿宋"/>
              </w:rPr>
              <w:t>其它框架梁、连梁（C）</w:t>
            </w:r>
          </w:p>
        </w:tc>
        <w:tc>
          <w:tcPr>
            <w:tcW w:w="1303" w:type="dxa"/>
            <w:vAlign w:val="center"/>
          </w:tcPr>
          <w:p>
            <w:pPr>
              <w:pStyle w:val="83"/>
              <w:jc w:val="center"/>
              <w:rPr>
                <w:rFonts w:eastAsia="等线" w:cs="华文仿宋"/>
              </w:rPr>
            </w:pPr>
            <w:r>
              <w:rPr>
                <w:rFonts w:hint="eastAsia" w:eastAsia="等线" w:cs="华文仿宋"/>
              </w:rPr>
              <w:t>弹性（1水准）</w:t>
            </w:r>
          </w:p>
        </w:tc>
        <w:tc>
          <w:tcPr>
            <w:tcW w:w="1860" w:type="dxa"/>
            <w:vAlign w:val="center"/>
          </w:tcPr>
          <w:p>
            <w:pPr>
              <w:pStyle w:val="83"/>
              <w:jc w:val="center"/>
              <w:rPr>
                <w:rFonts w:eastAsia="等线" w:cs="华文仿宋"/>
              </w:rPr>
            </w:pPr>
            <w:r>
              <w:rPr>
                <w:rFonts w:hint="eastAsia" w:eastAsia="等线" w:cs="华文仿宋"/>
              </w:rPr>
              <w:t>部分抗弯屈服，抗剪不屈服（3水准）</w:t>
            </w:r>
          </w:p>
        </w:tc>
        <w:tc>
          <w:tcPr>
            <w:tcW w:w="2071" w:type="dxa"/>
            <w:vAlign w:val="center"/>
          </w:tcPr>
          <w:p>
            <w:pPr>
              <w:pStyle w:val="83"/>
              <w:jc w:val="center"/>
              <w:rPr>
                <w:rFonts w:eastAsia="等线" w:cs="华文仿宋"/>
                <w:color w:val="000000"/>
              </w:rPr>
            </w:pPr>
            <w:r>
              <w:rPr>
                <w:rFonts w:hint="eastAsia" w:eastAsia="等线" w:cs="华文仿宋"/>
                <w:color w:val="000000"/>
              </w:rPr>
              <w:t>大部分抗弯屈服，满足截面抗剪（4水准）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004" w:type="dxa"/>
            <w:vMerge w:val="restart"/>
            <w:vAlign w:val="center"/>
          </w:tcPr>
          <w:p>
            <w:pPr>
              <w:pStyle w:val="83"/>
              <w:jc w:val="center"/>
              <w:rPr>
                <w:rFonts w:eastAsia="等线" w:cs="华文仿宋"/>
              </w:rPr>
            </w:pPr>
            <w:r>
              <w:rPr>
                <w:rFonts w:hint="eastAsia" w:eastAsia="等线" w:cs="华文仿宋"/>
              </w:rPr>
              <w:t>竖向构件变形要求</w:t>
            </w:r>
          </w:p>
        </w:tc>
        <w:tc>
          <w:tcPr>
            <w:tcW w:w="2058" w:type="dxa"/>
            <w:vAlign w:val="center"/>
          </w:tcPr>
          <w:p>
            <w:pPr>
              <w:pStyle w:val="83"/>
              <w:jc w:val="center"/>
              <w:rPr>
                <w:rFonts w:eastAsia="等线" w:cs="华文仿宋"/>
              </w:rPr>
            </w:pPr>
            <w:r>
              <w:rPr>
                <w:rFonts w:hint="eastAsia" w:eastAsia="等线" w:cs="华文仿宋"/>
              </w:rPr>
              <w:t>转换层以上</w:t>
            </w:r>
          </w:p>
        </w:tc>
        <w:tc>
          <w:tcPr>
            <w:tcW w:w="1303" w:type="dxa"/>
            <w:vAlign w:val="center"/>
          </w:tcPr>
          <w:p>
            <w:pPr>
              <w:pStyle w:val="83"/>
              <w:jc w:val="center"/>
              <w:rPr>
                <w:rFonts w:eastAsia="等线" w:cs="华文仿宋"/>
              </w:rPr>
            </w:pPr>
            <w:r>
              <w:rPr>
                <w:rFonts w:hint="eastAsia" w:eastAsia="等线" w:cs="华文仿宋"/>
              </w:rPr>
              <w:t>≤1/</w:t>
            </w:r>
            <w:r>
              <w:rPr>
                <w:rFonts w:eastAsia="等线" w:cs="华文仿宋"/>
              </w:rPr>
              <w:t>650</w:t>
            </w:r>
          </w:p>
        </w:tc>
        <w:tc>
          <w:tcPr>
            <w:tcW w:w="1860" w:type="dxa"/>
            <w:vAlign w:val="center"/>
          </w:tcPr>
          <w:p>
            <w:pPr>
              <w:pStyle w:val="83"/>
              <w:jc w:val="center"/>
              <w:rPr>
                <w:rFonts w:eastAsia="等线" w:cs="华文仿宋"/>
              </w:rPr>
            </w:pPr>
            <w:r>
              <w:rPr>
                <w:rFonts w:hint="eastAsia" w:eastAsia="等线" w:cs="华文仿宋"/>
              </w:rPr>
              <w:t>-</w:t>
            </w:r>
          </w:p>
        </w:tc>
        <w:tc>
          <w:tcPr>
            <w:tcW w:w="2071" w:type="dxa"/>
            <w:vAlign w:val="center"/>
          </w:tcPr>
          <w:p>
            <w:pPr>
              <w:pStyle w:val="83"/>
              <w:jc w:val="center"/>
              <w:rPr>
                <w:rFonts w:eastAsia="等线" w:cs="华文仿宋"/>
              </w:rPr>
            </w:pPr>
            <w:r>
              <w:rPr>
                <w:rFonts w:hint="eastAsia" w:eastAsia="等线" w:cs="华文仿宋"/>
              </w:rPr>
              <w:t>≤1/</w:t>
            </w:r>
            <w:r>
              <w:rPr>
                <w:rFonts w:eastAsia="等线" w:cs="华文仿宋"/>
              </w:rPr>
              <w: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004" w:type="dxa"/>
            <w:vMerge w:val="continue"/>
            <w:vAlign w:val="center"/>
          </w:tcPr>
          <w:p>
            <w:pPr>
              <w:pStyle w:val="83"/>
              <w:jc w:val="center"/>
              <w:rPr>
                <w:rFonts w:eastAsia="等线" w:cs="华文仿宋"/>
              </w:rPr>
            </w:pPr>
          </w:p>
        </w:tc>
        <w:tc>
          <w:tcPr>
            <w:tcW w:w="2058" w:type="dxa"/>
            <w:vAlign w:val="center"/>
          </w:tcPr>
          <w:p>
            <w:pPr>
              <w:pStyle w:val="83"/>
              <w:jc w:val="center"/>
              <w:rPr>
                <w:rFonts w:eastAsia="等线" w:cs="华文仿宋"/>
              </w:rPr>
            </w:pPr>
            <w:r>
              <w:rPr>
                <w:rFonts w:hint="eastAsia" w:eastAsia="等线" w:cs="华文仿宋"/>
              </w:rPr>
              <w:t>转换层以下塔楼范围及外扩一跨</w:t>
            </w:r>
          </w:p>
        </w:tc>
        <w:tc>
          <w:tcPr>
            <w:tcW w:w="1303" w:type="dxa"/>
            <w:vAlign w:val="center"/>
          </w:tcPr>
          <w:p>
            <w:pPr>
              <w:pStyle w:val="83"/>
              <w:jc w:val="center"/>
              <w:rPr>
                <w:rFonts w:eastAsia="等线" w:cs="华文仿宋"/>
              </w:rPr>
            </w:pPr>
            <w:r>
              <w:rPr>
                <w:rFonts w:hint="eastAsia" w:eastAsia="等线" w:cs="华文仿宋"/>
              </w:rPr>
              <w:t>≤1/</w:t>
            </w:r>
            <w:r>
              <w:rPr>
                <w:rFonts w:eastAsia="等线" w:cs="华文仿宋"/>
              </w:rPr>
              <w:t>2</w:t>
            </w:r>
            <w:r>
              <w:rPr>
                <w:rFonts w:hint="eastAsia" w:eastAsia="等线" w:cs="华文仿宋"/>
              </w:rPr>
              <w:t>000</w:t>
            </w:r>
          </w:p>
        </w:tc>
        <w:tc>
          <w:tcPr>
            <w:tcW w:w="1860" w:type="dxa"/>
            <w:vAlign w:val="center"/>
          </w:tcPr>
          <w:p>
            <w:pPr>
              <w:pStyle w:val="83"/>
              <w:jc w:val="center"/>
              <w:rPr>
                <w:rFonts w:eastAsia="等线" w:cs="华文仿宋"/>
              </w:rPr>
            </w:pPr>
            <w:r>
              <w:rPr>
                <w:rFonts w:hint="eastAsia" w:eastAsia="等线" w:cs="华文仿宋"/>
              </w:rPr>
              <w:t>-</w:t>
            </w:r>
          </w:p>
        </w:tc>
        <w:tc>
          <w:tcPr>
            <w:tcW w:w="2071" w:type="dxa"/>
            <w:vAlign w:val="center"/>
          </w:tcPr>
          <w:p>
            <w:pPr>
              <w:pStyle w:val="83"/>
              <w:jc w:val="center"/>
              <w:rPr>
                <w:rFonts w:eastAsia="等线" w:cs="华文仿宋"/>
              </w:rPr>
            </w:pPr>
            <w:r>
              <w:rPr>
                <w:rFonts w:hint="eastAsia" w:eastAsia="等线" w:cs="华文仿宋"/>
              </w:rPr>
              <w:t>≤1/</w:t>
            </w:r>
            <w:r>
              <w:rPr>
                <w:rFonts w:eastAsia="等线" w:cs="华文仿宋"/>
              </w:rPr>
              <w:t>20</w:t>
            </w:r>
            <w:r>
              <w:rPr>
                <w:rFonts w:hint="eastAsia" w:eastAsia="等线" w:cs="华文仿宋"/>
              </w:rPr>
              <w:t>0</w:t>
            </w:r>
          </w:p>
        </w:tc>
      </w:tr>
    </w:tbl>
    <w:p>
      <w:pPr>
        <w:pStyle w:val="80"/>
        <w:adjustRightInd w:val="0"/>
        <w:snapToGrid w:val="0"/>
        <w:ind w:firstLine="482"/>
        <w:rPr>
          <w:rFonts w:hAnsi="宋体" w:eastAsia="宋体"/>
          <w:b/>
        </w:rPr>
      </w:pPr>
    </w:p>
    <w:p>
      <w:pPr>
        <w:pStyle w:val="80"/>
        <w:adjustRightInd w:val="0"/>
        <w:snapToGrid w:val="0"/>
        <w:spacing w:before="156" w:beforeLines="50"/>
        <w:ind w:firstLine="482"/>
        <w:rPr>
          <w:rFonts w:eastAsia="宋体"/>
          <w:b/>
        </w:rPr>
      </w:pPr>
      <w:r>
        <w:rPr>
          <w:rFonts w:hAnsi="宋体" w:eastAsia="宋体"/>
          <w:b/>
        </w:rPr>
        <w:t>表</w:t>
      </w:r>
      <w:r>
        <w:rPr>
          <w:rFonts w:eastAsia="宋体"/>
          <w:b/>
        </w:rPr>
        <w:t>A.3-5</w:t>
      </w:r>
      <w:r>
        <w:rPr>
          <w:rFonts w:hint="eastAsia" w:hAnsi="宋体" w:eastAsia="宋体"/>
          <w:b/>
        </w:rPr>
        <w:t>全框支厚板转换结构抗震性能目标</w:t>
      </w:r>
    </w:p>
    <w:tbl>
      <w:tblPr>
        <w:tblStyle w:val="37"/>
        <w:tblW w:w="829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10"/>
        <w:gridCol w:w="1983"/>
        <w:gridCol w:w="1311"/>
        <w:gridCol w:w="1875"/>
        <w:gridCol w:w="21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2993" w:type="dxa"/>
            <w:gridSpan w:val="2"/>
            <w:vAlign w:val="center"/>
          </w:tcPr>
          <w:p>
            <w:pPr>
              <w:pStyle w:val="76"/>
            </w:pPr>
            <w:r>
              <w:rPr>
                <w:rFonts w:hint="eastAsia"/>
              </w:rPr>
              <w:t>结构构件（性能目标）</w:t>
            </w:r>
          </w:p>
        </w:tc>
        <w:tc>
          <w:tcPr>
            <w:tcW w:w="1311" w:type="dxa"/>
            <w:vAlign w:val="center"/>
          </w:tcPr>
          <w:p>
            <w:pPr>
              <w:pStyle w:val="76"/>
            </w:pPr>
            <w:r>
              <w:rPr>
                <w:rFonts w:hint="eastAsia" w:eastAsia="等线" w:cs="华文仿宋"/>
              </w:rPr>
              <w:t>多遇地震（性能水准）</w:t>
            </w:r>
          </w:p>
        </w:tc>
        <w:tc>
          <w:tcPr>
            <w:tcW w:w="1875" w:type="dxa"/>
            <w:vAlign w:val="center"/>
          </w:tcPr>
          <w:p>
            <w:pPr>
              <w:pStyle w:val="76"/>
            </w:pPr>
            <w:r>
              <w:rPr>
                <w:rFonts w:hint="eastAsia"/>
              </w:rPr>
              <w:t>设防烈度地震</w:t>
            </w:r>
            <w:r>
              <w:rPr>
                <w:rFonts w:hint="eastAsia" w:eastAsia="等线" w:cs="华文仿宋"/>
              </w:rPr>
              <w:t>（性能水准）</w:t>
            </w:r>
          </w:p>
        </w:tc>
        <w:tc>
          <w:tcPr>
            <w:tcW w:w="2117" w:type="dxa"/>
            <w:vAlign w:val="center"/>
          </w:tcPr>
          <w:p>
            <w:pPr>
              <w:pStyle w:val="76"/>
            </w:pPr>
            <w:r>
              <w:rPr>
                <w:rFonts w:hint="eastAsia" w:eastAsia="等线" w:cs="华文仿宋"/>
              </w:rPr>
              <w:t>预估的罕遇地震（性能水准）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010" w:type="dxa"/>
            <w:vMerge w:val="restart"/>
            <w:vAlign w:val="center"/>
          </w:tcPr>
          <w:p>
            <w:pPr>
              <w:pStyle w:val="76"/>
            </w:pPr>
            <w:r>
              <w:rPr>
                <w:rFonts w:hint="eastAsia"/>
              </w:rPr>
              <w:t>关键构件</w:t>
            </w:r>
          </w:p>
        </w:tc>
        <w:tc>
          <w:tcPr>
            <w:tcW w:w="1983" w:type="dxa"/>
            <w:vAlign w:val="center"/>
          </w:tcPr>
          <w:p>
            <w:pPr>
              <w:pStyle w:val="76"/>
            </w:pPr>
            <w:r>
              <w:rPr>
                <w:rFonts w:hint="eastAsia"/>
              </w:rPr>
              <w:t>框支柱（B）</w:t>
            </w:r>
          </w:p>
        </w:tc>
        <w:tc>
          <w:tcPr>
            <w:tcW w:w="1311" w:type="dxa"/>
            <w:vAlign w:val="center"/>
          </w:tcPr>
          <w:p>
            <w:pPr>
              <w:pStyle w:val="83"/>
              <w:jc w:val="center"/>
              <w:rPr>
                <w:rFonts w:eastAsia="等线" w:cs="华文仿宋"/>
              </w:rPr>
            </w:pPr>
            <w:r>
              <w:rPr>
                <w:rFonts w:hint="eastAsia" w:eastAsia="等线" w:cs="华文仿宋"/>
              </w:rPr>
              <w:t>弹性（1水准）</w:t>
            </w:r>
          </w:p>
        </w:tc>
        <w:tc>
          <w:tcPr>
            <w:tcW w:w="1875" w:type="dxa"/>
            <w:vAlign w:val="center"/>
          </w:tcPr>
          <w:p>
            <w:pPr>
              <w:pStyle w:val="83"/>
              <w:jc w:val="center"/>
              <w:rPr>
                <w:rFonts w:eastAsia="等线" w:cs="华文仿宋"/>
              </w:rPr>
            </w:pPr>
            <w:r>
              <w:rPr>
                <w:rFonts w:hint="eastAsia" w:eastAsia="等线" w:cs="华文仿宋"/>
              </w:rPr>
              <w:t>弹性（2水准）</w:t>
            </w:r>
          </w:p>
        </w:tc>
        <w:tc>
          <w:tcPr>
            <w:tcW w:w="2117" w:type="dxa"/>
            <w:vAlign w:val="center"/>
          </w:tcPr>
          <w:p>
            <w:pPr>
              <w:pStyle w:val="83"/>
              <w:jc w:val="center"/>
              <w:rPr>
                <w:rFonts w:eastAsia="等线" w:cs="华文仿宋"/>
              </w:rPr>
            </w:pPr>
            <w:r>
              <w:rPr>
                <w:rFonts w:hint="eastAsia" w:eastAsia="等线" w:cs="华文仿宋"/>
              </w:rPr>
              <w:t>抗弯不屈服，抗剪弹性（3水准）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010" w:type="dxa"/>
            <w:vMerge w:val="continue"/>
            <w:vAlign w:val="center"/>
          </w:tcPr>
          <w:p>
            <w:pPr>
              <w:pStyle w:val="76"/>
            </w:pPr>
          </w:p>
        </w:tc>
        <w:tc>
          <w:tcPr>
            <w:tcW w:w="1983" w:type="dxa"/>
            <w:vAlign w:val="center"/>
          </w:tcPr>
          <w:p>
            <w:pPr>
              <w:pStyle w:val="76"/>
            </w:pPr>
            <w:r>
              <w:rPr>
                <w:rFonts w:hint="eastAsia"/>
              </w:rPr>
              <w:t>转换厚板（</w:t>
            </w:r>
            <w:r>
              <w:t>B</w:t>
            </w:r>
            <w:r>
              <w:rPr>
                <w:rFonts w:hint="eastAsia"/>
              </w:rPr>
              <w:t>）</w:t>
            </w:r>
          </w:p>
        </w:tc>
        <w:tc>
          <w:tcPr>
            <w:tcW w:w="1311" w:type="dxa"/>
            <w:vAlign w:val="center"/>
          </w:tcPr>
          <w:p>
            <w:pPr>
              <w:pStyle w:val="83"/>
              <w:jc w:val="center"/>
              <w:rPr>
                <w:rFonts w:eastAsia="等线" w:cs="华文仿宋"/>
              </w:rPr>
            </w:pPr>
            <w:r>
              <w:rPr>
                <w:rFonts w:hint="eastAsia" w:eastAsia="等线" w:cs="华文仿宋"/>
              </w:rPr>
              <w:t>弹性（1水准）</w:t>
            </w:r>
          </w:p>
        </w:tc>
        <w:tc>
          <w:tcPr>
            <w:tcW w:w="1875" w:type="dxa"/>
            <w:vAlign w:val="center"/>
          </w:tcPr>
          <w:p>
            <w:pPr>
              <w:pStyle w:val="83"/>
              <w:jc w:val="center"/>
              <w:rPr>
                <w:rFonts w:eastAsia="等线" w:cs="华文仿宋"/>
              </w:rPr>
            </w:pPr>
            <w:r>
              <w:rPr>
                <w:rFonts w:hint="eastAsia" w:eastAsia="等线" w:cs="华文仿宋"/>
              </w:rPr>
              <w:t>弹性（2水准）</w:t>
            </w:r>
          </w:p>
        </w:tc>
        <w:tc>
          <w:tcPr>
            <w:tcW w:w="2117" w:type="dxa"/>
            <w:vAlign w:val="center"/>
          </w:tcPr>
          <w:p>
            <w:pPr>
              <w:pStyle w:val="83"/>
              <w:jc w:val="center"/>
              <w:rPr>
                <w:rFonts w:eastAsia="等线" w:cs="华文仿宋"/>
              </w:rPr>
            </w:pPr>
            <w:r>
              <w:rPr>
                <w:rFonts w:hint="eastAsia" w:eastAsia="等线" w:cs="华文仿宋"/>
              </w:rPr>
              <w:t>抗弯不屈服，抗冲切（剪）弹性（</w:t>
            </w:r>
            <w:r>
              <w:rPr>
                <w:rFonts w:eastAsia="等线" w:cs="华文仿宋"/>
              </w:rPr>
              <w:t>3</w:t>
            </w:r>
            <w:r>
              <w:rPr>
                <w:rFonts w:hint="eastAsia" w:eastAsia="等线" w:cs="华文仿宋"/>
              </w:rPr>
              <w:t>水准）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010" w:type="dxa"/>
            <w:vMerge w:val="continue"/>
            <w:vAlign w:val="center"/>
          </w:tcPr>
          <w:p>
            <w:pPr>
              <w:pStyle w:val="76"/>
            </w:pPr>
          </w:p>
        </w:tc>
        <w:tc>
          <w:tcPr>
            <w:tcW w:w="1983" w:type="dxa"/>
            <w:vAlign w:val="center"/>
          </w:tcPr>
          <w:p>
            <w:pPr>
              <w:pStyle w:val="76"/>
            </w:pPr>
            <w:r>
              <w:rPr>
                <w:rFonts w:hint="eastAsia"/>
              </w:rPr>
              <w:t>塔楼范围外扩一跨框柱（</w:t>
            </w:r>
            <w:r>
              <w:t>B</w:t>
            </w:r>
            <w:r>
              <w:rPr>
                <w:rFonts w:hint="eastAsia"/>
              </w:rPr>
              <w:t>）</w:t>
            </w:r>
          </w:p>
        </w:tc>
        <w:tc>
          <w:tcPr>
            <w:tcW w:w="1311" w:type="dxa"/>
            <w:vAlign w:val="center"/>
          </w:tcPr>
          <w:p>
            <w:pPr>
              <w:pStyle w:val="83"/>
              <w:jc w:val="center"/>
              <w:rPr>
                <w:rFonts w:eastAsia="等线" w:cs="华文仿宋"/>
              </w:rPr>
            </w:pPr>
            <w:r>
              <w:rPr>
                <w:rFonts w:hint="eastAsia" w:eastAsia="等线" w:cs="华文仿宋"/>
              </w:rPr>
              <w:t>弹性（1水准）</w:t>
            </w:r>
          </w:p>
        </w:tc>
        <w:tc>
          <w:tcPr>
            <w:tcW w:w="1875" w:type="dxa"/>
            <w:vAlign w:val="center"/>
          </w:tcPr>
          <w:p>
            <w:pPr>
              <w:pStyle w:val="83"/>
              <w:jc w:val="center"/>
              <w:rPr>
                <w:rFonts w:eastAsia="等线" w:cs="华文仿宋"/>
              </w:rPr>
            </w:pPr>
            <w:r>
              <w:rPr>
                <w:rFonts w:hint="eastAsia" w:eastAsia="等线" w:cs="华文仿宋"/>
              </w:rPr>
              <w:t>弹性（</w:t>
            </w:r>
            <w:r>
              <w:rPr>
                <w:rFonts w:eastAsia="等线" w:cs="华文仿宋"/>
              </w:rPr>
              <w:t>2</w:t>
            </w:r>
            <w:r>
              <w:rPr>
                <w:rFonts w:hint="eastAsia" w:eastAsia="等线" w:cs="华文仿宋"/>
              </w:rPr>
              <w:t>水准）</w:t>
            </w:r>
          </w:p>
        </w:tc>
        <w:tc>
          <w:tcPr>
            <w:tcW w:w="2117" w:type="dxa"/>
            <w:vAlign w:val="center"/>
          </w:tcPr>
          <w:p>
            <w:pPr>
              <w:pStyle w:val="83"/>
              <w:jc w:val="center"/>
              <w:rPr>
                <w:rFonts w:eastAsia="等线" w:cs="华文仿宋"/>
              </w:rPr>
            </w:pPr>
            <w:r>
              <w:rPr>
                <w:rFonts w:hint="eastAsia" w:eastAsia="等线" w:cs="华文仿宋"/>
              </w:rPr>
              <w:t>抗弯不屈服，抗剪弹性（</w:t>
            </w:r>
            <w:r>
              <w:rPr>
                <w:rFonts w:eastAsia="等线" w:cs="华文仿宋"/>
              </w:rPr>
              <w:t>3</w:t>
            </w:r>
            <w:r>
              <w:rPr>
                <w:rFonts w:hint="eastAsia" w:eastAsia="等线" w:cs="华文仿宋"/>
              </w:rPr>
              <w:t>水准）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010" w:type="dxa"/>
            <w:vMerge w:val="continue"/>
            <w:vAlign w:val="center"/>
          </w:tcPr>
          <w:p>
            <w:pPr>
              <w:pStyle w:val="76"/>
            </w:pPr>
          </w:p>
        </w:tc>
        <w:tc>
          <w:tcPr>
            <w:tcW w:w="1983" w:type="dxa"/>
            <w:vAlign w:val="center"/>
          </w:tcPr>
          <w:p>
            <w:pPr>
              <w:pStyle w:val="76"/>
            </w:pPr>
            <w:r>
              <w:rPr>
                <w:rFonts w:hint="eastAsia" w:eastAsia="等线" w:cs="华文仿宋"/>
              </w:rPr>
              <w:t>转换层以上加强部位剪力墙（C）</w:t>
            </w:r>
          </w:p>
        </w:tc>
        <w:tc>
          <w:tcPr>
            <w:tcW w:w="1311" w:type="dxa"/>
            <w:vAlign w:val="center"/>
          </w:tcPr>
          <w:p>
            <w:pPr>
              <w:pStyle w:val="83"/>
              <w:jc w:val="center"/>
              <w:rPr>
                <w:rFonts w:eastAsia="等线" w:cs="华文仿宋"/>
              </w:rPr>
            </w:pPr>
            <w:r>
              <w:rPr>
                <w:rFonts w:hint="eastAsia" w:eastAsia="等线" w:cs="华文仿宋"/>
              </w:rPr>
              <w:t>弹性（1水准）</w:t>
            </w:r>
          </w:p>
        </w:tc>
        <w:tc>
          <w:tcPr>
            <w:tcW w:w="1875" w:type="dxa"/>
            <w:vAlign w:val="center"/>
          </w:tcPr>
          <w:p>
            <w:pPr>
              <w:pStyle w:val="83"/>
              <w:jc w:val="center"/>
              <w:rPr>
                <w:rFonts w:eastAsia="等线" w:cs="华文仿宋"/>
              </w:rPr>
            </w:pPr>
            <w:r>
              <w:rPr>
                <w:rFonts w:hint="eastAsia" w:eastAsia="等线" w:cs="华文仿宋"/>
              </w:rPr>
              <w:t>抗弯不屈服，抗剪弹性（3水准）</w:t>
            </w:r>
          </w:p>
        </w:tc>
        <w:tc>
          <w:tcPr>
            <w:tcW w:w="2117" w:type="dxa"/>
            <w:vAlign w:val="center"/>
          </w:tcPr>
          <w:p>
            <w:pPr>
              <w:pStyle w:val="83"/>
              <w:jc w:val="center"/>
              <w:rPr>
                <w:rFonts w:eastAsia="等线" w:cs="华文仿宋"/>
              </w:rPr>
            </w:pPr>
            <w:r>
              <w:rPr>
                <w:rFonts w:hint="eastAsia" w:eastAsia="等线" w:cs="华文仿宋"/>
              </w:rPr>
              <w:t>抗弯不屈服，抗剪不屈服（</w:t>
            </w:r>
            <w:r>
              <w:rPr>
                <w:rFonts w:eastAsia="等线" w:cs="华文仿宋"/>
              </w:rPr>
              <w:t>4</w:t>
            </w:r>
            <w:r>
              <w:rPr>
                <w:rFonts w:hint="eastAsia" w:eastAsia="等线" w:cs="华文仿宋"/>
              </w:rPr>
              <w:t>水准）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010" w:type="dxa"/>
            <w:vAlign w:val="center"/>
          </w:tcPr>
          <w:p>
            <w:pPr>
              <w:pStyle w:val="83"/>
              <w:jc w:val="center"/>
              <w:rPr>
                <w:rFonts w:eastAsia="等线" w:cs="华文仿宋"/>
              </w:rPr>
            </w:pPr>
            <w:r>
              <w:rPr>
                <w:rFonts w:hint="eastAsia" w:eastAsia="等线" w:cs="华文仿宋"/>
              </w:rPr>
              <w:t>普通竖向构件</w:t>
            </w:r>
          </w:p>
        </w:tc>
        <w:tc>
          <w:tcPr>
            <w:tcW w:w="1983" w:type="dxa"/>
            <w:vAlign w:val="center"/>
          </w:tcPr>
          <w:p>
            <w:pPr>
              <w:pStyle w:val="83"/>
              <w:jc w:val="center"/>
              <w:rPr>
                <w:rFonts w:eastAsia="等线" w:cs="华文仿宋"/>
              </w:rPr>
            </w:pPr>
            <w:r>
              <w:rPr>
                <w:rFonts w:hint="eastAsia" w:eastAsia="等线" w:cs="华文仿宋"/>
              </w:rPr>
              <w:t>除关键构件外的剪力墙、框架柱（C）</w:t>
            </w:r>
          </w:p>
        </w:tc>
        <w:tc>
          <w:tcPr>
            <w:tcW w:w="1311" w:type="dxa"/>
            <w:vAlign w:val="center"/>
          </w:tcPr>
          <w:p>
            <w:pPr>
              <w:pStyle w:val="83"/>
              <w:jc w:val="center"/>
              <w:rPr>
                <w:rFonts w:eastAsia="等线" w:cs="华文仿宋"/>
              </w:rPr>
            </w:pPr>
            <w:r>
              <w:rPr>
                <w:rFonts w:hint="eastAsia" w:eastAsia="等线" w:cs="华文仿宋"/>
              </w:rPr>
              <w:t>弹性（1水准）</w:t>
            </w:r>
          </w:p>
        </w:tc>
        <w:tc>
          <w:tcPr>
            <w:tcW w:w="1875" w:type="dxa"/>
            <w:vAlign w:val="center"/>
          </w:tcPr>
          <w:p>
            <w:pPr>
              <w:pStyle w:val="83"/>
              <w:jc w:val="center"/>
              <w:rPr>
                <w:rFonts w:eastAsia="等线" w:cs="华文仿宋"/>
              </w:rPr>
            </w:pPr>
            <w:r>
              <w:rPr>
                <w:rFonts w:hint="eastAsia" w:eastAsia="等线" w:cs="华文仿宋"/>
              </w:rPr>
              <w:t>抗弯不屈服，抗剪弹性（3水准）</w:t>
            </w:r>
          </w:p>
        </w:tc>
        <w:tc>
          <w:tcPr>
            <w:tcW w:w="2117" w:type="dxa"/>
            <w:vAlign w:val="center"/>
          </w:tcPr>
          <w:p>
            <w:pPr>
              <w:pStyle w:val="83"/>
              <w:jc w:val="center"/>
              <w:rPr>
                <w:rFonts w:eastAsia="等线" w:cs="华文仿宋"/>
                <w:color w:val="000000"/>
              </w:rPr>
            </w:pPr>
            <w:r>
              <w:rPr>
                <w:rFonts w:hint="eastAsia" w:eastAsia="等线" w:cs="华文仿宋"/>
                <w:color w:val="000000"/>
              </w:rPr>
              <w:t>部分抗弯屈服，满足截面抗剪（4水准）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010" w:type="dxa"/>
            <w:vMerge w:val="restart"/>
            <w:vAlign w:val="center"/>
          </w:tcPr>
          <w:p>
            <w:pPr>
              <w:pStyle w:val="83"/>
              <w:jc w:val="center"/>
              <w:rPr>
                <w:rFonts w:eastAsia="等线" w:cs="华文仿宋"/>
              </w:rPr>
            </w:pPr>
            <w:r>
              <w:rPr>
                <w:rFonts w:hint="eastAsia" w:eastAsia="等线" w:cs="华文仿宋"/>
              </w:rPr>
              <w:t>耗能构件</w:t>
            </w:r>
          </w:p>
        </w:tc>
        <w:tc>
          <w:tcPr>
            <w:tcW w:w="1983" w:type="dxa"/>
            <w:vAlign w:val="center"/>
          </w:tcPr>
          <w:p>
            <w:pPr>
              <w:pStyle w:val="83"/>
              <w:jc w:val="center"/>
              <w:rPr>
                <w:rFonts w:eastAsia="等线" w:cs="华文仿宋"/>
              </w:rPr>
            </w:pPr>
            <w:r>
              <w:rPr>
                <w:rFonts w:hint="eastAsia" w:eastAsia="等线" w:cs="华文仿宋"/>
              </w:rPr>
              <w:t>转换层塔楼范围及外扩一跨框架梁（B）</w:t>
            </w:r>
          </w:p>
        </w:tc>
        <w:tc>
          <w:tcPr>
            <w:tcW w:w="1311" w:type="dxa"/>
            <w:vAlign w:val="center"/>
          </w:tcPr>
          <w:p>
            <w:pPr>
              <w:pStyle w:val="83"/>
              <w:jc w:val="center"/>
              <w:rPr>
                <w:rFonts w:eastAsia="等线" w:cs="华文仿宋"/>
              </w:rPr>
            </w:pPr>
            <w:r>
              <w:rPr>
                <w:rFonts w:hint="eastAsia" w:eastAsia="等线" w:cs="华文仿宋"/>
              </w:rPr>
              <w:t>弹性（1水准）</w:t>
            </w:r>
          </w:p>
        </w:tc>
        <w:tc>
          <w:tcPr>
            <w:tcW w:w="1875" w:type="dxa"/>
            <w:vAlign w:val="center"/>
          </w:tcPr>
          <w:p>
            <w:pPr>
              <w:pStyle w:val="83"/>
              <w:jc w:val="center"/>
              <w:rPr>
                <w:rFonts w:eastAsia="等线" w:cs="华文仿宋"/>
              </w:rPr>
            </w:pPr>
            <w:r>
              <w:rPr>
                <w:rFonts w:hint="eastAsia" w:eastAsia="等线" w:cs="华文仿宋"/>
              </w:rPr>
              <w:t>抗弯不屈服，抗剪弹性，（2水准）</w:t>
            </w:r>
          </w:p>
        </w:tc>
        <w:tc>
          <w:tcPr>
            <w:tcW w:w="2117" w:type="dxa"/>
            <w:vAlign w:val="center"/>
          </w:tcPr>
          <w:p>
            <w:pPr>
              <w:pStyle w:val="83"/>
              <w:jc w:val="center"/>
              <w:rPr>
                <w:rFonts w:eastAsia="等线" w:cs="华文仿宋"/>
                <w:color w:val="000000"/>
              </w:rPr>
            </w:pPr>
            <w:r>
              <w:rPr>
                <w:rFonts w:hint="eastAsia" w:eastAsia="等线" w:cs="华文仿宋"/>
              </w:rPr>
              <w:t>部分抗弯屈服，抗剪不屈服（3水准）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010" w:type="dxa"/>
            <w:vMerge w:val="continue"/>
            <w:vAlign w:val="center"/>
          </w:tcPr>
          <w:p>
            <w:pPr>
              <w:pStyle w:val="83"/>
              <w:jc w:val="center"/>
              <w:rPr>
                <w:rFonts w:eastAsia="等线" w:cs="华文仿宋"/>
              </w:rPr>
            </w:pPr>
          </w:p>
        </w:tc>
        <w:tc>
          <w:tcPr>
            <w:tcW w:w="1983" w:type="dxa"/>
            <w:vAlign w:val="center"/>
          </w:tcPr>
          <w:p>
            <w:pPr>
              <w:pStyle w:val="83"/>
              <w:jc w:val="center"/>
              <w:rPr>
                <w:rFonts w:eastAsia="等线" w:cs="华文仿宋"/>
              </w:rPr>
            </w:pPr>
            <w:r>
              <w:rPr>
                <w:rFonts w:hint="eastAsia" w:eastAsia="等线" w:cs="华文仿宋"/>
              </w:rPr>
              <w:t>其它框架梁、连梁（C）</w:t>
            </w:r>
          </w:p>
        </w:tc>
        <w:tc>
          <w:tcPr>
            <w:tcW w:w="1311" w:type="dxa"/>
            <w:vAlign w:val="center"/>
          </w:tcPr>
          <w:p>
            <w:pPr>
              <w:pStyle w:val="83"/>
              <w:jc w:val="center"/>
              <w:rPr>
                <w:rFonts w:eastAsia="等线" w:cs="华文仿宋"/>
              </w:rPr>
            </w:pPr>
            <w:r>
              <w:rPr>
                <w:rFonts w:hint="eastAsia" w:eastAsia="等线" w:cs="华文仿宋"/>
              </w:rPr>
              <w:t>弹性（1水准）</w:t>
            </w:r>
          </w:p>
        </w:tc>
        <w:tc>
          <w:tcPr>
            <w:tcW w:w="1875" w:type="dxa"/>
            <w:vAlign w:val="center"/>
          </w:tcPr>
          <w:p>
            <w:pPr>
              <w:pStyle w:val="83"/>
              <w:jc w:val="center"/>
              <w:rPr>
                <w:rFonts w:eastAsia="等线" w:cs="华文仿宋"/>
              </w:rPr>
            </w:pPr>
            <w:r>
              <w:rPr>
                <w:rFonts w:hint="eastAsia" w:eastAsia="等线" w:cs="华文仿宋"/>
              </w:rPr>
              <w:t>部分抗弯屈服，抗剪不屈服（3水准）</w:t>
            </w:r>
          </w:p>
        </w:tc>
        <w:tc>
          <w:tcPr>
            <w:tcW w:w="2117" w:type="dxa"/>
            <w:vAlign w:val="center"/>
          </w:tcPr>
          <w:p>
            <w:pPr>
              <w:pStyle w:val="83"/>
              <w:jc w:val="center"/>
              <w:rPr>
                <w:rFonts w:eastAsia="等线" w:cs="华文仿宋"/>
                <w:color w:val="000000"/>
              </w:rPr>
            </w:pPr>
            <w:r>
              <w:rPr>
                <w:rFonts w:hint="eastAsia" w:eastAsia="等线" w:cs="华文仿宋"/>
                <w:color w:val="000000"/>
              </w:rPr>
              <w:t>大部分抗弯屈服，满足截面抗剪（4水准）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010" w:type="dxa"/>
            <w:vMerge w:val="restart"/>
            <w:vAlign w:val="center"/>
          </w:tcPr>
          <w:p>
            <w:pPr>
              <w:pStyle w:val="83"/>
              <w:jc w:val="center"/>
              <w:rPr>
                <w:rFonts w:eastAsia="等线" w:cs="华文仿宋"/>
              </w:rPr>
            </w:pPr>
            <w:r>
              <w:rPr>
                <w:rFonts w:hint="eastAsia" w:eastAsia="等线" w:cs="华文仿宋"/>
              </w:rPr>
              <w:t>竖向构件变形要求</w:t>
            </w:r>
          </w:p>
        </w:tc>
        <w:tc>
          <w:tcPr>
            <w:tcW w:w="1983" w:type="dxa"/>
            <w:vAlign w:val="center"/>
          </w:tcPr>
          <w:p>
            <w:pPr>
              <w:pStyle w:val="83"/>
              <w:jc w:val="center"/>
              <w:rPr>
                <w:rFonts w:eastAsia="等线" w:cs="华文仿宋"/>
              </w:rPr>
            </w:pPr>
            <w:r>
              <w:rPr>
                <w:rFonts w:hint="eastAsia" w:eastAsia="等线" w:cs="华文仿宋"/>
              </w:rPr>
              <w:t>转换层以上</w:t>
            </w:r>
          </w:p>
        </w:tc>
        <w:tc>
          <w:tcPr>
            <w:tcW w:w="1311" w:type="dxa"/>
            <w:vAlign w:val="center"/>
          </w:tcPr>
          <w:p>
            <w:pPr>
              <w:pStyle w:val="83"/>
              <w:jc w:val="center"/>
              <w:rPr>
                <w:rFonts w:eastAsia="等线" w:cs="华文仿宋"/>
              </w:rPr>
            </w:pPr>
            <w:r>
              <w:rPr>
                <w:rFonts w:hint="eastAsia" w:eastAsia="等线" w:cs="华文仿宋"/>
              </w:rPr>
              <w:t>≤1/</w:t>
            </w:r>
            <w:r>
              <w:rPr>
                <w:rFonts w:eastAsia="等线" w:cs="华文仿宋"/>
              </w:rPr>
              <w:t>800</w:t>
            </w:r>
          </w:p>
        </w:tc>
        <w:tc>
          <w:tcPr>
            <w:tcW w:w="1875" w:type="dxa"/>
            <w:vAlign w:val="center"/>
          </w:tcPr>
          <w:p>
            <w:pPr>
              <w:pStyle w:val="83"/>
              <w:jc w:val="center"/>
              <w:rPr>
                <w:rFonts w:eastAsia="等线" w:cs="华文仿宋"/>
              </w:rPr>
            </w:pPr>
            <w:r>
              <w:rPr>
                <w:rFonts w:hint="eastAsia" w:eastAsia="等线" w:cs="华文仿宋"/>
              </w:rPr>
              <w:t>-</w:t>
            </w:r>
          </w:p>
        </w:tc>
        <w:tc>
          <w:tcPr>
            <w:tcW w:w="2117" w:type="dxa"/>
            <w:vAlign w:val="center"/>
          </w:tcPr>
          <w:p>
            <w:pPr>
              <w:pStyle w:val="83"/>
              <w:jc w:val="center"/>
              <w:rPr>
                <w:rFonts w:eastAsia="等线" w:cs="华文仿宋"/>
              </w:rPr>
            </w:pPr>
            <w:r>
              <w:rPr>
                <w:rFonts w:hint="eastAsia" w:eastAsia="等线" w:cs="华文仿宋"/>
              </w:rPr>
              <w:t>≤1/</w:t>
            </w:r>
            <w:r>
              <w:rPr>
                <w:rFonts w:eastAsia="等线" w:cs="华文仿宋"/>
              </w:rPr>
              <w:t>120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010" w:type="dxa"/>
            <w:vMerge w:val="continue"/>
            <w:vAlign w:val="center"/>
          </w:tcPr>
          <w:p>
            <w:pPr>
              <w:pStyle w:val="83"/>
              <w:jc w:val="center"/>
              <w:rPr>
                <w:rFonts w:eastAsia="等线" w:cs="华文仿宋"/>
              </w:rPr>
            </w:pPr>
          </w:p>
        </w:tc>
        <w:tc>
          <w:tcPr>
            <w:tcW w:w="1983" w:type="dxa"/>
            <w:vAlign w:val="center"/>
          </w:tcPr>
          <w:p>
            <w:pPr>
              <w:pStyle w:val="83"/>
              <w:jc w:val="center"/>
              <w:rPr>
                <w:rFonts w:eastAsia="等线" w:cs="华文仿宋"/>
              </w:rPr>
            </w:pPr>
            <w:r>
              <w:rPr>
                <w:rFonts w:hint="eastAsia" w:eastAsia="等线" w:cs="华文仿宋"/>
              </w:rPr>
              <w:t>转换层以下塔楼范围及外扩一跨</w:t>
            </w:r>
          </w:p>
        </w:tc>
        <w:tc>
          <w:tcPr>
            <w:tcW w:w="1311" w:type="dxa"/>
            <w:vAlign w:val="center"/>
          </w:tcPr>
          <w:p>
            <w:pPr>
              <w:pStyle w:val="83"/>
              <w:jc w:val="center"/>
              <w:rPr>
                <w:rFonts w:eastAsia="等线" w:cs="华文仿宋"/>
              </w:rPr>
            </w:pPr>
            <w:r>
              <w:rPr>
                <w:rFonts w:hint="eastAsia" w:eastAsia="等线" w:cs="华文仿宋"/>
              </w:rPr>
              <w:t>≤1/</w:t>
            </w:r>
            <w:r>
              <w:rPr>
                <w:rFonts w:eastAsia="等线" w:cs="华文仿宋"/>
              </w:rPr>
              <w:t>2</w:t>
            </w:r>
            <w:r>
              <w:rPr>
                <w:rFonts w:hint="eastAsia" w:eastAsia="等线" w:cs="华文仿宋"/>
              </w:rPr>
              <w:t>000</w:t>
            </w:r>
          </w:p>
        </w:tc>
        <w:tc>
          <w:tcPr>
            <w:tcW w:w="1875" w:type="dxa"/>
            <w:vAlign w:val="center"/>
          </w:tcPr>
          <w:p>
            <w:pPr>
              <w:pStyle w:val="83"/>
              <w:jc w:val="center"/>
              <w:rPr>
                <w:rFonts w:eastAsia="等线" w:cs="华文仿宋"/>
              </w:rPr>
            </w:pPr>
            <w:r>
              <w:rPr>
                <w:rFonts w:hint="eastAsia" w:eastAsia="等线" w:cs="华文仿宋"/>
              </w:rPr>
              <w:t>-</w:t>
            </w:r>
          </w:p>
        </w:tc>
        <w:tc>
          <w:tcPr>
            <w:tcW w:w="2117" w:type="dxa"/>
            <w:vAlign w:val="center"/>
          </w:tcPr>
          <w:p>
            <w:pPr>
              <w:pStyle w:val="83"/>
              <w:jc w:val="center"/>
              <w:rPr>
                <w:rFonts w:eastAsia="等线" w:cs="华文仿宋"/>
              </w:rPr>
            </w:pPr>
            <w:r>
              <w:rPr>
                <w:rFonts w:hint="eastAsia" w:eastAsia="等线" w:cs="华文仿宋"/>
              </w:rPr>
              <w:t>≤1/</w:t>
            </w:r>
            <w:r>
              <w:rPr>
                <w:rFonts w:eastAsia="等线" w:cs="华文仿宋"/>
              </w:rPr>
              <w:t>20</w:t>
            </w:r>
            <w:r>
              <w:rPr>
                <w:rFonts w:hint="eastAsia" w:eastAsia="等线" w:cs="华文仿宋"/>
              </w:rPr>
              <w:t>0</w:t>
            </w:r>
          </w:p>
        </w:tc>
      </w:tr>
    </w:tbl>
    <w:p>
      <w:pPr>
        <w:pStyle w:val="80"/>
        <w:adjustRightInd w:val="0"/>
        <w:snapToGrid w:val="0"/>
        <w:ind w:firstLine="482"/>
        <w:rPr>
          <w:rFonts w:hAnsi="宋体" w:eastAsia="宋体"/>
          <w:b/>
        </w:rPr>
      </w:pPr>
    </w:p>
    <w:p>
      <w:pPr>
        <w:pStyle w:val="80"/>
        <w:adjustRightInd w:val="0"/>
        <w:snapToGrid w:val="0"/>
        <w:spacing w:before="156" w:beforeLines="50"/>
        <w:ind w:firstLine="482"/>
        <w:rPr>
          <w:rFonts w:hAnsi="宋体" w:eastAsia="宋体"/>
          <w:b/>
        </w:rPr>
      </w:pPr>
      <w:r>
        <w:rPr>
          <w:rFonts w:hAnsi="宋体" w:eastAsia="宋体"/>
          <w:b/>
        </w:rPr>
        <w:t>表A.3-</w:t>
      </w:r>
      <w:bookmarkStart w:id="152" w:name="_Hlk41155360"/>
      <w:r>
        <w:rPr>
          <w:rFonts w:hAnsi="宋体" w:eastAsia="宋体"/>
          <w:b/>
        </w:rPr>
        <w:t>6</w:t>
      </w:r>
      <w:r>
        <w:rPr>
          <w:rFonts w:hint="eastAsia" w:hAnsi="宋体" w:eastAsia="宋体"/>
          <w:b/>
        </w:rPr>
        <w:t>隔震框支剪力墙结构抗震性能目标</w:t>
      </w:r>
      <w:bookmarkEnd w:id="152"/>
    </w:p>
    <w:tbl>
      <w:tblPr>
        <w:tblStyle w:val="37"/>
        <w:tblW w:w="829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3"/>
        <w:gridCol w:w="676"/>
        <w:gridCol w:w="1335"/>
        <w:gridCol w:w="1188"/>
        <w:gridCol w:w="1459"/>
        <w:gridCol w:w="271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2934" w:type="dxa"/>
            <w:gridSpan w:val="3"/>
            <w:vAlign w:val="center"/>
          </w:tcPr>
          <w:p>
            <w:pPr>
              <w:pStyle w:val="79"/>
            </w:pPr>
            <w:r>
              <w:rPr>
                <w:rFonts w:hint="eastAsia"/>
              </w:rPr>
              <w:t>结构构件（性能目标）</w:t>
            </w:r>
          </w:p>
        </w:tc>
        <w:tc>
          <w:tcPr>
            <w:tcW w:w="1188" w:type="dxa"/>
            <w:vAlign w:val="center"/>
          </w:tcPr>
          <w:p>
            <w:pPr>
              <w:pStyle w:val="79"/>
            </w:pPr>
            <w:r>
              <w:rPr>
                <w:rFonts w:hint="eastAsia"/>
                <w:fitText w:val="600" w:id="0"/>
              </w:rPr>
              <w:t>多遇地震</w:t>
            </w:r>
            <w:r>
              <w:rPr>
                <w:rFonts w:hint="eastAsia" w:eastAsia="等线" w:cs="华文仿宋"/>
              </w:rPr>
              <w:t>（性能水准）</w:t>
            </w:r>
          </w:p>
        </w:tc>
        <w:tc>
          <w:tcPr>
            <w:tcW w:w="1459" w:type="dxa"/>
            <w:vAlign w:val="center"/>
          </w:tcPr>
          <w:p>
            <w:pPr>
              <w:pStyle w:val="79"/>
            </w:pPr>
            <w:r>
              <w:rPr>
                <w:rFonts w:hint="eastAsia"/>
              </w:rPr>
              <w:t>设防烈度地震</w:t>
            </w:r>
            <w:r>
              <w:rPr>
                <w:rFonts w:hint="eastAsia" w:eastAsia="等线" w:cs="华文仿宋"/>
              </w:rPr>
              <w:t>（性能水准）</w:t>
            </w:r>
          </w:p>
        </w:tc>
        <w:tc>
          <w:tcPr>
            <w:tcW w:w="2715" w:type="dxa"/>
            <w:vAlign w:val="center"/>
          </w:tcPr>
          <w:p>
            <w:pPr>
              <w:pStyle w:val="79"/>
            </w:pPr>
            <w:r>
              <w:rPr>
                <w:rFonts w:hint="eastAsia"/>
              </w:rPr>
              <w:t>预估的罕遇地震</w:t>
            </w:r>
            <w:r>
              <w:rPr>
                <w:rFonts w:hint="eastAsia" w:eastAsia="等线" w:cs="华文仿宋"/>
              </w:rPr>
              <w:t>（性能水准）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23" w:type="dxa"/>
            <w:vMerge w:val="restart"/>
            <w:vAlign w:val="center"/>
          </w:tcPr>
          <w:p>
            <w:pPr>
              <w:pStyle w:val="79"/>
            </w:pPr>
            <w:r>
              <w:rPr>
                <w:rFonts w:hint="eastAsia"/>
              </w:rPr>
              <w:t>隔震层下部结构</w:t>
            </w:r>
          </w:p>
        </w:tc>
        <w:tc>
          <w:tcPr>
            <w:tcW w:w="676" w:type="dxa"/>
            <w:vMerge w:val="restart"/>
            <w:vAlign w:val="center"/>
          </w:tcPr>
          <w:p>
            <w:pPr>
              <w:pStyle w:val="79"/>
            </w:pPr>
            <w:r>
              <w:rPr>
                <w:rFonts w:hint="eastAsia"/>
              </w:rPr>
              <w:t>关键构件</w:t>
            </w:r>
          </w:p>
        </w:tc>
        <w:tc>
          <w:tcPr>
            <w:tcW w:w="1335" w:type="dxa"/>
            <w:vAlign w:val="center"/>
          </w:tcPr>
          <w:p>
            <w:pPr>
              <w:pStyle w:val="79"/>
            </w:pPr>
            <w:r>
              <w:rPr>
                <w:rFonts w:hint="eastAsia"/>
              </w:rPr>
              <w:t>塔楼范围及外扩一跨框架柱（B）</w:t>
            </w:r>
          </w:p>
        </w:tc>
        <w:tc>
          <w:tcPr>
            <w:tcW w:w="1188" w:type="dxa"/>
            <w:vAlign w:val="center"/>
          </w:tcPr>
          <w:p>
            <w:pPr>
              <w:pStyle w:val="79"/>
              <w:rPr>
                <w:color w:val="auto"/>
              </w:rPr>
            </w:pPr>
            <w:r>
              <w:rPr>
                <w:rFonts w:hint="eastAsia"/>
                <w:color w:val="auto"/>
              </w:rPr>
              <w:t>弹性</w:t>
            </w:r>
            <w:r>
              <w:rPr>
                <w:rFonts w:hint="eastAsia" w:eastAsia="等线" w:cs="华文仿宋"/>
              </w:rPr>
              <w:t>（1水准）</w:t>
            </w:r>
          </w:p>
        </w:tc>
        <w:tc>
          <w:tcPr>
            <w:tcW w:w="1459" w:type="dxa"/>
            <w:vAlign w:val="center"/>
          </w:tcPr>
          <w:p>
            <w:pPr>
              <w:pStyle w:val="79"/>
              <w:rPr>
                <w:color w:val="auto"/>
              </w:rPr>
            </w:pPr>
            <w:r>
              <w:rPr>
                <w:rFonts w:hint="eastAsia"/>
                <w:color w:val="auto"/>
              </w:rPr>
              <w:t>弹性（</w:t>
            </w:r>
            <w:r>
              <w:rPr>
                <w:color w:val="auto"/>
              </w:rPr>
              <w:t>2</w:t>
            </w:r>
            <w:r>
              <w:rPr>
                <w:rFonts w:hint="eastAsia"/>
                <w:color w:val="auto"/>
              </w:rPr>
              <w:t>水准）</w:t>
            </w:r>
          </w:p>
        </w:tc>
        <w:tc>
          <w:tcPr>
            <w:tcW w:w="2715" w:type="dxa"/>
            <w:vAlign w:val="center"/>
          </w:tcPr>
          <w:p>
            <w:pPr>
              <w:pStyle w:val="79"/>
              <w:rPr>
                <w:color w:val="auto"/>
              </w:rPr>
            </w:pPr>
            <w:r>
              <w:rPr>
                <w:rFonts w:hint="eastAsia"/>
                <w:color w:val="auto"/>
              </w:rPr>
              <w:t>抗弯不屈服，抗剪弹性（</w:t>
            </w:r>
            <w:r>
              <w:rPr>
                <w:color w:val="auto"/>
              </w:rPr>
              <w:t>3水准）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23" w:type="dxa"/>
            <w:vMerge w:val="continue"/>
            <w:vAlign w:val="center"/>
          </w:tcPr>
          <w:p>
            <w:pPr>
              <w:pStyle w:val="79"/>
            </w:pPr>
          </w:p>
        </w:tc>
        <w:tc>
          <w:tcPr>
            <w:tcW w:w="676" w:type="dxa"/>
            <w:vMerge w:val="continue"/>
            <w:vAlign w:val="center"/>
          </w:tcPr>
          <w:p>
            <w:pPr>
              <w:pStyle w:val="79"/>
            </w:pPr>
          </w:p>
        </w:tc>
        <w:tc>
          <w:tcPr>
            <w:tcW w:w="1335" w:type="dxa"/>
            <w:vAlign w:val="center"/>
          </w:tcPr>
          <w:p>
            <w:pPr>
              <w:pStyle w:val="79"/>
            </w:pPr>
            <w:r>
              <w:rPr>
                <w:rFonts w:hint="eastAsia"/>
              </w:rPr>
              <w:t>塔楼范围及外扩一跨框架梁（B）</w:t>
            </w:r>
          </w:p>
        </w:tc>
        <w:tc>
          <w:tcPr>
            <w:tcW w:w="1188" w:type="dxa"/>
            <w:vAlign w:val="center"/>
          </w:tcPr>
          <w:p>
            <w:pPr>
              <w:pStyle w:val="79"/>
              <w:rPr>
                <w:color w:val="auto"/>
              </w:rPr>
            </w:pPr>
            <w:r>
              <w:rPr>
                <w:rFonts w:hint="eastAsia"/>
                <w:color w:val="auto"/>
              </w:rPr>
              <w:t>弹性</w:t>
            </w:r>
            <w:r>
              <w:rPr>
                <w:rFonts w:hint="eastAsia" w:eastAsia="等线" w:cs="华文仿宋"/>
              </w:rPr>
              <w:t>（1水准）</w:t>
            </w:r>
          </w:p>
        </w:tc>
        <w:tc>
          <w:tcPr>
            <w:tcW w:w="1459" w:type="dxa"/>
            <w:vAlign w:val="center"/>
          </w:tcPr>
          <w:p>
            <w:pPr>
              <w:pStyle w:val="79"/>
              <w:rPr>
                <w:color w:val="auto"/>
              </w:rPr>
            </w:pPr>
            <w:r>
              <w:rPr>
                <w:rFonts w:hint="eastAsia"/>
                <w:color w:val="auto"/>
              </w:rPr>
              <w:t>弹性（</w:t>
            </w:r>
            <w:r>
              <w:rPr>
                <w:color w:val="auto"/>
              </w:rPr>
              <w:t>2</w:t>
            </w:r>
            <w:r>
              <w:rPr>
                <w:rFonts w:hint="eastAsia"/>
                <w:color w:val="auto"/>
              </w:rPr>
              <w:t>水准）</w:t>
            </w:r>
          </w:p>
        </w:tc>
        <w:tc>
          <w:tcPr>
            <w:tcW w:w="2715" w:type="dxa"/>
            <w:vAlign w:val="center"/>
          </w:tcPr>
          <w:p>
            <w:pPr>
              <w:pStyle w:val="79"/>
              <w:rPr>
                <w:color w:val="auto"/>
              </w:rPr>
            </w:pPr>
            <w:r>
              <w:rPr>
                <w:rFonts w:hint="eastAsia"/>
                <w:color w:val="auto"/>
              </w:rPr>
              <w:t>抗弯不屈服，抗剪弹性（</w:t>
            </w:r>
            <w:r>
              <w:rPr>
                <w:color w:val="auto"/>
              </w:rPr>
              <w:t>3水准）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23" w:type="dxa"/>
            <w:vMerge w:val="continue"/>
            <w:vAlign w:val="center"/>
          </w:tcPr>
          <w:p>
            <w:pPr>
              <w:pStyle w:val="79"/>
            </w:pPr>
          </w:p>
        </w:tc>
        <w:tc>
          <w:tcPr>
            <w:tcW w:w="676" w:type="dxa"/>
            <w:vAlign w:val="center"/>
          </w:tcPr>
          <w:p>
            <w:pPr>
              <w:pStyle w:val="79"/>
            </w:pPr>
            <w:r>
              <w:rPr>
                <w:rFonts w:hint="eastAsia"/>
              </w:rPr>
              <w:t>普通竖向构件</w:t>
            </w:r>
          </w:p>
        </w:tc>
        <w:tc>
          <w:tcPr>
            <w:tcW w:w="1335" w:type="dxa"/>
            <w:vAlign w:val="center"/>
          </w:tcPr>
          <w:p>
            <w:pPr>
              <w:pStyle w:val="79"/>
              <w:rPr>
                <w:color w:val="auto"/>
              </w:rPr>
            </w:pPr>
            <w:r>
              <w:rPr>
                <w:rFonts w:hint="eastAsia"/>
                <w:color w:val="auto"/>
              </w:rPr>
              <w:t>除关键构件外的框架柱（</w:t>
            </w:r>
            <w:r>
              <w:rPr>
                <w:color w:val="auto"/>
              </w:rPr>
              <w:t>C）</w:t>
            </w:r>
          </w:p>
        </w:tc>
        <w:tc>
          <w:tcPr>
            <w:tcW w:w="1188" w:type="dxa"/>
            <w:vAlign w:val="center"/>
          </w:tcPr>
          <w:p>
            <w:pPr>
              <w:pStyle w:val="79"/>
              <w:rPr>
                <w:color w:val="auto"/>
              </w:rPr>
            </w:pPr>
            <w:r>
              <w:rPr>
                <w:rFonts w:hint="eastAsia"/>
                <w:color w:val="auto"/>
              </w:rPr>
              <w:t>弹性</w:t>
            </w:r>
            <w:r>
              <w:rPr>
                <w:rFonts w:hint="eastAsia" w:eastAsia="等线" w:cs="华文仿宋"/>
              </w:rPr>
              <w:t>（1水准）</w:t>
            </w:r>
          </w:p>
        </w:tc>
        <w:tc>
          <w:tcPr>
            <w:tcW w:w="1459" w:type="dxa"/>
            <w:vAlign w:val="center"/>
          </w:tcPr>
          <w:p>
            <w:pPr>
              <w:pStyle w:val="79"/>
              <w:rPr>
                <w:color w:val="auto"/>
              </w:rPr>
            </w:pPr>
            <w:r>
              <w:rPr>
                <w:rFonts w:hint="eastAsia"/>
                <w:color w:val="auto"/>
              </w:rPr>
              <w:t>抗弯不屈服，抗剪弹性（</w:t>
            </w:r>
            <w:r>
              <w:rPr>
                <w:color w:val="auto"/>
              </w:rPr>
              <w:t>3</w:t>
            </w:r>
            <w:r>
              <w:rPr>
                <w:rFonts w:hint="eastAsia"/>
                <w:color w:val="auto"/>
              </w:rPr>
              <w:t>水准）</w:t>
            </w:r>
          </w:p>
        </w:tc>
        <w:tc>
          <w:tcPr>
            <w:tcW w:w="2715" w:type="dxa"/>
            <w:vAlign w:val="center"/>
          </w:tcPr>
          <w:p>
            <w:pPr>
              <w:pStyle w:val="79"/>
              <w:rPr>
                <w:color w:val="auto"/>
              </w:rPr>
            </w:pPr>
            <w:r>
              <w:rPr>
                <w:rFonts w:hint="eastAsia"/>
                <w:color w:val="auto"/>
              </w:rPr>
              <w:t>抗弯不屈服，抗剪不屈服（</w:t>
            </w:r>
            <w:r>
              <w:rPr>
                <w:color w:val="auto"/>
              </w:rPr>
              <w:t>4</w:t>
            </w:r>
            <w:r>
              <w:rPr>
                <w:rFonts w:hint="eastAsia"/>
                <w:color w:val="auto"/>
              </w:rPr>
              <w:t>水准）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23" w:type="dxa"/>
            <w:vMerge w:val="continue"/>
            <w:vAlign w:val="center"/>
          </w:tcPr>
          <w:p>
            <w:pPr>
              <w:pStyle w:val="79"/>
            </w:pPr>
          </w:p>
        </w:tc>
        <w:tc>
          <w:tcPr>
            <w:tcW w:w="676" w:type="dxa"/>
            <w:vAlign w:val="center"/>
          </w:tcPr>
          <w:p>
            <w:pPr>
              <w:pStyle w:val="79"/>
            </w:pPr>
            <w:r>
              <w:rPr>
                <w:rFonts w:hint="eastAsia"/>
              </w:rPr>
              <w:t>耗能构件</w:t>
            </w:r>
          </w:p>
        </w:tc>
        <w:tc>
          <w:tcPr>
            <w:tcW w:w="1335" w:type="dxa"/>
            <w:vAlign w:val="center"/>
          </w:tcPr>
          <w:p>
            <w:pPr>
              <w:pStyle w:val="79"/>
              <w:rPr>
                <w:color w:val="auto"/>
              </w:rPr>
            </w:pPr>
            <w:r>
              <w:rPr>
                <w:rFonts w:hint="eastAsia"/>
                <w:color w:val="auto"/>
              </w:rPr>
              <w:t>转换桁架支撑（</w:t>
            </w:r>
            <w:r>
              <w:rPr>
                <w:color w:val="auto"/>
              </w:rPr>
              <w:t>B）</w:t>
            </w:r>
          </w:p>
        </w:tc>
        <w:tc>
          <w:tcPr>
            <w:tcW w:w="1188" w:type="dxa"/>
            <w:vAlign w:val="center"/>
          </w:tcPr>
          <w:p>
            <w:pPr>
              <w:pStyle w:val="79"/>
              <w:rPr>
                <w:color w:val="auto"/>
              </w:rPr>
            </w:pPr>
            <w:r>
              <w:rPr>
                <w:rFonts w:hint="eastAsia"/>
                <w:color w:val="auto"/>
              </w:rPr>
              <w:t>弹性</w:t>
            </w:r>
            <w:r>
              <w:rPr>
                <w:rFonts w:hint="eastAsia" w:eastAsia="等线" w:cs="华文仿宋"/>
              </w:rPr>
              <w:t>（1水准）</w:t>
            </w:r>
          </w:p>
        </w:tc>
        <w:tc>
          <w:tcPr>
            <w:tcW w:w="1459" w:type="dxa"/>
            <w:vAlign w:val="center"/>
          </w:tcPr>
          <w:p>
            <w:pPr>
              <w:pStyle w:val="79"/>
              <w:rPr>
                <w:color w:val="auto"/>
              </w:rPr>
            </w:pPr>
            <w:r>
              <w:rPr>
                <w:rFonts w:hint="eastAsia"/>
                <w:color w:val="auto"/>
              </w:rPr>
              <w:t>弹性（</w:t>
            </w:r>
            <w:r>
              <w:rPr>
                <w:color w:val="auto"/>
              </w:rPr>
              <w:t>2</w:t>
            </w:r>
            <w:r>
              <w:rPr>
                <w:rFonts w:hint="eastAsia"/>
                <w:color w:val="auto"/>
              </w:rPr>
              <w:t>水准）</w:t>
            </w:r>
          </w:p>
        </w:tc>
        <w:tc>
          <w:tcPr>
            <w:tcW w:w="2715" w:type="dxa"/>
            <w:vAlign w:val="center"/>
          </w:tcPr>
          <w:p>
            <w:pPr>
              <w:pStyle w:val="79"/>
              <w:rPr>
                <w:color w:val="auto"/>
              </w:rPr>
            </w:pPr>
            <w:r>
              <w:rPr>
                <w:rFonts w:hint="eastAsia"/>
                <w:color w:val="auto"/>
              </w:rPr>
              <w:t>压弯不屈服（钢支撑），拉弯不屈服（混凝土支撑），抗剪弹性（</w:t>
            </w:r>
            <w:r>
              <w:rPr>
                <w:color w:val="auto"/>
              </w:rPr>
              <w:t>3</w:t>
            </w:r>
            <w:r>
              <w:rPr>
                <w:rFonts w:hint="eastAsia"/>
                <w:color w:val="auto"/>
              </w:rPr>
              <w:t>水准）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23" w:type="dxa"/>
            <w:vMerge w:val="continue"/>
            <w:vAlign w:val="center"/>
          </w:tcPr>
          <w:p>
            <w:pPr>
              <w:pStyle w:val="79"/>
            </w:pPr>
          </w:p>
        </w:tc>
        <w:tc>
          <w:tcPr>
            <w:tcW w:w="676" w:type="dxa"/>
            <w:vAlign w:val="center"/>
          </w:tcPr>
          <w:p>
            <w:pPr>
              <w:pStyle w:val="79"/>
            </w:pPr>
          </w:p>
        </w:tc>
        <w:tc>
          <w:tcPr>
            <w:tcW w:w="1335" w:type="dxa"/>
            <w:vAlign w:val="center"/>
          </w:tcPr>
          <w:p>
            <w:pPr>
              <w:pStyle w:val="79"/>
              <w:rPr>
                <w:color w:val="auto"/>
              </w:rPr>
            </w:pPr>
            <w:r>
              <w:rPr>
                <w:rFonts w:hint="eastAsia"/>
                <w:color w:val="auto"/>
              </w:rPr>
              <w:t>竖向构件变形要求</w:t>
            </w:r>
          </w:p>
        </w:tc>
        <w:tc>
          <w:tcPr>
            <w:tcW w:w="1188" w:type="dxa"/>
            <w:vAlign w:val="center"/>
          </w:tcPr>
          <w:p>
            <w:pPr>
              <w:pStyle w:val="79"/>
              <w:rPr>
                <w:color w:val="auto"/>
              </w:rPr>
            </w:pPr>
            <w:r>
              <w:rPr>
                <w:color w:val="auto"/>
              </w:rPr>
              <w:t>-</w:t>
            </w:r>
          </w:p>
        </w:tc>
        <w:tc>
          <w:tcPr>
            <w:tcW w:w="1459" w:type="dxa"/>
            <w:vAlign w:val="center"/>
          </w:tcPr>
          <w:p>
            <w:pPr>
              <w:pStyle w:val="79"/>
              <w:rPr>
                <w:color w:val="auto"/>
              </w:rPr>
            </w:pPr>
            <w:r>
              <w:rPr>
                <w:rFonts w:hint="eastAsia"/>
                <w:color w:val="auto"/>
              </w:rPr>
              <w:t>≤</w:t>
            </w:r>
            <w:r>
              <w:rPr>
                <w:color w:val="auto"/>
              </w:rPr>
              <w:t>1/500</w:t>
            </w:r>
          </w:p>
        </w:tc>
        <w:tc>
          <w:tcPr>
            <w:tcW w:w="2715" w:type="dxa"/>
            <w:vAlign w:val="center"/>
          </w:tcPr>
          <w:p>
            <w:pPr>
              <w:pStyle w:val="79"/>
              <w:rPr>
                <w:color w:val="auto"/>
              </w:rPr>
            </w:pPr>
            <w:r>
              <w:rPr>
                <w:rFonts w:hint="eastAsia"/>
                <w:color w:val="auto"/>
              </w:rPr>
              <w:t>≤</w:t>
            </w:r>
            <w:r>
              <w:rPr>
                <w:color w:val="auto"/>
              </w:rPr>
              <w:t>1/200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23" w:type="dxa"/>
            <w:vMerge w:val="restart"/>
            <w:vAlign w:val="center"/>
          </w:tcPr>
          <w:p>
            <w:pPr>
              <w:pStyle w:val="79"/>
            </w:pPr>
            <w:r>
              <w:rPr>
                <w:rFonts w:hint="eastAsia"/>
              </w:rPr>
              <w:t>隔震层上部剪力墙结构</w:t>
            </w:r>
          </w:p>
        </w:tc>
        <w:tc>
          <w:tcPr>
            <w:tcW w:w="676" w:type="dxa"/>
            <w:vAlign w:val="center"/>
          </w:tcPr>
          <w:p>
            <w:pPr>
              <w:pStyle w:val="79"/>
            </w:pPr>
            <w:r>
              <w:rPr>
                <w:rFonts w:hint="eastAsia"/>
              </w:rPr>
              <w:t>关键构件</w:t>
            </w:r>
          </w:p>
        </w:tc>
        <w:tc>
          <w:tcPr>
            <w:tcW w:w="1335" w:type="dxa"/>
            <w:vAlign w:val="center"/>
          </w:tcPr>
          <w:p>
            <w:pPr>
              <w:pStyle w:val="79"/>
            </w:pPr>
            <w:r>
              <w:rPr>
                <w:rFonts w:hint="eastAsia"/>
              </w:rPr>
              <w:t>底部加强区重要剪力墙（</w:t>
            </w:r>
            <w:r>
              <w:t>C）</w:t>
            </w:r>
          </w:p>
        </w:tc>
        <w:tc>
          <w:tcPr>
            <w:tcW w:w="1188" w:type="dxa"/>
            <w:vAlign w:val="center"/>
          </w:tcPr>
          <w:p>
            <w:pPr>
              <w:pStyle w:val="79"/>
            </w:pPr>
            <w:r>
              <w:rPr>
                <w:rFonts w:hint="eastAsia"/>
              </w:rPr>
              <w:t>弹性</w:t>
            </w:r>
            <w:r>
              <w:rPr>
                <w:rFonts w:hint="eastAsia" w:eastAsia="等线" w:cs="华文仿宋"/>
              </w:rPr>
              <w:t>（1水准）</w:t>
            </w:r>
          </w:p>
        </w:tc>
        <w:tc>
          <w:tcPr>
            <w:tcW w:w="1459" w:type="dxa"/>
            <w:vAlign w:val="center"/>
          </w:tcPr>
          <w:p>
            <w:pPr>
              <w:pStyle w:val="79"/>
            </w:pPr>
            <w:r>
              <w:rPr>
                <w:rFonts w:hint="eastAsia"/>
              </w:rPr>
              <w:t>抗弯不屈服，抗剪弹性（</w:t>
            </w:r>
            <w:r>
              <w:t>3水准）</w:t>
            </w:r>
          </w:p>
        </w:tc>
        <w:tc>
          <w:tcPr>
            <w:tcW w:w="2715" w:type="dxa"/>
            <w:vAlign w:val="center"/>
          </w:tcPr>
          <w:p>
            <w:pPr>
              <w:pStyle w:val="79"/>
            </w:pPr>
            <w:r>
              <w:rPr>
                <w:rFonts w:hint="eastAsia"/>
              </w:rPr>
              <w:t>抗弯不屈服，抗剪不屈服（</w:t>
            </w:r>
            <w:r>
              <w:t>4水准）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23" w:type="dxa"/>
            <w:vMerge w:val="continue"/>
            <w:vAlign w:val="center"/>
          </w:tcPr>
          <w:p>
            <w:pPr>
              <w:pStyle w:val="79"/>
            </w:pPr>
          </w:p>
        </w:tc>
        <w:tc>
          <w:tcPr>
            <w:tcW w:w="676" w:type="dxa"/>
            <w:vAlign w:val="center"/>
          </w:tcPr>
          <w:p>
            <w:pPr>
              <w:pStyle w:val="79"/>
            </w:pPr>
            <w:r>
              <w:rPr>
                <w:rFonts w:hint="eastAsia"/>
              </w:rPr>
              <w:t>普通竖向构件</w:t>
            </w:r>
          </w:p>
        </w:tc>
        <w:tc>
          <w:tcPr>
            <w:tcW w:w="1335" w:type="dxa"/>
            <w:vAlign w:val="center"/>
          </w:tcPr>
          <w:p>
            <w:pPr>
              <w:pStyle w:val="79"/>
            </w:pPr>
            <w:r>
              <w:rPr>
                <w:rFonts w:hint="eastAsia"/>
              </w:rPr>
              <w:t>除关键构件外的剪力墙（</w:t>
            </w:r>
            <w:r>
              <w:t>C）</w:t>
            </w:r>
          </w:p>
        </w:tc>
        <w:tc>
          <w:tcPr>
            <w:tcW w:w="1188" w:type="dxa"/>
            <w:vAlign w:val="center"/>
          </w:tcPr>
          <w:p>
            <w:pPr>
              <w:pStyle w:val="79"/>
            </w:pPr>
            <w:r>
              <w:rPr>
                <w:rFonts w:hint="eastAsia"/>
              </w:rPr>
              <w:t>弹性</w:t>
            </w:r>
            <w:r>
              <w:rPr>
                <w:rFonts w:hint="eastAsia" w:eastAsia="等线" w:cs="华文仿宋"/>
              </w:rPr>
              <w:t>（1水准）</w:t>
            </w:r>
          </w:p>
        </w:tc>
        <w:tc>
          <w:tcPr>
            <w:tcW w:w="1459" w:type="dxa"/>
            <w:vAlign w:val="center"/>
          </w:tcPr>
          <w:p>
            <w:pPr>
              <w:pStyle w:val="79"/>
            </w:pPr>
            <w:r>
              <w:rPr>
                <w:rFonts w:hint="eastAsia"/>
              </w:rPr>
              <w:t>抗弯不屈服，抗剪弹性（</w:t>
            </w:r>
            <w:r>
              <w:t>3水准）</w:t>
            </w:r>
          </w:p>
        </w:tc>
        <w:tc>
          <w:tcPr>
            <w:tcW w:w="2715" w:type="dxa"/>
            <w:vAlign w:val="center"/>
          </w:tcPr>
          <w:p>
            <w:pPr>
              <w:pStyle w:val="79"/>
            </w:pPr>
            <w:r>
              <w:rPr>
                <w:rFonts w:hint="eastAsia"/>
              </w:rPr>
              <w:t>部分抗弯屈服，满足截面抗剪（</w:t>
            </w:r>
            <w:r>
              <w:t>4水准）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23" w:type="dxa"/>
            <w:vMerge w:val="continue"/>
            <w:vAlign w:val="center"/>
          </w:tcPr>
          <w:p>
            <w:pPr>
              <w:pStyle w:val="79"/>
            </w:pPr>
          </w:p>
        </w:tc>
        <w:tc>
          <w:tcPr>
            <w:tcW w:w="676" w:type="dxa"/>
            <w:vAlign w:val="center"/>
          </w:tcPr>
          <w:p>
            <w:pPr>
              <w:pStyle w:val="79"/>
            </w:pPr>
            <w:r>
              <w:rPr>
                <w:rFonts w:hint="eastAsia"/>
              </w:rPr>
              <w:t>耗能构件</w:t>
            </w:r>
          </w:p>
        </w:tc>
        <w:tc>
          <w:tcPr>
            <w:tcW w:w="1335" w:type="dxa"/>
            <w:vAlign w:val="center"/>
          </w:tcPr>
          <w:p>
            <w:pPr>
              <w:pStyle w:val="79"/>
            </w:pPr>
            <w:r>
              <w:rPr>
                <w:rFonts w:hint="eastAsia"/>
              </w:rPr>
              <w:t>框架梁、连梁（</w:t>
            </w:r>
            <w:r>
              <w:t>C）</w:t>
            </w:r>
          </w:p>
        </w:tc>
        <w:tc>
          <w:tcPr>
            <w:tcW w:w="1188" w:type="dxa"/>
            <w:vAlign w:val="center"/>
          </w:tcPr>
          <w:p>
            <w:pPr>
              <w:pStyle w:val="79"/>
            </w:pPr>
            <w:r>
              <w:rPr>
                <w:rFonts w:hint="eastAsia"/>
              </w:rPr>
              <w:t>弹性</w:t>
            </w:r>
            <w:r>
              <w:rPr>
                <w:rFonts w:hint="eastAsia" w:eastAsia="等线" w:cs="华文仿宋"/>
              </w:rPr>
              <w:t>（1水准）</w:t>
            </w:r>
          </w:p>
        </w:tc>
        <w:tc>
          <w:tcPr>
            <w:tcW w:w="1459" w:type="dxa"/>
            <w:vAlign w:val="center"/>
          </w:tcPr>
          <w:p>
            <w:pPr>
              <w:pStyle w:val="79"/>
            </w:pPr>
            <w:r>
              <w:rPr>
                <w:rFonts w:hint="eastAsia"/>
              </w:rPr>
              <w:t>部分抗弯屈服，抗剪不屈服（</w:t>
            </w:r>
            <w:r>
              <w:t>3水准）</w:t>
            </w:r>
          </w:p>
        </w:tc>
        <w:tc>
          <w:tcPr>
            <w:tcW w:w="2715" w:type="dxa"/>
            <w:vAlign w:val="center"/>
          </w:tcPr>
          <w:p>
            <w:pPr>
              <w:pStyle w:val="79"/>
            </w:pPr>
            <w:r>
              <w:rPr>
                <w:rFonts w:hint="eastAsia"/>
              </w:rPr>
              <w:t>大部分抗弯屈服，满足截面抗剪（</w:t>
            </w:r>
            <w:r>
              <w:t>4水准）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23" w:type="dxa"/>
            <w:vMerge w:val="continue"/>
            <w:vAlign w:val="center"/>
          </w:tcPr>
          <w:p>
            <w:pPr>
              <w:pStyle w:val="79"/>
            </w:pPr>
          </w:p>
        </w:tc>
        <w:tc>
          <w:tcPr>
            <w:tcW w:w="676" w:type="dxa"/>
            <w:vAlign w:val="center"/>
          </w:tcPr>
          <w:p>
            <w:pPr>
              <w:pStyle w:val="79"/>
            </w:pPr>
          </w:p>
        </w:tc>
        <w:tc>
          <w:tcPr>
            <w:tcW w:w="1335" w:type="dxa"/>
            <w:vAlign w:val="center"/>
          </w:tcPr>
          <w:p>
            <w:pPr>
              <w:pStyle w:val="79"/>
            </w:pPr>
            <w:r>
              <w:rPr>
                <w:rFonts w:hint="eastAsia"/>
              </w:rPr>
              <w:t>变形要求</w:t>
            </w:r>
          </w:p>
        </w:tc>
        <w:tc>
          <w:tcPr>
            <w:tcW w:w="1188" w:type="dxa"/>
            <w:vAlign w:val="center"/>
          </w:tcPr>
          <w:p>
            <w:pPr>
              <w:pStyle w:val="79"/>
              <w:rPr>
                <w:color w:val="auto"/>
              </w:rPr>
            </w:pPr>
            <w:r>
              <w:rPr>
                <w:rFonts w:hint="eastAsia"/>
                <w:color w:val="auto"/>
              </w:rPr>
              <w:t>≤</w:t>
            </w:r>
            <w:r>
              <w:rPr>
                <w:color w:val="auto"/>
              </w:rPr>
              <w:t>1/800</w:t>
            </w:r>
          </w:p>
        </w:tc>
        <w:tc>
          <w:tcPr>
            <w:tcW w:w="1459" w:type="dxa"/>
            <w:vAlign w:val="center"/>
          </w:tcPr>
          <w:p>
            <w:pPr>
              <w:pStyle w:val="79"/>
              <w:rPr>
                <w:color w:val="auto"/>
              </w:rPr>
            </w:pPr>
            <w:r>
              <w:rPr>
                <w:rFonts w:hint="eastAsia"/>
                <w:color w:val="auto"/>
              </w:rPr>
              <w:t>≤</w:t>
            </w:r>
            <w:r>
              <w:rPr>
                <w:color w:val="auto"/>
              </w:rPr>
              <w:t>1/400</w:t>
            </w:r>
          </w:p>
        </w:tc>
        <w:tc>
          <w:tcPr>
            <w:tcW w:w="2715" w:type="dxa"/>
            <w:vAlign w:val="center"/>
          </w:tcPr>
          <w:p>
            <w:pPr>
              <w:pStyle w:val="79"/>
              <w:rPr>
                <w:color w:val="auto"/>
              </w:rPr>
            </w:pPr>
            <w:r>
              <w:rPr>
                <w:rFonts w:hint="eastAsia"/>
                <w:color w:val="auto"/>
              </w:rPr>
              <w:t>≤</w:t>
            </w:r>
            <w:r>
              <w:rPr>
                <w:color w:val="auto"/>
              </w:rPr>
              <w:t>1/200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23" w:type="dxa"/>
            <w:vAlign w:val="center"/>
          </w:tcPr>
          <w:p>
            <w:pPr>
              <w:pStyle w:val="83"/>
              <w:jc w:val="center"/>
              <w:rPr>
                <w:rFonts w:eastAsia="等线" w:cs="华文仿宋"/>
              </w:rPr>
            </w:pPr>
            <w:r>
              <w:rPr>
                <w:rFonts w:hint="eastAsia" w:eastAsia="等线" w:cs="华文仿宋"/>
              </w:rPr>
              <w:t>隔震层</w:t>
            </w:r>
          </w:p>
        </w:tc>
        <w:tc>
          <w:tcPr>
            <w:tcW w:w="676" w:type="dxa"/>
            <w:vAlign w:val="center"/>
          </w:tcPr>
          <w:p>
            <w:pPr>
              <w:pStyle w:val="83"/>
              <w:jc w:val="center"/>
              <w:rPr>
                <w:rFonts w:eastAsia="等线" w:cs="华文仿宋"/>
              </w:rPr>
            </w:pPr>
            <w:r>
              <w:rPr>
                <w:rFonts w:hint="eastAsia" w:eastAsia="等线" w:cs="华文仿宋"/>
              </w:rPr>
              <w:t>关键构件</w:t>
            </w:r>
          </w:p>
        </w:tc>
        <w:tc>
          <w:tcPr>
            <w:tcW w:w="1335" w:type="dxa"/>
            <w:vAlign w:val="center"/>
          </w:tcPr>
          <w:p>
            <w:pPr>
              <w:pStyle w:val="83"/>
              <w:jc w:val="center"/>
              <w:rPr>
                <w:rFonts w:eastAsia="等线" w:cs="华文仿宋"/>
              </w:rPr>
            </w:pPr>
            <w:r>
              <w:rPr>
                <w:rFonts w:hint="eastAsia" w:eastAsia="等线" w:cs="华文仿宋"/>
              </w:rPr>
              <w:t>转换梁（</w:t>
            </w:r>
            <w:r>
              <w:rPr>
                <w:rFonts w:eastAsia="等线" w:cs="华文仿宋"/>
              </w:rPr>
              <w:t>B）</w:t>
            </w:r>
          </w:p>
        </w:tc>
        <w:tc>
          <w:tcPr>
            <w:tcW w:w="1188" w:type="dxa"/>
            <w:vAlign w:val="center"/>
          </w:tcPr>
          <w:p>
            <w:pPr>
              <w:pStyle w:val="83"/>
              <w:jc w:val="center"/>
              <w:rPr>
                <w:rFonts w:eastAsia="等线" w:cs="华文仿宋"/>
              </w:rPr>
            </w:pPr>
            <w:r>
              <w:rPr>
                <w:rFonts w:hint="eastAsia" w:eastAsia="等线" w:cs="华文仿宋"/>
              </w:rPr>
              <w:t>弹性（1水准）</w:t>
            </w:r>
          </w:p>
        </w:tc>
        <w:tc>
          <w:tcPr>
            <w:tcW w:w="1459" w:type="dxa"/>
            <w:vAlign w:val="center"/>
          </w:tcPr>
          <w:p>
            <w:pPr>
              <w:pStyle w:val="83"/>
              <w:jc w:val="center"/>
              <w:rPr>
                <w:rFonts w:eastAsia="等线" w:cs="华文仿宋"/>
              </w:rPr>
            </w:pPr>
            <w:r>
              <w:rPr>
                <w:rFonts w:hint="eastAsia" w:eastAsia="等线" w:cs="华文仿宋"/>
              </w:rPr>
              <w:t>弹性（</w:t>
            </w:r>
            <w:r>
              <w:rPr>
                <w:rFonts w:eastAsia="等线" w:cs="华文仿宋"/>
              </w:rPr>
              <w:t>2</w:t>
            </w:r>
            <w:r>
              <w:rPr>
                <w:rFonts w:hint="eastAsia" w:eastAsia="等线" w:cs="华文仿宋"/>
              </w:rPr>
              <w:t>水准）</w:t>
            </w:r>
          </w:p>
        </w:tc>
        <w:tc>
          <w:tcPr>
            <w:tcW w:w="2715" w:type="dxa"/>
            <w:vAlign w:val="center"/>
          </w:tcPr>
          <w:p>
            <w:pPr>
              <w:pStyle w:val="83"/>
              <w:jc w:val="center"/>
              <w:rPr>
                <w:rFonts w:eastAsia="等线" w:cs="华文仿宋"/>
              </w:rPr>
            </w:pPr>
            <w:r>
              <w:rPr>
                <w:rFonts w:hint="eastAsia" w:eastAsia="等线" w:cs="华文仿宋"/>
              </w:rPr>
              <w:t>抗弯不屈服，抗剪弹性（</w:t>
            </w:r>
            <w:r>
              <w:rPr>
                <w:rFonts w:eastAsia="等线" w:cs="华文仿宋"/>
              </w:rPr>
              <w:t>3水准）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23" w:type="dxa"/>
            <w:vAlign w:val="center"/>
          </w:tcPr>
          <w:p>
            <w:pPr>
              <w:pStyle w:val="83"/>
              <w:jc w:val="center"/>
              <w:rPr>
                <w:rFonts w:eastAsia="等线" w:cs="华文仿宋"/>
              </w:rPr>
            </w:pPr>
          </w:p>
        </w:tc>
        <w:tc>
          <w:tcPr>
            <w:tcW w:w="676" w:type="dxa"/>
            <w:vAlign w:val="center"/>
          </w:tcPr>
          <w:p>
            <w:pPr>
              <w:pStyle w:val="83"/>
              <w:jc w:val="center"/>
              <w:rPr>
                <w:rFonts w:eastAsia="等线" w:cs="华文仿宋"/>
              </w:rPr>
            </w:pPr>
          </w:p>
        </w:tc>
        <w:tc>
          <w:tcPr>
            <w:tcW w:w="1335" w:type="dxa"/>
            <w:vAlign w:val="center"/>
          </w:tcPr>
          <w:p>
            <w:pPr>
              <w:pStyle w:val="83"/>
              <w:jc w:val="center"/>
              <w:rPr>
                <w:rFonts w:eastAsia="等线" w:cs="华文仿宋"/>
              </w:rPr>
            </w:pPr>
            <w:r>
              <w:rPr>
                <w:rFonts w:hint="eastAsia" w:eastAsia="等线" w:cs="华文仿宋"/>
              </w:rPr>
              <w:t>支墩（</w:t>
            </w:r>
            <w:r>
              <w:rPr>
                <w:rFonts w:eastAsia="等线" w:cs="华文仿宋"/>
              </w:rPr>
              <w:t>B）</w:t>
            </w:r>
          </w:p>
        </w:tc>
        <w:tc>
          <w:tcPr>
            <w:tcW w:w="1188" w:type="dxa"/>
            <w:vAlign w:val="center"/>
          </w:tcPr>
          <w:p>
            <w:pPr>
              <w:pStyle w:val="83"/>
              <w:jc w:val="center"/>
              <w:rPr>
                <w:rFonts w:eastAsia="等线" w:cs="华文仿宋"/>
              </w:rPr>
            </w:pPr>
            <w:r>
              <w:rPr>
                <w:rFonts w:eastAsia="等线" w:cs="华文仿宋"/>
              </w:rPr>
              <w:t>-</w:t>
            </w:r>
          </w:p>
        </w:tc>
        <w:tc>
          <w:tcPr>
            <w:tcW w:w="1459" w:type="dxa"/>
            <w:vAlign w:val="center"/>
          </w:tcPr>
          <w:p>
            <w:pPr>
              <w:pStyle w:val="83"/>
              <w:jc w:val="center"/>
              <w:rPr>
                <w:rFonts w:eastAsia="等线" w:cs="华文仿宋"/>
              </w:rPr>
            </w:pPr>
            <w:r>
              <w:rPr>
                <w:rFonts w:eastAsia="等线" w:cs="华文仿宋"/>
              </w:rPr>
              <w:t>-</w:t>
            </w:r>
          </w:p>
        </w:tc>
        <w:tc>
          <w:tcPr>
            <w:tcW w:w="2715" w:type="dxa"/>
            <w:vAlign w:val="center"/>
          </w:tcPr>
          <w:p>
            <w:pPr>
              <w:pStyle w:val="83"/>
              <w:jc w:val="center"/>
              <w:rPr>
                <w:rFonts w:eastAsia="等线" w:cs="华文仿宋"/>
              </w:rPr>
            </w:pPr>
            <w:r>
              <w:rPr>
                <w:rFonts w:hint="eastAsia" w:eastAsia="等线" w:cs="华文仿宋"/>
              </w:rPr>
              <w:t>抗弯不屈服，抗剪弹性（</w:t>
            </w:r>
            <w:r>
              <w:rPr>
                <w:rFonts w:eastAsia="等线" w:cs="华文仿宋"/>
              </w:rPr>
              <w:t>3水准）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23" w:type="dxa"/>
            <w:vAlign w:val="center"/>
          </w:tcPr>
          <w:p>
            <w:pPr>
              <w:pStyle w:val="83"/>
              <w:jc w:val="center"/>
              <w:rPr>
                <w:rFonts w:eastAsia="等线" w:cs="华文仿宋"/>
              </w:rPr>
            </w:pPr>
          </w:p>
        </w:tc>
        <w:tc>
          <w:tcPr>
            <w:tcW w:w="676" w:type="dxa"/>
            <w:vAlign w:val="center"/>
          </w:tcPr>
          <w:p>
            <w:pPr>
              <w:pStyle w:val="83"/>
              <w:jc w:val="center"/>
              <w:rPr>
                <w:rFonts w:eastAsia="等线" w:cs="华文仿宋"/>
              </w:rPr>
            </w:pPr>
          </w:p>
        </w:tc>
        <w:tc>
          <w:tcPr>
            <w:tcW w:w="1335" w:type="dxa"/>
            <w:vAlign w:val="center"/>
          </w:tcPr>
          <w:p>
            <w:pPr>
              <w:pStyle w:val="83"/>
              <w:jc w:val="center"/>
              <w:rPr>
                <w:rFonts w:eastAsia="等线" w:cs="华文仿宋"/>
              </w:rPr>
            </w:pPr>
            <w:r>
              <w:rPr>
                <w:rFonts w:hint="eastAsia" w:eastAsia="等线" w:cs="华文仿宋"/>
              </w:rPr>
              <w:t>变形要求</w:t>
            </w:r>
          </w:p>
        </w:tc>
        <w:tc>
          <w:tcPr>
            <w:tcW w:w="1188" w:type="dxa"/>
            <w:vAlign w:val="center"/>
          </w:tcPr>
          <w:p>
            <w:pPr>
              <w:pStyle w:val="83"/>
              <w:jc w:val="center"/>
              <w:rPr>
                <w:rFonts w:eastAsia="等线" w:cs="华文仿宋"/>
              </w:rPr>
            </w:pPr>
            <w:r>
              <w:rPr>
                <w:rFonts w:eastAsia="等线" w:cs="华文仿宋"/>
              </w:rPr>
              <w:t>-</w:t>
            </w:r>
          </w:p>
        </w:tc>
        <w:tc>
          <w:tcPr>
            <w:tcW w:w="1459" w:type="dxa"/>
            <w:vAlign w:val="center"/>
          </w:tcPr>
          <w:p>
            <w:pPr>
              <w:pStyle w:val="83"/>
              <w:jc w:val="center"/>
              <w:rPr>
                <w:rFonts w:eastAsia="等线" w:cs="华文仿宋"/>
              </w:rPr>
            </w:pPr>
            <w:r>
              <w:rPr>
                <w:rFonts w:eastAsia="等线" w:cs="华文仿宋"/>
              </w:rPr>
              <w:t>-</w:t>
            </w:r>
          </w:p>
        </w:tc>
        <w:tc>
          <w:tcPr>
            <w:tcW w:w="2715" w:type="dxa"/>
            <w:vAlign w:val="center"/>
          </w:tcPr>
          <w:p>
            <w:pPr>
              <w:pStyle w:val="83"/>
              <w:jc w:val="center"/>
              <w:rPr>
                <w:rFonts w:eastAsia="等线" w:cs="华文仿宋"/>
              </w:rPr>
            </w:pPr>
            <w:r>
              <w:rPr>
                <w:rFonts w:hint="eastAsia" w:eastAsia="等线" w:cs="华文仿宋"/>
              </w:rPr>
              <w:t>≤</w:t>
            </w:r>
            <w:r>
              <w:rPr>
                <w:rFonts w:eastAsia="等线" w:cs="华文仿宋"/>
              </w:rPr>
              <w:t>Min(0.55D，3Tr)</w:t>
            </w:r>
          </w:p>
        </w:tc>
      </w:tr>
    </w:tbl>
    <w:p>
      <w:pPr>
        <w:pStyle w:val="53"/>
        <w:ind w:firstLine="300"/>
        <w:rPr>
          <w:rStyle w:val="50"/>
          <w:rFonts w:hint="default" w:eastAsia="华文仿宋"/>
          <w:sz w:val="15"/>
        </w:rPr>
      </w:pPr>
      <w:r>
        <w:rPr>
          <w:rStyle w:val="50"/>
          <w:rFonts w:hint="default" w:eastAsia="华文仿宋"/>
          <w:sz w:val="15"/>
        </w:rPr>
        <w:t>注：1.表A.3-6中的D为橡胶隔震支座的有效直径，Tr为橡胶隔震支座内部橡胶的总厚度。</w:t>
      </w:r>
    </w:p>
    <w:p>
      <w:pPr>
        <w:ind w:firstLine="480"/>
      </w:pPr>
    </w:p>
    <w:p>
      <w:pPr>
        <w:ind w:firstLine="480"/>
      </w:pPr>
      <w:r>
        <w:br w:type="page"/>
      </w:r>
    </w:p>
    <w:p>
      <w:pPr>
        <w:pStyle w:val="2"/>
        <w:numPr>
          <w:ilvl w:val="0"/>
          <w:numId w:val="0"/>
        </w:numPr>
        <w:spacing w:line="400" w:lineRule="exact"/>
        <w:rPr>
          <w:rFonts w:ascii="Times New Roman" w:hAnsi="Times New Roman"/>
        </w:rPr>
      </w:pPr>
      <w:bookmarkStart w:id="153" w:name="_Toc90922385"/>
      <w:bookmarkStart w:id="154" w:name="_Toc257127848"/>
      <w:r>
        <w:rPr>
          <w:rFonts w:ascii="Times New Roman" w:hAnsi="Times New Roman"/>
        </w:rPr>
        <w:t>本规范用词和用语说明</w:t>
      </w:r>
      <w:bookmarkEnd w:id="153"/>
      <w:bookmarkEnd w:id="154"/>
    </w:p>
    <w:p>
      <w:pPr>
        <w:spacing w:line="400" w:lineRule="exact"/>
        <w:ind w:left="354" w:hanging="354" w:hangingChars="147"/>
        <w:jc w:val="left"/>
        <w:rPr>
          <w:b/>
          <w:sz w:val="24"/>
        </w:rPr>
      </w:pPr>
    </w:p>
    <w:p>
      <w:pPr>
        <w:spacing w:line="400" w:lineRule="exact"/>
        <w:ind w:left="354" w:hanging="354" w:hangingChars="147"/>
        <w:jc w:val="left"/>
        <w:rPr>
          <w:sz w:val="24"/>
        </w:rPr>
      </w:pPr>
      <w:r>
        <w:rPr>
          <w:b/>
          <w:sz w:val="24"/>
        </w:rPr>
        <w:t>1</w:t>
      </w:r>
      <w:r>
        <w:rPr>
          <w:sz w:val="24"/>
        </w:rPr>
        <w:t>　为便于在执行本规范条文时区别对待，对要求严格程度不同的用词和用语说明如下：</w:t>
      </w:r>
    </w:p>
    <w:p>
      <w:pPr>
        <w:numPr>
          <w:ilvl w:val="0"/>
          <w:numId w:val="5"/>
        </w:numPr>
        <w:spacing w:line="400" w:lineRule="exact"/>
        <w:ind w:firstLine="480"/>
        <w:jc w:val="left"/>
        <w:rPr>
          <w:sz w:val="24"/>
        </w:rPr>
      </w:pPr>
      <w:r>
        <w:rPr>
          <w:sz w:val="24"/>
        </w:rPr>
        <w:t>表示很严格，非这样做不可的用词：</w:t>
      </w:r>
    </w:p>
    <w:p>
      <w:pPr>
        <w:spacing w:line="400" w:lineRule="exact"/>
        <w:ind w:left="720" w:firstLine="480"/>
        <w:jc w:val="left"/>
        <w:rPr>
          <w:sz w:val="24"/>
        </w:rPr>
      </w:pPr>
      <w:r>
        <w:rPr>
          <w:sz w:val="24"/>
        </w:rPr>
        <w:t>正面词采用“必须”，反面词采用“严禁”。</w:t>
      </w:r>
    </w:p>
    <w:p>
      <w:pPr>
        <w:numPr>
          <w:ilvl w:val="0"/>
          <w:numId w:val="5"/>
        </w:numPr>
        <w:spacing w:line="400" w:lineRule="exact"/>
        <w:ind w:firstLine="480"/>
        <w:jc w:val="left"/>
        <w:rPr>
          <w:sz w:val="24"/>
        </w:rPr>
      </w:pPr>
      <w:r>
        <w:rPr>
          <w:sz w:val="24"/>
        </w:rPr>
        <w:t>表示严格，在正常情况下均应这样做的用词：</w:t>
      </w:r>
    </w:p>
    <w:p>
      <w:pPr>
        <w:spacing w:line="400" w:lineRule="exact"/>
        <w:ind w:left="720" w:firstLine="480"/>
        <w:jc w:val="left"/>
        <w:rPr>
          <w:sz w:val="24"/>
        </w:rPr>
      </w:pPr>
      <w:r>
        <w:rPr>
          <w:sz w:val="24"/>
        </w:rPr>
        <w:t>正面词采用“应”，反面词采用“不应”或“不得”。</w:t>
      </w:r>
    </w:p>
    <w:p>
      <w:pPr>
        <w:numPr>
          <w:ilvl w:val="0"/>
          <w:numId w:val="5"/>
        </w:numPr>
        <w:spacing w:line="400" w:lineRule="exact"/>
        <w:ind w:firstLine="480"/>
        <w:jc w:val="left"/>
        <w:rPr>
          <w:sz w:val="24"/>
        </w:rPr>
      </w:pPr>
      <w:r>
        <w:rPr>
          <w:sz w:val="24"/>
        </w:rPr>
        <w:t>表示稍有选择，在条件许可时首先应该这样做的用词：</w:t>
      </w:r>
    </w:p>
    <w:p>
      <w:pPr>
        <w:spacing w:line="400" w:lineRule="exact"/>
        <w:ind w:left="720" w:firstLine="480"/>
        <w:jc w:val="left"/>
        <w:rPr>
          <w:sz w:val="24"/>
        </w:rPr>
      </w:pPr>
      <w:r>
        <w:rPr>
          <w:sz w:val="24"/>
        </w:rPr>
        <w:t>正面词采用“宜”，反面词采用“不宜”。</w:t>
      </w:r>
    </w:p>
    <w:p>
      <w:pPr>
        <w:numPr>
          <w:ilvl w:val="0"/>
          <w:numId w:val="5"/>
        </w:numPr>
        <w:spacing w:line="400" w:lineRule="exact"/>
        <w:ind w:firstLine="480"/>
        <w:jc w:val="left"/>
        <w:rPr>
          <w:sz w:val="24"/>
        </w:rPr>
      </w:pPr>
      <w:r>
        <w:rPr>
          <w:sz w:val="24"/>
        </w:rPr>
        <w:t>表示允许有选择，在一定条件下可以这样做的用词：</w:t>
      </w:r>
    </w:p>
    <w:p>
      <w:pPr>
        <w:spacing w:line="400" w:lineRule="exact"/>
        <w:ind w:left="720" w:firstLine="480"/>
        <w:jc w:val="left"/>
        <w:rPr>
          <w:sz w:val="24"/>
        </w:rPr>
      </w:pPr>
      <w:r>
        <w:rPr>
          <w:sz w:val="24"/>
        </w:rPr>
        <w:t>正面词采用 “可”，反面词采用 “不可”。</w:t>
      </w:r>
    </w:p>
    <w:p>
      <w:pPr>
        <w:spacing w:line="400" w:lineRule="exact"/>
        <w:ind w:left="354" w:hanging="354" w:hangingChars="147"/>
        <w:jc w:val="left"/>
        <w:rPr>
          <w:sz w:val="24"/>
        </w:rPr>
      </w:pPr>
      <w:r>
        <w:rPr>
          <w:b/>
          <w:sz w:val="24"/>
        </w:rPr>
        <w:t>2　</w:t>
      </w:r>
      <w:r>
        <w:rPr>
          <w:sz w:val="24"/>
        </w:rPr>
        <w:t>条文中指定应按其他有关标准、规范执行时，用语为“应符合（遵守）……规定（要求）”或“应按……执行”，非必须按指定的标准、规范或其他规定执行时，用语为“可按……执行”或“可参照……规定”。</w:t>
      </w:r>
    </w:p>
    <w:p>
      <w:pPr>
        <w:widowControl/>
        <w:jc w:val="left"/>
        <w:rPr>
          <w:sz w:val="24"/>
        </w:rPr>
      </w:pPr>
      <w:r>
        <w:rPr>
          <w:sz w:val="24"/>
        </w:rPr>
        <w:br w:type="page"/>
      </w:r>
    </w:p>
    <w:p>
      <w:pPr>
        <w:spacing w:line="400" w:lineRule="exact"/>
        <w:ind w:left="353" w:hanging="353" w:hangingChars="147"/>
        <w:jc w:val="left"/>
        <w:rPr>
          <w:sz w:val="24"/>
        </w:rPr>
      </w:pPr>
    </w:p>
    <w:p>
      <w:pPr>
        <w:pStyle w:val="2"/>
        <w:numPr>
          <w:ilvl w:val="0"/>
          <w:numId w:val="0"/>
        </w:numPr>
        <w:spacing w:line="400" w:lineRule="exact"/>
        <w:rPr>
          <w:rFonts w:ascii="Times New Roman" w:hAnsi="Times New Roman"/>
        </w:rPr>
      </w:pPr>
      <w:bookmarkStart w:id="155" w:name="_Toc90922386"/>
      <w:r>
        <w:rPr>
          <w:rFonts w:hint="eastAsia" w:ascii="Times New Roman" w:hAnsi="Times New Roman"/>
        </w:rPr>
        <w:t>引用标准名录</w:t>
      </w:r>
      <w:bookmarkEnd w:id="155"/>
    </w:p>
    <w:p>
      <w:pPr>
        <w:pStyle w:val="29"/>
        <w:spacing w:after="0" w:line="240" w:lineRule="auto"/>
        <w:ind w:firstLine="422" w:firstLineChars="200"/>
        <w:jc w:val="left"/>
        <w:rPr>
          <w:rFonts w:hAnsi="宋体"/>
        </w:rPr>
      </w:pPr>
      <w:r>
        <w:rPr>
          <w:b/>
          <w:bCs/>
          <w:szCs w:val="21"/>
        </w:rPr>
        <w:t xml:space="preserve">1 </w:t>
      </w:r>
      <w:r>
        <w:rPr>
          <w:rFonts w:hint="eastAsia" w:hAnsi="宋体"/>
        </w:rPr>
        <w:t>《建筑抗震设计规范》GB50011</w:t>
      </w:r>
    </w:p>
    <w:p>
      <w:pPr>
        <w:pStyle w:val="29"/>
        <w:spacing w:after="0" w:line="240" w:lineRule="auto"/>
        <w:ind w:firstLine="422" w:firstLineChars="200"/>
        <w:jc w:val="left"/>
        <w:rPr>
          <w:rFonts w:hAnsi="宋体"/>
        </w:rPr>
      </w:pPr>
      <w:r>
        <w:rPr>
          <w:b/>
          <w:bCs/>
          <w:szCs w:val="21"/>
        </w:rPr>
        <w:t xml:space="preserve">2 </w:t>
      </w:r>
      <w:r>
        <w:rPr>
          <w:rFonts w:hint="eastAsia" w:hAnsi="宋体"/>
        </w:rPr>
        <w:t>《高层建筑混凝土结构技术规程》JGJ</w:t>
      </w:r>
      <w:r>
        <w:rPr>
          <w:rFonts w:hAnsi="宋体"/>
        </w:rPr>
        <w:t>3</w:t>
      </w:r>
    </w:p>
    <w:p>
      <w:pPr>
        <w:pStyle w:val="29"/>
        <w:spacing w:after="0" w:line="240" w:lineRule="auto"/>
        <w:ind w:firstLine="422" w:firstLineChars="200"/>
        <w:jc w:val="left"/>
        <w:rPr>
          <w:szCs w:val="21"/>
        </w:rPr>
      </w:pPr>
      <w:r>
        <w:rPr>
          <w:b/>
          <w:bCs/>
          <w:szCs w:val="21"/>
        </w:rPr>
        <w:t xml:space="preserve">3 </w:t>
      </w:r>
      <w:bookmarkStart w:id="156" w:name="_Hlk90884977"/>
      <w:r>
        <w:rPr>
          <w:rFonts w:hint="eastAsia"/>
          <w:szCs w:val="21"/>
        </w:rPr>
        <w:t>《地铁设计规范》</w:t>
      </w:r>
      <w:bookmarkEnd w:id="156"/>
      <w:r>
        <w:rPr>
          <w:rFonts w:hint="eastAsia"/>
          <w:szCs w:val="21"/>
        </w:rPr>
        <w:t>GB50157</w:t>
      </w:r>
    </w:p>
    <w:p>
      <w:pPr>
        <w:pStyle w:val="29"/>
        <w:spacing w:after="0" w:line="240" w:lineRule="auto"/>
        <w:ind w:firstLine="422" w:firstLineChars="200"/>
        <w:jc w:val="left"/>
        <w:rPr>
          <w:szCs w:val="21"/>
        </w:rPr>
      </w:pPr>
      <w:r>
        <w:rPr>
          <w:b/>
          <w:bCs/>
          <w:szCs w:val="21"/>
        </w:rPr>
        <w:t xml:space="preserve">4 </w:t>
      </w:r>
      <w:r>
        <w:rPr>
          <w:rFonts w:hint="eastAsia"/>
        </w:rPr>
        <w:t>《建筑抗震鉴定标准》GB50023</w:t>
      </w:r>
    </w:p>
    <w:p>
      <w:pPr>
        <w:pStyle w:val="29"/>
        <w:spacing w:after="0" w:line="240" w:lineRule="auto"/>
        <w:ind w:firstLine="422" w:firstLineChars="200"/>
        <w:jc w:val="left"/>
        <w:rPr>
          <w:szCs w:val="21"/>
        </w:rPr>
      </w:pPr>
      <w:r>
        <w:rPr>
          <w:b/>
          <w:bCs/>
          <w:szCs w:val="21"/>
        </w:rPr>
        <w:t xml:space="preserve">5 </w:t>
      </w:r>
      <w:r>
        <w:rPr>
          <w:rFonts w:hint="eastAsia"/>
        </w:rPr>
        <w:t>《声环境质量标准》GB3096</w:t>
      </w:r>
    </w:p>
    <w:p>
      <w:pPr>
        <w:pStyle w:val="29"/>
        <w:spacing w:after="0" w:line="240" w:lineRule="auto"/>
        <w:ind w:firstLine="422" w:firstLineChars="200"/>
        <w:jc w:val="left"/>
        <w:rPr>
          <w:szCs w:val="21"/>
        </w:rPr>
      </w:pPr>
      <w:r>
        <w:rPr>
          <w:b/>
          <w:bCs/>
          <w:szCs w:val="21"/>
        </w:rPr>
        <w:t xml:space="preserve">6 </w:t>
      </w:r>
      <w:r>
        <w:rPr>
          <w:rFonts w:hint="eastAsia"/>
        </w:rPr>
        <w:t>《城市轨道交通引起建筑物振动与二次辐射噪声限值及其测量方法标准》JGJ</w:t>
      </w:r>
      <w:r>
        <w:t>/T170</w:t>
      </w:r>
    </w:p>
    <w:p>
      <w:pPr>
        <w:pStyle w:val="29"/>
        <w:spacing w:after="0" w:line="240" w:lineRule="auto"/>
        <w:ind w:firstLine="422" w:firstLineChars="200"/>
        <w:jc w:val="left"/>
        <w:rPr>
          <w:szCs w:val="21"/>
        </w:rPr>
      </w:pPr>
      <w:r>
        <w:rPr>
          <w:b/>
          <w:bCs/>
          <w:szCs w:val="21"/>
        </w:rPr>
        <w:t xml:space="preserve">7 </w:t>
      </w:r>
      <w:r>
        <w:rPr>
          <w:rFonts w:hint="eastAsia"/>
        </w:rPr>
        <w:t>《城市轨道交通上盖建筑设计标准》DG/</w:t>
      </w:r>
      <w:r>
        <w:t>TJ 08-2263</w:t>
      </w:r>
    </w:p>
    <w:p>
      <w:pPr>
        <w:pStyle w:val="29"/>
        <w:spacing w:after="0" w:line="240" w:lineRule="auto"/>
        <w:ind w:firstLine="422" w:firstLineChars="200"/>
        <w:jc w:val="left"/>
        <w:rPr>
          <w:szCs w:val="21"/>
        </w:rPr>
      </w:pPr>
      <w:r>
        <w:rPr>
          <w:b/>
          <w:bCs/>
          <w:szCs w:val="21"/>
        </w:rPr>
        <w:t xml:space="preserve">8 </w:t>
      </w:r>
      <w:r>
        <w:rPr>
          <w:rFonts w:hint="eastAsia"/>
        </w:rPr>
        <w:t>《</w:t>
      </w:r>
      <w:r>
        <w:t>公路桥涵设计通用规范》</w:t>
      </w:r>
      <w:r>
        <w:rPr>
          <w:rFonts w:hint="eastAsia"/>
        </w:rPr>
        <w:t>JTG</w:t>
      </w:r>
      <w:r>
        <w:t xml:space="preserve"> D60</w:t>
      </w:r>
    </w:p>
    <w:p>
      <w:pPr>
        <w:pStyle w:val="29"/>
        <w:spacing w:after="0" w:line="240" w:lineRule="auto"/>
        <w:ind w:firstLine="422" w:firstLineChars="200"/>
        <w:jc w:val="left"/>
        <w:rPr>
          <w:szCs w:val="21"/>
        </w:rPr>
      </w:pPr>
      <w:r>
        <w:rPr>
          <w:b/>
          <w:bCs/>
          <w:szCs w:val="21"/>
        </w:rPr>
        <w:t xml:space="preserve">9 </w:t>
      </w:r>
      <w:r>
        <w:rPr>
          <w:rFonts w:hint="eastAsia"/>
        </w:rPr>
        <w:t>《人民防空地下室设计规范》GB50038</w:t>
      </w:r>
    </w:p>
    <w:p>
      <w:pPr>
        <w:pStyle w:val="29"/>
        <w:spacing w:after="0" w:line="240" w:lineRule="auto"/>
        <w:ind w:firstLine="422" w:firstLineChars="200"/>
        <w:jc w:val="left"/>
        <w:rPr>
          <w:szCs w:val="21"/>
        </w:rPr>
      </w:pPr>
      <w:r>
        <w:rPr>
          <w:b/>
          <w:bCs/>
          <w:szCs w:val="21"/>
        </w:rPr>
        <w:t xml:space="preserve">10 </w:t>
      </w:r>
      <w:r>
        <w:rPr>
          <w:rFonts w:hint="eastAsia"/>
        </w:rPr>
        <w:t>《建筑工程抗震设防分类标准》GB50223</w:t>
      </w:r>
    </w:p>
    <w:p>
      <w:pPr>
        <w:pStyle w:val="29"/>
        <w:spacing w:after="0" w:line="240" w:lineRule="auto"/>
        <w:ind w:firstLine="422" w:firstLineChars="200"/>
        <w:jc w:val="left"/>
        <w:rPr>
          <w:szCs w:val="21"/>
        </w:rPr>
      </w:pPr>
      <w:r>
        <w:rPr>
          <w:b/>
          <w:bCs/>
          <w:szCs w:val="21"/>
        </w:rPr>
        <w:t xml:space="preserve">11 </w:t>
      </w:r>
      <w:r>
        <w:rPr>
          <w:rFonts w:hint="eastAsia" w:hAnsi="宋体"/>
        </w:rPr>
        <w:t>《高层建筑岩土工程勘察标准》JGJ</w:t>
      </w:r>
      <w:r>
        <w:rPr>
          <w:rFonts w:hAnsi="宋体"/>
        </w:rPr>
        <w:t>/T72</w:t>
      </w:r>
    </w:p>
    <w:p>
      <w:pPr>
        <w:pStyle w:val="29"/>
        <w:spacing w:after="0" w:line="240" w:lineRule="auto"/>
        <w:ind w:firstLine="422" w:firstLineChars="200"/>
        <w:jc w:val="left"/>
        <w:rPr>
          <w:szCs w:val="21"/>
        </w:rPr>
      </w:pPr>
      <w:r>
        <w:rPr>
          <w:b/>
          <w:bCs/>
          <w:szCs w:val="21"/>
        </w:rPr>
        <w:t xml:space="preserve">12 </w:t>
      </w:r>
      <w:r>
        <w:rPr>
          <w:rFonts w:hint="eastAsia"/>
        </w:rPr>
        <w:t>《混凝土结构耐久性设计标准》GB50476</w:t>
      </w:r>
    </w:p>
    <w:p>
      <w:pPr>
        <w:pStyle w:val="29"/>
        <w:spacing w:after="0" w:line="240" w:lineRule="auto"/>
        <w:ind w:firstLine="422" w:firstLineChars="200"/>
        <w:jc w:val="left"/>
        <w:rPr>
          <w:szCs w:val="21"/>
        </w:rPr>
      </w:pPr>
      <w:r>
        <w:rPr>
          <w:b/>
          <w:bCs/>
          <w:szCs w:val="21"/>
        </w:rPr>
        <w:t xml:space="preserve">13 </w:t>
      </w:r>
      <w:r>
        <w:rPr>
          <w:rFonts w:hint="eastAsia"/>
        </w:rPr>
        <w:t>《建筑设计防火规范》GB50016</w:t>
      </w:r>
    </w:p>
    <w:p>
      <w:pPr>
        <w:pStyle w:val="29"/>
        <w:spacing w:after="0" w:line="240" w:lineRule="auto"/>
        <w:ind w:firstLine="422" w:firstLineChars="200"/>
        <w:jc w:val="left"/>
        <w:rPr>
          <w:szCs w:val="21"/>
        </w:rPr>
      </w:pPr>
      <w:r>
        <w:rPr>
          <w:b/>
          <w:bCs/>
          <w:szCs w:val="21"/>
        </w:rPr>
        <w:t xml:space="preserve">14 </w:t>
      </w:r>
      <w:r>
        <w:rPr>
          <w:rFonts w:hint="eastAsia"/>
        </w:rPr>
        <w:t>《地铁设计防火标准》GB51298</w:t>
      </w:r>
    </w:p>
    <w:p>
      <w:pPr>
        <w:pStyle w:val="29"/>
        <w:spacing w:after="0" w:line="240" w:lineRule="auto"/>
        <w:ind w:firstLine="422" w:firstLineChars="200"/>
        <w:jc w:val="left"/>
        <w:rPr>
          <w:szCs w:val="21"/>
        </w:rPr>
      </w:pPr>
      <w:r>
        <w:rPr>
          <w:b/>
          <w:bCs/>
          <w:szCs w:val="21"/>
        </w:rPr>
        <w:t xml:space="preserve">15 </w:t>
      </w:r>
      <w:r>
        <w:rPr>
          <w:rFonts w:hint="eastAsia"/>
        </w:rPr>
        <w:t>《地铁限界标准》CJJ/T 96</w:t>
      </w:r>
    </w:p>
    <w:p>
      <w:pPr>
        <w:pStyle w:val="29"/>
        <w:spacing w:after="0" w:line="240" w:lineRule="auto"/>
        <w:ind w:firstLine="422" w:firstLineChars="200"/>
        <w:jc w:val="left"/>
        <w:rPr>
          <w:szCs w:val="21"/>
        </w:rPr>
      </w:pPr>
      <w:r>
        <w:rPr>
          <w:b/>
          <w:bCs/>
          <w:szCs w:val="21"/>
        </w:rPr>
        <w:t xml:space="preserve">16 </w:t>
      </w:r>
      <w:r>
        <w:rPr>
          <w:rFonts w:hint="eastAsia"/>
        </w:rPr>
        <w:t>《建筑结构荷载规范》GB50009</w:t>
      </w:r>
    </w:p>
    <w:p>
      <w:pPr>
        <w:pStyle w:val="29"/>
        <w:spacing w:after="0" w:line="240" w:lineRule="auto"/>
        <w:ind w:firstLine="422" w:firstLineChars="200"/>
        <w:jc w:val="left"/>
        <w:rPr>
          <w:szCs w:val="21"/>
        </w:rPr>
      </w:pPr>
      <w:r>
        <w:rPr>
          <w:b/>
          <w:bCs/>
          <w:szCs w:val="21"/>
        </w:rPr>
        <w:t xml:space="preserve">17 </w:t>
      </w:r>
      <w:r>
        <w:rPr>
          <w:rFonts w:hint="eastAsia" w:hAnsi="宋体"/>
        </w:rPr>
        <w:t>《建筑工程混凝土结构抗震性能设计规程》DBJ</w:t>
      </w:r>
      <w:r>
        <w:rPr>
          <w:rFonts w:hAnsi="宋体"/>
        </w:rPr>
        <w:t>/T 15-151</w:t>
      </w:r>
    </w:p>
    <w:p>
      <w:pPr>
        <w:pStyle w:val="29"/>
        <w:spacing w:after="0" w:line="240" w:lineRule="auto"/>
        <w:ind w:firstLine="422" w:firstLineChars="200"/>
        <w:jc w:val="left"/>
        <w:rPr>
          <w:szCs w:val="21"/>
        </w:rPr>
      </w:pPr>
      <w:r>
        <w:rPr>
          <w:b/>
          <w:bCs/>
          <w:szCs w:val="21"/>
        </w:rPr>
        <w:t xml:space="preserve">18 </w:t>
      </w:r>
      <w:r>
        <w:rPr>
          <w:rFonts w:hint="eastAsia" w:hAnsi="宋体"/>
        </w:rPr>
        <w:t>《建筑结构抗倒塌设计规范》CECS</w:t>
      </w:r>
      <w:r>
        <w:rPr>
          <w:rFonts w:hAnsi="宋体"/>
        </w:rPr>
        <w:t xml:space="preserve"> 392</w:t>
      </w:r>
    </w:p>
    <w:p>
      <w:pPr>
        <w:pStyle w:val="29"/>
        <w:spacing w:after="0" w:line="240" w:lineRule="auto"/>
        <w:ind w:firstLine="422" w:firstLineChars="200"/>
        <w:jc w:val="left"/>
        <w:rPr>
          <w:szCs w:val="21"/>
        </w:rPr>
      </w:pPr>
      <w:r>
        <w:rPr>
          <w:b/>
          <w:bCs/>
          <w:szCs w:val="21"/>
        </w:rPr>
        <w:t xml:space="preserve">19 </w:t>
      </w:r>
      <w:r>
        <w:rPr>
          <w:rFonts w:hint="eastAsia" w:hAnsi="宋体"/>
        </w:rPr>
        <w:t>《混凝土结构设计规范》GB50010</w:t>
      </w:r>
    </w:p>
    <w:p>
      <w:pPr>
        <w:pStyle w:val="29"/>
        <w:spacing w:after="0" w:line="240" w:lineRule="auto"/>
        <w:ind w:firstLine="422" w:firstLineChars="200"/>
        <w:jc w:val="left"/>
        <w:rPr>
          <w:szCs w:val="21"/>
        </w:rPr>
      </w:pPr>
      <w:r>
        <w:rPr>
          <w:b/>
          <w:bCs/>
          <w:szCs w:val="21"/>
        </w:rPr>
        <w:t xml:space="preserve">20 </w:t>
      </w:r>
      <w:r>
        <w:rPr>
          <w:rStyle w:val="50"/>
          <w:rFonts w:hint="default" w:ascii="Times New Roman" w:hAnsi="Times New Roman"/>
          <w:bCs/>
        </w:rPr>
        <w:t>《建筑隔</w:t>
      </w:r>
      <w:r>
        <w:rPr>
          <w:rFonts w:hAnsi="宋体"/>
        </w:rPr>
        <w:t>震设计标准》GB/T 51408</w:t>
      </w:r>
    </w:p>
    <w:p>
      <w:pPr>
        <w:pStyle w:val="29"/>
        <w:spacing w:after="0" w:line="240" w:lineRule="auto"/>
        <w:ind w:firstLine="422" w:firstLineChars="200"/>
        <w:jc w:val="left"/>
        <w:rPr>
          <w:szCs w:val="21"/>
        </w:rPr>
      </w:pPr>
      <w:r>
        <w:rPr>
          <w:b/>
          <w:bCs/>
          <w:szCs w:val="21"/>
        </w:rPr>
        <w:t xml:space="preserve">21 </w:t>
      </w:r>
      <w:r>
        <w:rPr>
          <w:szCs w:val="21"/>
        </w:rPr>
        <w:t>《橡胶支座第1</w:t>
      </w:r>
      <w:r>
        <w:rPr>
          <w:rFonts w:hint="eastAsia"/>
          <w:szCs w:val="21"/>
        </w:rPr>
        <w:t>部分：隔震橡胶支座试验方法</w:t>
      </w:r>
      <w:r>
        <w:rPr>
          <w:szCs w:val="21"/>
        </w:rPr>
        <w:t>》GB20688.1</w:t>
      </w:r>
    </w:p>
    <w:p>
      <w:pPr>
        <w:pStyle w:val="29"/>
        <w:spacing w:after="0" w:line="240" w:lineRule="auto"/>
        <w:ind w:firstLine="422" w:firstLineChars="200"/>
        <w:jc w:val="left"/>
        <w:rPr>
          <w:szCs w:val="21"/>
        </w:rPr>
      </w:pPr>
      <w:r>
        <w:rPr>
          <w:b/>
          <w:bCs/>
          <w:szCs w:val="21"/>
        </w:rPr>
        <w:t xml:space="preserve">22 </w:t>
      </w:r>
      <w:r>
        <w:rPr>
          <w:szCs w:val="21"/>
        </w:rPr>
        <w:t>《橡胶支座第3部分</w:t>
      </w:r>
      <w:r>
        <w:rPr>
          <w:rFonts w:hint="eastAsia"/>
          <w:szCs w:val="21"/>
        </w:rPr>
        <w:t>：</w:t>
      </w:r>
      <w:r>
        <w:rPr>
          <w:szCs w:val="21"/>
        </w:rPr>
        <w:t>建筑隔震橡胶支座》GB 20688.3</w:t>
      </w:r>
    </w:p>
    <w:p>
      <w:pPr>
        <w:pStyle w:val="29"/>
        <w:spacing w:after="0" w:line="240" w:lineRule="auto"/>
        <w:ind w:firstLine="422" w:firstLineChars="200"/>
        <w:jc w:val="left"/>
        <w:rPr>
          <w:szCs w:val="21"/>
        </w:rPr>
      </w:pPr>
      <w:r>
        <w:rPr>
          <w:b/>
          <w:bCs/>
          <w:szCs w:val="21"/>
        </w:rPr>
        <w:t xml:space="preserve">23 </w:t>
      </w:r>
      <w:r>
        <w:rPr>
          <w:szCs w:val="21"/>
        </w:rPr>
        <w:t>《橡胶支座第5部分</w:t>
      </w:r>
      <w:r>
        <w:rPr>
          <w:rFonts w:hint="eastAsia"/>
          <w:szCs w:val="21"/>
        </w:rPr>
        <w:t>：</w:t>
      </w:r>
      <w:r>
        <w:rPr>
          <w:szCs w:val="21"/>
        </w:rPr>
        <w:t>建筑隔震弹性滑板支座》GB 20688.5</w:t>
      </w:r>
    </w:p>
    <w:p>
      <w:pPr>
        <w:pStyle w:val="29"/>
        <w:spacing w:after="0" w:line="240" w:lineRule="auto"/>
        <w:ind w:firstLine="422" w:firstLineChars="200"/>
        <w:jc w:val="left"/>
        <w:rPr>
          <w:szCs w:val="21"/>
        </w:rPr>
      </w:pPr>
      <w:r>
        <w:rPr>
          <w:b/>
          <w:bCs/>
          <w:szCs w:val="21"/>
        </w:rPr>
        <w:t xml:space="preserve">24 </w:t>
      </w:r>
      <w:r>
        <w:rPr>
          <w:szCs w:val="21"/>
        </w:rPr>
        <w:t>《建筑摩擦摆隔震支座》GB/T 37358</w:t>
      </w:r>
    </w:p>
    <w:p>
      <w:pPr>
        <w:pStyle w:val="29"/>
        <w:spacing w:after="0" w:line="240" w:lineRule="auto"/>
        <w:ind w:firstLine="422" w:firstLineChars="200"/>
        <w:jc w:val="left"/>
        <w:rPr>
          <w:szCs w:val="21"/>
        </w:rPr>
      </w:pPr>
      <w:r>
        <w:rPr>
          <w:b/>
          <w:bCs/>
          <w:szCs w:val="21"/>
        </w:rPr>
        <w:t xml:space="preserve">25 </w:t>
      </w:r>
      <w:r>
        <w:rPr>
          <w:rFonts w:hint="eastAsia"/>
          <w:szCs w:val="21"/>
        </w:rPr>
        <w:t>《建筑隔震橡胶支座》</w:t>
      </w:r>
      <w:r>
        <w:rPr>
          <w:szCs w:val="21"/>
        </w:rPr>
        <w:t>JG/T118</w:t>
      </w:r>
    </w:p>
    <w:p>
      <w:pPr>
        <w:pStyle w:val="29"/>
        <w:spacing w:after="0" w:line="240" w:lineRule="auto"/>
        <w:ind w:firstLine="422" w:firstLineChars="200"/>
        <w:jc w:val="left"/>
        <w:rPr>
          <w:szCs w:val="21"/>
        </w:rPr>
      </w:pPr>
      <w:r>
        <w:rPr>
          <w:b/>
          <w:bCs/>
          <w:szCs w:val="21"/>
        </w:rPr>
        <w:t xml:space="preserve">26 </w:t>
      </w:r>
      <w:r>
        <w:rPr>
          <w:rFonts w:hint="eastAsia"/>
          <w:szCs w:val="21"/>
        </w:rPr>
        <w:t>《建筑消能阻尼器》</w:t>
      </w:r>
      <w:r>
        <w:rPr>
          <w:szCs w:val="21"/>
        </w:rPr>
        <w:t>JG/T 209</w:t>
      </w:r>
    </w:p>
    <w:p>
      <w:pPr>
        <w:pStyle w:val="29"/>
        <w:spacing w:after="0" w:line="240" w:lineRule="auto"/>
        <w:ind w:firstLine="422" w:firstLineChars="200"/>
        <w:jc w:val="left"/>
        <w:rPr>
          <w:szCs w:val="21"/>
        </w:rPr>
      </w:pPr>
      <w:r>
        <w:rPr>
          <w:b/>
          <w:bCs/>
          <w:szCs w:val="21"/>
        </w:rPr>
        <w:t xml:space="preserve">27 </w:t>
      </w:r>
      <w:r>
        <w:rPr>
          <w:rFonts w:hint="eastAsia" w:hAnsi="宋体"/>
        </w:rPr>
        <w:t>《建筑地基基础设计规范》GB50007</w:t>
      </w:r>
    </w:p>
    <w:p>
      <w:pPr>
        <w:pStyle w:val="29"/>
        <w:spacing w:after="0" w:line="240" w:lineRule="auto"/>
        <w:ind w:firstLine="422" w:firstLineChars="200"/>
        <w:jc w:val="left"/>
        <w:rPr>
          <w:szCs w:val="21"/>
        </w:rPr>
      </w:pPr>
      <w:r>
        <w:rPr>
          <w:b/>
          <w:bCs/>
          <w:szCs w:val="21"/>
        </w:rPr>
        <w:t xml:space="preserve">28 </w:t>
      </w:r>
      <w:r>
        <w:rPr>
          <w:rFonts w:hint="eastAsia" w:hAnsi="宋体"/>
        </w:rPr>
        <w:t>《深圳市地基基础勘察设计规范》SJG01</w:t>
      </w:r>
    </w:p>
    <w:p>
      <w:pPr>
        <w:pStyle w:val="29"/>
        <w:spacing w:after="0" w:line="240" w:lineRule="auto"/>
        <w:ind w:firstLine="422" w:firstLineChars="200"/>
        <w:jc w:val="left"/>
        <w:rPr>
          <w:szCs w:val="21"/>
        </w:rPr>
      </w:pPr>
      <w:r>
        <w:rPr>
          <w:b/>
          <w:bCs/>
          <w:szCs w:val="21"/>
        </w:rPr>
        <w:t xml:space="preserve">39 </w:t>
      </w:r>
      <w:r>
        <w:rPr>
          <w:rFonts w:hint="eastAsia" w:hAnsi="宋体"/>
          <w:szCs w:val="21"/>
        </w:rPr>
        <w:t>《建筑桩基技术规范》JGJ94</w:t>
      </w:r>
    </w:p>
    <w:p>
      <w:pPr>
        <w:pStyle w:val="29"/>
        <w:spacing w:after="0" w:line="240" w:lineRule="auto"/>
        <w:ind w:firstLine="422" w:firstLineChars="200"/>
        <w:jc w:val="left"/>
        <w:rPr>
          <w:rFonts w:hAnsi="宋体"/>
        </w:rPr>
      </w:pPr>
      <w:r>
        <w:rPr>
          <w:b/>
          <w:bCs/>
          <w:szCs w:val="21"/>
        </w:rPr>
        <w:t xml:space="preserve">30 </w:t>
      </w:r>
      <w:r>
        <w:rPr>
          <w:rFonts w:hint="eastAsia" w:hAnsi="宋体"/>
        </w:rPr>
        <w:t>《电梯制造与安装安全规范》GB7588</w:t>
      </w:r>
    </w:p>
    <w:p>
      <w:pPr>
        <w:pStyle w:val="29"/>
        <w:spacing w:after="0" w:line="240" w:lineRule="auto"/>
        <w:ind w:firstLine="422" w:firstLineChars="200"/>
        <w:jc w:val="left"/>
        <w:rPr>
          <w:rFonts w:hAnsi="宋体"/>
        </w:rPr>
      </w:pPr>
      <w:r>
        <w:rPr>
          <w:rFonts w:hint="eastAsia" w:hAnsi="宋体"/>
          <w:b/>
          <w:bCs/>
        </w:rPr>
        <w:t>3</w:t>
      </w:r>
      <w:r>
        <w:rPr>
          <w:rFonts w:hAnsi="宋体"/>
          <w:b/>
          <w:bCs/>
        </w:rPr>
        <w:t xml:space="preserve">1 </w:t>
      </w:r>
      <w:r>
        <w:rPr>
          <w:rFonts w:hint="eastAsia" w:hAnsi="宋体"/>
        </w:rPr>
        <w:t>《</w:t>
      </w:r>
      <w:r>
        <w:rPr>
          <w:rFonts w:hAnsi="宋体"/>
        </w:rPr>
        <w:t>无粘结预应力混凝土结构技术规程</w:t>
      </w:r>
      <w:r>
        <w:rPr>
          <w:rFonts w:hint="eastAsia" w:hAnsi="宋体"/>
        </w:rPr>
        <w:t>》</w:t>
      </w:r>
      <w:r>
        <w:rPr>
          <w:rFonts w:hAnsi="宋体"/>
        </w:rPr>
        <w:t>JGJ92</w:t>
      </w:r>
    </w:p>
    <w:p>
      <w:pPr>
        <w:pStyle w:val="29"/>
        <w:spacing w:after="0" w:line="240" w:lineRule="auto"/>
        <w:ind w:firstLine="422" w:firstLineChars="200"/>
        <w:jc w:val="left"/>
        <w:rPr>
          <w:b/>
          <w:bCs/>
          <w:szCs w:val="21"/>
        </w:rPr>
      </w:pPr>
      <w:r>
        <w:rPr>
          <w:rFonts w:hint="eastAsia" w:hAnsi="宋体"/>
          <w:b/>
          <w:bCs/>
        </w:rPr>
        <w:t>3</w:t>
      </w:r>
      <w:r>
        <w:rPr>
          <w:rFonts w:hAnsi="宋体"/>
          <w:b/>
          <w:bCs/>
        </w:rPr>
        <w:t xml:space="preserve">2 </w:t>
      </w:r>
      <w:r>
        <w:rPr>
          <w:rFonts w:hint="eastAsia" w:hAnsi="宋体"/>
        </w:rPr>
        <w:t>《建筑结构可靠性设计统一标准》GB</w:t>
      </w:r>
      <w:r>
        <w:rPr>
          <w:rFonts w:hAnsi="宋体"/>
        </w:rPr>
        <w:t>50068</w:t>
      </w:r>
    </w:p>
    <w:p>
      <w:pPr>
        <w:pStyle w:val="29"/>
        <w:ind w:firstLine="964"/>
        <w:jc w:val="center"/>
      </w:pPr>
    </w:p>
    <w:sectPr>
      <w:headerReference r:id="rId8" w:type="first"/>
      <w:footerReference r:id="rId11" w:type="first"/>
      <w:headerReference r:id="rId6" w:type="default"/>
      <w:footerReference r:id="rId9" w:type="default"/>
      <w:headerReference r:id="rId7" w:type="even"/>
      <w:footerReference r:id="rId10" w:type="even"/>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华文中宋">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AFF" w:usb1="C0007843" w:usb2="00000009" w:usb3="00000000" w:csb0="400001FF" w:csb1="FFFF0000"/>
  </w:font>
  <w:font w:name="楷体_GB2312">
    <w:panose1 w:val="02010609030101010101"/>
    <w:charset w:val="86"/>
    <w:family w:val="modern"/>
    <w:pitch w:val="default"/>
    <w:sig w:usb0="00000001" w:usb1="080E0000" w:usb2="00000000" w:usb3="00000000" w:csb0="00040000" w:csb1="00000000"/>
  </w:font>
  <w:font w:name="等线">
    <w:altName w:val="宋体"/>
    <w:panose1 w:val="02010600030101010101"/>
    <w:charset w:val="86"/>
    <w:family w:val="auto"/>
    <w:pitch w:val="default"/>
    <w:sig w:usb0="00000000" w:usb1="00000000" w:usb2="00000016" w:usb3="00000000" w:csb0="0004000F" w:csb1="00000000"/>
  </w:font>
  <w:font w:name="等线 Light">
    <w:altName w:val="宋体"/>
    <w:panose1 w:val="02010600030101010101"/>
    <w:charset w:val="86"/>
    <w:family w:val="auto"/>
    <w:pitch w:val="default"/>
    <w:sig w:usb0="00000000" w:usb1="00000000"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
    <w:altName w:val="Times New Roman"/>
    <w:panose1 w:val="00000000000000000000"/>
    <w:charset w:val="00"/>
    <w:family w:val="roman"/>
    <w:pitch w:val="default"/>
    <w:sig w:usb0="00000000" w:usb1="00000000" w:usb2="00000000" w:usb3="00000000" w:csb0="00000001" w:csb1="00000000"/>
  </w:font>
  <w:font w:name="?_GB2312">
    <w:altName w:val="Times New Roman"/>
    <w:panose1 w:val="00000000000000000000"/>
    <w:charset w:val="00"/>
    <w:family w:val="roman"/>
    <w:pitch w:val="default"/>
    <w:sig w:usb0="00000000" w:usb1="00000000" w:usb2="00000000" w:usb3="00000000" w:csb0="00000001" w:csb1="00000000"/>
  </w:font>
  <w:font w:name="华文细黑">
    <w:panose1 w:val="02010600040101010101"/>
    <w:charset w:val="86"/>
    <w:family w:val="auto"/>
    <w:pitch w:val="default"/>
    <w:sig w:usb0="00000287" w:usb1="080F0000" w:usb2="00000000" w:usb3="00000000" w:csb0="0004009F" w:csb1="DFD70000"/>
  </w:font>
  <w:font w:name="Century Schoolbook">
    <w:altName w:val="Century"/>
    <w:panose1 w:val="00000000000000000000"/>
    <w:charset w:val="00"/>
    <w:family w:val="roman"/>
    <w:pitch w:val="default"/>
    <w:sig w:usb0="00000000" w:usb1="00000000" w:usb2="00000000" w:usb3="00000000" w:csb0="0000009F" w:csb1="00000000"/>
  </w:font>
  <w:font w:name="華康簡宋">
    <w:altName w:val="宋体"/>
    <w:panose1 w:val="00000000000000000000"/>
    <w:charset w:val="88"/>
    <w:family w:val="modern"/>
    <w:pitch w:val="default"/>
    <w:sig w:usb0="00000000" w:usb1="00000000" w:usb2="00000016" w:usb3="00000000" w:csb0="00100000" w:csb1="00000000"/>
  </w:font>
  <w:font w:name="Arial Unicode MS">
    <w:panose1 w:val="020B0604020202020204"/>
    <w:charset w:val="86"/>
    <w:family w:val="swiss"/>
    <w:pitch w:val="default"/>
    <w:sig w:usb0="FFFFFFFF" w:usb1="E9FFFFFF" w:usb2="0000003F" w:usb3="00000000" w:csb0="603F01FF" w:csb1="FFFF0000"/>
  </w:font>
  <w:font w:name="黑体e眠副浡渀.">
    <w:altName w:val="黑体"/>
    <w:panose1 w:val="00000000000000000000"/>
    <w:charset w:val="86"/>
    <w:family w:val="auto"/>
    <w:pitch w:val="default"/>
    <w:sig w:usb0="00000000" w:usb1="00000000" w:usb2="00000010" w:usb3="00000000" w:csb0="00040000" w:csb1="00000000"/>
  </w:font>
  <w:font w:name="Helvetica">
    <w:altName w:val="Arial"/>
    <w:panose1 w:val="020B0504020202020204"/>
    <w:charset w:val="00"/>
    <w:family w:val="swiss"/>
    <w:pitch w:val="default"/>
    <w:sig w:usb0="00000000" w:usb1="00000000" w:usb2="00000000" w:usb3="00000000" w:csb0="00000001" w:csb1="00000000"/>
  </w:font>
  <w:font w:name="仿宋_GB2312-WinCharSetFFFF-H">
    <w:altName w:val="方正舒体"/>
    <w:panose1 w:val="00000000000000000000"/>
    <w:charset w:val="86"/>
    <w:family w:val="auto"/>
    <w:pitch w:val="default"/>
    <w:sig w:usb0="00000000" w:usb1="00000000" w:usb2="00000010" w:usb3="00000000" w:csb0="00040000" w:csb1="00000000"/>
  </w:font>
  <w:font w:name="Cambria Math">
    <w:panose1 w:val="02040503050406030204"/>
    <w:charset w:val="00"/>
    <w:family w:val="roman"/>
    <w:pitch w:val="default"/>
    <w:sig w:usb0="E00002FF" w:usb1="420024FF" w:usb2="00000000" w:usb3="00000000" w:csb0="2000019F" w:csb1="00000000"/>
  </w:font>
  <w:font w:name="Century">
    <w:panose1 w:val="02040604050505020304"/>
    <w:charset w:val="00"/>
    <w:family w:val="auto"/>
    <w:pitch w:val="default"/>
    <w:sig w:usb0="00000287" w:usb1="00000000" w:usb2="00000000" w:usb3="00000000" w:csb0="2000009F" w:csb1="DFD70000"/>
  </w:font>
  <w:font w:name="方正舒体">
    <w:panose1 w:val="02010601030101010101"/>
    <w:charset w:val="86"/>
    <w:family w:val="auto"/>
    <w:pitch w:val="default"/>
    <w:sig w:usb0="00000003"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MS PGothic">
    <w:panose1 w:val="020B0600070205080204"/>
    <w:charset w:val="80"/>
    <w:family w:val="auto"/>
    <w:pitch w:val="default"/>
    <w:sig w:usb0="E00002FF" w:usb1="6AC7FDFB" w:usb2="00000012" w:usb3="00000000" w:csb0="4002009F" w:csb1="DFD70000"/>
  </w:font>
  <w:font w:name="FZXBSK--GBK1-0">
    <w:altName w:val="AMGDT"/>
    <w:panose1 w:val="00000000000000000000"/>
    <w:charset w:val="00"/>
    <w:family w:val="auto"/>
    <w:pitch w:val="default"/>
    <w:sig w:usb0="00000000" w:usb1="00000000" w:usb2="00000000" w:usb3="00000000" w:csb0="00000000" w:csb1="00000000"/>
  </w:font>
  <w:font w:name="AMGDT">
    <w:panose1 w:val="02000400000000000000"/>
    <w:charset w:val="00"/>
    <w:family w:val="auto"/>
    <w:pitch w:val="default"/>
    <w:sig w:usb0="80000003" w:usb1="10000000" w:usb2="00000000" w:usb3="00000000" w:csb0="00000001" w:csb1="00000000"/>
  </w:font>
  <w:font w:name="PingFang SC">
    <w:altName w:val="AMGDT"/>
    <w:panose1 w:val="00000000000000000000"/>
    <w:charset w:val="00"/>
    <w:family w:val="auto"/>
    <w:pitch w:val="default"/>
    <w:sig w:usb0="00000000" w:usb1="00000000" w:usb2="00000000" w:usb3="00000000" w:csb0="00000000" w:csb1="00000000"/>
  </w:font>
  <w:font w:name="Helvetica Neue">
    <w:altName w:val="AMGDT"/>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新宋体">
    <w:panose1 w:val="02010609030101010101"/>
    <w:charset w:val="86"/>
    <w:family w:val="auto"/>
    <w:pitch w:val="default"/>
    <w:sig w:usb0="00000003" w:usb1="288F0000" w:usb2="00000006" w:usb3="00000000" w:csb0="00040001" w:csb1="00000000"/>
  </w:font>
  <w:font w:name="楷体">
    <w:panose1 w:val="02010609060101010101"/>
    <w:charset w:val="86"/>
    <w:family w:val="auto"/>
    <w:pitch w:val="default"/>
    <w:sig w:usb0="800002BF" w:usb1="38CF7CFA" w:usb2="00000016" w:usb3="00000000" w:csb0="00040001" w:csb1="00000000"/>
  </w:font>
  <w:font w:name="Romantic">
    <w:panose1 w:val="00000400000000000000"/>
    <w:charset w:val="02"/>
    <w:family w:val="auto"/>
    <w:pitch w:val="default"/>
    <w:sig w:usb0="00000000" w:usb1="00000000" w:usb2="00000000" w:usb3="00000000" w:csb0="00000000" w:csb1="00000000"/>
  </w:font>
  <w:font w:name="华文楷体">
    <w:panose1 w:val="02010600040101010101"/>
    <w:charset w:val="86"/>
    <w:family w:val="auto"/>
    <w:pitch w:val="default"/>
    <w:sig w:usb0="00000287" w:usb1="080F0000" w:usb2="00000000" w:usb3="00000000" w:csb0="0004009F" w:csb1="DFD70000"/>
  </w:font>
  <w:font w:name="Book Antiqua">
    <w:altName w:val="Segoe Print"/>
    <w:panose1 w:val="02040602050305030304"/>
    <w:charset w:val="00"/>
    <w:family w:val="roman"/>
    <w:pitch w:val="default"/>
    <w:sig w:usb0="00000000" w:usb1="00000000" w:usb2="00000000" w:usb3="00000000" w:csb0="0000009F" w:csb1="00000000"/>
  </w:font>
  <w:font w:name="ItalicC">
    <w:panose1 w:val="00000400000000000000"/>
    <w:charset w:val="00"/>
    <w:family w:val="auto"/>
    <w:pitch w:val="default"/>
    <w:sig w:usb0="00000207" w:usb1="00000000" w:usb2="00000000" w:usb3="00000000" w:csb0="000001FF" w:csb1="00000000"/>
  </w:font>
  <w:font w:name="Calibri Light">
    <w:panose1 w:val="020F0302020204030204"/>
    <w:charset w:val="00"/>
    <w:family w:val="swiss"/>
    <w:pitch w:val="default"/>
    <w:sig w:usb0="A00002EF" w:usb1="4000207B" w:usb2="00000000" w:usb3="00000000" w:csb0="2000019F" w:csb1="00000000"/>
  </w:font>
  <w:font w:name="PMingLiU">
    <w:panose1 w:val="02020500000000000000"/>
    <w:charset w:val="88"/>
    <w:family w:val="auto"/>
    <w:pitch w:val="default"/>
    <w:sig w:usb0="A00002FF" w:usb1="28CFFCFA" w:usb2="00000016" w:usb3="00000000" w:csb0="00100001" w:csb1="00000000"/>
  </w:font>
  <w:font w:name="Segoe Print">
    <w:panose1 w:val="02000600000000000000"/>
    <w:charset w:val="00"/>
    <w:family w:val="auto"/>
    <w:pitch w:val="default"/>
    <w:sig w:usb0="0000028F" w:usb1="00000000" w:usb2="00000000" w:usb3="00000000" w:csb0="2000009F" w:csb1="47010000"/>
  </w:font>
  <w:font w:name="Wingdings">
    <w:panose1 w:val="05000000000000000000"/>
    <w:charset w:val="00"/>
    <w:family w:val="auto"/>
    <w:pitch w:val="default"/>
    <w:sig w:usb0="00000000" w:usb1="00000000" w:usb2="00000000" w:usb3="00000000" w:csb0="80000000" w:csb1="00000000"/>
  </w:font>
  <w:font w:name="Yu Mincho">
    <w:altName w:val="MS Mincho"/>
    <w:panose1 w:val="00000000000000000000"/>
    <w:charset w:val="80"/>
    <w:family w:val="roman"/>
    <w:pitch w:val="default"/>
    <w:sig w:usb0="00000000" w:usb1="00000000" w:usb2="00000012" w:usb3="00000000" w:csb0="0002009F" w:csb1="00000000"/>
  </w:font>
  <w:font w:name="等线">
    <w:altName w:val="AMGDT"/>
    <w:panose1 w:val="00000000000000000000"/>
    <w:charset w:val="00"/>
    <w:family w:val="auto"/>
    <w:pitch w:val="default"/>
    <w:sig w:usb0="00000000" w:usb1="00000000" w:usb2="00000000" w:usb3="00000000" w:csb0="00000000" w:csb1="00000000"/>
  </w:font>
  <w:font w:name="MS Mincho">
    <w:panose1 w:val="02020609040205080304"/>
    <w:charset w:val="80"/>
    <w:family w:val="auto"/>
    <w:pitch w:val="default"/>
    <w:sig w:usb0="E00002FF" w:usb1="6AC7FDFB" w:usb2="00000012" w:usb3="00000000" w:csb0="4002009F" w:csb1="DFD70000"/>
  </w:font>
  <w:font w:name="等线 Light">
    <w:altName w:val="AMGDT"/>
    <w:panose1 w:val="00000000000000000000"/>
    <w:charset w:val="00"/>
    <w:family w:val="auto"/>
    <w:pitch w:val="default"/>
    <w:sig w:usb0="00000000" w:usb1="00000000" w:usb2="00000000" w:usb3="00000000" w:csb0="00000000" w:csb1="00000000"/>
  </w:font>
  <w:font w:name="华文行楷">
    <w:panose1 w:val="02010800040101010101"/>
    <w:charset w:val="86"/>
    <w:family w:val="auto"/>
    <w:pitch w:val="default"/>
    <w:sig w:usb0="00000001" w:usb1="080F0000" w:usb2="00000000" w:usb3="00000000" w:csb0="00040000" w:csb1="00000000"/>
  </w:font>
  <w:font w:name="Mongolian Baiti">
    <w:panose1 w:val="03000500000000000000"/>
    <w:charset w:val="00"/>
    <w:family w:val="script"/>
    <w:pitch w:val="default"/>
    <w:sig w:usb0="80000023" w:usb1="00000000" w:usb2="00020000" w:usb3="00000000" w:csb0="00000001" w:csb1="00000000"/>
  </w:font>
  <w:font w:name="Menk Har_a Tig">
    <w:altName w:val="Mongolian Baiti"/>
    <w:panose1 w:val="00000000000000000000"/>
    <w:charset w:val="00"/>
    <w:family w:val="auto"/>
    <w:pitch w:val="default"/>
    <w:sig w:usb0="00000000" w:usb1="00000000" w:usb2="00020002" w:usb3="00000000" w:csb0="00000001" w:csb1="00000000"/>
  </w:font>
  <w:font w:name="华文宋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96215680"/>
    </w:sdtPr>
    <w:sdtContent>
      <w:p>
        <w:pPr>
          <w:pStyle w:val="21"/>
          <w:spacing w:before="120" w:after="120"/>
          <w:jc w:val="center"/>
        </w:pPr>
        <w:r>
          <w:fldChar w:fldCharType="begin"/>
        </w:r>
        <w:r>
          <w:instrText xml:space="preserve">PAGE   \* MERGEFORMAT</w:instrText>
        </w:r>
        <w:r>
          <w:fldChar w:fldCharType="separate"/>
        </w:r>
        <w:r>
          <w:rPr>
            <w:lang w:val="zh-CN"/>
          </w:rPr>
          <w:t>54</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framePr w:wrap="around" w:vAnchor="text" w:hAnchor="margin" w:xAlign="center" w:y="1"/>
      <w:rPr>
        <w:rStyle w:val="32"/>
      </w:rPr>
    </w:pPr>
    <w:r>
      <w:rPr>
        <w:rStyle w:val="32"/>
      </w:rPr>
      <w:fldChar w:fldCharType="begin"/>
    </w:r>
    <w:r>
      <w:rPr>
        <w:rStyle w:val="32"/>
      </w:rPr>
      <w:instrText xml:space="preserve">PAGE  </w:instrText>
    </w:r>
    <w:r>
      <w:rPr>
        <w:rStyle w:val="32"/>
      </w:rPr>
      <w:fldChar w:fldCharType="end"/>
    </w:r>
  </w:p>
  <w:p>
    <w:pPr>
      <w:pStyle w:val="2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spacing w:before="120" w:after="120"/>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44109742"/>
    </w:sdtPr>
    <w:sdtContent>
      <w:p>
        <w:pPr>
          <w:pStyle w:val="21"/>
          <w:jc w:val="center"/>
        </w:pPr>
        <w:r>
          <w:fldChar w:fldCharType="begin"/>
        </w:r>
        <w:r>
          <w:instrText xml:space="preserve">PAGE   \* MERGEFORMAT</w:instrText>
        </w:r>
        <w:r>
          <w:fldChar w:fldCharType="separate"/>
        </w:r>
        <w:r>
          <w:rPr>
            <w:lang w:val="zh-CN"/>
          </w:rPr>
          <w:t>15</w:t>
        </w:r>
        <w:r>
          <w:fldChar w:fldCharType="end"/>
        </w:r>
      </w:p>
    </w:sdtContent>
  </w:sdt>
  <w:p>
    <w:pPr>
      <w:pStyle w:val="21"/>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C91163"/>
    <w:multiLevelType w:val="multilevel"/>
    <w:tmpl w:val="1FC91163"/>
    <w:lvl w:ilvl="0" w:tentative="0">
      <w:start w:val="1"/>
      <w:numFmt w:val="decimal"/>
      <w:pStyle w:val="82"/>
      <w:suff w:val="nothing"/>
      <w:lvlText w:val="%1　"/>
      <w:lvlJc w:val="left"/>
      <w:pPr>
        <w:ind w:left="0" w:firstLine="0"/>
      </w:pPr>
      <w:rPr>
        <w:rFonts w:hint="eastAsia" w:ascii="黑体" w:hAnsi="Times New Roman" w:eastAsia="黑体"/>
        <w:b w:val="0"/>
        <w:i w:val="0"/>
        <w:sz w:val="21"/>
        <w:szCs w:val="21"/>
      </w:rPr>
    </w:lvl>
    <w:lvl w:ilvl="1" w:tentative="0">
      <w:start w:val="1"/>
      <w:numFmt w:val="decimal"/>
      <w:pStyle w:val="75"/>
      <w:suff w:val="nothing"/>
      <w:lvlText w:val="%1.%2　"/>
      <w:lvlJc w:val="left"/>
      <w:pPr>
        <w:ind w:left="0" w:firstLine="0"/>
      </w:pPr>
      <w:rPr>
        <w:rFonts w:hint="default" w:ascii="Times New Roman" w:hAnsi="Times New Roman" w:eastAsia="黑体" w:cs="Times New Roman"/>
        <w:b w:val="0"/>
        <w:bCs w:val="0"/>
        <w:i w:val="0"/>
        <w:iCs w:val="0"/>
        <w:caps w:val="0"/>
        <w:strike w:val="0"/>
        <w:dstrike w:val="0"/>
        <w:vanish w:val="0"/>
        <w:color w:val="000000"/>
        <w:spacing w:val="0"/>
        <w:kern w:val="0"/>
        <w:position w:val="0"/>
        <w:sz w:val="21"/>
        <w:szCs w:val="21"/>
        <w:u w:val="none"/>
        <w:vertAlign w:val="baseline"/>
      </w:rPr>
    </w:lvl>
    <w:lvl w:ilvl="2" w:tentative="0">
      <w:start w:val="1"/>
      <w:numFmt w:val="decimal"/>
      <w:pStyle w:val="74"/>
      <w:suff w:val="nothing"/>
      <w:lvlText w:val="%1.%2.%3　"/>
      <w:lvlJc w:val="left"/>
      <w:pPr>
        <w:ind w:left="0" w:firstLine="0"/>
      </w:pPr>
      <w:rPr>
        <w:rFonts w:hint="default" w:ascii="Times New Roman" w:hAnsi="Times New Roman" w:eastAsia="黑体" w:cs="Times New Roman"/>
        <w:b w:val="0"/>
        <w:i w:val="0"/>
        <w:color w:val="auto"/>
        <w:sz w:val="21"/>
      </w:rPr>
    </w:lvl>
    <w:lvl w:ilvl="3" w:tentative="0">
      <w:start w:val="1"/>
      <w:numFmt w:val="decimal"/>
      <w:pStyle w:val="73"/>
      <w:suff w:val="nothing"/>
      <w:lvlText w:val="%1.%2.%3.%4　"/>
      <w:lvlJc w:val="left"/>
      <w:pPr>
        <w:ind w:left="0" w:firstLine="0"/>
      </w:pPr>
      <w:rPr>
        <w:rFonts w:hint="eastAsia" w:ascii="黑体" w:hAnsi="Times New Roman" w:eastAsia="黑体"/>
        <w:b w:val="0"/>
        <w:i w:val="0"/>
        <w:sz w:val="21"/>
      </w:rPr>
    </w:lvl>
    <w:lvl w:ilvl="4" w:tentative="0">
      <w:start w:val="1"/>
      <w:numFmt w:val="decimal"/>
      <w:pStyle w:val="72"/>
      <w:suff w:val="nothing"/>
      <w:lvlText w:val="%1.%2.%3.%4.%5　"/>
      <w:lvlJc w:val="left"/>
      <w:pPr>
        <w:ind w:left="0" w:firstLine="0"/>
      </w:pPr>
      <w:rPr>
        <w:rFonts w:hint="eastAsia" w:ascii="黑体" w:hAnsi="Times New Roman" w:eastAsia="黑体"/>
        <w:b w:val="0"/>
        <w:i w:val="0"/>
        <w:sz w:val="21"/>
      </w:rPr>
    </w:lvl>
    <w:lvl w:ilvl="5" w:tentative="0">
      <w:start w:val="1"/>
      <w:numFmt w:val="decimal"/>
      <w:pStyle w:val="86"/>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
    <w:nsid w:val="231105A4"/>
    <w:multiLevelType w:val="multilevel"/>
    <w:tmpl w:val="231105A4"/>
    <w:lvl w:ilvl="0" w:tentative="0">
      <w:start w:val="1"/>
      <w:numFmt w:val="decimal"/>
      <w:lvlText w:val="（%1）"/>
      <w:lvlJc w:val="left"/>
      <w:pPr>
        <w:tabs>
          <w:tab w:val="left" w:pos="720"/>
        </w:tabs>
        <w:ind w:left="720" w:hanging="720"/>
      </w:pPr>
      <w:rPr>
        <w:rFonts w:hint="default" w:ascii="Times New Roman" w:hAnsi="Times New Roman" w:cs="Times New Roman"/>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461377ED"/>
    <w:multiLevelType w:val="multilevel"/>
    <w:tmpl w:val="461377ED"/>
    <w:lvl w:ilvl="0" w:tentative="0">
      <w:start w:val="1"/>
      <w:numFmt w:val="decimal"/>
      <w:pStyle w:val="2"/>
      <w:lvlText w:val="%1"/>
      <w:lvlJc w:val="left"/>
      <w:pPr>
        <w:tabs>
          <w:tab w:val="left" w:pos="3240"/>
        </w:tabs>
        <w:ind w:left="3240" w:firstLine="0"/>
      </w:pPr>
      <w:rPr>
        <w:rFonts w:hint="eastAsia"/>
      </w:rPr>
    </w:lvl>
    <w:lvl w:ilvl="1" w:tentative="0">
      <w:start w:val="1"/>
      <w:numFmt w:val="decimal"/>
      <w:lvlText w:val="%1.%2"/>
      <w:lvlJc w:val="left"/>
      <w:pPr>
        <w:tabs>
          <w:tab w:val="left" w:pos="0"/>
        </w:tabs>
        <w:ind w:left="0" w:firstLine="0"/>
      </w:pPr>
      <w:rPr>
        <w:rFonts w:hint="default" w:ascii="Times New Roman" w:hAnsi="Times New Roman" w:eastAsia="宋体" w:cs="Times New Roman"/>
        <w:b/>
        <w:i w:val="0"/>
        <w:iCs w:val="0"/>
        <w:caps w:val="0"/>
        <w:strike w:val="0"/>
        <w:dstrike w:val="0"/>
        <w:outline w:val="0"/>
        <w:shadow w:val="0"/>
        <w:emboss w:val="0"/>
        <w:imprint w:val="0"/>
        <w:vanish w:val="0"/>
        <w:spacing w:val="0"/>
        <w:position w:val="0"/>
        <w:u w:val="none"/>
        <w:vertAlign w:val="baseline"/>
      </w:rPr>
    </w:lvl>
    <w:lvl w:ilvl="2" w:tentative="0">
      <w:start w:val="1"/>
      <w:numFmt w:val="decimal"/>
      <w:lvlText w:val="%1.%2.%3"/>
      <w:lvlJc w:val="left"/>
      <w:pPr>
        <w:tabs>
          <w:tab w:val="left" w:pos="0"/>
        </w:tabs>
        <w:ind w:left="0" w:firstLine="0"/>
      </w:pPr>
      <w:rPr>
        <w:rFonts w:hint="default" w:ascii="Times New Roman" w:hAnsi="Times New Roman" w:eastAsia="宋体"/>
        <w:b/>
        <w:i w:val="0"/>
        <w:sz w:val="21"/>
        <w:szCs w:val="21"/>
      </w:rPr>
    </w:lvl>
    <w:lvl w:ilvl="3" w:tentative="0">
      <w:start w:val="1"/>
      <w:numFmt w:val="decimal"/>
      <w:lvlText w:val="%1.%2.%3.%4"/>
      <w:lvlJc w:val="left"/>
      <w:pPr>
        <w:tabs>
          <w:tab w:val="left" w:pos="2716"/>
        </w:tabs>
        <w:ind w:left="1984" w:hanging="708"/>
      </w:pPr>
      <w:rPr>
        <w:rFonts w:hint="eastAsia"/>
      </w:rPr>
    </w:lvl>
    <w:lvl w:ilvl="4" w:tentative="0">
      <w:start w:val="1"/>
      <w:numFmt w:val="decimal"/>
      <w:lvlText w:val="%1.%2.%3.%4.%5"/>
      <w:lvlJc w:val="left"/>
      <w:pPr>
        <w:tabs>
          <w:tab w:val="left" w:pos="350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abstractNum w:abstractNumId="3">
    <w:nsid w:val="5ED83D9D"/>
    <w:multiLevelType w:val="multilevel"/>
    <w:tmpl w:val="5ED83D9D"/>
    <w:lvl w:ilvl="0" w:tentative="0">
      <w:start w:val="1"/>
      <w:numFmt w:val="decimal"/>
      <w:pStyle w:val="30"/>
      <w:lvlText w:val="第%1章"/>
      <w:lvlJc w:val="center"/>
      <w:pPr>
        <w:ind w:left="620" w:hanging="420"/>
      </w:pPr>
      <w:rPr>
        <w:rFonts w:hint="eastAsia"/>
      </w:rPr>
    </w:lvl>
    <w:lvl w:ilvl="1" w:tentative="0">
      <w:start w:val="1"/>
      <w:numFmt w:val="lowerLetter"/>
      <w:lvlText w:val="%2)"/>
      <w:lvlJc w:val="left"/>
      <w:pPr>
        <w:ind w:left="1040" w:hanging="420"/>
      </w:pPr>
    </w:lvl>
    <w:lvl w:ilvl="2" w:tentative="0">
      <w:start w:val="1"/>
      <w:numFmt w:val="lowerRoman"/>
      <w:lvlText w:val="%3."/>
      <w:lvlJc w:val="right"/>
      <w:pPr>
        <w:ind w:left="1460" w:hanging="420"/>
      </w:pPr>
    </w:lvl>
    <w:lvl w:ilvl="3" w:tentative="0">
      <w:start w:val="1"/>
      <w:numFmt w:val="decimal"/>
      <w:lvlText w:val="%4."/>
      <w:lvlJc w:val="left"/>
      <w:pPr>
        <w:ind w:left="1880" w:hanging="420"/>
      </w:pPr>
    </w:lvl>
    <w:lvl w:ilvl="4" w:tentative="0">
      <w:start w:val="1"/>
      <w:numFmt w:val="lowerLetter"/>
      <w:lvlText w:val="%5)"/>
      <w:lvlJc w:val="left"/>
      <w:pPr>
        <w:ind w:left="2300" w:hanging="420"/>
      </w:pPr>
    </w:lvl>
    <w:lvl w:ilvl="5" w:tentative="0">
      <w:start w:val="1"/>
      <w:numFmt w:val="lowerRoman"/>
      <w:lvlText w:val="%6."/>
      <w:lvlJc w:val="right"/>
      <w:pPr>
        <w:ind w:left="2720" w:hanging="420"/>
      </w:pPr>
    </w:lvl>
    <w:lvl w:ilvl="6" w:tentative="0">
      <w:start w:val="1"/>
      <w:numFmt w:val="decimal"/>
      <w:lvlText w:val="%7."/>
      <w:lvlJc w:val="left"/>
      <w:pPr>
        <w:ind w:left="3140" w:hanging="420"/>
      </w:pPr>
    </w:lvl>
    <w:lvl w:ilvl="7" w:tentative="0">
      <w:start w:val="1"/>
      <w:numFmt w:val="lowerLetter"/>
      <w:lvlText w:val="%8)"/>
      <w:lvlJc w:val="left"/>
      <w:pPr>
        <w:ind w:left="3560" w:hanging="420"/>
      </w:pPr>
    </w:lvl>
    <w:lvl w:ilvl="8" w:tentative="0">
      <w:start w:val="1"/>
      <w:numFmt w:val="lowerRoman"/>
      <w:lvlText w:val="%9."/>
      <w:lvlJc w:val="right"/>
      <w:pPr>
        <w:ind w:left="3980" w:hanging="420"/>
      </w:pPr>
    </w:lvl>
  </w:abstractNum>
  <w:abstractNum w:abstractNumId="4">
    <w:nsid w:val="69F646F3"/>
    <w:multiLevelType w:val="multilevel"/>
    <w:tmpl w:val="69F646F3"/>
    <w:lvl w:ilvl="0" w:tentative="0">
      <w:start w:val="1"/>
      <w:numFmt w:val="decimal"/>
      <w:pStyle w:val="4"/>
      <w:lvlText w:val="3.1.%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6263"/>
    <w:rsid w:val="000029AD"/>
    <w:rsid w:val="000070A3"/>
    <w:rsid w:val="0000735F"/>
    <w:rsid w:val="00007461"/>
    <w:rsid w:val="00010373"/>
    <w:rsid w:val="00011C3F"/>
    <w:rsid w:val="000123E9"/>
    <w:rsid w:val="0001365C"/>
    <w:rsid w:val="00021F72"/>
    <w:rsid w:val="000228C4"/>
    <w:rsid w:val="00024740"/>
    <w:rsid w:val="000265FE"/>
    <w:rsid w:val="00026736"/>
    <w:rsid w:val="00026894"/>
    <w:rsid w:val="000330AE"/>
    <w:rsid w:val="000337C1"/>
    <w:rsid w:val="000337D5"/>
    <w:rsid w:val="00040188"/>
    <w:rsid w:val="00044E02"/>
    <w:rsid w:val="000536AE"/>
    <w:rsid w:val="00053D1D"/>
    <w:rsid w:val="00056F3D"/>
    <w:rsid w:val="00060008"/>
    <w:rsid w:val="00063069"/>
    <w:rsid w:val="00071725"/>
    <w:rsid w:val="00072FDF"/>
    <w:rsid w:val="00073AEE"/>
    <w:rsid w:val="00075256"/>
    <w:rsid w:val="00077EF2"/>
    <w:rsid w:val="00080BF8"/>
    <w:rsid w:val="0008289D"/>
    <w:rsid w:val="00082A1B"/>
    <w:rsid w:val="00082A2C"/>
    <w:rsid w:val="000855F2"/>
    <w:rsid w:val="000906F3"/>
    <w:rsid w:val="00091C8E"/>
    <w:rsid w:val="00092967"/>
    <w:rsid w:val="0009511D"/>
    <w:rsid w:val="000A00EA"/>
    <w:rsid w:val="000A1E07"/>
    <w:rsid w:val="000A5BBD"/>
    <w:rsid w:val="000A5C5C"/>
    <w:rsid w:val="000B1CDF"/>
    <w:rsid w:val="000B33F3"/>
    <w:rsid w:val="000B3A83"/>
    <w:rsid w:val="000B58CE"/>
    <w:rsid w:val="000B7C15"/>
    <w:rsid w:val="000C0CD3"/>
    <w:rsid w:val="000C288B"/>
    <w:rsid w:val="000C2C1C"/>
    <w:rsid w:val="000C43B8"/>
    <w:rsid w:val="000C4670"/>
    <w:rsid w:val="000C5486"/>
    <w:rsid w:val="000C7172"/>
    <w:rsid w:val="000C7C00"/>
    <w:rsid w:val="000D6B6A"/>
    <w:rsid w:val="000D6E1B"/>
    <w:rsid w:val="000E041E"/>
    <w:rsid w:val="000E219F"/>
    <w:rsid w:val="000E2411"/>
    <w:rsid w:val="000E4D74"/>
    <w:rsid w:val="000E53E1"/>
    <w:rsid w:val="000F0F9C"/>
    <w:rsid w:val="000F163C"/>
    <w:rsid w:val="000F34B0"/>
    <w:rsid w:val="000F6506"/>
    <w:rsid w:val="000F66B8"/>
    <w:rsid w:val="0010450F"/>
    <w:rsid w:val="0010477C"/>
    <w:rsid w:val="00104E08"/>
    <w:rsid w:val="00104FF5"/>
    <w:rsid w:val="00105165"/>
    <w:rsid w:val="00107879"/>
    <w:rsid w:val="00110DD5"/>
    <w:rsid w:val="00112B78"/>
    <w:rsid w:val="00114C6A"/>
    <w:rsid w:val="00117CF0"/>
    <w:rsid w:val="00121074"/>
    <w:rsid w:val="00121484"/>
    <w:rsid w:val="001229FE"/>
    <w:rsid w:val="00122A9F"/>
    <w:rsid w:val="00123642"/>
    <w:rsid w:val="00127B63"/>
    <w:rsid w:val="00132DCF"/>
    <w:rsid w:val="00133010"/>
    <w:rsid w:val="00136FD1"/>
    <w:rsid w:val="00140B1E"/>
    <w:rsid w:val="0014319D"/>
    <w:rsid w:val="00144ED6"/>
    <w:rsid w:val="00150D88"/>
    <w:rsid w:val="00151A46"/>
    <w:rsid w:val="00154447"/>
    <w:rsid w:val="0015470E"/>
    <w:rsid w:val="00154E8C"/>
    <w:rsid w:val="0015526F"/>
    <w:rsid w:val="001573BA"/>
    <w:rsid w:val="001603E5"/>
    <w:rsid w:val="00160F3F"/>
    <w:rsid w:val="00162848"/>
    <w:rsid w:val="00166A7B"/>
    <w:rsid w:val="00170407"/>
    <w:rsid w:val="00171064"/>
    <w:rsid w:val="001747B2"/>
    <w:rsid w:val="001748A3"/>
    <w:rsid w:val="001748F8"/>
    <w:rsid w:val="00174B9E"/>
    <w:rsid w:val="0018011B"/>
    <w:rsid w:val="001806B0"/>
    <w:rsid w:val="0018071A"/>
    <w:rsid w:val="00182A9C"/>
    <w:rsid w:val="00184324"/>
    <w:rsid w:val="00190CA7"/>
    <w:rsid w:val="001917BA"/>
    <w:rsid w:val="001A017D"/>
    <w:rsid w:val="001A37BE"/>
    <w:rsid w:val="001A43D8"/>
    <w:rsid w:val="001A57BF"/>
    <w:rsid w:val="001A5B61"/>
    <w:rsid w:val="001A772E"/>
    <w:rsid w:val="001A7C86"/>
    <w:rsid w:val="001A7E5F"/>
    <w:rsid w:val="001B02A0"/>
    <w:rsid w:val="001B3154"/>
    <w:rsid w:val="001B5DF8"/>
    <w:rsid w:val="001B60E5"/>
    <w:rsid w:val="001B6C50"/>
    <w:rsid w:val="001B6D47"/>
    <w:rsid w:val="001B7984"/>
    <w:rsid w:val="001C000D"/>
    <w:rsid w:val="001C02E0"/>
    <w:rsid w:val="001C7E27"/>
    <w:rsid w:val="001D041F"/>
    <w:rsid w:val="001D4D67"/>
    <w:rsid w:val="001D7FD0"/>
    <w:rsid w:val="001E6638"/>
    <w:rsid w:val="001F283D"/>
    <w:rsid w:val="001F2845"/>
    <w:rsid w:val="001F2DFE"/>
    <w:rsid w:val="001F2F4F"/>
    <w:rsid w:val="001F394F"/>
    <w:rsid w:val="001F5B9C"/>
    <w:rsid w:val="0020012C"/>
    <w:rsid w:val="0020104C"/>
    <w:rsid w:val="00204419"/>
    <w:rsid w:val="002051E0"/>
    <w:rsid w:val="00207535"/>
    <w:rsid w:val="002119FE"/>
    <w:rsid w:val="0021294B"/>
    <w:rsid w:val="00212F26"/>
    <w:rsid w:val="00216921"/>
    <w:rsid w:val="00221E50"/>
    <w:rsid w:val="00224727"/>
    <w:rsid w:val="0022597D"/>
    <w:rsid w:val="002262D8"/>
    <w:rsid w:val="00232365"/>
    <w:rsid w:val="00233574"/>
    <w:rsid w:val="00233D89"/>
    <w:rsid w:val="002349E9"/>
    <w:rsid w:val="00236E68"/>
    <w:rsid w:val="0023763D"/>
    <w:rsid w:val="002408D0"/>
    <w:rsid w:val="00241E54"/>
    <w:rsid w:val="00242117"/>
    <w:rsid w:val="0024367A"/>
    <w:rsid w:val="0024560F"/>
    <w:rsid w:val="0024794E"/>
    <w:rsid w:val="00260F79"/>
    <w:rsid w:val="00261905"/>
    <w:rsid w:val="00262112"/>
    <w:rsid w:val="002626A5"/>
    <w:rsid w:val="002641D3"/>
    <w:rsid w:val="00264227"/>
    <w:rsid w:val="00266BAB"/>
    <w:rsid w:val="0027077F"/>
    <w:rsid w:val="00276C6D"/>
    <w:rsid w:val="00276D0D"/>
    <w:rsid w:val="00277CDA"/>
    <w:rsid w:val="00281449"/>
    <w:rsid w:val="002814FC"/>
    <w:rsid w:val="00285DCF"/>
    <w:rsid w:val="00287CA5"/>
    <w:rsid w:val="00293E7A"/>
    <w:rsid w:val="00296C1F"/>
    <w:rsid w:val="002A1317"/>
    <w:rsid w:val="002A29F0"/>
    <w:rsid w:val="002A323D"/>
    <w:rsid w:val="002A3CE5"/>
    <w:rsid w:val="002A43AC"/>
    <w:rsid w:val="002A5AB1"/>
    <w:rsid w:val="002A70A9"/>
    <w:rsid w:val="002B26B4"/>
    <w:rsid w:val="002B4315"/>
    <w:rsid w:val="002B5E62"/>
    <w:rsid w:val="002B776A"/>
    <w:rsid w:val="002C026C"/>
    <w:rsid w:val="002C24D0"/>
    <w:rsid w:val="002C2655"/>
    <w:rsid w:val="002C624E"/>
    <w:rsid w:val="002D01E4"/>
    <w:rsid w:val="002D0D24"/>
    <w:rsid w:val="002D25FD"/>
    <w:rsid w:val="002D2EA9"/>
    <w:rsid w:val="002D3690"/>
    <w:rsid w:val="002D5B77"/>
    <w:rsid w:val="002D7FD8"/>
    <w:rsid w:val="002E122C"/>
    <w:rsid w:val="002E3D34"/>
    <w:rsid w:val="002E6477"/>
    <w:rsid w:val="002F08D0"/>
    <w:rsid w:val="002F0930"/>
    <w:rsid w:val="002F1FA0"/>
    <w:rsid w:val="002F456A"/>
    <w:rsid w:val="002F697E"/>
    <w:rsid w:val="002F7F77"/>
    <w:rsid w:val="003010E2"/>
    <w:rsid w:val="0031302A"/>
    <w:rsid w:val="00316B2D"/>
    <w:rsid w:val="003173FB"/>
    <w:rsid w:val="00317724"/>
    <w:rsid w:val="00322317"/>
    <w:rsid w:val="003241B4"/>
    <w:rsid w:val="00324952"/>
    <w:rsid w:val="00324BFF"/>
    <w:rsid w:val="003277E1"/>
    <w:rsid w:val="00330C8C"/>
    <w:rsid w:val="00334741"/>
    <w:rsid w:val="00335D92"/>
    <w:rsid w:val="00336205"/>
    <w:rsid w:val="003409AB"/>
    <w:rsid w:val="00345DD3"/>
    <w:rsid w:val="00346692"/>
    <w:rsid w:val="003578D3"/>
    <w:rsid w:val="00361644"/>
    <w:rsid w:val="00361FB2"/>
    <w:rsid w:val="00362177"/>
    <w:rsid w:val="0036730C"/>
    <w:rsid w:val="003679A5"/>
    <w:rsid w:val="003704FD"/>
    <w:rsid w:val="00372B0B"/>
    <w:rsid w:val="00373287"/>
    <w:rsid w:val="003801A1"/>
    <w:rsid w:val="003813DC"/>
    <w:rsid w:val="00382768"/>
    <w:rsid w:val="00383F8B"/>
    <w:rsid w:val="003871E6"/>
    <w:rsid w:val="00387B58"/>
    <w:rsid w:val="00387D8A"/>
    <w:rsid w:val="00390158"/>
    <w:rsid w:val="00390DB0"/>
    <w:rsid w:val="00391D5A"/>
    <w:rsid w:val="00393344"/>
    <w:rsid w:val="00395394"/>
    <w:rsid w:val="003A013C"/>
    <w:rsid w:val="003A1BF9"/>
    <w:rsid w:val="003A2A85"/>
    <w:rsid w:val="003A4522"/>
    <w:rsid w:val="003A4A8F"/>
    <w:rsid w:val="003A4FA3"/>
    <w:rsid w:val="003A5BB2"/>
    <w:rsid w:val="003B522D"/>
    <w:rsid w:val="003B70DF"/>
    <w:rsid w:val="003C3DD6"/>
    <w:rsid w:val="003C626B"/>
    <w:rsid w:val="003D480C"/>
    <w:rsid w:val="003D6989"/>
    <w:rsid w:val="003E2204"/>
    <w:rsid w:val="003E291F"/>
    <w:rsid w:val="003E2EDE"/>
    <w:rsid w:val="003E4853"/>
    <w:rsid w:val="003E5284"/>
    <w:rsid w:val="003E58A7"/>
    <w:rsid w:val="003E7496"/>
    <w:rsid w:val="003F117E"/>
    <w:rsid w:val="003F6BFA"/>
    <w:rsid w:val="003F702E"/>
    <w:rsid w:val="004011C2"/>
    <w:rsid w:val="0040352B"/>
    <w:rsid w:val="00405A7D"/>
    <w:rsid w:val="00407E96"/>
    <w:rsid w:val="004114C5"/>
    <w:rsid w:val="00412653"/>
    <w:rsid w:val="00413730"/>
    <w:rsid w:val="00416864"/>
    <w:rsid w:val="00417414"/>
    <w:rsid w:val="00417D32"/>
    <w:rsid w:val="00420467"/>
    <w:rsid w:val="00424D56"/>
    <w:rsid w:val="00424E68"/>
    <w:rsid w:val="00425EDB"/>
    <w:rsid w:val="00430507"/>
    <w:rsid w:val="0043093C"/>
    <w:rsid w:val="00432099"/>
    <w:rsid w:val="00433062"/>
    <w:rsid w:val="004342F4"/>
    <w:rsid w:val="00435CA2"/>
    <w:rsid w:val="00440E69"/>
    <w:rsid w:val="00441EF9"/>
    <w:rsid w:val="004432C5"/>
    <w:rsid w:val="00443CA4"/>
    <w:rsid w:val="0044573F"/>
    <w:rsid w:val="0044670E"/>
    <w:rsid w:val="00450383"/>
    <w:rsid w:val="00450540"/>
    <w:rsid w:val="00452034"/>
    <w:rsid w:val="004538FF"/>
    <w:rsid w:val="00454137"/>
    <w:rsid w:val="00460B82"/>
    <w:rsid w:val="004653D2"/>
    <w:rsid w:val="00466509"/>
    <w:rsid w:val="00467E5A"/>
    <w:rsid w:val="00471EFD"/>
    <w:rsid w:val="004730E7"/>
    <w:rsid w:val="004733ED"/>
    <w:rsid w:val="004749FD"/>
    <w:rsid w:val="00476604"/>
    <w:rsid w:val="0047799A"/>
    <w:rsid w:val="004809DF"/>
    <w:rsid w:val="00480AF9"/>
    <w:rsid w:val="00481D2F"/>
    <w:rsid w:val="004820C8"/>
    <w:rsid w:val="004871FD"/>
    <w:rsid w:val="004907DD"/>
    <w:rsid w:val="00490945"/>
    <w:rsid w:val="00495080"/>
    <w:rsid w:val="00496502"/>
    <w:rsid w:val="004A3362"/>
    <w:rsid w:val="004A6967"/>
    <w:rsid w:val="004B050F"/>
    <w:rsid w:val="004B7050"/>
    <w:rsid w:val="004B77FA"/>
    <w:rsid w:val="004C29DA"/>
    <w:rsid w:val="004C4D7D"/>
    <w:rsid w:val="004C752D"/>
    <w:rsid w:val="004C7D65"/>
    <w:rsid w:val="004D0F35"/>
    <w:rsid w:val="004D7495"/>
    <w:rsid w:val="004D7B2F"/>
    <w:rsid w:val="004F13D9"/>
    <w:rsid w:val="004F1BB8"/>
    <w:rsid w:val="004F45A1"/>
    <w:rsid w:val="004F744D"/>
    <w:rsid w:val="005048A7"/>
    <w:rsid w:val="005113EA"/>
    <w:rsid w:val="005118BE"/>
    <w:rsid w:val="005130E0"/>
    <w:rsid w:val="00514AB4"/>
    <w:rsid w:val="00515808"/>
    <w:rsid w:val="005209A1"/>
    <w:rsid w:val="00524168"/>
    <w:rsid w:val="00530E19"/>
    <w:rsid w:val="00530EF6"/>
    <w:rsid w:val="00532815"/>
    <w:rsid w:val="00533CDF"/>
    <w:rsid w:val="00537AE9"/>
    <w:rsid w:val="00540CAF"/>
    <w:rsid w:val="00541400"/>
    <w:rsid w:val="0054218D"/>
    <w:rsid w:val="0054525C"/>
    <w:rsid w:val="00550438"/>
    <w:rsid w:val="0055289E"/>
    <w:rsid w:val="00554C05"/>
    <w:rsid w:val="00554EB0"/>
    <w:rsid w:val="005571A1"/>
    <w:rsid w:val="00560923"/>
    <w:rsid w:val="00560AA7"/>
    <w:rsid w:val="005616E3"/>
    <w:rsid w:val="005657A3"/>
    <w:rsid w:val="0056582C"/>
    <w:rsid w:val="00573524"/>
    <w:rsid w:val="00573BAE"/>
    <w:rsid w:val="00573DC8"/>
    <w:rsid w:val="005766DB"/>
    <w:rsid w:val="005775A8"/>
    <w:rsid w:val="0058271A"/>
    <w:rsid w:val="00584A67"/>
    <w:rsid w:val="005872E1"/>
    <w:rsid w:val="00591F14"/>
    <w:rsid w:val="00594A74"/>
    <w:rsid w:val="00596E24"/>
    <w:rsid w:val="00597410"/>
    <w:rsid w:val="00597F80"/>
    <w:rsid w:val="005A1CA8"/>
    <w:rsid w:val="005A33C4"/>
    <w:rsid w:val="005A7DC9"/>
    <w:rsid w:val="005B041B"/>
    <w:rsid w:val="005B0BA0"/>
    <w:rsid w:val="005B47C7"/>
    <w:rsid w:val="005C3CD4"/>
    <w:rsid w:val="005C5020"/>
    <w:rsid w:val="005C634E"/>
    <w:rsid w:val="005D25E6"/>
    <w:rsid w:val="005D342D"/>
    <w:rsid w:val="005D49F3"/>
    <w:rsid w:val="005D4C03"/>
    <w:rsid w:val="005D5107"/>
    <w:rsid w:val="005E0BB2"/>
    <w:rsid w:val="005E182C"/>
    <w:rsid w:val="005E65BD"/>
    <w:rsid w:val="005E6BBD"/>
    <w:rsid w:val="005E716F"/>
    <w:rsid w:val="005F1075"/>
    <w:rsid w:val="005F44EB"/>
    <w:rsid w:val="005F6A6E"/>
    <w:rsid w:val="005F6F76"/>
    <w:rsid w:val="0060109C"/>
    <w:rsid w:val="00602ECE"/>
    <w:rsid w:val="00603AD9"/>
    <w:rsid w:val="00606AC9"/>
    <w:rsid w:val="0061073C"/>
    <w:rsid w:val="006117FB"/>
    <w:rsid w:val="0061339A"/>
    <w:rsid w:val="006154C2"/>
    <w:rsid w:val="00616263"/>
    <w:rsid w:val="00620B13"/>
    <w:rsid w:val="00621827"/>
    <w:rsid w:val="00630B9E"/>
    <w:rsid w:val="00631C25"/>
    <w:rsid w:val="006324FB"/>
    <w:rsid w:val="00635817"/>
    <w:rsid w:val="00637C8B"/>
    <w:rsid w:val="00640EE7"/>
    <w:rsid w:val="00647025"/>
    <w:rsid w:val="00647303"/>
    <w:rsid w:val="0065008D"/>
    <w:rsid w:val="00654658"/>
    <w:rsid w:val="0065642E"/>
    <w:rsid w:val="006564EA"/>
    <w:rsid w:val="00656834"/>
    <w:rsid w:val="0065785A"/>
    <w:rsid w:val="00657925"/>
    <w:rsid w:val="0066198D"/>
    <w:rsid w:val="00662E8D"/>
    <w:rsid w:val="006631B6"/>
    <w:rsid w:val="0066391F"/>
    <w:rsid w:val="0066507E"/>
    <w:rsid w:val="00666419"/>
    <w:rsid w:val="00666E0B"/>
    <w:rsid w:val="00667577"/>
    <w:rsid w:val="00670EFA"/>
    <w:rsid w:val="00672B25"/>
    <w:rsid w:val="00675077"/>
    <w:rsid w:val="00677C70"/>
    <w:rsid w:val="00685C27"/>
    <w:rsid w:val="00685DFA"/>
    <w:rsid w:val="00687FA5"/>
    <w:rsid w:val="00690E5D"/>
    <w:rsid w:val="00690F04"/>
    <w:rsid w:val="00692803"/>
    <w:rsid w:val="00693010"/>
    <w:rsid w:val="00694791"/>
    <w:rsid w:val="0069491D"/>
    <w:rsid w:val="00696A38"/>
    <w:rsid w:val="00696E7E"/>
    <w:rsid w:val="006A1A01"/>
    <w:rsid w:val="006A2252"/>
    <w:rsid w:val="006A3908"/>
    <w:rsid w:val="006A4275"/>
    <w:rsid w:val="006A5772"/>
    <w:rsid w:val="006B00A1"/>
    <w:rsid w:val="006B11A1"/>
    <w:rsid w:val="006B77AC"/>
    <w:rsid w:val="006B7DDC"/>
    <w:rsid w:val="006C718D"/>
    <w:rsid w:val="006D0414"/>
    <w:rsid w:val="006D2032"/>
    <w:rsid w:val="006D2C5A"/>
    <w:rsid w:val="006D569C"/>
    <w:rsid w:val="006D6D78"/>
    <w:rsid w:val="006D7490"/>
    <w:rsid w:val="006E08EA"/>
    <w:rsid w:val="006E1249"/>
    <w:rsid w:val="006E1E5D"/>
    <w:rsid w:val="006E20E3"/>
    <w:rsid w:val="006E21D0"/>
    <w:rsid w:val="006F12AE"/>
    <w:rsid w:val="006F1FD3"/>
    <w:rsid w:val="006F2361"/>
    <w:rsid w:val="006F30A0"/>
    <w:rsid w:val="00707549"/>
    <w:rsid w:val="00707F59"/>
    <w:rsid w:val="00712964"/>
    <w:rsid w:val="00712A35"/>
    <w:rsid w:val="00714A1F"/>
    <w:rsid w:val="00716CB6"/>
    <w:rsid w:val="00722BB9"/>
    <w:rsid w:val="00723D24"/>
    <w:rsid w:val="00724757"/>
    <w:rsid w:val="007263AB"/>
    <w:rsid w:val="0073052A"/>
    <w:rsid w:val="007310C3"/>
    <w:rsid w:val="00733903"/>
    <w:rsid w:val="00734714"/>
    <w:rsid w:val="0074122D"/>
    <w:rsid w:val="00742A04"/>
    <w:rsid w:val="00744E1F"/>
    <w:rsid w:val="00751B33"/>
    <w:rsid w:val="00756440"/>
    <w:rsid w:val="00756552"/>
    <w:rsid w:val="00760EDB"/>
    <w:rsid w:val="00763C1C"/>
    <w:rsid w:val="00767D7D"/>
    <w:rsid w:val="00771C3D"/>
    <w:rsid w:val="00771D32"/>
    <w:rsid w:val="00772570"/>
    <w:rsid w:val="00772F64"/>
    <w:rsid w:val="0077546B"/>
    <w:rsid w:val="007756C9"/>
    <w:rsid w:val="00775D54"/>
    <w:rsid w:val="0077614D"/>
    <w:rsid w:val="00776297"/>
    <w:rsid w:val="007767DA"/>
    <w:rsid w:val="00777894"/>
    <w:rsid w:val="007804B0"/>
    <w:rsid w:val="00781B45"/>
    <w:rsid w:val="00782908"/>
    <w:rsid w:val="00783D23"/>
    <w:rsid w:val="00783DC3"/>
    <w:rsid w:val="00785860"/>
    <w:rsid w:val="00790235"/>
    <w:rsid w:val="0079061D"/>
    <w:rsid w:val="007A5A6E"/>
    <w:rsid w:val="007A7C39"/>
    <w:rsid w:val="007B1CFD"/>
    <w:rsid w:val="007B1D08"/>
    <w:rsid w:val="007B45B7"/>
    <w:rsid w:val="007B4B34"/>
    <w:rsid w:val="007C1F91"/>
    <w:rsid w:val="007C448D"/>
    <w:rsid w:val="007D3D70"/>
    <w:rsid w:val="007D58D4"/>
    <w:rsid w:val="007D62BE"/>
    <w:rsid w:val="007D7F94"/>
    <w:rsid w:val="007E344B"/>
    <w:rsid w:val="007E4AB4"/>
    <w:rsid w:val="007F0795"/>
    <w:rsid w:val="007F3756"/>
    <w:rsid w:val="007F45E2"/>
    <w:rsid w:val="007F594F"/>
    <w:rsid w:val="007F6E5E"/>
    <w:rsid w:val="007F7EBC"/>
    <w:rsid w:val="0080323C"/>
    <w:rsid w:val="00804648"/>
    <w:rsid w:val="00804BF7"/>
    <w:rsid w:val="00805FD7"/>
    <w:rsid w:val="00807565"/>
    <w:rsid w:val="00807902"/>
    <w:rsid w:val="0081084E"/>
    <w:rsid w:val="00813C76"/>
    <w:rsid w:val="00814E61"/>
    <w:rsid w:val="00815E2D"/>
    <w:rsid w:val="008171BA"/>
    <w:rsid w:val="0081756C"/>
    <w:rsid w:val="00820FEA"/>
    <w:rsid w:val="008212DD"/>
    <w:rsid w:val="00821BD2"/>
    <w:rsid w:val="008227CD"/>
    <w:rsid w:val="00822800"/>
    <w:rsid w:val="00822C63"/>
    <w:rsid w:val="008236A8"/>
    <w:rsid w:val="00824026"/>
    <w:rsid w:val="00824382"/>
    <w:rsid w:val="00824482"/>
    <w:rsid w:val="00827509"/>
    <w:rsid w:val="0083286E"/>
    <w:rsid w:val="00833AC3"/>
    <w:rsid w:val="00837271"/>
    <w:rsid w:val="00841CB8"/>
    <w:rsid w:val="008425E8"/>
    <w:rsid w:val="00845707"/>
    <w:rsid w:val="0084795C"/>
    <w:rsid w:val="00851D65"/>
    <w:rsid w:val="008534E7"/>
    <w:rsid w:val="008634B1"/>
    <w:rsid w:val="0086503F"/>
    <w:rsid w:val="00870369"/>
    <w:rsid w:val="00870B6F"/>
    <w:rsid w:val="00872E11"/>
    <w:rsid w:val="00874958"/>
    <w:rsid w:val="008755B4"/>
    <w:rsid w:val="00877BDA"/>
    <w:rsid w:val="00880E22"/>
    <w:rsid w:val="008836F1"/>
    <w:rsid w:val="00887FA0"/>
    <w:rsid w:val="0089355E"/>
    <w:rsid w:val="00895C06"/>
    <w:rsid w:val="00896786"/>
    <w:rsid w:val="00897421"/>
    <w:rsid w:val="00897A06"/>
    <w:rsid w:val="00897DEB"/>
    <w:rsid w:val="008A0042"/>
    <w:rsid w:val="008A3D9D"/>
    <w:rsid w:val="008B0E95"/>
    <w:rsid w:val="008B1BFD"/>
    <w:rsid w:val="008B51EE"/>
    <w:rsid w:val="008B5AE2"/>
    <w:rsid w:val="008C0008"/>
    <w:rsid w:val="008C3392"/>
    <w:rsid w:val="008C3E0F"/>
    <w:rsid w:val="008C53D6"/>
    <w:rsid w:val="008D18AF"/>
    <w:rsid w:val="008D3BA1"/>
    <w:rsid w:val="008E0B98"/>
    <w:rsid w:val="008E0D39"/>
    <w:rsid w:val="008E299C"/>
    <w:rsid w:val="008E355C"/>
    <w:rsid w:val="008E642C"/>
    <w:rsid w:val="008F0A85"/>
    <w:rsid w:val="008F15AC"/>
    <w:rsid w:val="008F3382"/>
    <w:rsid w:val="008F3AE3"/>
    <w:rsid w:val="008F5269"/>
    <w:rsid w:val="008F554A"/>
    <w:rsid w:val="008F5968"/>
    <w:rsid w:val="008F75FA"/>
    <w:rsid w:val="008F7CB4"/>
    <w:rsid w:val="00901E66"/>
    <w:rsid w:val="00902481"/>
    <w:rsid w:val="009024A2"/>
    <w:rsid w:val="009046B8"/>
    <w:rsid w:val="00907F6E"/>
    <w:rsid w:val="00912152"/>
    <w:rsid w:val="00913680"/>
    <w:rsid w:val="009141B7"/>
    <w:rsid w:val="00914966"/>
    <w:rsid w:val="009152CD"/>
    <w:rsid w:val="00915AA1"/>
    <w:rsid w:val="00922C86"/>
    <w:rsid w:val="009261A4"/>
    <w:rsid w:val="00927BD1"/>
    <w:rsid w:val="00930045"/>
    <w:rsid w:val="009367D8"/>
    <w:rsid w:val="009413D6"/>
    <w:rsid w:val="00942D1F"/>
    <w:rsid w:val="0094632C"/>
    <w:rsid w:val="00953EEE"/>
    <w:rsid w:val="009546D4"/>
    <w:rsid w:val="00956D1E"/>
    <w:rsid w:val="009601D4"/>
    <w:rsid w:val="00970BE8"/>
    <w:rsid w:val="009732ED"/>
    <w:rsid w:val="00974FDE"/>
    <w:rsid w:val="009752DE"/>
    <w:rsid w:val="009754F9"/>
    <w:rsid w:val="00976C74"/>
    <w:rsid w:val="009772B9"/>
    <w:rsid w:val="00977B30"/>
    <w:rsid w:val="0098096F"/>
    <w:rsid w:val="0098306B"/>
    <w:rsid w:val="009833C7"/>
    <w:rsid w:val="0098493D"/>
    <w:rsid w:val="00984AD9"/>
    <w:rsid w:val="00985CA2"/>
    <w:rsid w:val="0098772F"/>
    <w:rsid w:val="009907C5"/>
    <w:rsid w:val="00990E75"/>
    <w:rsid w:val="009960D2"/>
    <w:rsid w:val="00997BF5"/>
    <w:rsid w:val="009A12A6"/>
    <w:rsid w:val="009A4602"/>
    <w:rsid w:val="009A576D"/>
    <w:rsid w:val="009B21C0"/>
    <w:rsid w:val="009B4350"/>
    <w:rsid w:val="009B4583"/>
    <w:rsid w:val="009B4DF0"/>
    <w:rsid w:val="009B4EB6"/>
    <w:rsid w:val="009B7812"/>
    <w:rsid w:val="009B7C57"/>
    <w:rsid w:val="009C2317"/>
    <w:rsid w:val="009C2C32"/>
    <w:rsid w:val="009C394C"/>
    <w:rsid w:val="009C3C5D"/>
    <w:rsid w:val="009C5EAC"/>
    <w:rsid w:val="009C75AD"/>
    <w:rsid w:val="009D1B37"/>
    <w:rsid w:val="009D2E10"/>
    <w:rsid w:val="009D34B2"/>
    <w:rsid w:val="009E00E8"/>
    <w:rsid w:val="009E2989"/>
    <w:rsid w:val="009E37C6"/>
    <w:rsid w:val="009E3A5D"/>
    <w:rsid w:val="009E70DA"/>
    <w:rsid w:val="009F3FA4"/>
    <w:rsid w:val="009F72C9"/>
    <w:rsid w:val="00A001A2"/>
    <w:rsid w:val="00A004D0"/>
    <w:rsid w:val="00A00826"/>
    <w:rsid w:val="00A01FBE"/>
    <w:rsid w:val="00A02DEB"/>
    <w:rsid w:val="00A03CC1"/>
    <w:rsid w:val="00A057CC"/>
    <w:rsid w:val="00A06989"/>
    <w:rsid w:val="00A06CE4"/>
    <w:rsid w:val="00A11B94"/>
    <w:rsid w:val="00A12A91"/>
    <w:rsid w:val="00A1727E"/>
    <w:rsid w:val="00A217D6"/>
    <w:rsid w:val="00A22D9A"/>
    <w:rsid w:val="00A249C1"/>
    <w:rsid w:val="00A254C7"/>
    <w:rsid w:val="00A261F0"/>
    <w:rsid w:val="00A269AD"/>
    <w:rsid w:val="00A27936"/>
    <w:rsid w:val="00A30B4A"/>
    <w:rsid w:val="00A33F98"/>
    <w:rsid w:val="00A36ED7"/>
    <w:rsid w:val="00A4038B"/>
    <w:rsid w:val="00A41DC1"/>
    <w:rsid w:val="00A43823"/>
    <w:rsid w:val="00A44C7C"/>
    <w:rsid w:val="00A4656D"/>
    <w:rsid w:val="00A5002B"/>
    <w:rsid w:val="00A51CC0"/>
    <w:rsid w:val="00A51F33"/>
    <w:rsid w:val="00A52209"/>
    <w:rsid w:val="00A52856"/>
    <w:rsid w:val="00A55E80"/>
    <w:rsid w:val="00A6172F"/>
    <w:rsid w:val="00A62101"/>
    <w:rsid w:val="00A6312F"/>
    <w:rsid w:val="00A63821"/>
    <w:rsid w:val="00A63B6C"/>
    <w:rsid w:val="00A64627"/>
    <w:rsid w:val="00A65256"/>
    <w:rsid w:val="00A659DD"/>
    <w:rsid w:val="00A65D90"/>
    <w:rsid w:val="00A7038C"/>
    <w:rsid w:val="00A7124E"/>
    <w:rsid w:val="00A723C5"/>
    <w:rsid w:val="00A736A9"/>
    <w:rsid w:val="00A73ED2"/>
    <w:rsid w:val="00A747A4"/>
    <w:rsid w:val="00A74AD9"/>
    <w:rsid w:val="00A80420"/>
    <w:rsid w:val="00A82499"/>
    <w:rsid w:val="00A870D3"/>
    <w:rsid w:val="00A87B6E"/>
    <w:rsid w:val="00A90F4C"/>
    <w:rsid w:val="00A95F47"/>
    <w:rsid w:val="00A95FC4"/>
    <w:rsid w:val="00A973E4"/>
    <w:rsid w:val="00A97FC4"/>
    <w:rsid w:val="00AA4416"/>
    <w:rsid w:val="00AA6C3D"/>
    <w:rsid w:val="00AA7C08"/>
    <w:rsid w:val="00AA7FF7"/>
    <w:rsid w:val="00AB4017"/>
    <w:rsid w:val="00AB508B"/>
    <w:rsid w:val="00AB6838"/>
    <w:rsid w:val="00AB684E"/>
    <w:rsid w:val="00AB7229"/>
    <w:rsid w:val="00AB74F0"/>
    <w:rsid w:val="00AB7A85"/>
    <w:rsid w:val="00AC3213"/>
    <w:rsid w:val="00AC4984"/>
    <w:rsid w:val="00AC67E5"/>
    <w:rsid w:val="00AC7F3A"/>
    <w:rsid w:val="00AD386E"/>
    <w:rsid w:val="00AD4828"/>
    <w:rsid w:val="00AD515B"/>
    <w:rsid w:val="00AD532C"/>
    <w:rsid w:val="00AD6214"/>
    <w:rsid w:val="00AE0E8B"/>
    <w:rsid w:val="00AE1E1B"/>
    <w:rsid w:val="00AE3FAC"/>
    <w:rsid w:val="00AE5256"/>
    <w:rsid w:val="00AF1D60"/>
    <w:rsid w:val="00AF2409"/>
    <w:rsid w:val="00AF3373"/>
    <w:rsid w:val="00AF3D4F"/>
    <w:rsid w:val="00AF47F9"/>
    <w:rsid w:val="00AF5056"/>
    <w:rsid w:val="00AF7589"/>
    <w:rsid w:val="00AF7BD1"/>
    <w:rsid w:val="00B01D61"/>
    <w:rsid w:val="00B05DB4"/>
    <w:rsid w:val="00B123ED"/>
    <w:rsid w:val="00B1314E"/>
    <w:rsid w:val="00B1410C"/>
    <w:rsid w:val="00B1490B"/>
    <w:rsid w:val="00B14FE7"/>
    <w:rsid w:val="00B15618"/>
    <w:rsid w:val="00B202EF"/>
    <w:rsid w:val="00B20F77"/>
    <w:rsid w:val="00B213C6"/>
    <w:rsid w:val="00B2505E"/>
    <w:rsid w:val="00B26A69"/>
    <w:rsid w:val="00B27F92"/>
    <w:rsid w:val="00B326C9"/>
    <w:rsid w:val="00B33940"/>
    <w:rsid w:val="00B35261"/>
    <w:rsid w:val="00B36592"/>
    <w:rsid w:val="00B37FFA"/>
    <w:rsid w:val="00B40241"/>
    <w:rsid w:val="00B41776"/>
    <w:rsid w:val="00B44480"/>
    <w:rsid w:val="00B451F6"/>
    <w:rsid w:val="00B4669F"/>
    <w:rsid w:val="00B46B77"/>
    <w:rsid w:val="00B5150F"/>
    <w:rsid w:val="00B54C2C"/>
    <w:rsid w:val="00B60348"/>
    <w:rsid w:val="00B606FB"/>
    <w:rsid w:val="00B62159"/>
    <w:rsid w:val="00B64B58"/>
    <w:rsid w:val="00B74DA5"/>
    <w:rsid w:val="00B77AFF"/>
    <w:rsid w:val="00B81B1C"/>
    <w:rsid w:val="00B83175"/>
    <w:rsid w:val="00B9006C"/>
    <w:rsid w:val="00B90C7E"/>
    <w:rsid w:val="00B91464"/>
    <w:rsid w:val="00B9343F"/>
    <w:rsid w:val="00B93BC0"/>
    <w:rsid w:val="00B96151"/>
    <w:rsid w:val="00B96290"/>
    <w:rsid w:val="00B97F5F"/>
    <w:rsid w:val="00BA0B6B"/>
    <w:rsid w:val="00BA2BAA"/>
    <w:rsid w:val="00BA4DCE"/>
    <w:rsid w:val="00BA595E"/>
    <w:rsid w:val="00BB1141"/>
    <w:rsid w:val="00BB69F7"/>
    <w:rsid w:val="00BC4025"/>
    <w:rsid w:val="00BC7B2B"/>
    <w:rsid w:val="00BD0DBC"/>
    <w:rsid w:val="00BD0EC3"/>
    <w:rsid w:val="00BD713E"/>
    <w:rsid w:val="00BE19A6"/>
    <w:rsid w:val="00BE2B11"/>
    <w:rsid w:val="00BE3285"/>
    <w:rsid w:val="00BE338B"/>
    <w:rsid w:val="00BE6402"/>
    <w:rsid w:val="00BE65C3"/>
    <w:rsid w:val="00BF046D"/>
    <w:rsid w:val="00BF317D"/>
    <w:rsid w:val="00BF4F85"/>
    <w:rsid w:val="00BF736E"/>
    <w:rsid w:val="00C027DA"/>
    <w:rsid w:val="00C03A1F"/>
    <w:rsid w:val="00C0677F"/>
    <w:rsid w:val="00C07A5B"/>
    <w:rsid w:val="00C1126C"/>
    <w:rsid w:val="00C124D3"/>
    <w:rsid w:val="00C141C3"/>
    <w:rsid w:val="00C1458D"/>
    <w:rsid w:val="00C23AEC"/>
    <w:rsid w:val="00C2549B"/>
    <w:rsid w:val="00C261C3"/>
    <w:rsid w:val="00C30832"/>
    <w:rsid w:val="00C30BE6"/>
    <w:rsid w:val="00C3217F"/>
    <w:rsid w:val="00C32AC1"/>
    <w:rsid w:val="00C34B97"/>
    <w:rsid w:val="00C419F9"/>
    <w:rsid w:val="00C42561"/>
    <w:rsid w:val="00C45B21"/>
    <w:rsid w:val="00C51177"/>
    <w:rsid w:val="00C52E42"/>
    <w:rsid w:val="00C53838"/>
    <w:rsid w:val="00C53D58"/>
    <w:rsid w:val="00C541C7"/>
    <w:rsid w:val="00C54CFA"/>
    <w:rsid w:val="00C55377"/>
    <w:rsid w:val="00C55AD1"/>
    <w:rsid w:val="00C57D78"/>
    <w:rsid w:val="00C62C04"/>
    <w:rsid w:val="00C635CC"/>
    <w:rsid w:val="00C66106"/>
    <w:rsid w:val="00C6705E"/>
    <w:rsid w:val="00C674EA"/>
    <w:rsid w:val="00C67D8E"/>
    <w:rsid w:val="00C72457"/>
    <w:rsid w:val="00C75099"/>
    <w:rsid w:val="00C81709"/>
    <w:rsid w:val="00C8184A"/>
    <w:rsid w:val="00C8362E"/>
    <w:rsid w:val="00C86602"/>
    <w:rsid w:val="00C8668C"/>
    <w:rsid w:val="00C874C6"/>
    <w:rsid w:val="00C90656"/>
    <w:rsid w:val="00C955E7"/>
    <w:rsid w:val="00CA07C2"/>
    <w:rsid w:val="00CA0B27"/>
    <w:rsid w:val="00CA597B"/>
    <w:rsid w:val="00CB0025"/>
    <w:rsid w:val="00CB1CB9"/>
    <w:rsid w:val="00CB330F"/>
    <w:rsid w:val="00CB378F"/>
    <w:rsid w:val="00CB3D1E"/>
    <w:rsid w:val="00CB4107"/>
    <w:rsid w:val="00CB52BD"/>
    <w:rsid w:val="00CB52D3"/>
    <w:rsid w:val="00CC378A"/>
    <w:rsid w:val="00CC3DBE"/>
    <w:rsid w:val="00CC6F81"/>
    <w:rsid w:val="00CC74AA"/>
    <w:rsid w:val="00CD242D"/>
    <w:rsid w:val="00CD73C4"/>
    <w:rsid w:val="00CE3374"/>
    <w:rsid w:val="00CE5A29"/>
    <w:rsid w:val="00CE66AA"/>
    <w:rsid w:val="00CE69BD"/>
    <w:rsid w:val="00CE6EBB"/>
    <w:rsid w:val="00CF08E5"/>
    <w:rsid w:val="00CF164F"/>
    <w:rsid w:val="00CF5096"/>
    <w:rsid w:val="00CF56EB"/>
    <w:rsid w:val="00CF697A"/>
    <w:rsid w:val="00CF7BE4"/>
    <w:rsid w:val="00D03F7E"/>
    <w:rsid w:val="00D11351"/>
    <w:rsid w:val="00D1232D"/>
    <w:rsid w:val="00D1648C"/>
    <w:rsid w:val="00D168C9"/>
    <w:rsid w:val="00D17708"/>
    <w:rsid w:val="00D2003D"/>
    <w:rsid w:val="00D250D3"/>
    <w:rsid w:val="00D25A96"/>
    <w:rsid w:val="00D272DD"/>
    <w:rsid w:val="00D316ED"/>
    <w:rsid w:val="00D31830"/>
    <w:rsid w:val="00D323A3"/>
    <w:rsid w:val="00D33EC5"/>
    <w:rsid w:val="00D3499E"/>
    <w:rsid w:val="00D40D3C"/>
    <w:rsid w:val="00D43286"/>
    <w:rsid w:val="00D44531"/>
    <w:rsid w:val="00D46483"/>
    <w:rsid w:val="00D5439B"/>
    <w:rsid w:val="00D55BDD"/>
    <w:rsid w:val="00D5664D"/>
    <w:rsid w:val="00D61EAF"/>
    <w:rsid w:val="00D62FEF"/>
    <w:rsid w:val="00D6661C"/>
    <w:rsid w:val="00D71B0D"/>
    <w:rsid w:val="00D72AE7"/>
    <w:rsid w:val="00D751DA"/>
    <w:rsid w:val="00D768F2"/>
    <w:rsid w:val="00D809D6"/>
    <w:rsid w:val="00D82357"/>
    <w:rsid w:val="00D903DB"/>
    <w:rsid w:val="00DA29AA"/>
    <w:rsid w:val="00DA3597"/>
    <w:rsid w:val="00DB2924"/>
    <w:rsid w:val="00DB330C"/>
    <w:rsid w:val="00DB44BE"/>
    <w:rsid w:val="00DC07F2"/>
    <w:rsid w:val="00DC11B7"/>
    <w:rsid w:val="00DC3989"/>
    <w:rsid w:val="00DC7F5D"/>
    <w:rsid w:val="00DD0D04"/>
    <w:rsid w:val="00DD4D5C"/>
    <w:rsid w:val="00DE15C6"/>
    <w:rsid w:val="00DE431D"/>
    <w:rsid w:val="00DE742D"/>
    <w:rsid w:val="00DF43C6"/>
    <w:rsid w:val="00DF52FF"/>
    <w:rsid w:val="00DF5D1A"/>
    <w:rsid w:val="00E0073F"/>
    <w:rsid w:val="00E008B3"/>
    <w:rsid w:val="00E0093C"/>
    <w:rsid w:val="00E02D81"/>
    <w:rsid w:val="00E0472C"/>
    <w:rsid w:val="00E05785"/>
    <w:rsid w:val="00E1168D"/>
    <w:rsid w:val="00E11B56"/>
    <w:rsid w:val="00E12FAD"/>
    <w:rsid w:val="00E13AB7"/>
    <w:rsid w:val="00E2009D"/>
    <w:rsid w:val="00E221F3"/>
    <w:rsid w:val="00E32E08"/>
    <w:rsid w:val="00E3729A"/>
    <w:rsid w:val="00E410BD"/>
    <w:rsid w:val="00E44A0F"/>
    <w:rsid w:val="00E44B5D"/>
    <w:rsid w:val="00E53685"/>
    <w:rsid w:val="00E55B3D"/>
    <w:rsid w:val="00E565C1"/>
    <w:rsid w:val="00E56A79"/>
    <w:rsid w:val="00E62491"/>
    <w:rsid w:val="00E6287B"/>
    <w:rsid w:val="00E64461"/>
    <w:rsid w:val="00E65B95"/>
    <w:rsid w:val="00E66D29"/>
    <w:rsid w:val="00E670DE"/>
    <w:rsid w:val="00E71980"/>
    <w:rsid w:val="00E75A37"/>
    <w:rsid w:val="00E84DB4"/>
    <w:rsid w:val="00E87348"/>
    <w:rsid w:val="00E9018D"/>
    <w:rsid w:val="00E922C7"/>
    <w:rsid w:val="00E940B1"/>
    <w:rsid w:val="00E941DC"/>
    <w:rsid w:val="00E9453A"/>
    <w:rsid w:val="00E97340"/>
    <w:rsid w:val="00E97DF3"/>
    <w:rsid w:val="00EA2FAF"/>
    <w:rsid w:val="00EA38CA"/>
    <w:rsid w:val="00EA45FC"/>
    <w:rsid w:val="00EB174A"/>
    <w:rsid w:val="00EB2C22"/>
    <w:rsid w:val="00EB3E44"/>
    <w:rsid w:val="00EB4C45"/>
    <w:rsid w:val="00EB5561"/>
    <w:rsid w:val="00EB7484"/>
    <w:rsid w:val="00EB7500"/>
    <w:rsid w:val="00EB7EB8"/>
    <w:rsid w:val="00EC2FD5"/>
    <w:rsid w:val="00EC79EB"/>
    <w:rsid w:val="00ED1187"/>
    <w:rsid w:val="00ED47F3"/>
    <w:rsid w:val="00ED53CD"/>
    <w:rsid w:val="00ED5925"/>
    <w:rsid w:val="00ED7837"/>
    <w:rsid w:val="00ED7C32"/>
    <w:rsid w:val="00EE125E"/>
    <w:rsid w:val="00EE2A91"/>
    <w:rsid w:val="00EE38BB"/>
    <w:rsid w:val="00EE3B0B"/>
    <w:rsid w:val="00EE53B0"/>
    <w:rsid w:val="00EE67AA"/>
    <w:rsid w:val="00EF30C8"/>
    <w:rsid w:val="00EF4148"/>
    <w:rsid w:val="00EF708B"/>
    <w:rsid w:val="00EF7EEE"/>
    <w:rsid w:val="00F01293"/>
    <w:rsid w:val="00F0269E"/>
    <w:rsid w:val="00F027F2"/>
    <w:rsid w:val="00F04641"/>
    <w:rsid w:val="00F105F2"/>
    <w:rsid w:val="00F10CEB"/>
    <w:rsid w:val="00F12D8E"/>
    <w:rsid w:val="00F13BAE"/>
    <w:rsid w:val="00F13E50"/>
    <w:rsid w:val="00F15212"/>
    <w:rsid w:val="00F15958"/>
    <w:rsid w:val="00F179DF"/>
    <w:rsid w:val="00F17ABA"/>
    <w:rsid w:val="00F225FE"/>
    <w:rsid w:val="00F22BD7"/>
    <w:rsid w:val="00F2497E"/>
    <w:rsid w:val="00F26A5B"/>
    <w:rsid w:val="00F345FA"/>
    <w:rsid w:val="00F34774"/>
    <w:rsid w:val="00F35A57"/>
    <w:rsid w:val="00F35D26"/>
    <w:rsid w:val="00F362E2"/>
    <w:rsid w:val="00F40003"/>
    <w:rsid w:val="00F42324"/>
    <w:rsid w:val="00F427B4"/>
    <w:rsid w:val="00F430D4"/>
    <w:rsid w:val="00F4428B"/>
    <w:rsid w:val="00F44548"/>
    <w:rsid w:val="00F453D2"/>
    <w:rsid w:val="00F51357"/>
    <w:rsid w:val="00F558AE"/>
    <w:rsid w:val="00F561FD"/>
    <w:rsid w:val="00F5658D"/>
    <w:rsid w:val="00F6076D"/>
    <w:rsid w:val="00F66B53"/>
    <w:rsid w:val="00F67925"/>
    <w:rsid w:val="00F70092"/>
    <w:rsid w:val="00F72E0F"/>
    <w:rsid w:val="00F72EC9"/>
    <w:rsid w:val="00F77D05"/>
    <w:rsid w:val="00F8182A"/>
    <w:rsid w:val="00F90869"/>
    <w:rsid w:val="00F910DE"/>
    <w:rsid w:val="00F92061"/>
    <w:rsid w:val="00F95E90"/>
    <w:rsid w:val="00FA027B"/>
    <w:rsid w:val="00FA2FDB"/>
    <w:rsid w:val="00FB45A5"/>
    <w:rsid w:val="00FB7020"/>
    <w:rsid w:val="00FC0E11"/>
    <w:rsid w:val="00FC2278"/>
    <w:rsid w:val="00FC418B"/>
    <w:rsid w:val="00FC7752"/>
    <w:rsid w:val="00FD0071"/>
    <w:rsid w:val="00FD122F"/>
    <w:rsid w:val="00FD1744"/>
    <w:rsid w:val="00FD4442"/>
    <w:rsid w:val="00FD523C"/>
    <w:rsid w:val="00FE50C1"/>
    <w:rsid w:val="00FF0AC8"/>
    <w:rsid w:val="00FF1F1C"/>
    <w:rsid w:val="00FF2156"/>
    <w:rsid w:val="00FF3261"/>
    <w:rsid w:val="00FF3ECD"/>
    <w:rsid w:val="00FF42AA"/>
    <w:rsid w:val="00FF4575"/>
    <w:rsid w:val="00FF4FC6"/>
    <w:rsid w:val="06ED12FE"/>
    <w:rsid w:val="2B6A7AE0"/>
    <w:rsid w:val="3A8B335B"/>
    <w:rsid w:val="43007AE7"/>
    <w:rsid w:val="4A4E4185"/>
    <w:rsid w:val="580139D0"/>
    <w:rsid w:val="6F6C2167"/>
    <w:rsid w:val="7ACB0B8E"/>
  </w:rsids>
  <m:mathPr>
    <m:lMargin m:val="0"/>
    <m:mathFont m:val="Cambria Math"/>
    <m:rMargin m:val="0"/>
    <m:wrapIndent m:val="1440"/>
    <m:brkBin m:val="before"/>
    <m:brkBinSub m:val="--"/>
    <m:defJc m:val="centerGroup"/>
    <m:intLim m:val="subSup"/>
    <m:naryLim m:val="undOvr"/>
    <m:smallFrac m:val="0"/>
    <m:dispDef/>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39" w:semiHidden="0" w:name="toc 1"/>
    <w:lsdException w:unhideWhenUsed="0" w:uiPriority="39" w:semiHidden="0" w:name="toc 2"/>
    <w:lsdException w:unhideWhenUsed="0" w:uiPriority="39" w:semiHidden="0" w:name="toc 3"/>
    <w:lsdException w:qFormat="1" w:uiPriority="39" w:semiHidden="0" w:name="toc 4"/>
    <w:lsdException w:qFormat="1" w:uiPriority="39" w:semiHidden="0" w:name="toc 5"/>
    <w:lsdException w:uiPriority="39" w:semiHidden="0" w:name="toc 6"/>
    <w:lsdException w:qFormat="1" w:uiPriority="39" w:semiHidden="0" w:name="toc 7"/>
    <w:lsdException w:qFormat="1" w:uiPriority="39" w:semiHidden="0" w:name="toc 8"/>
    <w:lsdException w:uiPriority="39" w:semiHidden="0" w:name="toc 9"/>
    <w:lsdException w:qFormat="1" w:unhideWhenUsed="0" w:uiPriority="0" w:semiHidden="0" w:name="Normal Indent"/>
    <w:lsdException w:uiPriority="99" w:name="footnote text"/>
    <w:lsdException w:qFormat="1" w:unhideWhenUsed="0" w:uiPriority="0" w:name="annotation text"/>
    <w:lsdException w:uiPriority="0" w:semiHidden="0" w:name="header"/>
    <w:lsdException w:uiPriority="99" w:semiHidden="0" w:name="footer"/>
    <w:lsdException w:uiPriority="99" w:name="index heading"/>
    <w:lsdException w:qFormat="1" w:unhideWhenUsed="0" w:uiPriority="35"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qFormat="1" w:unhideWhenUsed="0" w:uiPriority="0"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nhideWhenUsed="0" w:uiPriority="0" w:semiHidden="0"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6"/>
    <w:qFormat/>
    <w:uiPriority w:val="0"/>
    <w:pPr>
      <w:keepNext/>
      <w:numPr>
        <w:ilvl w:val="0"/>
        <w:numId w:val="1"/>
      </w:numPr>
      <w:adjustRightInd w:val="0"/>
      <w:snapToGrid w:val="0"/>
      <w:spacing w:after="200" w:line="360" w:lineRule="auto"/>
      <w:jc w:val="center"/>
      <w:outlineLvl w:val="0"/>
    </w:pPr>
    <w:rPr>
      <w:rFonts w:ascii="宋体" w:hAnsi="MS PGothic"/>
      <w:b/>
      <w:bCs/>
      <w:sz w:val="28"/>
    </w:rPr>
  </w:style>
  <w:style w:type="paragraph" w:styleId="3">
    <w:name w:val="heading 2"/>
    <w:basedOn w:val="1"/>
    <w:next w:val="1"/>
    <w:link w:val="43"/>
    <w:unhideWhenUsed/>
    <w:qFormat/>
    <w:uiPriority w:val="0"/>
    <w:pPr>
      <w:keepNext/>
      <w:keepLines/>
      <w:spacing w:before="100" w:after="100"/>
      <w:jc w:val="center"/>
      <w:outlineLvl w:val="1"/>
    </w:pPr>
    <w:rPr>
      <w:rFonts w:asciiTheme="majorHAnsi" w:hAnsiTheme="majorHAnsi" w:cstheme="majorBidi"/>
      <w:b/>
      <w:bCs/>
      <w:szCs w:val="32"/>
    </w:rPr>
  </w:style>
  <w:style w:type="paragraph" w:styleId="4">
    <w:name w:val="heading 3"/>
    <w:basedOn w:val="1"/>
    <w:next w:val="1"/>
    <w:link w:val="47"/>
    <w:qFormat/>
    <w:uiPriority w:val="0"/>
    <w:pPr>
      <w:keepNext/>
      <w:keepLines/>
      <w:numPr>
        <w:ilvl w:val="0"/>
        <w:numId w:val="2"/>
      </w:numPr>
      <w:spacing w:line="360" w:lineRule="auto"/>
      <w:jc w:val="left"/>
      <w:outlineLvl w:val="2"/>
    </w:pPr>
    <w:rPr>
      <w:rFonts w:ascii="宋体" w:hAnsi="MS PGothic"/>
      <w:b/>
      <w:bCs/>
      <w:szCs w:val="32"/>
    </w:rPr>
  </w:style>
  <w:style w:type="paragraph" w:styleId="5">
    <w:name w:val="heading 4"/>
    <w:basedOn w:val="1"/>
    <w:next w:val="1"/>
    <w:link w:val="48"/>
    <w:qFormat/>
    <w:uiPriority w:val="0"/>
    <w:pPr>
      <w:keepNext/>
      <w:jc w:val="center"/>
      <w:outlineLvl w:val="3"/>
    </w:pPr>
    <w:rPr>
      <w:b/>
      <w:bCs/>
      <w:sz w:val="32"/>
      <w:szCs w:val="32"/>
    </w:rPr>
  </w:style>
  <w:style w:type="character" w:default="1" w:styleId="31">
    <w:name w:val="Default Paragraph Font"/>
    <w:unhideWhenUsed/>
    <w:uiPriority w:val="1"/>
  </w:style>
  <w:style w:type="table" w:default="1" w:styleId="37">
    <w:name w:val="Normal Table"/>
    <w:unhideWhenUsed/>
    <w:uiPriority w:val="99"/>
    <w:tblPr>
      <w:tblLayout w:type="fixed"/>
      <w:tblCellMar>
        <w:top w:w="0" w:type="dxa"/>
        <w:left w:w="108" w:type="dxa"/>
        <w:bottom w:w="0" w:type="dxa"/>
        <w:right w:w="108" w:type="dxa"/>
      </w:tblCellMar>
    </w:tblPr>
  </w:style>
  <w:style w:type="paragraph" w:styleId="6">
    <w:name w:val="annotation subject"/>
    <w:basedOn w:val="7"/>
    <w:next w:val="7"/>
    <w:link w:val="88"/>
    <w:unhideWhenUsed/>
    <w:uiPriority w:val="99"/>
    <w:rPr>
      <w:b/>
      <w:bCs/>
    </w:rPr>
  </w:style>
  <w:style w:type="paragraph" w:styleId="7">
    <w:name w:val="annotation text"/>
    <w:basedOn w:val="1"/>
    <w:link w:val="64"/>
    <w:semiHidden/>
    <w:qFormat/>
    <w:uiPriority w:val="0"/>
    <w:pPr>
      <w:jc w:val="left"/>
    </w:pPr>
  </w:style>
  <w:style w:type="paragraph" w:styleId="8">
    <w:name w:val="toc 7"/>
    <w:basedOn w:val="1"/>
    <w:next w:val="1"/>
    <w:unhideWhenUsed/>
    <w:qFormat/>
    <w:uiPriority w:val="39"/>
    <w:pPr>
      <w:ind w:left="2520" w:leftChars="1200"/>
    </w:pPr>
    <w:rPr>
      <w:rFonts w:ascii="等线" w:hAnsi="等线" w:eastAsia="等线"/>
      <w:szCs w:val="22"/>
    </w:rPr>
  </w:style>
  <w:style w:type="paragraph" w:styleId="9">
    <w:name w:val="Normal Indent"/>
    <w:basedOn w:val="1"/>
    <w:qFormat/>
    <w:uiPriority w:val="0"/>
    <w:pPr>
      <w:spacing w:line="360" w:lineRule="auto"/>
    </w:pPr>
    <w:rPr>
      <w:rFonts w:ascii="宋体" w:hAnsi="宋体"/>
      <w:sz w:val="28"/>
      <w:szCs w:val="20"/>
    </w:rPr>
  </w:style>
  <w:style w:type="paragraph" w:styleId="10">
    <w:name w:val="caption"/>
    <w:basedOn w:val="1"/>
    <w:next w:val="1"/>
    <w:qFormat/>
    <w:uiPriority w:val="35"/>
    <w:pPr>
      <w:spacing w:line="360" w:lineRule="auto"/>
    </w:pPr>
    <w:rPr>
      <w:rFonts w:ascii="仿宋" w:hAnsi="仿宋" w:cs="仿宋"/>
      <w:color w:val="595959"/>
      <w:szCs w:val="20"/>
    </w:rPr>
  </w:style>
  <w:style w:type="paragraph" w:styleId="11">
    <w:name w:val="Document Map"/>
    <w:basedOn w:val="1"/>
    <w:link w:val="61"/>
    <w:semiHidden/>
    <w:qFormat/>
    <w:uiPriority w:val="0"/>
    <w:pPr>
      <w:shd w:val="clear" w:color="auto" w:fill="000080"/>
    </w:pPr>
  </w:style>
  <w:style w:type="paragraph" w:styleId="12">
    <w:name w:val="Body Text"/>
    <w:basedOn w:val="1"/>
    <w:link w:val="71"/>
    <w:qFormat/>
    <w:uiPriority w:val="0"/>
    <w:rPr>
      <w:sz w:val="24"/>
    </w:rPr>
  </w:style>
  <w:style w:type="paragraph" w:styleId="13">
    <w:name w:val="Body Text Indent"/>
    <w:basedOn w:val="1"/>
    <w:link w:val="60"/>
    <w:uiPriority w:val="0"/>
    <w:pPr>
      <w:spacing w:line="360" w:lineRule="auto"/>
      <w:ind w:firstLine="480" w:firstLineChars="200"/>
    </w:pPr>
    <w:rPr>
      <w:sz w:val="24"/>
    </w:rPr>
  </w:style>
  <w:style w:type="paragraph" w:styleId="14">
    <w:name w:val="toc 5"/>
    <w:basedOn w:val="1"/>
    <w:next w:val="1"/>
    <w:unhideWhenUsed/>
    <w:qFormat/>
    <w:uiPriority w:val="39"/>
    <w:pPr>
      <w:ind w:left="1680" w:leftChars="800"/>
    </w:pPr>
    <w:rPr>
      <w:rFonts w:ascii="等线" w:hAnsi="等线" w:eastAsia="等线"/>
      <w:szCs w:val="22"/>
    </w:rPr>
  </w:style>
  <w:style w:type="paragraph" w:styleId="15">
    <w:name w:val="toc 3"/>
    <w:basedOn w:val="1"/>
    <w:next w:val="1"/>
    <w:uiPriority w:val="39"/>
    <w:pPr>
      <w:tabs>
        <w:tab w:val="right" w:leader="dot" w:pos="9360"/>
      </w:tabs>
      <w:ind w:left="420"/>
      <w:jc w:val="left"/>
    </w:pPr>
    <w:rPr>
      <w:szCs w:val="21"/>
    </w:rPr>
  </w:style>
  <w:style w:type="paragraph" w:styleId="16">
    <w:name w:val="Plain Text"/>
    <w:basedOn w:val="1"/>
    <w:link w:val="57"/>
    <w:qFormat/>
    <w:uiPriority w:val="99"/>
    <w:rPr>
      <w:rFonts w:ascii="宋体" w:hAnsi="Courier New" w:eastAsiaTheme="minorEastAsia" w:cstheme="minorBidi"/>
      <w:szCs w:val="21"/>
    </w:rPr>
  </w:style>
  <w:style w:type="paragraph" w:styleId="17">
    <w:name w:val="toc 8"/>
    <w:basedOn w:val="1"/>
    <w:next w:val="1"/>
    <w:unhideWhenUsed/>
    <w:qFormat/>
    <w:uiPriority w:val="39"/>
    <w:pPr>
      <w:ind w:left="2940" w:leftChars="1400"/>
    </w:pPr>
    <w:rPr>
      <w:rFonts w:ascii="等线" w:hAnsi="等线" w:eastAsia="等线"/>
      <w:szCs w:val="22"/>
    </w:rPr>
  </w:style>
  <w:style w:type="paragraph" w:styleId="18">
    <w:name w:val="Date"/>
    <w:basedOn w:val="1"/>
    <w:next w:val="1"/>
    <w:link w:val="67"/>
    <w:uiPriority w:val="0"/>
    <w:pPr>
      <w:ind w:left="100" w:leftChars="2500"/>
    </w:pPr>
    <w:rPr>
      <w:b/>
      <w:bCs/>
      <w:sz w:val="24"/>
    </w:rPr>
  </w:style>
  <w:style w:type="paragraph" w:styleId="19">
    <w:name w:val="Body Text Indent 2"/>
    <w:basedOn w:val="1"/>
    <w:link w:val="54"/>
    <w:qFormat/>
    <w:uiPriority w:val="0"/>
    <w:pPr>
      <w:spacing w:after="120" w:line="480" w:lineRule="auto"/>
      <w:ind w:left="420" w:leftChars="200"/>
    </w:pPr>
    <w:rPr>
      <w:rFonts w:asciiTheme="minorHAnsi" w:hAnsiTheme="minorHAnsi" w:eastAsiaTheme="minorEastAsia" w:cstheme="minorBidi"/>
    </w:rPr>
  </w:style>
  <w:style w:type="paragraph" w:styleId="20">
    <w:name w:val="Balloon Text"/>
    <w:basedOn w:val="1"/>
    <w:link w:val="63"/>
    <w:semiHidden/>
    <w:qFormat/>
    <w:uiPriority w:val="0"/>
    <w:rPr>
      <w:sz w:val="18"/>
      <w:szCs w:val="18"/>
    </w:rPr>
  </w:style>
  <w:style w:type="paragraph" w:styleId="21">
    <w:name w:val="footer"/>
    <w:basedOn w:val="1"/>
    <w:link w:val="45"/>
    <w:unhideWhenUsed/>
    <w:uiPriority w:val="99"/>
    <w:pPr>
      <w:tabs>
        <w:tab w:val="center" w:pos="4153"/>
        <w:tab w:val="right" w:pos="8306"/>
      </w:tabs>
    </w:pPr>
    <w:rPr>
      <w:sz w:val="18"/>
      <w:szCs w:val="18"/>
    </w:rPr>
  </w:style>
  <w:style w:type="paragraph" w:styleId="22">
    <w:name w:val="header"/>
    <w:basedOn w:val="1"/>
    <w:link w:val="44"/>
    <w:unhideWhenUsed/>
    <w:uiPriority w:val="0"/>
    <w:pPr>
      <w:pBdr>
        <w:bottom w:val="single" w:color="auto" w:sz="6" w:space="1"/>
      </w:pBdr>
      <w:tabs>
        <w:tab w:val="center" w:pos="4153"/>
        <w:tab w:val="right" w:pos="8306"/>
      </w:tabs>
      <w:jc w:val="center"/>
    </w:pPr>
    <w:rPr>
      <w:sz w:val="18"/>
      <w:szCs w:val="18"/>
    </w:rPr>
  </w:style>
  <w:style w:type="paragraph" w:styleId="23">
    <w:name w:val="toc 1"/>
    <w:basedOn w:val="1"/>
    <w:next w:val="1"/>
    <w:uiPriority w:val="39"/>
    <w:pPr>
      <w:tabs>
        <w:tab w:val="right" w:leader="dot" w:pos="9360"/>
      </w:tabs>
      <w:spacing w:before="120" w:after="120" w:line="400" w:lineRule="exact"/>
      <w:jc w:val="left"/>
    </w:pPr>
    <w:rPr>
      <w:rFonts w:hAnsi="宋体"/>
      <w:b/>
      <w:bCs/>
      <w:caps/>
      <w:sz w:val="24"/>
    </w:rPr>
  </w:style>
  <w:style w:type="paragraph" w:styleId="24">
    <w:name w:val="toc 4"/>
    <w:basedOn w:val="1"/>
    <w:next w:val="1"/>
    <w:unhideWhenUsed/>
    <w:qFormat/>
    <w:uiPriority w:val="39"/>
    <w:pPr>
      <w:ind w:left="1260" w:leftChars="600"/>
    </w:pPr>
    <w:rPr>
      <w:rFonts w:ascii="等线" w:hAnsi="等线" w:eastAsia="等线"/>
      <w:szCs w:val="22"/>
    </w:rPr>
  </w:style>
  <w:style w:type="paragraph" w:styleId="25">
    <w:name w:val="toc 6"/>
    <w:basedOn w:val="1"/>
    <w:next w:val="1"/>
    <w:unhideWhenUsed/>
    <w:uiPriority w:val="39"/>
    <w:pPr>
      <w:ind w:left="2100" w:leftChars="1000"/>
    </w:pPr>
    <w:rPr>
      <w:rFonts w:ascii="等线" w:hAnsi="等线" w:eastAsia="等线"/>
      <w:szCs w:val="22"/>
    </w:rPr>
  </w:style>
  <w:style w:type="paragraph" w:styleId="26">
    <w:name w:val="Body Text Indent 3"/>
    <w:basedOn w:val="1"/>
    <w:link w:val="65"/>
    <w:uiPriority w:val="0"/>
    <w:pPr>
      <w:spacing w:line="300" w:lineRule="auto"/>
      <w:ind w:firstLine="420" w:firstLineChars="200"/>
    </w:pPr>
    <w:rPr>
      <w:color w:val="FF0000"/>
      <w:szCs w:val="21"/>
    </w:rPr>
  </w:style>
  <w:style w:type="paragraph" w:styleId="27">
    <w:name w:val="toc 2"/>
    <w:basedOn w:val="1"/>
    <w:next w:val="1"/>
    <w:uiPriority w:val="39"/>
    <w:pPr>
      <w:ind w:left="210"/>
      <w:jc w:val="left"/>
    </w:pPr>
    <w:rPr>
      <w:smallCaps/>
    </w:rPr>
  </w:style>
  <w:style w:type="paragraph" w:styleId="28">
    <w:name w:val="toc 9"/>
    <w:basedOn w:val="1"/>
    <w:next w:val="1"/>
    <w:unhideWhenUsed/>
    <w:uiPriority w:val="39"/>
    <w:pPr>
      <w:ind w:left="3360" w:leftChars="1600"/>
    </w:pPr>
    <w:rPr>
      <w:rFonts w:ascii="等线" w:hAnsi="等线" w:eastAsia="等线"/>
      <w:szCs w:val="22"/>
    </w:rPr>
  </w:style>
  <w:style w:type="paragraph" w:styleId="29">
    <w:name w:val="Body Text 2"/>
    <w:basedOn w:val="1"/>
    <w:link w:val="70"/>
    <w:qFormat/>
    <w:uiPriority w:val="0"/>
    <w:pPr>
      <w:spacing w:after="120" w:line="480" w:lineRule="auto"/>
    </w:pPr>
    <w:rPr>
      <w:rFonts w:ascii="宋体" w:hAnsi="MS PGothic"/>
    </w:rPr>
  </w:style>
  <w:style w:type="paragraph" w:styleId="30">
    <w:name w:val="Title"/>
    <w:basedOn w:val="1"/>
    <w:next w:val="1"/>
    <w:link w:val="40"/>
    <w:qFormat/>
    <w:uiPriority w:val="10"/>
    <w:pPr>
      <w:numPr>
        <w:ilvl w:val="0"/>
        <w:numId w:val="3"/>
      </w:numPr>
      <w:spacing w:before="240" w:after="60"/>
      <w:jc w:val="center"/>
      <w:outlineLvl w:val="0"/>
    </w:pPr>
    <w:rPr>
      <w:rFonts w:asciiTheme="majorHAnsi" w:hAnsiTheme="majorHAnsi" w:cstheme="majorBidi"/>
      <w:b/>
      <w:bCs/>
      <w:sz w:val="44"/>
      <w:szCs w:val="32"/>
    </w:rPr>
  </w:style>
  <w:style w:type="character" w:styleId="32">
    <w:name w:val="page number"/>
    <w:basedOn w:val="31"/>
    <w:uiPriority w:val="0"/>
  </w:style>
  <w:style w:type="character" w:styleId="33">
    <w:name w:val="FollowedHyperlink"/>
    <w:qFormat/>
    <w:uiPriority w:val="0"/>
    <w:rPr>
      <w:color w:val="800080"/>
      <w:u w:val="single"/>
    </w:rPr>
  </w:style>
  <w:style w:type="character" w:styleId="34">
    <w:name w:val="Emphasis"/>
    <w:qFormat/>
    <w:uiPriority w:val="0"/>
    <w:rPr>
      <w:iCs/>
    </w:rPr>
  </w:style>
  <w:style w:type="character" w:styleId="35">
    <w:name w:val="Hyperlink"/>
    <w:qFormat/>
    <w:uiPriority w:val="99"/>
    <w:rPr>
      <w:color w:val="0000FF"/>
      <w:u w:val="single"/>
    </w:rPr>
  </w:style>
  <w:style w:type="character" w:styleId="36">
    <w:name w:val="annotation reference"/>
    <w:basedOn w:val="31"/>
    <w:unhideWhenUsed/>
    <w:qFormat/>
    <w:uiPriority w:val="99"/>
    <w:rPr>
      <w:sz w:val="21"/>
      <w:szCs w:val="21"/>
    </w:rPr>
  </w:style>
  <w:style w:type="table" w:styleId="38">
    <w:name w:val="Table Grid"/>
    <w:basedOn w:val="37"/>
    <w:qFormat/>
    <w:uiPriority w:val="39"/>
    <w:rPr>
      <w:rFonts w:ascii="Times New Roman" w:hAnsi="Times New Roman" w:eastAsia="宋体" w:cs="Times New Roman"/>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character" w:customStyle="1" w:styleId="39">
    <w:name w:val="标题 3 Char"/>
    <w:qFormat/>
    <w:uiPriority w:val="0"/>
    <w:rPr>
      <w:rFonts w:ascii="宋体" w:hAnsi="MS PGothic" w:eastAsia="宋体"/>
      <w:b/>
      <w:bCs/>
      <w:kern w:val="2"/>
      <w:sz w:val="21"/>
      <w:szCs w:val="32"/>
      <w:lang w:val="en-US" w:eastAsia="zh-CN" w:bidi="ar-SA"/>
    </w:rPr>
  </w:style>
  <w:style w:type="character" w:customStyle="1" w:styleId="40">
    <w:name w:val="标题 字符"/>
    <w:basedOn w:val="31"/>
    <w:link w:val="30"/>
    <w:uiPriority w:val="10"/>
    <w:rPr>
      <w:rFonts w:eastAsia="宋体" w:asciiTheme="majorHAnsi" w:hAnsiTheme="majorHAnsi" w:cstheme="majorBidi"/>
      <w:b/>
      <w:bCs/>
      <w:kern w:val="0"/>
      <w:sz w:val="44"/>
      <w:szCs w:val="32"/>
    </w:rPr>
  </w:style>
  <w:style w:type="paragraph" w:customStyle="1" w:styleId="41">
    <w:name w:val="正文1"/>
    <w:basedOn w:val="1"/>
    <w:link w:val="42"/>
    <w:qFormat/>
    <w:uiPriority w:val="0"/>
    <w:rPr>
      <w:rFonts w:eastAsiaTheme="minorEastAsia"/>
    </w:rPr>
  </w:style>
  <w:style w:type="character" w:customStyle="1" w:styleId="42">
    <w:name w:val="正文1 字符"/>
    <w:basedOn w:val="31"/>
    <w:link w:val="41"/>
    <w:qFormat/>
    <w:uiPriority w:val="0"/>
    <w:rPr>
      <w:rFonts w:ascii="Tahoma" w:hAnsi="Tahoma" w:cs="Tahoma"/>
      <w:sz w:val="24"/>
    </w:rPr>
  </w:style>
  <w:style w:type="character" w:customStyle="1" w:styleId="43">
    <w:name w:val="标题 2 字符"/>
    <w:basedOn w:val="31"/>
    <w:link w:val="3"/>
    <w:qFormat/>
    <w:uiPriority w:val="0"/>
    <w:rPr>
      <w:rFonts w:eastAsia="宋体" w:asciiTheme="majorHAnsi" w:hAnsiTheme="majorHAnsi" w:cstheme="majorBidi"/>
      <w:b/>
      <w:bCs/>
      <w:szCs w:val="32"/>
    </w:rPr>
  </w:style>
  <w:style w:type="character" w:customStyle="1" w:styleId="44">
    <w:name w:val="页眉 字符"/>
    <w:basedOn w:val="31"/>
    <w:link w:val="22"/>
    <w:qFormat/>
    <w:uiPriority w:val="0"/>
    <w:rPr>
      <w:rFonts w:ascii="Tahoma" w:hAnsi="Tahoma" w:eastAsia="宋体" w:cs="Tahoma"/>
      <w:kern w:val="0"/>
      <w:sz w:val="18"/>
      <w:szCs w:val="18"/>
    </w:rPr>
  </w:style>
  <w:style w:type="character" w:customStyle="1" w:styleId="45">
    <w:name w:val="页脚 字符"/>
    <w:basedOn w:val="31"/>
    <w:link w:val="21"/>
    <w:qFormat/>
    <w:uiPriority w:val="99"/>
    <w:rPr>
      <w:rFonts w:ascii="Tahoma" w:hAnsi="Tahoma" w:eastAsia="宋体" w:cs="Tahoma"/>
      <w:kern w:val="0"/>
      <w:sz w:val="18"/>
      <w:szCs w:val="18"/>
    </w:rPr>
  </w:style>
  <w:style w:type="character" w:customStyle="1" w:styleId="46">
    <w:name w:val="标题 1 字符"/>
    <w:basedOn w:val="31"/>
    <w:link w:val="2"/>
    <w:qFormat/>
    <w:uiPriority w:val="0"/>
    <w:rPr>
      <w:rFonts w:ascii="宋体" w:hAnsi="MS PGothic" w:eastAsia="宋体" w:cs="Times New Roman"/>
      <w:b/>
      <w:bCs/>
      <w:sz w:val="28"/>
      <w:szCs w:val="24"/>
    </w:rPr>
  </w:style>
  <w:style w:type="character" w:customStyle="1" w:styleId="47">
    <w:name w:val="标题 3 字符"/>
    <w:basedOn w:val="31"/>
    <w:link w:val="4"/>
    <w:qFormat/>
    <w:uiPriority w:val="0"/>
    <w:rPr>
      <w:rFonts w:ascii="宋体" w:hAnsi="MS PGothic" w:eastAsia="宋体" w:cs="Times New Roman"/>
      <w:b/>
      <w:bCs/>
      <w:szCs w:val="32"/>
    </w:rPr>
  </w:style>
  <w:style w:type="character" w:customStyle="1" w:styleId="48">
    <w:name w:val="标题 4 字符"/>
    <w:basedOn w:val="31"/>
    <w:link w:val="5"/>
    <w:qFormat/>
    <w:uiPriority w:val="0"/>
    <w:rPr>
      <w:rFonts w:ascii="Times New Roman" w:hAnsi="Times New Roman" w:eastAsia="宋体" w:cs="Times New Roman"/>
      <w:b/>
      <w:bCs/>
      <w:sz w:val="32"/>
      <w:szCs w:val="32"/>
    </w:rPr>
  </w:style>
  <w:style w:type="character" w:customStyle="1" w:styleId="49">
    <w:name w:val="Placeholder Text"/>
    <w:basedOn w:val="31"/>
    <w:semiHidden/>
    <w:qFormat/>
    <w:uiPriority w:val="99"/>
    <w:rPr>
      <w:color w:val="808080"/>
    </w:rPr>
  </w:style>
  <w:style w:type="character" w:customStyle="1" w:styleId="50">
    <w:name w:val="15"/>
    <w:qFormat/>
    <w:uiPriority w:val="99"/>
    <w:rPr>
      <w:rFonts w:hint="eastAsia" w:ascii="宋体" w:hAnsi="宋体" w:eastAsia="宋体"/>
      <w:color w:val="000000"/>
      <w:kern w:val="2"/>
      <w:sz w:val="21"/>
      <w:szCs w:val="21"/>
    </w:rPr>
  </w:style>
  <w:style w:type="character" w:customStyle="1" w:styleId="51">
    <w:name w:val="未处理的提及1"/>
    <w:unhideWhenUsed/>
    <w:qFormat/>
    <w:uiPriority w:val="99"/>
    <w:rPr>
      <w:color w:val="605E5C"/>
      <w:shd w:val="clear" w:color="auto" w:fill="E1DFDD"/>
    </w:rPr>
  </w:style>
  <w:style w:type="character" w:customStyle="1" w:styleId="52">
    <w:name w:val="表注 字符"/>
    <w:link w:val="53"/>
    <w:qFormat/>
    <w:uiPriority w:val="0"/>
    <w:rPr>
      <w:rFonts w:ascii="宋体" w:hAnsi="宋体" w:eastAsia="华文仿宋"/>
      <w:sz w:val="15"/>
      <w:szCs w:val="24"/>
    </w:rPr>
  </w:style>
  <w:style w:type="paragraph" w:customStyle="1" w:styleId="53">
    <w:name w:val="表注"/>
    <w:basedOn w:val="1"/>
    <w:next w:val="1"/>
    <w:link w:val="52"/>
    <w:qFormat/>
    <w:uiPriority w:val="0"/>
    <w:pPr>
      <w:adjustRightInd w:val="0"/>
      <w:snapToGrid w:val="0"/>
      <w:spacing w:line="288" w:lineRule="auto"/>
      <w:contextualSpacing/>
      <w:jc w:val="left"/>
    </w:pPr>
    <w:rPr>
      <w:rFonts w:ascii="宋体" w:hAnsi="宋体" w:eastAsia="华文仿宋" w:cstheme="minorBidi"/>
      <w:sz w:val="15"/>
    </w:rPr>
  </w:style>
  <w:style w:type="character" w:customStyle="1" w:styleId="54">
    <w:name w:val="正文文本缩进 2 字符"/>
    <w:link w:val="19"/>
    <w:uiPriority w:val="0"/>
    <w:rPr>
      <w:szCs w:val="24"/>
    </w:rPr>
  </w:style>
  <w:style w:type="character" w:customStyle="1" w:styleId="55">
    <w:name w:val="条、款的编号 Char"/>
    <w:link w:val="56"/>
    <w:qFormat/>
    <w:uiPriority w:val="0"/>
    <w:rPr>
      <w:rFonts w:ascii="黑体" w:hAnsi="宋体" w:eastAsia="黑体"/>
      <w:b/>
      <w:bCs/>
      <w:color w:val="000000"/>
      <w:szCs w:val="21"/>
    </w:rPr>
  </w:style>
  <w:style w:type="paragraph" w:customStyle="1" w:styleId="56">
    <w:name w:val="条、款的编号"/>
    <w:basedOn w:val="1"/>
    <w:link w:val="55"/>
    <w:qFormat/>
    <w:uiPriority w:val="0"/>
    <w:pPr>
      <w:snapToGrid w:val="0"/>
      <w:spacing w:line="288" w:lineRule="auto"/>
    </w:pPr>
    <w:rPr>
      <w:rFonts w:ascii="黑体" w:hAnsi="宋体" w:eastAsia="黑体" w:cstheme="minorBidi"/>
      <w:b/>
      <w:bCs/>
      <w:color w:val="000000"/>
      <w:szCs w:val="21"/>
    </w:rPr>
  </w:style>
  <w:style w:type="character" w:customStyle="1" w:styleId="57">
    <w:name w:val="纯文本 字符"/>
    <w:link w:val="16"/>
    <w:qFormat/>
    <w:uiPriority w:val="99"/>
    <w:rPr>
      <w:rFonts w:ascii="宋体" w:hAnsi="Courier New"/>
      <w:szCs w:val="21"/>
    </w:rPr>
  </w:style>
  <w:style w:type="character" w:customStyle="1" w:styleId="58">
    <w:name w:val="标准正文 Char"/>
    <w:link w:val="59"/>
    <w:qFormat/>
    <w:uiPriority w:val="99"/>
    <w:rPr>
      <w:rFonts w:ascii="宋体" w:hAnsi="宋体"/>
      <w:color w:val="000000"/>
      <w:szCs w:val="21"/>
    </w:rPr>
  </w:style>
  <w:style w:type="paragraph" w:customStyle="1" w:styleId="59">
    <w:name w:val="标准正文"/>
    <w:basedOn w:val="1"/>
    <w:link w:val="58"/>
    <w:qFormat/>
    <w:uiPriority w:val="99"/>
    <w:pPr>
      <w:snapToGrid w:val="0"/>
      <w:spacing w:line="288" w:lineRule="auto"/>
    </w:pPr>
    <w:rPr>
      <w:rFonts w:ascii="宋体" w:hAnsi="宋体" w:eastAsiaTheme="minorEastAsia" w:cstheme="minorBidi"/>
      <w:color w:val="000000"/>
      <w:szCs w:val="21"/>
    </w:rPr>
  </w:style>
  <w:style w:type="character" w:customStyle="1" w:styleId="60">
    <w:name w:val="正文文本缩进 字符"/>
    <w:basedOn w:val="31"/>
    <w:link w:val="13"/>
    <w:qFormat/>
    <w:uiPriority w:val="0"/>
    <w:rPr>
      <w:rFonts w:ascii="Times New Roman" w:hAnsi="Times New Roman" w:eastAsia="宋体" w:cs="Times New Roman"/>
      <w:sz w:val="24"/>
      <w:szCs w:val="24"/>
    </w:rPr>
  </w:style>
  <w:style w:type="character" w:customStyle="1" w:styleId="61">
    <w:name w:val="文档结构图 字符"/>
    <w:basedOn w:val="31"/>
    <w:link w:val="11"/>
    <w:semiHidden/>
    <w:qFormat/>
    <w:uiPriority w:val="0"/>
    <w:rPr>
      <w:rFonts w:ascii="Times New Roman" w:hAnsi="Times New Roman" w:eastAsia="宋体" w:cs="Times New Roman"/>
      <w:szCs w:val="24"/>
      <w:shd w:val="clear" w:color="auto" w:fill="000080"/>
    </w:rPr>
  </w:style>
  <w:style w:type="character" w:customStyle="1" w:styleId="62">
    <w:name w:val="页眉 字符1"/>
    <w:basedOn w:val="31"/>
    <w:semiHidden/>
    <w:qFormat/>
    <w:uiPriority w:val="99"/>
    <w:rPr>
      <w:rFonts w:ascii="Times New Roman" w:hAnsi="Times New Roman" w:eastAsia="宋体" w:cs="Times New Roman"/>
      <w:sz w:val="18"/>
      <w:szCs w:val="18"/>
    </w:rPr>
  </w:style>
  <w:style w:type="character" w:customStyle="1" w:styleId="63">
    <w:name w:val="批注框文本 字符"/>
    <w:basedOn w:val="31"/>
    <w:link w:val="20"/>
    <w:semiHidden/>
    <w:qFormat/>
    <w:uiPriority w:val="0"/>
    <w:rPr>
      <w:rFonts w:ascii="Times New Roman" w:hAnsi="Times New Roman" w:eastAsia="宋体" w:cs="Times New Roman"/>
      <w:sz w:val="18"/>
      <w:szCs w:val="18"/>
    </w:rPr>
  </w:style>
  <w:style w:type="character" w:customStyle="1" w:styleId="64">
    <w:name w:val="批注文字 字符"/>
    <w:basedOn w:val="31"/>
    <w:link w:val="7"/>
    <w:semiHidden/>
    <w:qFormat/>
    <w:uiPriority w:val="0"/>
    <w:rPr>
      <w:rFonts w:ascii="Times New Roman" w:hAnsi="Times New Roman" w:eastAsia="宋体" w:cs="Times New Roman"/>
      <w:szCs w:val="24"/>
    </w:rPr>
  </w:style>
  <w:style w:type="character" w:customStyle="1" w:styleId="65">
    <w:name w:val="正文文本缩进 3 字符"/>
    <w:basedOn w:val="31"/>
    <w:link w:val="26"/>
    <w:uiPriority w:val="0"/>
    <w:rPr>
      <w:rFonts w:ascii="Times New Roman" w:hAnsi="Times New Roman" w:eastAsia="宋体" w:cs="Times New Roman"/>
      <w:color w:val="FF0000"/>
      <w:szCs w:val="21"/>
    </w:rPr>
  </w:style>
  <w:style w:type="character" w:customStyle="1" w:styleId="66">
    <w:name w:val="正文文本缩进 2 字符1"/>
    <w:basedOn w:val="31"/>
    <w:semiHidden/>
    <w:qFormat/>
    <w:uiPriority w:val="99"/>
    <w:rPr>
      <w:rFonts w:ascii="Times New Roman" w:hAnsi="Times New Roman" w:eastAsia="宋体" w:cs="Times New Roman"/>
      <w:szCs w:val="24"/>
    </w:rPr>
  </w:style>
  <w:style w:type="character" w:customStyle="1" w:styleId="67">
    <w:name w:val="日期 字符"/>
    <w:basedOn w:val="31"/>
    <w:link w:val="18"/>
    <w:uiPriority w:val="0"/>
    <w:rPr>
      <w:rFonts w:ascii="Times New Roman" w:hAnsi="Times New Roman" w:eastAsia="宋体" w:cs="Times New Roman"/>
      <w:b/>
      <w:bCs/>
      <w:sz w:val="24"/>
      <w:szCs w:val="24"/>
    </w:rPr>
  </w:style>
  <w:style w:type="character" w:customStyle="1" w:styleId="68">
    <w:name w:val="纯文本 字符1"/>
    <w:basedOn w:val="31"/>
    <w:semiHidden/>
    <w:uiPriority w:val="99"/>
    <w:rPr>
      <w:rFonts w:hAnsi="Courier New" w:cs="Courier New" w:asciiTheme="minorEastAsia"/>
      <w:szCs w:val="24"/>
    </w:rPr>
  </w:style>
  <w:style w:type="character" w:customStyle="1" w:styleId="69">
    <w:name w:val="页脚 字符1"/>
    <w:basedOn w:val="31"/>
    <w:semiHidden/>
    <w:uiPriority w:val="99"/>
    <w:rPr>
      <w:rFonts w:ascii="Times New Roman" w:hAnsi="Times New Roman" w:eastAsia="宋体" w:cs="Times New Roman"/>
      <w:sz w:val="18"/>
      <w:szCs w:val="18"/>
    </w:rPr>
  </w:style>
  <w:style w:type="character" w:customStyle="1" w:styleId="70">
    <w:name w:val="正文文本 2 字符"/>
    <w:basedOn w:val="31"/>
    <w:link w:val="29"/>
    <w:qFormat/>
    <w:uiPriority w:val="0"/>
    <w:rPr>
      <w:rFonts w:ascii="宋体" w:hAnsi="MS PGothic" w:eastAsia="宋体" w:cs="Times New Roman"/>
      <w:szCs w:val="24"/>
    </w:rPr>
  </w:style>
  <w:style w:type="character" w:customStyle="1" w:styleId="71">
    <w:name w:val="正文文本 字符"/>
    <w:basedOn w:val="31"/>
    <w:link w:val="12"/>
    <w:qFormat/>
    <w:uiPriority w:val="0"/>
    <w:rPr>
      <w:rFonts w:ascii="Times New Roman" w:hAnsi="Times New Roman" w:eastAsia="宋体" w:cs="Times New Roman"/>
      <w:sz w:val="24"/>
      <w:szCs w:val="24"/>
    </w:rPr>
  </w:style>
  <w:style w:type="paragraph" w:customStyle="1" w:styleId="72">
    <w:name w:val="四级条标题"/>
    <w:basedOn w:val="73"/>
    <w:next w:val="1"/>
    <w:qFormat/>
    <w:uiPriority w:val="0"/>
    <w:pPr>
      <w:numPr>
        <w:ilvl w:val="4"/>
      </w:numPr>
      <w:outlineLvl w:val="5"/>
    </w:pPr>
  </w:style>
  <w:style w:type="paragraph" w:customStyle="1" w:styleId="73">
    <w:name w:val="三级条标题"/>
    <w:basedOn w:val="74"/>
    <w:next w:val="1"/>
    <w:qFormat/>
    <w:uiPriority w:val="0"/>
    <w:pPr>
      <w:numPr>
        <w:ilvl w:val="3"/>
      </w:numPr>
      <w:outlineLvl w:val="4"/>
    </w:pPr>
  </w:style>
  <w:style w:type="paragraph" w:customStyle="1" w:styleId="74">
    <w:name w:val="二级条标题"/>
    <w:basedOn w:val="75"/>
    <w:next w:val="1"/>
    <w:qFormat/>
    <w:uiPriority w:val="0"/>
    <w:pPr>
      <w:numPr>
        <w:ilvl w:val="2"/>
      </w:numPr>
      <w:spacing w:before="50" w:after="50"/>
      <w:outlineLvl w:val="3"/>
    </w:pPr>
  </w:style>
  <w:style w:type="paragraph" w:customStyle="1" w:styleId="75">
    <w:name w:val="一级条标题"/>
    <w:next w:val="1"/>
    <w:qFormat/>
    <w:uiPriority w:val="0"/>
    <w:pPr>
      <w:numPr>
        <w:ilvl w:val="1"/>
        <w:numId w:val="4"/>
      </w:numPr>
      <w:spacing w:beforeLines="50" w:afterLines="50"/>
      <w:outlineLvl w:val="2"/>
    </w:pPr>
    <w:rPr>
      <w:rFonts w:ascii="黑体" w:hAnsi="Times New Roman" w:eastAsia="黑体" w:cs="Times New Roman"/>
      <w:kern w:val="0"/>
      <w:sz w:val="21"/>
      <w:szCs w:val="21"/>
      <w:lang w:val="en-US" w:eastAsia="zh-CN" w:bidi="ar-SA"/>
    </w:rPr>
  </w:style>
  <w:style w:type="paragraph" w:customStyle="1" w:styleId="76">
    <w:name w:val="图表内容"/>
    <w:basedOn w:val="1"/>
    <w:qFormat/>
    <w:uiPriority w:val="0"/>
    <w:pPr>
      <w:jc w:val="center"/>
    </w:pPr>
    <w:rPr>
      <w:kern w:val="0"/>
      <w:sz w:val="15"/>
      <w:szCs w:val="15"/>
    </w:rPr>
  </w:style>
  <w:style w:type="paragraph" w:customStyle="1" w:styleId="77">
    <w:name w:val="TOC Heading"/>
    <w:basedOn w:val="2"/>
    <w:next w:val="1"/>
    <w:qFormat/>
    <w:uiPriority w:val="39"/>
    <w:pPr>
      <w:keepLines/>
      <w:widowControl/>
      <w:numPr>
        <w:numId w:val="0"/>
      </w:numPr>
      <w:adjustRightInd/>
      <w:snapToGrid/>
      <w:spacing w:before="240" w:line="259" w:lineRule="auto"/>
      <w:jc w:val="left"/>
      <w:outlineLvl w:val="9"/>
    </w:pPr>
    <w:rPr>
      <w:rFonts w:ascii="等线 Light" w:hAnsi="等线 Light" w:eastAsia="等线 Light"/>
      <w:b w:val="0"/>
      <w:bCs w:val="0"/>
      <w:color w:val="2F5496"/>
      <w:kern w:val="0"/>
      <w:sz w:val="32"/>
      <w:szCs w:val="32"/>
    </w:rPr>
  </w:style>
  <w:style w:type="paragraph" w:customStyle="1" w:styleId="78">
    <w:name w:val="表格"/>
    <w:qFormat/>
    <w:uiPriority w:val="0"/>
    <w:pPr>
      <w:spacing w:line="240" w:lineRule="atLeast"/>
      <w:jc w:val="center"/>
    </w:pPr>
    <w:rPr>
      <w:rFonts w:ascii="Times New Roman" w:hAnsi="Times New Roman" w:eastAsia="宋体" w:cs="Times New Roman"/>
      <w:kern w:val="0"/>
      <w:sz w:val="21"/>
      <w:szCs w:val="20"/>
      <w:lang w:val="en-US" w:eastAsia="zh-CN" w:bidi="ar-SA"/>
    </w:rPr>
  </w:style>
  <w:style w:type="paragraph" w:customStyle="1" w:styleId="79">
    <w:name w:val="表格中的文字"/>
    <w:basedOn w:val="1"/>
    <w:qFormat/>
    <w:uiPriority w:val="0"/>
    <w:pPr>
      <w:autoSpaceDE w:val="0"/>
      <w:autoSpaceDN w:val="0"/>
      <w:adjustRightInd w:val="0"/>
      <w:spacing w:line="288" w:lineRule="auto"/>
      <w:jc w:val="center"/>
    </w:pPr>
    <w:rPr>
      <w:rFonts w:ascii="宋体" w:hAnsi="宋体"/>
      <w:color w:val="000000"/>
      <w:kern w:val="0"/>
      <w:sz w:val="15"/>
      <w:szCs w:val="15"/>
    </w:rPr>
  </w:style>
  <w:style w:type="paragraph" w:customStyle="1" w:styleId="80">
    <w:name w:val="表头"/>
    <w:basedOn w:val="1"/>
    <w:qFormat/>
    <w:uiPriority w:val="0"/>
    <w:pPr>
      <w:spacing w:line="360" w:lineRule="auto"/>
      <w:jc w:val="center"/>
    </w:pPr>
    <w:rPr>
      <w:rFonts w:eastAsia="黑体"/>
      <w:kern w:val="0"/>
      <w:sz w:val="18"/>
      <w:szCs w:val="18"/>
    </w:rPr>
  </w:style>
  <w:style w:type="paragraph" w:customStyle="1" w:styleId="81">
    <w:name w:val="列出段落1"/>
    <w:basedOn w:val="1"/>
    <w:qFormat/>
    <w:uiPriority w:val="34"/>
    <w:pPr>
      <w:ind w:firstLine="420" w:firstLineChars="200"/>
    </w:pPr>
  </w:style>
  <w:style w:type="paragraph" w:customStyle="1" w:styleId="82">
    <w:name w:val="章标题"/>
    <w:next w:val="1"/>
    <w:qFormat/>
    <w:uiPriority w:val="0"/>
    <w:pPr>
      <w:numPr>
        <w:ilvl w:val="0"/>
        <w:numId w:val="4"/>
      </w:numPr>
      <w:spacing w:beforeLines="100" w:afterLines="100"/>
      <w:jc w:val="both"/>
      <w:outlineLvl w:val="1"/>
    </w:pPr>
    <w:rPr>
      <w:rFonts w:ascii="黑体" w:hAnsi="Times New Roman" w:eastAsia="黑体" w:cs="Times New Roman"/>
      <w:kern w:val="0"/>
      <w:sz w:val="21"/>
      <w:szCs w:val="20"/>
      <w:lang w:val="en-US" w:eastAsia="zh-CN" w:bidi="ar-SA"/>
    </w:rPr>
  </w:style>
  <w:style w:type="paragraph" w:customStyle="1" w:styleId="83">
    <w:name w:val="表格中文字"/>
    <w:basedOn w:val="1"/>
    <w:qFormat/>
    <w:uiPriority w:val="0"/>
    <w:pPr>
      <w:adjustRightInd w:val="0"/>
      <w:snapToGrid w:val="0"/>
      <w:spacing w:line="288" w:lineRule="auto"/>
      <w:contextualSpacing/>
      <w:jc w:val="left"/>
    </w:pPr>
    <w:rPr>
      <w:rFonts w:ascii="宋体" w:hAnsi="宋体"/>
      <w:sz w:val="15"/>
    </w:rPr>
  </w:style>
  <w:style w:type="paragraph" w:customStyle="1" w:styleId="84">
    <w:name w:val="样式 标题 2 + 黑色"/>
    <w:basedOn w:val="3"/>
    <w:uiPriority w:val="0"/>
    <w:pPr>
      <w:keepNext w:val="0"/>
      <w:keepLines w:val="0"/>
      <w:spacing w:before="240" w:after="200" w:line="276" w:lineRule="auto"/>
      <w:outlineLvl w:val="9"/>
    </w:pPr>
    <w:rPr>
      <w:rFonts w:ascii="宋体" w:hAnsi="宋体" w:cs="Times New Roman"/>
      <w:bCs w:val="0"/>
      <w:szCs w:val="21"/>
    </w:rPr>
  </w:style>
  <w:style w:type="paragraph" w:customStyle="1" w:styleId="85">
    <w:name w:val="孤行控制"/>
    <w:basedOn w:val="1"/>
    <w:next w:val="1"/>
    <w:uiPriority w:val="0"/>
    <w:pPr>
      <w:widowControl/>
      <w:spacing w:line="240" w:lineRule="atLeast"/>
    </w:pPr>
    <w:rPr>
      <w:iCs/>
      <w:sz w:val="24"/>
    </w:rPr>
  </w:style>
  <w:style w:type="paragraph" w:customStyle="1" w:styleId="86">
    <w:name w:val="五级条标题"/>
    <w:basedOn w:val="72"/>
    <w:next w:val="1"/>
    <w:qFormat/>
    <w:uiPriority w:val="0"/>
    <w:pPr>
      <w:numPr>
        <w:ilvl w:val="5"/>
      </w:numPr>
      <w:outlineLvl w:val="6"/>
    </w:pPr>
  </w:style>
  <w:style w:type="paragraph" w:customStyle="1" w:styleId="87">
    <w:name w:val="List Paragraph"/>
    <w:basedOn w:val="1"/>
    <w:qFormat/>
    <w:uiPriority w:val="34"/>
    <w:pPr>
      <w:ind w:firstLine="420" w:firstLineChars="200"/>
    </w:pPr>
    <w:rPr>
      <w:rFonts w:ascii="Calibri" w:hAnsi="Calibri"/>
      <w:szCs w:val="22"/>
    </w:rPr>
  </w:style>
  <w:style w:type="character" w:customStyle="1" w:styleId="88">
    <w:name w:val="批注主题 字符"/>
    <w:basedOn w:val="64"/>
    <w:link w:val="6"/>
    <w:semiHidden/>
    <w:qFormat/>
    <w:uiPriority w:val="99"/>
    <w:rPr>
      <w:rFonts w:ascii="Times New Roman" w:hAnsi="Times New Roman" w:eastAsia="宋体" w:cs="Times New Roman"/>
      <w:b/>
      <w:bCs/>
      <w:szCs w:val="24"/>
    </w:rPr>
  </w:style>
  <w:style w:type="paragraph" w:customStyle="1" w:styleId="89">
    <w:name w:val="Revision"/>
    <w:hidden/>
    <w:semiHidden/>
    <w:qFormat/>
    <w:uiPriority w:val="99"/>
    <w:rPr>
      <w:rFonts w:ascii="Times New Roman" w:hAnsi="Times New Roman" w:eastAsia="宋体" w:cs="Times New Roman"/>
      <w:kern w:val="2"/>
      <w:sz w:val="21"/>
      <w:szCs w:val="24"/>
      <w:lang w:val="en-US" w:eastAsia="zh-CN" w:bidi="ar-SA"/>
    </w:rPr>
  </w:style>
  <w:style w:type="paragraph" w:customStyle="1" w:styleId="90">
    <w:name w:val="Default"/>
    <w:qFormat/>
    <w:uiPriority w:val="0"/>
    <w:pPr>
      <w:widowControl w:val="0"/>
      <w:autoSpaceDE w:val="0"/>
      <w:autoSpaceDN w:val="0"/>
      <w:adjustRightInd w:val="0"/>
    </w:pPr>
    <w:rPr>
      <w:rFonts w:ascii="宋体" w:eastAsia="宋体" w:cs="宋体" w:hAnsiTheme="minorHAnsi"/>
      <w:color w:val="000000"/>
      <w:kern w:val="0"/>
      <w:sz w:val="24"/>
      <w:szCs w:val="24"/>
      <w:lang w:val="en-US" w:eastAsia="zh-CN" w:bidi="ar-SA"/>
    </w:rPr>
  </w:style>
  <w:style w:type="paragraph" w:customStyle="1" w:styleId="91">
    <w:name w:val="图名"/>
    <w:basedOn w:val="1"/>
    <w:link w:val="92"/>
    <w:qFormat/>
    <w:uiPriority w:val="0"/>
    <w:pPr>
      <w:adjustRightInd w:val="0"/>
      <w:snapToGrid w:val="0"/>
      <w:jc w:val="center"/>
    </w:pPr>
    <w:rPr>
      <w:b/>
      <w:sz w:val="18"/>
    </w:rPr>
  </w:style>
  <w:style w:type="character" w:customStyle="1" w:styleId="92">
    <w:name w:val="图名 字符"/>
    <w:basedOn w:val="31"/>
    <w:link w:val="91"/>
    <w:qFormat/>
    <w:uiPriority w:val="0"/>
    <w:rPr>
      <w:rFonts w:ascii="Times New Roman" w:hAnsi="Times New Roman" w:eastAsia="宋体" w:cs="Times New Roman"/>
      <w:b/>
      <w:sz w:val="18"/>
      <w:szCs w:val="24"/>
    </w:rPr>
  </w:style>
  <w:style w:type="paragraph" w:customStyle="1" w:styleId="93">
    <w:name w:val="其他标准称谓"/>
    <w:qFormat/>
    <w:uiPriority w:val="99"/>
    <w:pPr>
      <w:spacing w:line="240" w:lineRule="atLeast"/>
      <w:jc w:val="distribute"/>
    </w:pPr>
    <w:rPr>
      <w:rFonts w:ascii="黑体" w:hAnsi="宋体" w:eastAsia="黑体" w:cs="Times New Roman"/>
      <w:sz w:val="52"/>
      <w:szCs w:val="5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6.png"/><Relationship Id="rId17" Type="http://schemas.openxmlformats.org/officeDocument/2006/relationships/image" Target="media/image5.png"/><Relationship Id="rId16" Type="http://schemas.openxmlformats.org/officeDocument/2006/relationships/image" Target="media/image4.png"/><Relationship Id="rId15" Type="http://schemas.openxmlformats.org/officeDocument/2006/relationships/image" Target="media/image3.png"/><Relationship Id="rId14" Type="http://schemas.openxmlformats.org/officeDocument/2006/relationships/image" Target="media/image2.emf"/><Relationship Id="rId13" Type="http://schemas.openxmlformats.org/officeDocument/2006/relationships/image" Target="media/image1.emf"/><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0E27BA9-021D-46B3-B210-1B77AC5BDE2C}">
  <ds:schemaRefs/>
</ds:datastoreItem>
</file>

<file path=docProps/app.xml><?xml version="1.0" encoding="utf-8"?>
<Properties xmlns="http://schemas.openxmlformats.org/officeDocument/2006/extended-properties" xmlns:vt="http://schemas.openxmlformats.org/officeDocument/2006/docPropsVTypes">
  <Template>Normal</Template>
  <Pages>51</Pages>
  <Words>7284</Words>
  <Characters>41520</Characters>
  <Lines>346</Lines>
  <Paragraphs>97</Paragraphs>
  <ScaleCrop>false</ScaleCrop>
  <LinksUpToDate>false</LinksUpToDate>
  <CharactersWithSpaces>48707</CharactersWithSpaces>
  <Application>WPS Office_10.8.0.5918_F1E327BC-269C-435d-A152-05C5408002CA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2021-12-28T15:44:00Z</dcterms:created>
  <dc:creator>Administrator</dc:creator>
  <cp:lastModifiedBy>张希</cp:lastModifiedBy>
  <cp:lastPrinted>2021-12-28T15:44:00Z</cp:lastPrinted>
  <dcterms:modified xsi:type="dcterms:W3CDTF">2022-01-04T08:19:09Z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2052-10.8.0.5918</vt:lpwstr>
  </property>
</Properties>
</file>