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附件：</w:t>
      </w:r>
    </w:p>
    <w:p w:rsidR="00227D27" w:rsidRDefault="00227D27">
      <w:pPr>
        <w:jc w:val="center"/>
        <w:rPr>
          <w:rFonts w:asciiTheme="minorEastAsia" w:hAnsiTheme="minorEastAsia" w:cs="创艺简标宋"/>
          <w:b/>
          <w:sz w:val="44"/>
          <w:szCs w:val="44"/>
        </w:rPr>
      </w:pPr>
    </w:p>
    <w:p w:rsidR="00227D27" w:rsidRDefault="005B3A6B">
      <w:pPr>
        <w:jc w:val="center"/>
        <w:rPr>
          <w:rFonts w:asciiTheme="minorEastAsia" w:hAnsiTheme="minorEastAsia" w:cs="创艺简标宋"/>
          <w:b/>
          <w:sz w:val="44"/>
          <w:szCs w:val="44"/>
        </w:rPr>
      </w:pPr>
      <w:r>
        <w:rPr>
          <w:rFonts w:asciiTheme="minorEastAsia" w:hAnsiTheme="minorEastAsia" w:cs="创艺简标宋" w:hint="eastAsia"/>
          <w:b/>
          <w:sz w:val="44"/>
          <w:szCs w:val="44"/>
        </w:rPr>
        <w:t>看房交通指引和注意事项</w:t>
      </w:r>
    </w:p>
    <w:p w:rsidR="00227D27" w:rsidRDefault="00227D27">
      <w:pPr>
        <w:jc w:val="center"/>
        <w:rPr>
          <w:rFonts w:asciiTheme="minorEastAsia" w:hAnsiTheme="minorEastAsia"/>
          <w:b/>
          <w:sz w:val="44"/>
          <w:szCs w:val="44"/>
        </w:rPr>
      </w:pP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为确保看房家庭能更加直观、全面了解碧桂园菁英领寓、碧桂园智慧领寓安居型商品房项目的相关情况，我公司决定组织现场看房活动。请看房家庭认真仔细阅读以下事项：</w:t>
      </w:r>
    </w:p>
    <w:p w:rsidR="00227D27" w:rsidRDefault="005B3A6B">
      <w:pPr>
        <w:spacing w:line="360" w:lineRule="auto"/>
        <w:ind w:firstLineChars="200" w:firstLine="643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一、看房交通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看房家庭可选择以下任意一种形式前往项目现场选房（碧桂园菁英领寓、碧桂园智慧领寓销售中心，地址：宝安区福永街道</w:t>
      </w:r>
      <w:r>
        <w:rPr>
          <w:rFonts w:ascii="仿宋_GB2312" w:eastAsia="仿宋_GB2312" w:hint="eastAsia"/>
          <w:bCs/>
          <w:sz w:val="32"/>
          <w:szCs w:val="32"/>
        </w:rPr>
        <w:t>107</w:t>
      </w:r>
      <w:r>
        <w:rPr>
          <w:rFonts w:ascii="仿宋_GB2312" w:eastAsia="仿宋_GB2312" w:hint="eastAsia"/>
          <w:bCs/>
          <w:sz w:val="32"/>
          <w:szCs w:val="32"/>
        </w:rPr>
        <w:t>国道东侧）：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（一）自驾车（注：现场停车位有限，建议公交出行）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1</w:t>
      </w:r>
      <w:r>
        <w:rPr>
          <w:rFonts w:ascii="仿宋_GB2312" w:eastAsia="仿宋_GB2312" w:hint="eastAsia"/>
          <w:bCs/>
          <w:sz w:val="32"/>
          <w:szCs w:val="32"/>
        </w:rPr>
        <w:t>．从宝安中心区出发：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创业一路—宝安大道—航城大道—</w:t>
      </w:r>
      <w:r>
        <w:rPr>
          <w:rFonts w:ascii="仿宋_GB2312" w:eastAsia="仿宋_GB2312" w:hint="eastAsia"/>
          <w:bCs/>
          <w:sz w:val="32"/>
          <w:szCs w:val="32"/>
        </w:rPr>
        <w:t>107</w:t>
      </w:r>
      <w:r>
        <w:rPr>
          <w:rFonts w:ascii="仿宋_GB2312" w:eastAsia="仿宋_GB2312" w:hint="eastAsia"/>
          <w:bCs/>
          <w:sz w:val="32"/>
          <w:szCs w:val="32"/>
        </w:rPr>
        <w:t>国道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—进入辅道至凤凰花苑公交站—北行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路口右转—沿道路直行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150m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—</w:t>
      </w:r>
      <w:r>
        <w:rPr>
          <w:rFonts w:ascii="仿宋_GB2312" w:eastAsia="仿宋_GB2312" w:hint="eastAsia"/>
          <w:bCs/>
          <w:sz w:val="32"/>
          <w:szCs w:val="32"/>
        </w:rPr>
        <w:t>碧桂园领寓销售中心</w:t>
      </w:r>
    </w:p>
    <w:p w:rsidR="00227D27" w:rsidRDefault="00227D27">
      <w:pPr>
        <w:spacing w:line="360" w:lineRule="auto"/>
        <w:rPr>
          <w:rFonts w:ascii="仿宋_GB2312" w:eastAsia="仿宋_GB2312"/>
          <w:bCs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2</w:t>
      </w:r>
      <w:r>
        <w:rPr>
          <w:rFonts w:ascii="仿宋_GB2312" w:eastAsia="仿宋_GB2312" w:hint="eastAsia"/>
          <w:bCs/>
          <w:sz w:val="32"/>
          <w:szCs w:val="32"/>
        </w:rPr>
        <w:t>．从南山中心区出发：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lastRenderedPageBreak/>
        <w:t>南山大道</w:t>
      </w:r>
      <w:r>
        <w:rPr>
          <w:rFonts w:ascii="仿宋_GB2312" w:eastAsia="仿宋_GB2312" w:hint="eastAsia"/>
          <w:bCs/>
          <w:sz w:val="32"/>
          <w:szCs w:val="32"/>
        </w:rPr>
        <w:t>/</w:t>
      </w:r>
      <w:r>
        <w:rPr>
          <w:rFonts w:ascii="仿宋_GB2312" w:eastAsia="仿宋_GB2312" w:hint="eastAsia"/>
          <w:bCs/>
          <w:sz w:val="32"/>
          <w:szCs w:val="32"/>
        </w:rPr>
        <w:t>月亮湾大道—</w:t>
      </w:r>
      <w:r>
        <w:rPr>
          <w:rFonts w:ascii="仿宋_GB2312" w:eastAsia="仿宋_GB2312" w:hint="eastAsia"/>
          <w:bCs/>
          <w:sz w:val="32"/>
          <w:szCs w:val="32"/>
        </w:rPr>
        <w:t>107</w:t>
      </w:r>
      <w:r>
        <w:rPr>
          <w:rFonts w:ascii="仿宋_GB2312" w:eastAsia="仿宋_GB2312" w:hint="eastAsia"/>
          <w:bCs/>
          <w:sz w:val="32"/>
          <w:szCs w:val="32"/>
        </w:rPr>
        <w:t>国道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—进入辅道至凤凰花苑公交站—北行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路口右转—沿道路直行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150m</w:t>
      </w:r>
      <w:r>
        <w:rPr>
          <w:rFonts w:ascii="仿宋_GB2312" w:eastAsia="仿宋_GB2312" w:hint="eastAsia"/>
          <w:bCs/>
          <w:sz w:val="32"/>
          <w:szCs w:val="32"/>
        </w:rPr>
        <w:t>—碧桂园领寓销售中心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3</w:t>
      </w:r>
      <w:r>
        <w:rPr>
          <w:rFonts w:ascii="仿宋_GB2312" w:eastAsia="仿宋_GB2312" w:hint="eastAsia"/>
          <w:bCs/>
          <w:sz w:val="32"/>
          <w:szCs w:val="32"/>
        </w:rPr>
        <w:t>．从福田中心区出发：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金田路—深南大道—广深高速—机场道—</w:t>
      </w:r>
      <w:r>
        <w:rPr>
          <w:rFonts w:ascii="仿宋_GB2312" w:eastAsia="仿宋_GB2312" w:hint="eastAsia"/>
          <w:bCs/>
          <w:sz w:val="32"/>
          <w:szCs w:val="32"/>
        </w:rPr>
        <w:t>107</w:t>
      </w:r>
      <w:r>
        <w:rPr>
          <w:rFonts w:ascii="仿宋_GB2312" w:eastAsia="仿宋_GB2312" w:hint="eastAsia"/>
          <w:bCs/>
          <w:sz w:val="32"/>
          <w:szCs w:val="32"/>
        </w:rPr>
        <w:t>国道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—进入辅道至凤凰花苑公交站—北行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路口右转—沿道路直行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150m</w:t>
      </w:r>
      <w:r>
        <w:rPr>
          <w:rFonts w:ascii="仿宋_GB2312" w:eastAsia="仿宋_GB2312" w:hint="eastAsia"/>
          <w:bCs/>
          <w:sz w:val="32"/>
          <w:szCs w:val="32"/>
        </w:rPr>
        <w:t>—碧桂园领寓销售中心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（二）乘坐地铁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 w:hAnsi="宋体" w:cs="宋体"/>
          <w:bCs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、您的位置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地铁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11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号线（机场线）福永站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B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出口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凤凰花苑公交站（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868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区间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2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线、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m514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路、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m310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路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等）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</w:p>
    <w:p w:rsidR="00227D27" w:rsidRDefault="005B3A6B">
      <w:pPr>
        <w:spacing w:line="360" w:lineRule="auto"/>
        <w:rPr>
          <w:rFonts w:ascii="仿宋_GB2312" w:eastAsia="仿宋_GB2312" w:hAnsi="宋体" w:cs="宋体"/>
          <w:bCs/>
          <w:color w:val="0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417830</wp:posOffset>
            </wp:positionV>
            <wp:extent cx="5274310" cy="4001135"/>
            <wp:effectExtent l="0" t="0" r="2540" b="0"/>
            <wp:wrapNone/>
            <wp:docPr id="2" name="图片 2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片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01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—沿道路直行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150m-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碧桂园领寓销售中心</w:t>
      </w:r>
    </w:p>
    <w:p w:rsidR="00227D27" w:rsidRDefault="00227D27">
      <w:pPr>
        <w:spacing w:line="360" w:lineRule="auto"/>
        <w:rPr>
          <w:rFonts w:ascii="仿宋_GB2312" w:eastAsia="仿宋_GB2312" w:hAnsi="宋体" w:cs="宋体"/>
          <w:bCs/>
          <w:color w:val="000000"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 w:hAnsi="宋体" w:cs="宋体"/>
          <w:bCs/>
          <w:color w:val="000000"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 w:hAnsi="宋体" w:cs="宋体"/>
          <w:bCs/>
          <w:color w:val="000000"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 w:hAnsi="宋体" w:cs="宋体"/>
          <w:bCs/>
          <w:color w:val="000000"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 w:hAnsi="宋体" w:cs="宋体"/>
          <w:bCs/>
          <w:color w:val="000000"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2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、您的位置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地铁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号线（罗宝线）机场东站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C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出口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凤凰花苑公交站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（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m332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路、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m334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路、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b875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路等）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-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右转沿道路直行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150m-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碧桂园领寓销售中心</w:t>
      </w:r>
    </w:p>
    <w:p w:rsidR="00227D27" w:rsidRDefault="00FE5AC7">
      <w:pPr>
        <w:spacing w:line="360" w:lineRule="auto"/>
        <w:ind w:firstLineChars="200" w:firstLine="440"/>
        <w:jc w:val="center"/>
        <w:rPr>
          <w:rFonts w:ascii="仿宋_GB2312" w:eastAsia="仿宋_GB2312"/>
          <w:sz w:val="32"/>
          <w:szCs w:val="32"/>
        </w:r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9.1pt;height:408.55pt">
            <v:imagedata r:id="rId8" o:title="图片3"/>
          </v:shape>
        </w:pict>
      </w:r>
    </w:p>
    <w:p w:rsidR="00227D27" w:rsidRDefault="005B3A6B">
      <w:pPr>
        <w:spacing w:line="360" w:lineRule="auto"/>
        <w:ind w:firstLineChars="150" w:firstLine="48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（三）乘坐公交（请密切留意最新公共交通信息）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/>
          <w:bCs/>
          <w:sz w:val="32"/>
          <w:szCs w:val="32"/>
        </w:rPr>
        <w:t>1</w:t>
      </w:r>
      <w:r>
        <w:rPr>
          <w:rFonts w:ascii="仿宋_GB2312" w:eastAsia="仿宋_GB2312" w:hint="eastAsia"/>
          <w:bCs/>
          <w:sz w:val="32"/>
          <w:szCs w:val="32"/>
        </w:rPr>
        <w:t>．您的位置</w:t>
      </w:r>
      <w:r>
        <w:rPr>
          <w:rFonts w:ascii="仿宋_GB2312" w:eastAsia="仿宋_GB2312" w:hint="eastAsia"/>
          <w:bCs/>
          <w:sz w:val="32"/>
          <w:szCs w:val="32"/>
        </w:rPr>
        <w:t>-</w:t>
      </w:r>
      <w:r>
        <w:rPr>
          <w:rFonts w:ascii="仿宋_GB2312" w:eastAsia="仿宋_GB2312" w:hint="eastAsia"/>
          <w:bCs/>
          <w:sz w:val="32"/>
          <w:szCs w:val="32"/>
        </w:rPr>
        <w:t>福永卫生监督所公车站（</w:t>
      </w:r>
      <w:r>
        <w:rPr>
          <w:rFonts w:ascii="仿宋_GB2312" w:eastAsia="仿宋_GB2312" w:hint="eastAsia"/>
          <w:bCs/>
          <w:sz w:val="32"/>
          <w:szCs w:val="32"/>
        </w:rPr>
        <w:t>331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337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362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615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629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668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B876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/>
          <w:bCs/>
          <w:sz w:val="32"/>
          <w:szCs w:val="32"/>
        </w:rPr>
        <w:t>B</w:t>
      </w:r>
      <w:r>
        <w:rPr>
          <w:rFonts w:ascii="仿宋_GB2312" w:eastAsia="仿宋_GB2312" w:hint="eastAsia"/>
          <w:bCs/>
          <w:sz w:val="32"/>
          <w:szCs w:val="32"/>
        </w:rPr>
        <w:t>906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M242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M251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M2</w:t>
      </w:r>
      <w:r>
        <w:rPr>
          <w:rFonts w:ascii="仿宋_GB2312" w:eastAsia="仿宋_GB2312"/>
          <w:bCs/>
          <w:sz w:val="32"/>
          <w:szCs w:val="32"/>
        </w:rPr>
        <w:t>4</w:t>
      </w:r>
      <w:r>
        <w:rPr>
          <w:rFonts w:ascii="仿宋_GB2312" w:eastAsia="仿宋_GB2312" w:hint="eastAsia"/>
          <w:bCs/>
          <w:sz w:val="32"/>
          <w:szCs w:val="32"/>
        </w:rPr>
        <w:t>2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M332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M33</w:t>
      </w:r>
      <w:r>
        <w:rPr>
          <w:rFonts w:ascii="仿宋_GB2312" w:eastAsia="仿宋_GB2312"/>
          <w:bCs/>
          <w:sz w:val="32"/>
          <w:szCs w:val="32"/>
        </w:rPr>
        <w:t>4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M</w:t>
      </w:r>
      <w:r>
        <w:rPr>
          <w:rFonts w:ascii="仿宋_GB2312" w:eastAsia="仿宋_GB2312"/>
          <w:bCs/>
          <w:sz w:val="32"/>
          <w:szCs w:val="32"/>
        </w:rPr>
        <w:t>515</w:t>
      </w:r>
      <w:r>
        <w:rPr>
          <w:rFonts w:ascii="仿宋_GB2312" w:eastAsia="仿宋_GB2312" w:hint="eastAsia"/>
          <w:bCs/>
          <w:sz w:val="32"/>
          <w:szCs w:val="32"/>
        </w:rPr>
        <w:t>路）</w:t>
      </w:r>
      <w:r>
        <w:rPr>
          <w:rFonts w:ascii="仿宋_GB2312" w:eastAsia="仿宋_GB2312" w:hint="eastAsia"/>
          <w:bCs/>
          <w:sz w:val="32"/>
          <w:szCs w:val="32"/>
        </w:rPr>
        <w:t>-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沿广深公路辅道北行</w:t>
      </w:r>
      <w:r>
        <w:rPr>
          <w:rFonts w:ascii="仿宋_GB2312" w:eastAsia="仿宋_GB2312"/>
          <w:bCs/>
          <w:sz w:val="32"/>
          <w:szCs w:val="32"/>
          <w:highlight w:val="yellow"/>
        </w:rPr>
        <w:t>500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右转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-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沿道路直行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150m-</w:t>
      </w:r>
      <w:r>
        <w:rPr>
          <w:rFonts w:ascii="仿宋_GB2312" w:eastAsia="仿宋_GB2312" w:hint="eastAsia"/>
          <w:bCs/>
          <w:sz w:val="32"/>
          <w:szCs w:val="32"/>
        </w:rPr>
        <w:t>-</w:t>
      </w:r>
      <w:r>
        <w:rPr>
          <w:rFonts w:ascii="仿宋_GB2312" w:eastAsia="仿宋_GB2312" w:hint="eastAsia"/>
          <w:bCs/>
          <w:sz w:val="32"/>
          <w:szCs w:val="32"/>
        </w:rPr>
        <w:t>碧桂园领寓销售中心</w:t>
      </w:r>
    </w:p>
    <w:p w:rsidR="00227D27" w:rsidRDefault="00227D27">
      <w:pPr>
        <w:ind w:firstLine="420"/>
        <w:jc w:val="center"/>
        <w:rPr>
          <w:rFonts w:ascii="宋体" w:eastAsia="宋体" w:hAnsi="宋体"/>
          <w:sz w:val="21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5B3A6B">
      <w:pPr>
        <w:spacing w:line="360" w:lineRule="auto"/>
        <w:ind w:firstLineChars="200" w:firstLine="420"/>
        <w:rPr>
          <w:rFonts w:ascii="仿宋_GB2312" w:eastAsia="仿宋_GB2312"/>
          <w:bCs/>
          <w:sz w:val="32"/>
          <w:szCs w:val="32"/>
        </w:rPr>
      </w:pPr>
      <w:r>
        <w:rPr>
          <w:rFonts w:ascii="宋体" w:eastAsia="宋体" w:hAnsi="宋体"/>
          <w:noProof/>
          <w:sz w:val="21"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margin">
              <wp:posOffset>799465</wp:posOffset>
            </wp:positionH>
            <wp:positionV relativeFrom="paragraph">
              <wp:posOffset>-179705</wp:posOffset>
            </wp:positionV>
            <wp:extent cx="3592195" cy="3776345"/>
            <wp:effectExtent l="0" t="0" r="8255" b="14605"/>
            <wp:wrapNone/>
            <wp:docPr id="3" name="图片 3" descr="C:\Users\feng\AppData\Local\Microsoft\Windows\INetCache\Content.Word\图片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feng\AppData\Local\Microsoft\Windows\INetCache\Content.Word\图片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92195" cy="3776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/>
          <w:bCs/>
          <w:noProof/>
          <w:sz w:val="32"/>
          <w:szCs w:val="3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1263015</wp:posOffset>
            </wp:positionV>
            <wp:extent cx="4467860" cy="3859530"/>
            <wp:effectExtent l="0" t="0" r="8890" b="0"/>
            <wp:wrapNone/>
            <wp:docPr id="19" name="图片 19" descr="C:\Users\feng\Desktop\工作安排\20171206看房方案\看房方案（黄工改）\成品\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:\Users\feng\Desktop\工作安排\20171206看房方案\看房方案（黄工改）\成品\图片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67860" cy="385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 w:hint="eastAsia"/>
          <w:bCs/>
          <w:sz w:val="32"/>
          <w:szCs w:val="32"/>
        </w:rPr>
        <w:t>2</w:t>
      </w:r>
      <w:r>
        <w:rPr>
          <w:rFonts w:ascii="仿宋_GB2312" w:eastAsia="仿宋_GB2312" w:hint="eastAsia"/>
          <w:bCs/>
          <w:sz w:val="32"/>
          <w:szCs w:val="32"/>
        </w:rPr>
        <w:t>．您的位置</w:t>
      </w:r>
      <w:r>
        <w:rPr>
          <w:rFonts w:ascii="仿宋_GB2312" w:eastAsia="仿宋_GB2312" w:hint="eastAsia"/>
          <w:bCs/>
          <w:sz w:val="32"/>
          <w:szCs w:val="32"/>
        </w:rPr>
        <w:t>-</w:t>
      </w:r>
      <w:r>
        <w:rPr>
          <w:rFonts w:ascii="仿宋_GB2312" w:eastAsia="仿宋_GB2312" w:hint="eastAsia"/>
          <w:bCs/>
          <w:sz w:val="32"/>
          <w:szCs w:val="32"/>
        </w:rPr>
        <w:t>凤凰花苑公车站（</w:t>
      </w:r>
      <w:r>
        <w:rPr>
          <w:rFonts w:ascii="仿宋_GB2312" w:eastAsia="仿宋_GB2312" w:hint="eastAsia"/>
          <w:bCs/>
          <w:sz w:val="32"/>
          <w:szCs w:val="32"/>
        </w:rPr>
        <w:t>337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615</w:t>
      </w:r>
      <w:r>
        <w:rPr>
          <w:rFonts w:ascii="仿宋_GB2312" w:eastAsia="仿宋_GB2312" w:hint="eastAsia"/>
          <w:bCs/>
          <w:sz w:val="32"/>
          <w:szCs w:val="32"/>
        </w:rPr>
        <w:t>路、</w:t>
      </w:r>
      <w:r>
        <w:rPr>
          <w:rFonts w:ascii="仿宋_GB2312" w:eastAsia="仿宋_GB2312" w:hint="eastAsia"/>
          <w:bCs/>
          <w:sz w:val="32"/>
          <w:szCs w:val="32"/>
        </w:rPr>
        <w:t>629</w:t>
      </w:r>
      <w:r>
        <w:rPr>
          <w:rFonts w:ascii="仿宋_GB2312" w:eastAsia="仿宋_GB2312" w:hint="eastAsia"/>
          <w:bCs/>
          <w:sz w:val="32"/>
          <w:szCs w:val="32"/>
        </w:rPr>
        <w:t>路、长</w:t>
      </w:r>
      <w:r>
        <w:rPr>
          <w:rFonts w:ascii="仿宋_GB2312" w:eastAsia="仿宋_GB2312" w:hint="eastAsia"/>
          <w:bCs/>
          <w:sz w:val="32"/>
          <w:szCs w:val="32"/>
        </w:rPr>
        <w:t>7</w:t>
      </w:r>
      <w:r>
        <w:rPr>
          <w:rFonts w:ascii="仿宋_GB2312" w:eastAsia="仿宋_GB2312" w:hint="eastAsia"/>
          <w:bCs/>
          <w:sz w:val="32"/>
          <w:szCs w:val="32"/>
        </w:rPr>
        <w:t>路、长</w:t>
      </w:r>
      <w:r>
        <w:rPr>
          <w:rFonts w:ascii="仿宋_GB2312" w:eastAsia="仿宋_GB2312" w:hint="eastAsia"/>
          <w:bCs/>
          <w:sz w:val="32"/>
          <w:szCs w:val="32"/>
        </w:rPr>
        <w:t>23</w:t>
      </w:r>
      <w:r>
        <w:rPr>
          <w:rFonts w:ascii="仿宋_GB2312" w:eastAsia="仿宋_GB2312" w:hint="eastAsia"/>
          <w:bCs/>
          <w:sz w:val="32"/>
          <w:szCs w:val="32"/>
        </w:rPr>
        <w:t>路）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-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北行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路口右转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-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沿道路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直行</w:t>
      </w:r>
      <w:r>
        <w:rPr>
          <w:rFonts w:ascii="仿宋_GB2312" w:eastAsia="仿宋_GB2312" w:hAnsi="宋体" w:cs="宋体" w:hint="eastAsia"/>
          <w:bCs/>
          <w:color w:val="000000"/>
          <w:sz w:val="32"/>
          <w:szCs w:val="32"/>
          <w:highlight w:val="yellow"/>
        </w:rPr>
        <w:t>150m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-</w:t>
      </w:r>
      <w:r>
        <w:rPr>
          <w:rFonts w:ascii="仿宋_GB2312" w:eastAsia="仿宋_GB2312" w:hint="eastAsia"/>
          <w:bCs/>
          <w:sz w:val="32"/>
          <w:szCs w:val="32"/>
          <w:highlight w:val="yellow"/>
        </w:rPr>
        <w:t>碧桂园领寓销售中心</w:t>
      </w:r>
    </w:p>
    <w:p w:rsidR="00227D27" w:rsidRDefault="00227D27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ind w:firstLineChars="150" w:firstLine="480"/>
        <w:rPr>
          <w:rFonts w:ascii="仿宋_GB2312" w:eastAsia="仿宋_GB2312"/>
          <w:bCs/>
          <w:sz w:val="32"/>
          <w:szCs w:val="32"/>
        </w:rPr>
      </w:pPr>
    </w:p>
    <w:p w:rsidR="00227D27" w:rsidRDefault="00227D27">
      <w:pPr>
        <w:spacing w:line="360" w:lineRule="auto"/>
        <w:rPr>
          <w:rFonts w:ascii="仿宋_GB2312" w:eastAsia="仿宋_GB2312"/>
          <w:b/>
          <w:bCs/>
          <w:sz w:val="32"/>
          <w:szCs w:val="32"/>
        </w:rPr>
      </w:pPr>
    </w:p>
    <w:p w:rsidR="00227D27" w:rsidRDefault="00227D27">
      <w:pPr>
        <w:spacing w:line="360" w:lineRule="auto"/>
        <w:rPr>
          <w:rFonts w:ascii="仿宋_GB2312" w:eastAsia="仿宋_GB2312"/>
          <w:b/>
          <w:bCs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二、交通区位图</w:t>
      </w: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sz w:val="32"/>
          <w:szCs w:val="32"/>
        </w:rPr>
      </w:pPr>
    </w:p>
    <w:p w:rsidR="00227D27" w:rsidRDefault="00227D27">
      <w:pPr>
        <w:spacing w:line="360" w:lineRule="auto"/>
        <w:jc w:val="center"/>
        <w:rPr>
          <w:rFonts w:ascii="仿宋_GB2312" w:eastAsia="仿宋_GB2312"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/>
          <w:b/>
          <w:noProof/>
          <w:sz w:val="32"/>
          <w:szCs w:val="32"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899160</wp:posOffset>
            </wp:positionH>
            <wp:positionV relativeFrom="paragraph">
              <wp:posOffset>80645</wp:posOffset>
            </wp:positionV>
            <wp:extent cx="5673090" cy="4002405"/>
            <wp:effectExtent l="0" t="0" r="3810" b="17145"/>
            <wp:wrapNone/>
            <wp:docPr id="1" name="图片 1" descr="C:\Users\feng\Desktop\工作安排\20171010物料打印\区位图\微信图片_20171208175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feng\Desktop\工作安排\20171010物料打印\区位图\微信图片_2017120817523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658" r="7818" b="10577"/>
                    <a:stretch>
                      <a:fillRect/>
                    </a:stretch>
                  </pic:blipFill>
                  <pic:spPr>
                    <a:xfrm>
                      <a:off x="0" y="0"/>
                      <a:ext cx="5673090" cy="400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5B3A6B">
      <w:pPr>
        <w:tabs>
          <w:tab w:val="left" w:pos="5854"/>
        </w:tabs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ab/>
      </w: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227D27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</w:p>
    <w:p w:rsidR="00227D27" w:rsidRDefault="005B3A6B">
      <w:pPr>
        <w:spacing w:line="360" w:lineRule="auto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三、注意事项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（一）看房家庭须按约定的时间，凭申请人或配偶身份证、预约看房回执参加看房活动。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（二）考虑到看房现场接待能力有限，为了营造顺畅、良好的看房环境，请每个看房家庭最多安排两人现场看房。从安全角度考虑，请看房家庭尽量不要携带老人、儿童。</w:t>
      </w:r>
    </w:p>
    <w:p w:rsidR="00227D27" w:rsidRDefault="005B3A6B">
      <w:pPr>
        <w:spacing w:line="360" w:lineRule="auto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（三）为了保证看房家庭人身安全，请遵循现场工作人员统一安排，不要在看房现场随意走动，以免发生意外。</w:t>
      </w:r>
    </w:p>
    <w:p w:rsidR="00227D27" w:rsidRDefault="005B3A6B">
      <w:pPr>
        <w:tabs>
          <w:tab w:val="left" w:pos="-525"/>
        </w:tabs>
        <w:spacing w:line="360" w:lineRule="auto"/>
        <w:jc w:val="right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深圳市兴益合置业有限公司</w:t>
      </w:r>
    </w:p>
    <w:p w:rsidR="00227D27" w:rsidRDefault="005B3A6B">
      <w:pPr>
        <w:tabs>
          <w:tab w:val="left" w:pos="-525"/>
        </w:tabs>
        <w:spacing w:line="360" w:lineRule="auto"/>
        <w:jc w:val="center"/>
      </w:pPr>
      <w:r>
        <w:rPr>
          <w:rFonts w:ascii="仿宋_GB2312" w:eastAsia="仿宋_GB2312" w:hint="eastAsia"/>
          <w:bCs/>
          <w:sz w:val="32"/>
          <w:szCs w:val="32"/>
        </w:rPr>
        <w:t xml:space="preserve">                               2017</w:t>
      </w:r>
      <w:r>
        <w:rPr>
          <w:rFonts w:ascii="仿宋_GB2312" w:eastAsia="仿宋_GB2312" w:hint="eastAsia"/>
          <w:bCs/>
          <w:sz w:val="32"/>
          <w:szCs w:val="32"/>
        </w:rPr>
        <w:t>年</w:t>
      </w:r>
      <w:r w:rsidR="00FE5AC7">
        <w:rPr>
          <w:rFonts w:ascii="仿宋_GB2312" w:eastAsia="仿宋_GB2312" w:hint="eastAsia"/>
          <w:bCs/>
          <w:sz w:val="32"/>
          <w:szCs w:val="32"/>
        </w:rPr>
        <w:t>12</w:t>
      </w:r>
      <w:r>
        <w:rPr>
          <w:rFonts w:ascii="仿宋_GB2312" w:eastAsia="仿宋_GB2312" w:hint="eastAsia"/>
          <w:bCs/>
          <w:sz w:val="32"/>
          <w:szCs w:val="32"/>
        </w:rPr>
        <w:t>月</w:t>
      </w:r>
      <w:r w:rsidR="00FE5AC7">
        <w:rPr>
          <w:rFonts w:ascii="仿宋_GB2312" w:eastAsia="仿宋_GB2312" w:hint="eastAsia"/>
          <w:bCs/>
          <w:sz w:val="32"/>
          <w:szCs w:val="32"/>
        </w:rPr>
        <w:t>15</w:t>
      </w:r>
      <w:r>
        <w:rPr>
          <w:rFonts w:ascii="仿宋_GB2312" w:eastAsia="仿宋_GB2312" w:hint="eastAsia"/>
          <w:bCs/>
          <w:sz w:val="32"/>
          <w:szCs w:val="32"/>
        </w:rPr>
        <w:t>日</w:t>
      </w:r>
      <w:bookmarkStart w:id="0" w:name="_GoBack"/>
      <w:bookmarkEnd w:id="0"/>
    </w:p>
    <w:sectPr w:rsidR="00227D27" w:rsidSect="00227D2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3A6B" w:rsidRDefault="005B3A6B" w:rsidP="00FE5AC7">
      <w:pPr>
        <w:spacing w:after="0"/>
      </w:pPr>
      <w:r>
        <w:separator/>
      </w:r>
    </w:p>
  </w:endnote>
  <w:endnote w:type="continuationSeparator" w:id="1">
    <w:p w:rsidR="005B3A6B" w:rsidRDefault="005B3A6B" w:rsidP="00FE5AC7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创艺简标宋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3A6B" w:rsidRDefault="005B3A6B" w:rsidP="00FE5AC7">
      <w:pPr>
        <w:spacing w:after="0"/>
      </w:pPr>
      <w:r>
        <w:separator/>
      </w:r>
    </w:p>
  </w:footnote>
  <w:footnote w:type="continuationSeparator" w:id="1">
    <w:p w:rsidR="005B3A6B" w:rsidRDefault="005B3A6B" w:rsidP="00FE5AC7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720"/>
  <w:characterSpacingControl w:val="doNotCompress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doNotLeaveBackslashAlone/>
    <w:ulTrailSpace/>
    <w:useFELayout/>
  </w:compat>
  <w:rsids>
    <w:rsidRoot w:val="00D31D50"/>
    <w:rsid w:val="00000BF2"/>
    <w:rsid w:val="000371FE"/>
    <w:rsid w:val="000C3C2D"/>
    <w:rsid w:val="000E6B55"/>
    <w:rsid w:val="00180FEA"/>
    <w:rsid w:val="001D2F9C"/>
    <w:rsid w:val="00203156"/>
    <w:rsid w:val="002100FC"/>
    <w:rsid w:val="00227D27"/>
    <w:rsid w:val="00241F28"/>
    <w:rsid w:val="00261CC9"/>
    <w:rsid w:val="00294B1B"/>
    <w:rsid w:val="002C159A"/>
    <w:rsid w:val="002E2A43"/>
    <w:rsid w:val="00323B43"/>
    <w:rsid w:val="003B5297"/>
    <w:rsid w:val="003B7A6C"/>
    <w:rsid w:val="003D37D8"/>
    <w:rsid w:val="003E1744"/>
    <w:rsid w:val="004104C1"/>
    <w:rsid w:val="0041688C"/>
    <w:rsid w:val="00426133"/>
    <w:rsid w:val="004358AB"/>
    <w:rsid w:val="004A3618"/>
    <w:rsid w:val="004A534A"/>
    <w:rsid w:val="004B7537"/>
    <w:rsid w:val="004D69EF"/>
    <w:rsid w:val="004E7CF3"/>
    <w:rsid w:val="00501E89"/>
    <w:rsid w:val="00505E99"/>
    <w:rsid w:val="00534B10"/>
    <w:rsid w:val="00584A52"/>
    <w:rsid w:val="005B3A6B"/>
    <w:rsid w:val="005E6BD3"/>
    <w:rsid w:val="005F67FB"/>
    <w:rsid w:val="00642C25"/>
    <w:rsid w:val="006D7872"/>
    <w:rsid w:val="007039A6"/>
    <w:rsid w:val="00736B27"/>
    <w:rsid w:val="00755F60"/>
    <w:rsid w:val="00791EC1"/>
    <w:rsid w:val="007C4B79"/>
    <w:rsid w:val="007F6EDE"/>
    <w:rsid w:val="00801955"/>
    <w:rsid w:val="0083041D"/>
    <w:rsid w:val="008312AE"/>
    <w:rsid w:val="00857BC5"/>
    <w:rsid w:val="008A52EC"/>
    <w:rsid w:val="008B7726"/>
    <w:rsid w:val="00930350"/>
    <w:rsid w:val="00992AFE"/>
    <w:rsid w:val="009A1E0F"/>
    <w:rsid w:val="009A3BA1"/>
    <w:rsid w:val="009E2015"/>
    <w:rsid w:val="00A231DF"/>
    <w:rsid w:val="00A67D8C"/>
    <w:rsid w:val="00A82199"/>
    <w:rsid w:val="00A952E2"/>
    <w:rsid w:val="00AB0975"/>
    <w:rsid w:val="00AC7C3A"/>
    <w:rsid w:val="00B518DD"/>
    <w:rsid w:val="00B600EE"/>
    <w:rsid w:val="00B91DAE"/>
    <w:rsid w:val="00BB4310"/>
    <w:rsid w:val="00C101DC"/>
    <w:rsid w:val="00C40D62"/>
    <w:rsid w:val="00CF575A"/>
    <w:rsid w:val="00D31D50"/>
    <w:rsid w:val="00D52339"/>
    <w:rsid w:val="00D52CA1"/>
    <w:rsid w:val="00D916CC"/>
    <w:rsid w:val="00DA3407"/>
    <w:rsid w:val="00DF7A43"/>
    <w:rsid w:val="00EF3423"/>
    <w:rsid w:val="00F23A58"/>
    <w:rsid w:val="00F84FC9"/>
    <w:rsid w:val="00FC0619"/>
    <w:rsid w:val="00FE4EC8"/>
    <w:rsid w:val="00FE5AC7"/>
    <w:rsid w:val="0904698D"/>
    <w:rsid w:val="0F491B21"/>
    <w:rsid w:val="1D416ABD"/>
    <w:rsid w:val="2604501C"/>
    <w:rsid w:val="2A5218FD"/>
    <w:rsid w:val="2C3D5775"/>
    <w:rsid w:val="32F0569E"/>
    <w:rsid w:val="45B403A3"/>
    <w:rsid w:val="706A03C3"/>
    <w:rsid w:val="77F959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微软雅黑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semiHidden="0" w:qFormat="1"/>
    <w:lsdException w:name="Hyperlink" w:semiHidden="0" w:uiPriority="99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iPriority="99" w:qFormat="1"/>
    <w:lsdException w:name="Table Grid" w:uiPriority="5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D27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nhideWhenUsed/>
    <w:qFormat/>
    <w:rsid w:val="00227D27"/>
    <w:pPr>
      <w:ind w:leftChars="2500" w:left="100"/>
    </w:pPr>
    <w:rPr>
      <w:rFonts w:ascii="仿宋_GB2312" w:eastAsia="仿宋_GB2312"/>
      <w:bCs/>
      <w:sz w:val="32"/>
      <w:szCs w:val="32"/>
    </w:rPr>
  </w:style>
  <w:style w:type="paragraph" w:styleId="a4">
    <w:name w:val="Balloon Text"/>
    <w:basedOn w:val="a"/>
    <w:link w:val="Char0"/>
    <w:uiPriority w:val="99"/>
    <w:unhideWhenUsed/>
    <w:qFormat/>
    <w:rsid w:val="00227D27"/>
    <w:pPr>
      <w:spacing w:after="0"/>
    </w:pPr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227D27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link w:val="Char2"/>
    <w:unhideWhenUsed/>
    <w:qFormat/>
    <w:rsid w:val="00227D2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227D27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8">
    <w:name w:val="Strong"/>
    <w:basedOn w:val="a0"/>
    <w:uiPriority w:val="22"/>
    <w:qFormat/>
    <w:rsid w:val="00227D27"/>
    <w:rPr>
      <w:b/>
      <w:bCs/>
    </w:rPr>
  </w:style>
  <w:style w:type="character" w:styleId="a9">
    <w:name w:val="Hyperlink"/>
    <w:basedOn w:val="a0"/>
    <w:uiPriority w:val="99"/>
    <w:unhideWhenUsed/>
    <w:qFormat/>
    <w:rsid w:val="00227D27"/>
    <w:rPr>
      <w:color w:val="0000FF"/>
      <w:u w:val="single"/>
    </w:rPr>
  </w:style>
  <w:style w:type="character" w:customStyle="1" w:styleId="apple-converted-space">
    <w:name w:val="apple-converted-space"/>
    <w:basedOn w:val="a0"/>
    <w:qFormat/>
    <w:rsid w:val="00227D27"/>
  </w:style>
  <w:style w:type="character" w:customStyle="1" w:styleId="Char0">
    <w:name w:val="批注框文本 Char"/>
    <w:basedOn w:val="a0"/>
    <w:link w:val="a4"/>
    <w:uiPriority w:val="99"/>
    <w:semiHidden/>
    <w:qFormat/>
    <w:rsid w:val="00227D27"/>
    <w:rPr>
      <w:rFonts w:ascii="Tahoma" w:hAnsi="Tahoma"/>
      <w:sz w:val="18"/>
      <w:szCs w:val="18"/>
    </w:rPr>
  </w:style>
  <w:style w:type="character" w:customStyle="1" w:styleId="Char2">
    <w:name w:val="页眉 Char"/>
    <w:basedOn w:val="a0"/>
    <w:link w:val="a6"/>
    <w:semiHidden/>
    <w:qFormat/>
    <w:rsid w:val="00227D27"/>
    <w:rPr>
      <w:rFonts w:ascii="Tahoma" w:hAnsi="Tahoma"/>
      <w:sz w:val="18"/>
      <w:szCs w:val="18"/>
    </w:rPr>
  </w:style>
  <w:style w:type="character" w:customStyle="1" w:styleId="Char1">
    <w:name w:val="页脚 Char"/>
    <w:basedOn w:val="a0"/>
    <w:link w:val="a5"/>
    <w:semiHidden/>
    <w:qFormat/>
    <w:rsid w:val="00227D27"/>
    <w:rPr>
      <w:rFonts w:ascii="Tahoma" w:hAnsi="Tahoma"/>
      <w:sz w:val="18"/>
      <w:szCs w:val="18"/>
    </w:rPr>
  </w:style>
  <w:style w:type="character" w:customStyle="1" w:styleId="Char">
    <w:name w:val="日期 Char"/>
    <w:basedOn w:val="a0"/>
    <w:link w:val="a3"/>
    <w:qFormat/>
    <w:rsid w:val="00227D27"/>
    <w:rPr>
      <w:rFonts w:ascii="仿宋_GB2312" w:eastAsia="仿宋_GB2312" w:hAnsi="Tahoma"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</Words>
  <Characters>935</Characters>
  <Application>Microsoft Office Word</Application>
  <DocSecurity>0</DocSecurity>
  <Lines>7</Lines>
  <Paragraphs>2</Paragraphs>
  <ScaleCrop>false</ScaleCrop>
  <Company>Lenovo (Beijing) Limited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附件：看房交通指引和注意事项</dc:title>
  <dc:creator>Administrator</dc:creator>
  <cp:lastModifiedBy>鲁泽军</cp:lastModifiedBy>
  <cp:revision>4</cp:revision>
  <dcterms:created xsi:type="dcterms:W3CDTF">2017-12-12T11:34:00Z</dcterms:created>
  <dcterms:modified xsi:type="dcterms:W3CDTF">2017-12-15T06:26:00Z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2052-10.1.0.6877</vt:lpwstr>
  </property>
</Properties>
</file>