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480" w:lineRule="auto"/>
        <w:rPr>
          <w:rFonts w:ascii="黑体" w:hAnsi="黑体" w:eastAsia="黑体"/>
          <w:color w:val="000000"/>
          <w:sz w:val="32"/>
          <w:szCs w:val="32"/>
        </w:rPr>
      </w:pPr>
      <w:r>
        <w:rPr>
          <w:rFonts w:hint="eastAsia" w:ascii="黑体" w:hAnsi="黑体" w:eastAsia="黑体"/>
          <w:color w:val="000000"/>
          <w:sz w:val="32"/>
          <w:szCs w:val="32"/>
        </w:rPr>
        <w:t>附件2</w:t>
      </w:r>
    </w:p>
    <w:p>
      <w:pPr>
        <w:snapToGrid w:val="0"/>
        <w:jc w:val="center"/>
        <w:rPr>
          <w:rFonts w:ascii="宋体" w:hAnsi="宋体"/>
          <w:color w:val="000000"/>
          <w:sz w:val="28"/>
          <w:szCs w:val="28"/>
        </w:rPr>
      </w:pPr>
      <w:bookmarkStart w:id="0" w:name="_GoBack"/>
      <w:r>
        <w:rPr>
          <w:rFonts w:hint="eastAsia" w:ascii="宋体" w:hAnsi="宋体"/>
          <w:b/>
          <w:color w:val="000000"/>
          <w:sz w:val="32"/>
          <w:szCs w:val="32"/>
        </w:rPr>
        <w:t>违规行为</w:t>
      </w:r>
      <w:r>
        <w:rPr>
          <w:rFonts w:hint="eastAsia" w:ascii="宋体" w:hAnsi="宋体" w:eastAsia="宋体"/>
          <w:b/>
          <w:color w:val="000000"/>
          <w:sz w:val="32"/>
          <w:szCs w:val="32"/>
        </w:rPr>
        <w:t>处理标准</w:t>
      </w:r>
      <w:bookmarkEnd w:id="0"/>
    </w:p>
    <w:tbl>
      <w:tblPr>
        <w:tblStyle w:val="4"/>
        <w:tblW w:w="1319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795"/>
        <w:gridCol w:w="3288"/>
        <w:gridCol w:w="72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blHeader/>
          <w:jc w:val="center"/>
        </w:trPr>
        <w:tc>
          <w:tcPr>
            <w:tcW w:w="855" w:type="dxa"/>
            <w:tcBorders>
              <w:top w:val="single" w:color="auto" w:sz="12" w:space="0"/>
              <w:left w:val="single" w:color="auto" w:sz="12" w:space="0"/>
              <w:bottom w:val="single" w:color="auto" w:sz="4" w:space="0"/>
            </w:tcBorders>
            <w:vAlign w:val="center"/>
          </w:tcPr>
          <w:p>
            <w:pPr>
              <w:jc w:val="center"/>
              <w:rPr>
                <w:b/>
                <w:color w:val="000000"/>
                <w:sz w:val="24"/>
              </w:rPr>
            </w:pPr>
            <w:r>
              <w:rPr>
                <w:rFonts w:hint="eastAsia"/>
                <w:b/>
                <w:color w:val="000000"/>
                <w:sz w:val="24"/>
              </w:rPr>
              <w:t>序号</w:t>
            </w:r>
          </w:p>
        </w:tc>
        <w:tc>
          <w:tcPr>
            <w:tcW w:w="1795" w:type="dxa"/>
            <w:tcBorders>
              <w:top w:val="single" w:color="auto" w:sz="12" w:space="0"/>
              <w:bottom w:val="single" w:color="auto" w:sz="4" w:space="0"/>
            </w:tcBorders>
            <w:vAlign w:val="center"/>
          </w:tcPr>
          <w:p>
            <w:pPr>
              <w:jc w:val="center"/>
              <w:rPr>
                <w:b/>
                <w:color w:val="000000"/>
                <w:sz w:val="24"/>
              </w:rPr>
            </w:pPr>
            <w:r>
              <w:rPr>
                <w:rFonts w:hint="eastAsia"/>
                <w:b/>
                <w:color w:val="000000"/>
                <w:sz w:val="24"/>
              </w:rPr>
              <w:t>违法违规行为</w:t>
            </w:r>
          </w:p>
        </w:tc>
        <w:tc>
          <w:tcPr>
            <w:tcW w:w="3288" w:type="dxa"/>
            <w:tcBorders>
              <w:top w:val="single" w:color="auto" w:sz="12" w:space="0"/>
            </w:tcBorders>
            <w:vAlign w:val="center"/>
          </w:tcPr>
          <w:p>
            <w:pPr>
              <w:jc w:val="center"/>
              <w:rPr>
                <w:b/>
                <w:color w:val="000000"/>
                <w:sz w:val="24"/>
              </w:rPr>
            </w:pPr>
            <w:r>
              <w:rPr>
                <w:rFonts w:hint="eastAsia"/>
                <w:b/>
                <w:color w:val="000000"/>
                <w:sz w:val="24"/>
              </w:rPr>
              <w:t>具体情形</w:t>
            </w:r>
          </w:p>
        </w:tc>
        <w:tc>
          <w:tcPr>
            <w:tcW w:w="7257" w:type="dxa"/>
            <w:tcBorders>
              <w:top w:val="single" w:color="auto" w:sz="12" w:space="0"/>
              <w:right w:val="single" w:color="auto" w:sz="12" w:space="0"/>
            </w:tcBorders>
            <w:vAlign w:val="center"/>
          </w:tcPr>
          <w:p>
            <w:pPr>
              <w:jc w:val="center"/>
              <w:rPr>
                <w:b/>
                <w:color w:val="000000"/>
                <w:sz w:val="24"/>
              </w:rPr>
            </w:pPr>
            <w:r>
              <w:rPr>
                <w:rFonts w:hint="eastAsia"/>
                <w:b/>
                <w:color w:val="000000"/>
                <w:sz w:val="24"/>
              </w:rPr>
              <w:t>相关处罚标准及规定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0" w:hRule="atLeast"/>
          <w:jc w:val="center"/>
        </w:trPr>
        <w:tc>
          <w:tcPr>
            <w:tcW w:w="855" w:type="dxa"/>
            <w:vMerge w:val="restart"/>
            <w:tcBorders>
              <w:left w:val="single" w:color="auto" w:sz="12" w:space="0"/>
              <w:bottom w:val="single" w:color="auto" w:sz="12" w:space="0"/>
            </w:tcBorders>
            <w:vAlign w:val="center"/>
          </w:tcPr>
          <w:p>
            <w:pPr>
              <w:jc w:val="center"/>
              <w:rPr>
                <w:rFonts w:ascii="宋体" w:hAnsi="宋体"/>
                <w:color w:val="000000"/>
                <w:szCs w:val="21"/>
              </w:rPr>
            </w:pPr>
            <w:r>
              <w:rPr>
                <w:rFonts w:hint="eastAsia" w:ascii="宋体" w:hAnsi="宋体"/>
                <w:color w:val="000000"/>
                <w:szCs w:val="21"/>
              </w:rPr>
              <w:t>1</w:t>
            </w:r>
          </w:p>
        </w:tc>
        <w:tc>
          <w:tcPr>
            <w:tcW w:w="1795" w:type="dxa"/>
            <w:vMerge w:val="restart"/>
            <w:tcBorders>
              <w:bottom w:val="single" w:color="auto" w:sz="12" w:space="0"/>
            </w:tcBorders>
            <w:vAlign w:val="center"/>
          </w:tcPr>
          <w:p>
            <w:pPr>
              <w:rPr>
                <w:rFonts w:ascii="宋体" w:hAnsi="宋体"/>
                <w:color w:val="000000"/>
                <w:szCs w:val="21"/>
              </w:rPr>
            </w:pPr>
            <w:r>
              <w:rPr>
                <w:rFonts w:hint="eastAsia" w:ascii="宋体" w:hAnsi="宋体"/>
                <w:color w:val="000000"/>
                <w:szCs w:val="21"/>
              </w:rPr>
              <w:t>出具虚假检测报告</w:t>
            </w:r>
          </w:p>
        </w:tc>
        <w:tc>
          <w:tcPr>
            <w:tcW w:w="3288" w:type="dxa"/>
            <w:vAlign w:val="center"/>
          </w:tcPr>
          <w:p>
            <w:pPr>
              <w:rPr>
                <w:rFonts w:ascii="宋体" w:hAnsi="宋体"/>
                <w:color w:val="000000"/>
                <w:szCs w:val="21"/>
              </w:rPr>
            </w:pPr>
            <w:r>
              <w:rPr>
                <w:rFonts w:hint="eastAsia" w:ascii="宋体" w:hAnsi="宋体"/>
                <w:color w:val="000000"/>
                <w:szCs w:val="21"/>
              </w:rPr>
              <w:t>1、未经检测就出具的检测报告</w:t>
            </w:r>
          </w:p>
        </w:tc>
        <w:tc>
          <w:tcPr>
            <w:tcW w:w="7257" w:type="dxa"/>
            <w:vMerge w:val="restart"/>
            <w:tcBorders>
              <w:right w:val="single" w:color="auto" w:sz="12" w:space="0"/>
            </w:tcBorders>
            <w:vAlign w:val="center"/>
          </w:tcPr>
          <w:p>
            <w:pPr>
              <w:rPr>
                <w:rFonts w:ascii="宋体" w:hAnsi="宋体"/>
                <w:color w:val="000000"/>
                <w:szCs w:val="21"/>
              </w:rPr>
            </w:pPr>
            <w:r>
              <w:rPr>
                <w:rFonts w:hint="eastAsia" w:ascii="宋体" w:hAnsi="宋体"/>
                <w:b/>
                <w:color w:val="000000"/>
                <w:szCs w:val="21"/>
              </w:rPr>
              <w:t>深条例:</w:t>
            </w:r>
            <w:r>
              <w:rPr>
                <w:rFonts w:hint="eastAsia" w:ascii="宋体" w:hAnsi="宋体"/>
                <w:color w:val="000000"/>
                <w:szCs w:val="21"/>
              </w:rPr>
              <w:t>第七十一条第（三）款：伪造检测数据和检测结论的，出具虚假证明的，吊销其资质证书，没收违法所得，并处一万元以上二万元以下的罚款；构成犯罪的，依法追究刑事责任。</w:t>
            </w:r>
          </w:p>
          <w:p>
            <w:pPr>
              <w:ind w:firstLine="600" w:firstLineChars="300"/>
              <w:rPr>
                <w:rFonts w:ascii="宋体" w:hAnsi="宋体"/>
                <w:color w:val="000000"/>
                <w:szCs w:val="21"/>
              </w:rPr>
            </w:pPr>
            <w:r>
              <w:rPr>
                <w:rFonts w:hint="eastAsia" w:ascii="宋体" w:hAnsi="宋体"/>
                <w:color w:val="000000"/>
                <w:szCs w:val="21"/>
              </w:rPr>
              <w:t>第七十四条 检测人员对检测数据和检测结论弄虚作假的，处一万元以上五万元以下的罚款。</w:t>
            </w:r>
          </w:p>
          <w:p>
            <w:pPr>
              <w:rPr>
                <w:rFonts w:ascii="宋体" w:hAnsi="宋体"/>
                <w:color w:val="000000"/>
                <w:szCs w:val="21"/>
              </w:rPr>
            </w:pPr>
            <w:r>
              <w:rPr>
                <w:rFonts w:hint="eastAsia" w:ascii="宋体" w:hAnsi="宋体"/>
                <w:color w:val="000000"/>
                <w:szCs w:val="21"/>
              </w:rPr>
              <w:t>141号：第三十条　检测机构伪造检测数据，出具虚假检测报告或者鉴定结论的，县级以上地方人民政府建设主管部门给予警告，并处3万元罚款；给他人造成损失的，依法承担赔偿责任；构成犯罪的，依法追究其刑事责任。</w:t>
            </w:r>
          </w:p>
          <w:p>
            <w:pPr>
              <w:ind w:firstLine="600" w:firstLineChars="300"/>
              <w:rPr>
                <w:rFonts w:ascii="宋体" w:hAnsi="宋体"/>
                <w:color w:val="000000"/>
                <w:szCs w:val="21"/>
              </w:rPr>
            </w:pPr>
            <w:r>
              <w:rPr>
                <w:rFonts w:hint="eastAsia" w:ascii="宋体" w:hAnsi="宋体"/>
                <w:color w:val="000000"/>
                <w:szCs w:val="21"/>
              </w:rPr>
              <w:t>第三十二条　依照本办法规定，给予检测机构罚款处罚的，对检测机构的法定代表人和其他直接责任人员处罚款数额5％以上10％以下的罚款。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8" w:hRule="atLeast"/>
          <w:jc w:val="center"/>
        </w:trPr>
        <w:tc>
          <w:tcPr>
            <w:tcW w:w="855" w:type="dxa"/>
            <w:vMerge w:val="continue"/>
            <w:tcBorders>
              <w:left w:val="single" w:color="auto" w:sz="12" w:space="0"/>
              <w:bottom w:val="single" w:color="auto" w:sz="12" w:space="0"/>
            </w:tcBorders>
            <w:vAlign w:val="center"/>
          </w:tcPr>
          <w:p>
            <w:pPr>
              <w:jc w:val="center"/>
              <w:rPr>
                <w:rFonts w:ascii="宋体" w:hAnsi="宋体"/>
                <w:color w:val="000000"/>
                <w:szCs w:val="21"/>
              </w:rPr>
            </w:pPr>
          </w:p>
        </w:tc>
        <w:tc>
          <w:tcPr>
            <w:tcW w:w="1795" w:type="dxa"/>
            <w:vMerge w:val="continue"/>
            <w:tcBorders>
              <w:bottom w:val="single" w:color="auto" w:sz="12" w:space="0"/>
            </w:tcBorders>
            <w:vAlign w:val="center"/>
          </w:tcPr>
          <w:p>
            <w:pPr>
              <w:rPr>
                <w:rFonts w:ascii="宋体" w:hAnsi="宋体"/>
                <w:color w:val="000000"/>
                <w:szCs w:val="21"/>
              </w:rPr>
            </w:pPr>
          </w:p>
        </w:tc>
        <w:tc>
          <w:tcPr>
            <w:tcW w:w="3288" w:type="dxa"/>
            <w:vAlign w:val="center"/>
          </w:tcPr>
          <w:p>
            <w:pPr>
              <w:rPr>
                <w:rFonts w:ascii="宋体" w:hAnsi="宋体"/>
                <w:color w:val="000000"/>
                <w:szCs w:val="21"/>
              </w:rPr>
            </w:pPr>
            <w:r>
              <w:rPr>
                <w:rFonts w:hint="eastAsia" w:ascii="宋体" w:hAnsi="宋体"/>
                <w:color w:val="000000"/>
                <w:szCs w:val="21"/>
              </w:rPr>
              <w:t>2、不按规定的检测程序及方法进行检测出具的检测报告</w:t>
            </w:r>
          </w:p>
        </w:tc>
        <w:tc>
          <w:tcPr>
            <w:tcW w:w="7257" w:type="dxa"/>
            <w:vMerge w:val="continue"/>
            <w:tcBorders>
              <w:right w:val="single" w:color="auto" w:sz="12"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9" w:hRule="atLeast"/>
          <w:jc w:val="center"/>
        </w:trPr>
        <w:tc>
          <w:tcPr>
            <w:tcW w:w="855" w:type="dxa"/>
            <w:vMerge w:val="continue"/>
            <w:tcBorders>
              <w:left w:val="single" w:color="auto" w:sz="12" w:space="0"/>
              <w:bottom w:val="single" w:color="auto" w:sz="12" w:space="0"/>
            </w:tcBorders>
            <w:vAlign w:val="center"/>
          </w:tcPr>
          <w:p>
            <w:pPr>
              <w:jc w:val="center"/>
              <w:rPr>
                <w:rFonts w:ascii="宋体" w:hAnsi="宋体"/>
                <w:color w:val="000000"/>
                <w:szCs w:val="21"/>
              </w:rPr>
            </w:pPr>
          </w:p>
        </w:tc>
        <w:tc>
          <w:tcPr>
            <w:tcW w:w="1795" w:type="dxa"/>
            <w:vMerge w:val="continue"/>
            <w:tcBorders>
              <w:bottom w:val="single" w:color="auto" w:sz="12" w:space="0"/>
            </w:tcBorders>
            <w:vAlign w:val="center"/>
          </w:tcPr>
          <w:p>
            <w:pPr>
              <w:rPr>
                <w:rFonts w:ascii="宋体" w:hAnsi="宋体"/>
                <w:color w:val="000000"/>
                <w:szCs w:val="21"/>
              </w:rPr>
            </w:pPr>
          </w:p>
        </w:tc>
        <w:tc>
          <w:tcPr>
            <w:tcW w:w="3288" w:type="dxa"/>
            <w:tcBorders>
              <w:bottom w:val="single" w:color="auto" w:sz="4" w:space="0"/>
            </w:tcBorders>
            <w:vAlign w:val="center"/>
          </w:tcPr>
          <w:p>
            <w:pPr>
              <w:rPr>
                <w:rFonts w:ascii="宋体" w:hAnsi="宋体"/>
                <w:color w:val="000000"/>
                <w:szCs w:val="21"/>
              </w:rPr>
            </w:pPr>
            <w:r>
              <w:rPr>
                <w:rFonts w:hint="eastAsia" w:ascii="宋体" w:hAnsi="宋体"/>
                <w:color w:val="000000"/>
                <w:szCs w:val="21"/>
              </w:rPr>
              <w:t>3、检测报告中数据、结论等实质性内容被更改的检测报告</w:t>
            </w:r>
          </w:p>
        </w:tc>
        <w:tc>
          <w:tcPr>
            <w:tcW w:w="7257" w:type="dxa"/>
            <w:vMerge w:val="continue"/>
            <w:tcBorders>
              <w:bottom w:val="single" w:color="auto" w:sz="4" w:space="0"/>
              <w:right w:val="single" w:color="auto" w:sz="12"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5" w:hRule="atLeast"/>
          <w:jc w:val="center"/>
        </w:trPr>
        <w:tc>
          <w:tcPr>
            <w:tcW w:w="855" w:type="dxa"/>
            <w:vMerge w:val="continue"/>
            <w:tcBorders>
              <w:left w:val="single" w:color="auto" w:sz="12" w:space="0"/>
              <w:bottom w:val="single" w:color="auto" w:sz="12" w:space="0"/>
            </w:tcBorders>
            <w:vAlign w:val="center"/>
          </w:tcPr>
          <w:p>
            <w:pPr>
              <w:jc w:val="center"/>
              <w:rPr>
                <w:rFonts w:ascii="宋体" w:hAnsi="宋体"/>
                <w:color w:val="000000"/>
                <w:szCs w:val="21"/>
              </w:rPr>
            </w:pPr>
          </w:p>
        </w:tc>
        <w:tc>
          <w:tcPr>
            <w:tcW w:w="1795" w:type="dxa"/>
            <w:vMerge w:val="continue"/>
            <w:tcBorders>
              <w:bottom w:val="single" w:color="auto" w:sz="12" w:space="0"/>
            </w:tcBorders>
            <w:vAlign w:val="center"/>
          </w:tcPr>
          <w:p>
            <w:pPr>
              <w:rPr>
                <w:rFonts w:ascii="宋体" w:hAnsi="宋体"/>
                <w:color w:val="000000"/>
                <w:szCs w:val="21"/>
              </w:rPr>
            </w:pPr>
          </w:p>
        </w:tc>
        <w:tc>
          <w:tcPr>
            <w:tcW w:w="3288" w:type="dxa"/>
            <w:vAlign w:val="center"/>
          </w:tcPr>
          <w:p>
            <w:pPr>
              <w:rPr>
                <w:rFonts w:ascii="宋体" w:hAnsi="宋体"/>
                <w:color w:val="000000"/>
                <w:szCs w:val="21"/>
              </w:rPr>
            </w:pPr>
            <w:r>
              <w:rPr>
                <w:rFonts w:hint="eastAsia" w:ascii="宋体" w:hAnsi="宋体"/>
                <w:color w:val="000000"/>
                <w:szCs w:val="21"/>
              </w:rPr>
              <w:t>4、</w:t>
            </w:r>
            <w:r>
              <w:rPr>
                <w:rFonts w:ascii="宋体" w:hAnsi="宋体"/>
                <w:color w:val="000000"/>
                <w:szCs w:val="21"/>
              </w:rPr>
              <w:t>建设、监理或者施工单位明示或暗示检测单位出具虚假检测报告</w:t>
            </w:r>
          </w:p>
        </w:tc>
        <w:tc>
          <w:tcPr>
            <w:tcW w:w="7257" w:type="dxa"/>
            <w:vMerge w:val="restart"/>
            <w:tcBorders>
              <w:right w:val="single" w:color="auto" w:sz="12" w:space="0"/>
            </w:tcBorders>
            <w:vAlign w:val="center"/>
          </w:tcPr>
          <w:p>
            <w:pPr>
              <w:rPr>
                <w:rFonts w:ascii="宋体" w:hAnsi="宋体"/>
                <w:color w:val="000000"/>
                <w:szCs w:val="21"/>
              </w:rPr>
            </w:pPr>
            <w:r>
              <w:rPr>
                <w:rFonts w:hint="eastAsia" w:ascii="宋体" w:hAnsi="宋体"/>
                <w:b/>
                <w:color w:val="000000"/>
                <w:szCs w:val="21"/>
              </w:rPr>
              <w:t>141号:</w:t>
            </w:r>
            <w:r>
              <w:rPr>
                <w:rFonts w:hint="eastAsia" w:ascii="宋体" w:hAnsi="宋体"/>
                <w:color w:val="000000"/>
                <w:szCs w:val="21"/>
              </w:rPr>
              <w:t>第三十一条　违反本办法规定，委托方有下列行为之一的，由县级以上地方人民政府建设主管部门责令改正，处1万元以上3万元以下的罚款：（二）明示或暗示检测机构出具虚假检测报告，篡改或伪造检测报告的；</w:t>
            </w:r>
          </w:p>
          <w:p>
            <w:pPr>
              <w:rPr>
                <w:rFonts w:ascii="宋体" w:hAnsi="宋体"/>
                <w:color w:val="000000"/>
                <w:szCs w:val="21"/>
              </w:rPr>
            </w:pPr>
            <w:r>
              <w:rPr>
                <w:rFonts w:hint="eastAsia"/>
                <w:color w:val="000000"/>
              </w:rPr>
              <w:t>第十五条　任何单位和个人不得明示或者暗示检测机构出具虚假检测报告，不得篡改或者伪造检测报告。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2" w:hRule="atLeast"/>
          <w:jc w:val="center"/>
        </w:trPr>
        <w:tc>
          <w:tcPr>
            <w:tcW w:w="855" w:type="dxa"/>
            <w:vMerge w:val="continue"/>
            <w:tcBorders>
              <w:left w:val="single" w:color="auto" w:sz="12" w:space="0"/>
              <w:bottom w:val="single" w:color="auto" w:sz="12" w:space="0"/>
            </w:tcBorders>
            <w:vAlign w:val="center"/>
          </w:tcPr>
          <w:p>
            <w:pPr>
              <w:jc w:val="center"/>
              <w:rPr>
                <w:rFonts w:ascii="宋体" w:hAnsi="宋体"/>
                <w:color w:val="000000"/>
                <w:szCs w:val="21"/>
              </w:rPr>
            </w:pPr>
          </w:p>
        </w:tc>
        <w:tc>
          <w:tcPr>
            <w:tcW w:w="1795" w:type="dxa"/>
            <w:vMerge w:val="continue"/>
            <w:tcBorders>
              <w:bottom w:val="single" w:color="auto" w:sz="12" w:space="0"/>
            </w:tcBorders>
            <w:vAlign w:val="center"/>
          </w:tcPr>
          <w:p>
            <w:pPr>
              <w:rPr>
                <w:rFonts w:ascii="宋体" w:hAnsi="宋体"/>
                <w:color w:val="000000"/>
                <w:szCs w:val="21"/>
              </w:rPr>
            </w:pPr>
          </w:p>
        </w:tc>
        <w:tc>
          <w:tcPr>
            <w:tcW w:w="3288" w:type="dxa"/>
            <w:tcBorders>
              <w:bottom w:val="single" w:color="auto" w:sz="12" w:space="0"/>
            </w:tcBorders>
            <w:vAlign w:val="center"/>
          </w:tcPr>
          <w:p>
            <w:pPr>
              <w:rPr>
                <w:rFonts w:ascii="宋体" w:hAnsi="宋体"/>
                <w:color w:val="000000"/>
                <w:szCs w:val="21"/>
              </w:rPr>
            </w:pPr>
            <w:r>
              <w:rPr>
                <w:rFonts w:hint="eastAsia" w:ascii="宋体" w:hAnsi="宋体"/>
                <w:color w:val="000000"/>
                <w:szCs w:val="21"/>
              </w:rPr>
              <w:t>5、</w:t>
            </w:r>
            <w:r>
              <w:rPr>
                <w:rFonts w:ascii="宋体" w:hAnsi="宋体"/>
                <w:color w:val="000000"/>
                <w:szCs w:val="21"/>
              </w:rPr>
              <w:t>建设、监理或者施工单位</w:t>
            </w:r>
            <w:r>
              <w:rPr>
                <w:rFonts w:hint="eastAsia" w:ascii="宋体" w:hAnsi="宋体"/>
                <w:color w:val="000000"/>
                <w:szCs w:val="21"/>
              </w:rPr>
              <w:t>伪造</w:t>
            </w:r>
            <w:r>
              <w:rPr>
                <w:rFonts w:ascii="宋体" w:hAnsi="宋体"/>
                <w:color w:val="000000"/>
                <w:szCs w:val="21"/>
              </w:rPr>
              <w:t>检测报告</w:t>
            </w:r>
          </w:p>
        </w:tc>
        <w:tc>
          <w:tcPr>
            <w:tcW w:w="7257" w:type="dxa"/>
            <w:vMerge w:val="continue"/>
            <w:tcBorders>
              <w:bottom w:val="single" w:color="auto" w:sz="12" w:space="0"/>
              <w:right w:val="single" w:color="auto" w:sz="12" w:space="0"/>
            </w:tcBorders>
            <w:vAlign w:val="top"/>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5" w:hRule="atLeast"/>
          <w:jc w:val="center"/>
        </w:trPr>
        <w:tc>
          <w:tcPr>
            <w:tcW w:w="855" w:type="dxa"/>
            <w:vMerge w:val="restart"/>
            <w:tcBorders>
              <w:left w:val="single" w:color="auto" w:sz="12" w:space="0"/>
            </w:tcBorders>
            <w:vAlign w:val="center"/>
          </w:tcPr>
          <w:p>
            <w:pPr>
              <w:jc w:val="center"/>
              <w:rPr>
                <w:rFonts w:hint="eastAsia" w:ascii="宋体" w:hAnsi="宋体" w:eastAsia="宋体"/>
                <w:color w:val="000000"/>
                <w:szCs w:val="21"/>
                <w:lang w:eastAsia="zh-CN"/>
              </w:rPr>
            </w:pPr>
            <w:r>
              <w:rPr>
                <w:rFonts w:hint="eastAsia" w:ascii="宋体" w:hAnsi="宋体"/>
                <w:color w:val="000000"/>
                <w:szCs w:val="21"/>
                <w:lang w:val="en-US" w:eastAsia="zh-CN"/>
              </w:rPr>
              <w:t>2</w:t>
            </w:r>
          </w:p>
        </w:tc>
        <w:tc>
          <w:tcPr>
            <w:tcW w:w="1795" w:type="dxa"/>
            <w:vMerge w:val="restart"/>
            <w:vAlign w:val="center"/>
          </w:tcPr>
          <w:p>
            <w:pPr>
              <w:rPr>
                <w:rFonts w:ascii="宋体" w:hAnsi="宋体"/>
                <w:color w:val="000000"/>
                <w:szCs w:val="21"/>
              </w:rPr>
            </w:pPr>
            <w:r>
              <w:rPr>
                <w:rFonts w:hint="eastAsia" w:ascii="宋体" w:hAnsi="宋体"/>
                <w:color w:val="000000"/>
                <w:szCs w:val="21"/>
              </w:rPr>
              <w:t>检测人员资格与能力未符合要求</w:t>
            </w:r>
          </w:p>
        </w:tc>
        <w:tc>
          <w:tcPr>
            <w:tcW w:w="3288" w:type="dxa"/>
            <w:tcBorders>
              <w:bottom w:val="single" w:color="auto" w:sz="4" w:space="0"/>
            </w:tcBorders>
            <w:vAlign w:val="center"/>
          </w:tcPr>
          <w:p>
            <w:pPr>
              <w:widowControl/>
              <w:spacing w:beforeAutospacing="1" w:afterAutospacing="1"/>
              <w:rPr>
                <w:rFonts w:ascii="宋体" w:hAnsi="宋体"/>
                <w:color w:val="000000"/>
                <w:szCs w:val="21"/>
              </w:rPr>
            </w:pPr>
            <w:r>
              <w:rPr>
                <w:rFonts w:hint="eastAsia" w:ascii="宋体" w:hAnsi="宋体"/>
                <w:color w:val="000000"/>
                <w:szCs w:val="21"/>
              </w:rPr>
              <w:t>1、检测单位各检测项目人员数量、配置不符合要求</w:t>
            </w:r>
          </w:p>
        </w:tc>
        <w:tc>
          <w:tcPr>
            <w:tcW w:w="7257" w:type="dxa"/>
            <w:tcBorders>
              <w:bottom w:val="single" w:color="auto" w:sz="4" w:space="0"/>
              <w:right w:val="single" w:color="auto" w:sz="12" w:space="0"/>
            </w:tcBorders>
            <w:vAlign w:val="center"/>
          </w:tcPr>
          <w:p>
            <w:pPr>
              <w:rPr>
                <w:color w:val="000000"/>
              </w:rPr>
            </w:pPr>
            <w:r>
              <w:rPr>
                <w:b/>
                <w:color w:val="000000"/>
              </w:rPr>
              <w:t>GB 50618</w:t>
            </w:r>
            <w:r>
              <w:rPr>
                <w:rFonts w:hint="eastAsia"/>
                <w:b/>
                <w:color w:val="000000"/>
              </w:rPr>
              <w:t>：</w:t>
            </w:r>
            <w:r>
              <w:rPr>
                <w:rFonts w:hint="eastAsia"/>
                <w:color w:val="000000"/>
              </w:rPr>
              <w:t>第4.1.1条（强条） 检测机构应配备能满足所开展检测项目要求的检测人员。4.1.4条检测机构室内检测项目持有岗位证书的操作人员不得少于2人；现场检测项目持有岗位证书的操作人员不得少于3人；附录A有具体要求。</w:t>
            </w:r>
          </w:p>
          <w:p>
            <w:pPr>
              <w:rPr>
                <w:rFonts w:ascii="宋体" w:hAnsi="宋体"/>
                <w:color w:val="000000"/>
                <w:szCs w:val="21"/>
              </w:rPr>
            </w:pPr>
            <w:r>
              <w:rPr>
                <w:rFonts w:hint="eastAsia"/>
                <w:color w:val="000000"/>
              </w:rPr>
              <w:t>《广东省建设工程质量检测机构资质条件细则》对人员也有具体要求。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5" w:hRule="atLeast"/>
          <w:jc w:val="center"/>
        </w:trPr>
        <w:tc>
          <w:tcPr>
            <w:tcW w:w="855" w:type="dxa"/>
            <w:vMerge w:val="continue"/>
            <w:tcBorders>
              <w:left w:val="single" w:color="auto" w:sz="12" w:space="0"/>
            </w:tcBorders>
            <w:vAlign w:val="center"/>
          </w:tcPr>
          <w:p>
            <w:pPr>
              <w:jc w:val="center"/>
              <w:rPr>
                <w:rFonts w:ascii="宋体" w:hAnsi="宋体"/>
                <w:color w:val="000000"/>
                <w:szCs w:val="21"/>
              </w:rPr>
            </w:pPr>
          </w:p>
        </w:tc>
        <w:tc>
          <w:tcPr>
            <w:tcW w:w="1795" w:type="dxa"/>
            <w:vMerge w:val="continue"/>
            <w:vAlign w:val="center"/>
          </w:tcPr>
          <w:p>
            <w:pPr>
              <w:rPr>
                <w:rFonts w:ascii="宋体" w:hAnsi="宋体"/>
                <w:color w:val="000000"/>
                <w:szCs w:val="21"/>
              </w:rPr>
            </w:pPr>
          </w:p>
        </w:tc>
        <w:tc>
          <w:tcPr>
            <w:tcW w:w="3288" w:type="dxa"/>
            <w:tcBorders>
              <w:bottom w:val="single" w:color="auto" w:sz="4" w:space="0"/>
            </w:tcBorders>
            <w:vAlign w:val="center"/>
          </w:tcPr>
          <w:p>
            <w:pPr>
              <w:widowControl/>
              <w:spacing w:beforeAutospacing="1" w:afterAutospacing="1"/>
              <w:rPr>
                <w:rFonts w:ascii="宋体" w:hAnsi="宋体"/>
                <w:color w:val="000000"/>
                <w:szCs w:val="21"/>
              </w:rPr>
            </w:pPr>
            <w:r>
              <w:rPr>
                <w:rFonts w:hint="eastAsia" w:ascii="宋体" w:hAnsi="宋体"/>
                <w:color w:val="000000"/>
                <w:szCs w:val="21"/>
              </w:rPr>
              <w:t>2、检测人员超越检测技术培训合格证相应检测内容从事检测工作</w:t>
            </w:r>
          </w:p>
        </w:tc>
        <w:tc>
          <w:tcPr>
            <w:tcW w:w="7257" w:type="dxa"/>
            <w:tcBorders>
              <w:bottom w:val="single" w:color="auto" w:sz="4" w:space="0"/>
              <w:right w:val="single" w:color="auto" w:sz="12" w:space="0"/>
            </w:tcBorders>
            <w:vAlign w:val="center"/>
          </w:tcPr>
          <w:p>
            <w:pPr>
              <w:rPr>
                <w:rFonts w:ascii="宋体" w:hAnsi="宋体"/>
                <w:color w:val="000000"/>
                <w:szCs w:val="21"/>
              </w:rPr>
            </w:pPr>
            <w:r>
              <w:rPr>
                <w:rFonts w:hint="eastAsia"/>
                <w:b/>
                <w:color w:val="000000"/>
              </w:rPr>
              <w:t>141号：</w:t>
            </w:r>
            <w:r>
              <w:rPr>
                <w:rFonts w:hint="eastAsia" w:ascii="宋体" w:hAnsi="宋体"/>
                <w:color w:val="000000"/>
                <w:szCs w:val="21"/>
              </w:rPr>
              <w:t>第二十九条　检测机构违反本办法规定，有下列行为之一的，由县级以上地方人民政府建设主管部门责令改正，可并处1万元以上3万元以下的罚款；构成犯罪的，依法追究刑事责任：（三）使用不符合条件的检测人员的；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5" w:hRule="atLeast"/>
          <w:jc w:val="center"/>
        </w:trPr>
        <w:tc>
          <w:tcPr>
            <w:tcW w:w="855" w:type="dxa"/>
            <w:vMerge w:val="continue"/>
            <w:tcBorders>
              <w:left w:val="single" w:color="auto" w:sz="12" w:space="0"/>
            </w:tcBorders>
            <w:vAlign w:val="center"/>
          </w:tcPr>
          <w:p>
            <w:pPr>
              <w:jc w:val="center"/>
              <w:rPr>
                <w:rFonts w:ascii="宋体" w:hAnsi="宋体"/>
                <w:color w:val="000000"/>
                <w:szCs w:val="21"/>
              </w:rPr>
            </w:pPr>
          </w:p>
        </w:tc>
        <w:tc>
          <w:tcPr>
            <w:tcW w:w="1795" w:type="dxa"/>
            <w:vMerge w:val="continue"/>
            <w:vAlign w:val="center"/>
          </w:tcPr>
          <w:p>
            <w:pPr>
              <w:rPr>
                <w:rFonts w:ascii="宋体" w:hAnsi="宋体"/>
                <w:color w:val="000000"/>
                <w:szCs w:val="21"/>
              </w:rPr>
            </w:pPr>
          </w:p>
        </w:tc>
        <w:tc>
          <w:tcPr>
            <w:tcW w:w="3288" w:type="dxa"/>
            <w:tcBorders>
              <w:bottom w:val="single" w:color="auto" w:sz="4" w:space="0"/>
            </w:tcBorders>
            <w:vAlign w:val="center"/>
          </w:tcPr>
          <w:p>
            <w:pPr>
              <w:widowControl/>
              <w:spacing w:beforeAutospacing="1" w:afterAutospacing="1"/>
              <w:rPr>
                <w:rFonts w:ascii="宋体" w:hAnsi="宋体"/>
                <w:color w:val="000000"/>
                <w:szCs w:val="21"/>
              </w:rPr>
            </w:pPr>
            <w:r>
              <w:rPr>
                <w:rFonts w:hint="eastAsia" w:ascii="宋体" w:hAnsi="宋体"/>
                <w:color w:val="000000"/>
                <w:szCs w:val="21"/>
              </w:rPr>
              <w:t>3、检测单位有关注册人员只是项目挂名，不实际履行职责</w:t>
            </w:r>
          </w:p>
        </w:tc>
        <w:tc>
          <w:tcPr>
            <w:tcW w:w="7257" w:type="dxa"/>
            <w:tcBorders>
              <w:bottom w:val="single" w:color="auto" w:sz="4" w:space="0"/>
              <w:right w:val="single" w:color="auto" w:sz="12" w:space="0"/>
            </w:tcBorders>
            <w:vAlign w:val="center"/>
          </w:tcPr>
          <w:p>
            <w:pPr>
              <w:rPr>
                <w:rFonts w:ascii="宋体" w:hAnsi="宋体"/>
                <w:color w:val="000000"/>
                <w:szCs w:val="21"/>
              </w:rPr>
            </w:pPr>
            <w:r>
              <w:rPr>
                <w:rFonts w:hint="eastAsia"/>
                <w:b/>
                <w:color w:val="000000"/>
              </w:rPr>
              <w:t>深条例</w:t>
            </w:r>
            <w:r>
              <w:rPr>
                <w:rFonts w:hint="eastAsia" w:ascii="宋体" w:hAnsi="宋体"/>
                <w:b/>
                <w:color w:val="000000"/>
                <w:szCs w:val="21"/>
              </w:rPr>
              <w:t>：</w:t>
            </w:r>
            <w:r>
              <w:rPr>
                <w:rFonts w:hint="eastAsia" w:ascii="宋体" w:hAnsi="宋体"/>
                <w:color w:val="000000"/>
                <w:szCs w:val="21"/>
              </w:rPr>
              <w:t>第七十三条 建设工程从业人员在工程建设活动中未按规定履行职责的，不服从管理，违反有关规章制度或者操作规程的，由所在单位给予批评教育，依照有关规章制度给予处分。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5" w:hRule="atLeast"/>
          <w:jc w:val="center"/>
        </w:trPr>
        <w:tc>
          <w:tcPr>
            <w:tcW w:w="855" w:type="dxa"/>
            <w:vMerge w:val="continue"/>
            <w:tcBorders>
              <w:left w:val="single" w:color="auto" w:sz="12" w:space="0"/>
            </w:tcBorders>
            <w:vAlign w:val="center"/>
          </w:tcPr>
          <w:p>
            <w:pPr>
              <w:jc w:val="center"/>
              <w:rPr>
                <w:rFonts w:ascii="宋体" w:hAnsi="宋体"/>
                <w:color w:val="000000"/>
                <w:szCs w:val="21"/>
              </w:rPr>
            </w:pPr>
          </w:p>
        </w:tc>
        <w:tc>
          <w:tcPr>
            <w:tcW w:w="1795" w:type="dxa"/>
            <w:vMerge w:val="continue"/>
            <w:vAlign w:val="center"/>
          </w:tcPr>
          <w:p>
            <w:pPr>
              <w:rPr>
                <w:rFonts w:ascii="宋体" w:hAnsi="宋体"/>
                <w:color w:val="000000"/>
                <w:szCs w:val="21"/>
              </w:rPr>
            </w:pPr>
          </w:p>
        </w:tc>
        <w:tc>
          <w:tcPr>
            <w:tcW w:w="3288" w:type="dxa"/>
            <w:vAlign w:val="center"/>
          </w:tcPr>
          <w:p>
            <w:pPr>
              <w:widowControl/>
              <w:spacing w:beforeAutospacing="1" w:afterAutospacing="1"/>
              <w:rPr>
                <w:rFonts w:ascii="宋体" w:hAnsi="宋体"/>
                <w:color w:val="000000"/>
                <w:szCs w:val="21"/>
              </w:rPr>
            </w:pPr>
            <w:r>
              <w:rPr>
                <w:rFonts w:hint="eastAsia" w:ascii="宋体" w:hAnsi="宋体"/>
                <w:color w:val="000000"/>
                <w:szCs w:val="21"/>
              </w:rPr>
              <w:t>4、使用非本检测单位检测人员</w:t>
            </w:r>
          </w:p>
        </w:tc>
        <w:tc>
          <w:tcPr>
            <w:tcW w:w="7257" w:type="dxa"/>
            <w:tcBorders>
              <w:bottom w:val="single" w:color="auto" w:sz="4" w:space="0"/>
              <w:right w:val="single" w:color="auto" w:sz="12" w:space="0"/>
            </w:tcBorders>
            <w:vAlign w:val="top"/>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5" w:hRule="atLeast"/>
          <w:jc w:val="center"/>
        </w:trPr>
        <w:tc>
          <w:tcPr>
            <w:tcW w:w="855" w:type="dxa"/>
            <w:vMerge w:val="restart"/>
            <w:tcBorders>
              <w:left w:val="single" w:color="auto" w:sz="12" w:space="0"/>
              <w:bottom w:val="single" w:color="auto" w:sz="4" w:space="0"/>
            </w:tcBorders>
            <w:vAlign w:val="center"/>
          </w:tcPr>
          <w:p>
            <w:pPr>
              <w:jc w:val="center"/>
              <w:rPr>
                <w:rFonts w:hint="eastAsia" w:ascii="宋体" w:hAnsi="宋体" w:eastAsia="宋体"/>
                <w:color w:val="000000"/>
                <w:szCs w:val="21"/>
                <w:lang w:eastAsia="zh-CN"/>
              </w:rPr>
            </w:pPr>
            <w:r>
              <w:rPr>
                <w:rFonts w:hint="eastAsia" w:ascii="宋体" w:hAnsi="宋体"/>
                <w:color w:val="000000"/>
                <w:szCs w:val="21"/>
                <w:lang w:val="en-US" w:eastAsia="zh-CN"/>
              </w:rPr>
              <w:t>3</w:t>
            </w:r>
          </w:p>
        </w:tc>
        <w:tc>
          <w:tcPr>
            <w:tcW w:w="1795" w:type="dxa"/>
            <w:vMerge w:val="restart"/>
            <w:tcBorders>
              <w:bottom w:val="single" w:color="auto" w:sz="4" w:space="0"/>
            </w:tcBorders>
            <w:vAlign w:val="center"/>
          </w:tcPr>
          <w:p>
            <w:pPr>
              <w:rPr>
                <w:rFonts w:ascii="宋体" w:hAnsi="宋体"/>
                <w:color w:val="000000"/>
                <w:szCs w:val="21"/>
              </w:rPr>
            </w:pPr>
            <w:r>
              <w:rPr>
                <w:rFonts w:hint="eastAsia" w:ascii="宋体" w:hAnsi="宋体"/>
                <w:color w:val="000000"/>
                <w:szCs w:val="21"/>
              </w:rPr>
              <w:t>检测仪器设备未符合要求</w:t>
            </w:r>
          </w:p>
        </w:tc>
        <w:tc>
          <w:tcPr>
            <w:tcW w:w="3288" w:type="dxa"/>
            <w:tcBorders>
              <w:bottom w:val="single" w:color="auto" w:sz="4" w:space="0"/>
            </w:tcBorders>
            <w:vAlign w:val="center"/>
          </w:tcPr>
          <w:p>
            <w:pPr>
              <w:spacing w:beforeAutospacing="1" w:afterAutospacing="1"/>
              <w:rPr>
                <w:rFonts w:ascii="宋体" w:hAnsi="宋体"/>
                <w:color w:val="000000"/>
                <w:szCs w:val="21"/>
              </w:rPr>
            </w:pPr>
            <w:r>
              <w:rPr>
                <w:rFonts w:hint="eastAsia" w:ascii="宋体" w:hAnsi="宋体"/>
                <w:color w:val="000000"/>
                <w:szCs w:val="21"/>
              </w:rPr>
              <w:t>1、</w:t>
            </w:r>
            <w:r>
              <w:rPr>
                <w:rFonts w:hint="eastAsia"/>
                <w:color w:val="000000"/>
                <w:szCs w:val="21"/>
              </w:rPr>
              <w:t>检测仪器设备的配置不符合要求</w:t>
            </w:r>
          </w:p>
        </w:tc>
        <w:tc>
          <w:tcPr>
            <w:tcW w:w="7257" w:type="dxa"/>
            <w:tcBorders>
              <w:bottom w:val="single" w:color="auto" w:sz="4" w:space="0"/>
              <w:right w:val="single" w:color="auto" w:sz="12" w:space="0"/>
            </w:tcBorders>
            <w:vAlign w:val="center"/>
          </w:tcPr>
          <w:p>
            <w:pPr>
              <w:rPr>
                <w:rFonts w:ascii="宋体" w:hAnsi="宋体"/>
                <w:color w:val="000000"/>
                <w:szCs w:val="21"/>
              </w:rPr>
            </w:pPr>
            <w:r>
              <w:rPr>
                <w:b/>
                <w:color w:val="000000"/>
              </w:rPr>
              <w:t>GB 50618</w:t>
            </w:r>
            <w:r>
              <w:rPr>
                <w:rFonts w:hint="eastAsia"/>
                <w:b/>
                <w:color w:val="000000"/>
              </w:rPr>
              <w:t>：</w:t>
            </w:r>
            <w:r>
              <w:rPr>
                <w:rFonts w:hint="eastAsia"/>
                <w:color w:val="000000"/>
              </w:rPr>
              <w:t>第</w:t>
            </w:r>
            <w:r>
              <w:rPr>
                <w:color w:val="000000"/>
              </w:rPr>
              <w:t>4.1.1</w:t>
            </w:r>
            <w:r>
              <w:rPr>
                <w:rFonts w:hint="eastAsia"/>
                <w:color w:val="000000"/>
              </w:rPr>
              <w:t>条（强条） 检测机构应配备能满足所开展检测项目要求的检测设备。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50" w:hRule="atLeast"/>
          <w:jc w:val="center"/>
        </w:trPr>
        <w:tc>
          <w:tcPr>
            <w:tcW w:w="855" w:type="dxa"/>
            <w:vMerge w:val="continue"/>
            <w:tcBorders>
              <w:left w:val="single" w:color="auto" w:sz="12" w:space="0"/>
              <w:bottom w:val="single" w:color="auto" w:sz="4" w:space="0"/>
            </w:tcBorders>
            <w:vAlign w:val="center"/>
          </w:tcPr>
          <w:p>
            <w:pPr>
              <w:jc w:val="center"/>
              <w:rPr>
                <w:rFonts w:ascii="宋体" w:hAnsi="宋体"/>
                <w:color w:val="000000"/>
                <w:szCs w:val="21"/>
              </w:rPr>
            </w:pPr>
          </w:p>
        </w:tc>
        <w:tc>
          <w:tcPr>
            <w:tcW w:w="1795" w:type="dxa"/>
            <w:vMerge w:val="continue"/>
            <w:tcBorders>
              <w:bottom w:val="single" w:color="auto" w:sz="4" w:space="0"/>
            </w:tcBorders>
            <w:vAlign w:val="center"/>
          </w:tcPr>
          <w:p>
            <w:pPr>
              <w:rPr>
                <w:rFonts w:ascii="宋体" w:hAnsi="宋体"/>
                <w:color w:val="000000"/>
                <w:szCs w:val="21"/>
              </w:rPr>
            </w:pPr>
          </w:p>
        </w:tc>
        <w:tc>
          <w:tcPr>
            <w:tcW w:w="3288" w:type="dxa"/>
            <w:vAlign w:val="center"/>
          </w:tcPr>
          <w:p>
            <w:pPr>
              <w:spacing w:beforeAutospacing="1" w:afterAutospacing="1"/>
              <w:rPr>
                <w:rFonts w:ascii="宋体" w:hAnsi="宋体"/>
                <w:color w:val="000000"/>
                <w:szCs w:val="21"/>
              </w:rPr>
            </w:pPr>
            <w:r>
              <w:rPr>
                <w:rFonts w:hint="eastAsia" w:ascii="宋体" w:hAnsi="宋体"/>
                <w:color w:val="000000"/>
                <w:szCs w:val="21"/>
              </w:rPr>
              <w:t>2、</w:t>
            </w:r>
            <w:r>
              <w:rPr>
                <w:rFonts w:hint="eastAsia"/>
                <w:color w:val="000000"/>
                <w:szCs w:val="21"/>
              </w:rPr>
              <w:t>检测用仪器设备没有按规定检定（校准）而使用</w:t>
            </w:r>
          </w:p>
        </w:tc>
        <w:tc>
          <w:tcPr>
            <w:tcW w:w="7257" w:type="dxa"/>
            <w:tcBorders>
              <w:bottom w:val="single" w:color="auto" w:sz="4" w:space="0"/>
              <w:right w:val="single" w:color="auto" w:sz="12" w:space="0"/>
            </w:tcBorders>
            <w:vAlign w:val="center"/>
          </w:tcPr>
          <w:p>
            <w:pPr>
              <w:rPr>
                <w:rFonts w:ascii="宋体" w:hAnsi="宋体"/>
                <w:color w:val="000000"/>
                <w:szCs w:val="21"/>
              </w:rPr>
            </w:pPr>
            <w:r>
              <w:rPr>
                <w:b/>
                <w:color w:val="000000"/>
              </w:rPr>
              <w:t>GB 50618</w:t>
            </w:r>
            <w:r>
              <w:rPr>
                <w:rFonts w:hint="eastAsia"/>
                <w:b/>
                <w:color w:val="000000"/>
              </w:rPr>
              <w:t>：</w:t>
            </w:r>
            <w:r>
              <w:rPr>
                <w:rFonts w:hint="eastAsia"/>
                <w:color w:val="000000"/>
              </w:rPr>
              <w:t>第</w:t>
            </w:r>
            <w:r>
              <w:rPr>
                <w:color w:val="000000"/>
              </w:rPr>
              <w:t>4.1.1</w:t>
            </w:r>
            <w:r>
              <w:rPr>
                <w:rFonts w:hint="eastAsia"/>
                <w:color w:val="000000"/>
              </w:rPr>
              <w:t>条（强条） 检测机构应配备能满足所开展检测项目要求的检测设备。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0" w:hRule="atLeast"/>
          <w:jc w:val="center"/>
        </w:trPr>
        <w:tc>
          <w:tcPr>
            <w:tcW w:w="855" w:type="dxa"/>
            <w:vMerge w:val="restart"/>
            <w:tcBorders>
              <w:left w:val="single" w:color="auto" w:sz="12" w:space="0"/>
            </w:tcBorders>
            <w:vAlign w:val="center"/>
          </w:tcPr>
          <w:p>
            <w:pPr>
              <w:jc w:val="center"/>
              <w:rPr>
                <w:rFonts w:hint="eastAsia" w:ascii="宋体" w:hAnsi="宋体" w:eastAsia="宋体"/>
                <w:color w:val="000000"/>
                <w:szCs w:val="21"/>
                <w:lang w:eastAsia="zh-CN"/>
              </w:rPr>
            </w:pPr>
            <w:r>
              <w:rPr>
                <w:rFonts w:hint="eastAsia" w:ascii="宋体" w:hAnsi="宋体"/>
                <w:color w:val="000000"/>
                <w:szCs w:val="21"/>
                <w:lang w:val="en-US" w:eastAsia="zh-CN"/>
              </w:rPr>
              <w:t>4</w:t>
            </w:r>
          </w:p>
        </w:tc>
        <w:tc>
          <w:tcPr>
            <w:tcW w:w="1795" w:type="dxa"/>
            <w:vMerge w:val="restart"/>
            <w:vAlign w:val="center"/>
          </w:tcPr>
          <w:p>
            <w:pPr>
              <w:rPr>
                <w:rFonts w:ascii="宋体" w:hAnsi="宋体"/>
                <w:color w:val="000000"/>
                <w:szCs w:val="21"/>
              </w:rPr>
            </w:pPr>
            <w:r>
              <w:rPr>
                <w:rFonts w:hint="eastAsia" w:ascii="宋体" w:hAnsi="宋体"/>
                <w:color w:val="000000"/>
                <w:szCs w:val="21"/>
              </w:rPr>
              <w:t>未按规定见证取样送检</w:t>
            </w:r>
          </w:p>
        </w:tc>
        <w:tc>
          <w:tcPr>
            <w:tcW w:w="3288" w:type="dxa"/>
            <w:vAlign w:val="center"/>
          </w:tcPr>
          <w:p>
            <w:pPr>
              <w:rPr>
                <w:rFonts w:ascii="宋体" w:hAnsi="宋体"/>
                <w:color w:val="000000"/>
                <w:szCs w:val="21"/>
              </w:rPr>
            </w:pPr>
            <w:r>
              <w:rPr>
                <w:rFonts w:hint="eastAsia" w:ascii="宋体" w:hAnsi="宋体"/>
                <w:color w:val="000000"/>
                <w:szCs w:val="21"/>
              </w:rPr>
              <w:t>1、弄虚作假抽样或送检试样</w:t>
            </w:r>
          </w:p>
        </w:tc>
        <w:tc>
          <w:tcPr>
            <w:tcW w:w="7257" w:type="dxa"/>
            <w:tcBorders>
              <w:right w:val="single" w:color="auto" w:sz="12" w:space="0"/>
            </w:tcBorders>
            <w:vAlign w:val="center"/>
          </w:tcPr>
          <w:p>
            <w:pPr>
              <w:rPr>
                <w:rFonts w:ascii="宋体" w:hAnsi="宋体"/>
                <w:color w:val="000000"/>
                <w:szCs w:val="21"/>
              </w:rPr>
            </w:pPr>
            <w:r>
              <w:rPr>
                <w:rFonts w:hint="eastAsia" w:ascii="宋体" w:hAnsi="宋体"/>
                <w:b/>
                <w:color w:val="000000"/>
                <w:szCs w:val="21"/>
              </w:rPr>
              <w:t>141号：</w:t>
            </w:r>
            <w:r>
              <w:rPr>
                <w:rFonts w:hint="eastAsia" w:ascii="宋体" w:hAnsi="宋体"/>
                <w:color w:val="000000"/>
                <w:szCs w:val="21"/>
              </w:rPr>
              <w:t>第三十一条　违反本办法规定，委托方有下列行为之一的，由县级以上地方人民政府建设主管部门责令改正，处1万元以上3万元以下罚款：（三）弄虚作假送检试样的。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3" w:hRule="atLeast"/>
          <w:jc w:val="center"/>
        </w:trPr>
        <w:tc>
          <w:tcPr>
            <w:tcW w:w="855" w:type="dxa"/>
            <w:vMerge w:val="continue"/>
            <w:tcBorders>
              <w:left w:val="single" w:color="auto" w:sz="12" w:space="0"/>
              <w:bottom w:val="single" w:color="auto" w:sz="12" w:space="0"/>
            </w:tcBorders>
            <w:vAlign w:val="center"/>
          </w:tcPr>
          <w:p>
            <w:pPr>
              <w:jc w:val="center"/>
              <w:rPr>
                <w:rFonts w:ascii="宋体" w:hAnsi="宋体"/>
                <w:color w:val="000000"/>
                <w:szCs w:val="21"/>
              </w:rPr>
            </w:pPr>
          </w:p>
        </w:tc>
        <w:tc>
          <w:tcPr>
            <w:tcW w:w="1795" w:type="dxa"/>
            <w:vMerge w:val="continue"/>
            <w:tcBorders>
              <w:bottom w:val="single" w:color="auto" w:sz="12" w:space="0"/>
            </w:tcBorders>
            <w:vAlign w:val="center"/>
          </w:tcPr>
          <w:p>
            <w:pPr>
              <w:rPr>
                <w:rFonts w:ascii="宋体" w:hAnsi="宋体"/>
                <w:color w:val="000000"/>
                <w:szCs w:val="21"/>
              </w:rPr>
            </w:pPr>
          </w:p>
        </w:tc>
        <w:tc>
          <w:tcPr>
            <w:tcW w:w="3288" w:type="dxa"/>
            <w:tcBorders>
              <w:bottom w:val="single" w:color="auto" w:sz="12" w:space="0"/>
            </w:tcBorders>
            <w:vAlign w:val="center"/>
          </w:tcPr>
          <w:p>
            <w:pPr>
              <w:rPr>
                <w:rFonts w:ascii="宋体" w:hAnsi="宋体"/>
                <w:color w:val="000000"/>
                <w:szCs w:val="21"/>
              </w:rPr>
            </w:pPr>
            <w:r>
              <w:rPr>
                <w:rFonts w:hint="eastAsia" w:ascii="宋体" w:hAnsi="宋体"/>
                <w:color w:val="000000"/>
                <w:szCs w:val="21"/>
              </w:rPr>
              <w:t>2、无见证人员在场，施工单位取样，检测单位收样。</w:t>
            </w:r>
          </w:p>
        </w:tc>
        <w:tc>
          <w:tcPr>
            <w:tcW w:w="7257" w:type="dxa"/>
            <w:tcBorders>
              <w:bottom w:val="single" w:color="auto" w:sz="12" w:space="0"/>
              <w:right w:val="single" w:color="auto" w:sz="12" w:space="0"/>
            </w:tcBorders>
            <w:vAlign w:val="center"/>
          </w:tcPr>
          <w:p>
            <w:pPr>
              <w:rPr>
                <w:rFonts w:ascii="宋体" w:hAnsi="宋体"/>
                <w:color w:val="000000"/>
                <w:szCs w:val="21"/>
              </w:rPr>
            </w:pPr>
            <w:r>
              <w:rPr>
                <w:rFonts w:hint="eastAsia" w:ascii="宋体" w:hAnsi="宋体"/>
                <w:b/>
                <w:color w:val="000000"/>
                <w:szCs w:val="21"/>
              </w:rPr>
              <w:t>141号：</w:t>
            </w:r>
            <w:r>
              <w:rPr>
                <w:rFonts w:hint="eastAsia" w:ascii="宋体" w:hAnsi="宋体"/>
                <w:color w:val="000000"/>
                <w:szCs w:val="21"/>
              </w:rPr>
              <w:t>第十三条　质量检测试样的取样应当严格执行有关工程建设标准和国家有关规定，在建设单位或者工程监理单位监督下现场取样。提供质量检测试样的单位和个人，应当对试样的真实性负责。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8" w:hRule="atLeast"/>
          <w:jc w:val="center"/>
        </w:trPr>
        <w:tc>
          <w:tcPr>
            <w:tcW w:w="855" w:type="dxa"/>
            <w:tcBorders>
              <w:top w:val="single" w:color="auto" w:sz="12" w:space="0"/>
              <w:left w:val="single" w:color="auto" w:sz="12" w:space="0"/>
            </w:tcBorders>
            <w:vAlign w:val="center"/>
          </w:tcPr>
          <w:p>
            <w:pPr>
              <w:jc w:val="center"/>
              <w:rPr>
                <w:rFonts w:hint="eastAsia" w:ascii="宋体" w:hAnsi="宋体" w:eastAsia="宋体"/>
                <w:color w:val="000000"/>
                <w:szCs w:val="21"/>
                <w:lang w:eastAsia="zh-CN"/>
              </w:rPr>
            </w:pPr>
            <w:r>
              <w:rPr>
                <w:rFonts w:hint="eastAsia" w:ascii="宋体" w:hAnsi="宋体"/>
                <w:color w:val="000000"/>
                <w:szCs w:val="21"/>
                <w:lang w:val="en-US" w:eastAsia="zh-CN"/>
              </w:rPr>
              <w:t>5</w:t>
            </w:r>
          </w:p>
        </w:tc>
        <w:tc>
          <w:tcPr>
            <w:tcW w:w="1795" w:type="dxa"/>
            <w:tcBorders>
              <w:top w:val="single" w:color="auto" w:sz="12" w:space="0"/>
            </w:tcBorders>
            <w:vAlign w:val="center"/>
          </w:tcPr>
          <w:p>
            <w:pPr>
              <w:rPr>
                <w:rFonts w:ascii="宋体" w:hAnsi="宋体"/>
                <w:color w:val="000000"/>
                <w:szCs w:val="21"/>
              </w:rPr>
            </w:pPr>
            <w:r>
              <w:rPr>
                <w:rFonts w:hint="eastAsia" w:ascii="宋体" w:hAnsi="宋体"/>
                <w:color w:val="000000"/>
                <w:szCs w:val="21"/>
              </w:rPr>
              <w:t>未按规定留置已检试样</w:t>
            </w:r>
          </w:p>
        </w:tc>
        <w:tc>
          <w:tcPr>
            <w:tcW w:w="3288" w:type="dxa"/>
            <w:tcBorders>
              <w:top w:val="single" w:color="auto" w:sz="12" w:space="0"/>
            </w:tcBorders>
            <w:vAlign w:val="center"/>
          </w:tcPr>
          <w:p>
            <w:pPr>
              <w:rPr>
                <w:rFonts w:ascii="宋体" w:hAnsi="宋体"/>
                <w:color w:val="000000"/>
                <w:szCs w:val="21"/>
              </w:rPr>
            </w:pPr>
            <w:r>
              <w:rPr>
                <w:rFonts w:ascii="宋体" w:hAnsi="宋体"/>
                <w:color w:val="000000"/>
                <w:szCs w:val="21"/>
              </w:rPr>
              <w:t>检测单位</w:t>
            </w:r>
            <w:r>
              <w:rPr>
                <w:rFonts w:hint="eastAsia" w:ascii="宋体" w:hAnsi="宋体"/>
                <w:color w:val="000000"/>
                <w:szCs w:val="21"/>
              </w:rPr>
              <w:t>没有</w:t>
            </w:r>
            <w:r>
              <w:rPr>
                <w:rFonts w:ascii="宋体" w:hAnsi="宋体"/>
                <w:color w:val="000000"/>
                <w:szCs w:val="21"/>
              </w:rPr>
              <w:t>按照有关技术标准规定，留置已检测的试样</w:t>
            </w:r>
          </w:p>
        </w:tc>
        <w:tc>
          <w:tcPr>
            <w:tcW w:w="7257" w:type="dxa"/>
            <w:tcBorders>
              <w:top w:val="single" w:color="auto" w:sz="12" w:space="0"/>
              <w:right w:val="single" w:color="auto" w:sz="12" w:space="0"/>
            </w:tcBorders>
            <w:vAlign w:val="center"/>
          </w:tcPr>
          <w:p>
            <w:pPr>
              <w:rPr>
                <w:color w:val="000000"/>
              </w:rPr>
            </w:pPr>
            <w:r>
              <w:rPr>
                <w:b/>
                <w:color w:val="000000"/>
              </w:rPr>
              <w:t>G</w:t>
            </w:r>
            <w:r>
              <w:rPr>
                <w:rFonts w:hint="eastAsia"/>
                <w:b/>
                <w:color w:val="000000"/>
              </w:rPr>
              <w:t>B 50618：</w:t>
            </w:r>
            <w:r>
              <w:rPr>
                <w:rFonts w:hint="eastAsia"/>
                <w:color w:val="000000"/>
              </w:rPr>
              <w:t xml:space="preserve">第3.0.10条（强条） </w:t>
            </w:r>
            <w:r>
              <w:rPr>
                <w:rFonts w:hint="eastAsia" w:ascii="宋体" w:hAnsi="宋体"/>
                <w:color w:val="000000"/>
                <w:szCs w:val="21"/>
              </w:rPr>
              <w:t>检测应按有关标准的规定留置已检试件。有关标准留置时间无明确要求的，留置时间不应少于72小时。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9" w:hRule="atLeast"/>
          <w:jc w:val="center"/>
        </w:trPr>
        <w:tc>
          <w:tcPr>
            <w:tcW w:w="855" w:type="dxa"/>
            <w:tcBorders>
              <w:left w:val="single" w:color="auto" w:sz="12" w:space="0"/>
            </w:tcBorders>
            <w:vAlign w:val="center"/>
          </w:tcPr>
          <w:p>
            <w:pPr>
              <w:jc w:val="center"/>
              <w:rPr>
                <w:rFonts w:hint="eastAsia" w:ascii="宋体" w:hAnsi="宋体" w:eastAsia="宋体"/>
                <w:color w:val="000000"/>
                <w:szCs w:val="21"/>
                <w:lang w:val="en-US" w:eastAsia="zh-CN"/>
              </w:rPr>
            </w:pPr>
            <w:r>
              <w:rPr>
                <w:rFonts w:hint="eastAsia" w:ascii="宋体" w:hAnsi="宋体"/>
                <w:color w:val="000000"/>
                <w:szCs w:val="21"/>
                <w:lang w:val="en-US" w:eastAsia="zh-CN"/>
              </w:rPr>
              <w:t>6</w:t>
            </w:r>
          </w:p>
        </w:tc>
        <w:tc>
          <w:tcPr>
            <w:tcW w:w="1795" w:type="dxa"/>
            <w:vAlign w:val="center"/>
          </w:tcPr>
          <w:p>
            <w:pPr>
              <w:spacing w:beforeAutospacing="1" w:afterAutospacing="1"/>
              <w:rPr>
                <w:rFonts w:hint="eastAsia" w:ascii="宋体" w:hAnsi="宋体"/>
                <w:color w:val="000000"/>
                <w:szCs w:val="21"/>
              </w:rPr>
            </w:pPr>
            <w:r>
              <w:rPr>
                <w:rFonts w:hint="eastAsia" w:ascii="宋体" w:hAnsi="宋体" w:cs="Times New Roman"/>
                <w:color w:val="auto"/>
                <w:spacing w:val="0"/>
                <w:sz w:val="20"/>
                <w:szCs w:val="21"/>
                <w:lang w:eastAsia="zh-CN"/>
              </w:rPr>
              <w:t>未</w:t>
            </w:r>
            <w:r>
              <w:rPr>
                <w:rFonts w:hint="eastAsia" w:ascii="宋体" w:hAnsi="宋体" w:eastAsia="宋体" w:cs="Times New Roman"/>
                <w:color w:val="auto"/>
                <w:spacing w:val="0"/>
                <w:sz w:val="20"/>
                <w:szCs w:val="21"/>
              </w:rPr>
              <w:t>接入深圳市建设工程质量检测监管平台</w:t>
            </w:r>
          </w:p>
        </w:tc>
        <w:tc>
          <w:tcPr>
            <w:tcW w:w="3288" w:type="dxa"/>
            <w:vAlign w:val="center"/>
          </w:tcPr>
          <w:p>
            <w:pPr>
              <w:spacing w:beforeAutospacing="1" w:afterAutospacing="1"/>
              <w:rPr>
                <w:rFonts w:hint="eastAsia" w:ascii="宋体" w:hAnsi="宋体"/>
                <w:color w:val="000000"/>
                <w:szCs w:val="21"/>
              </w:rPr>
            </w:pPr>
            <w:r>
              <w:rPr>
                <w:rFonts w:hint="eastAsia" w:ascii="宋体" w:hAnsi="宋体"/>
                <w:szCs w:val="21"/>
                <w:lang w:eastAsia="zh-CN"/>
              </w:rPr>
              <w:t>检测机构未</w:t>
            </w:r>
            <w:r>
              <w:rPr>
                <w:rFonts w:hint="eastAsia" w:ascii="宋体" w:hAnsi="宋体" w:eastAsia="宋体" w:cs="Times New Roman"/>
                <w:color w:val="auto"/>
                <w:spacing w:val="0"/>
                <w:sz w:val="20"/>
                <w:szCs w:val="21"/>
              </w:rPr>
              <w:t>接入深圳市建设工程质量检测监管平台</w:t>
            </w:r>
          </w:p>
        </w:tc>
        <w:tc>
          <w:tcPr>
            <w:tcW w:w="7257" w:type="dxa"/>
            <w:tcBorders>
              <w:right w:val="single" w:color="auto" w:sz="12" w:space="0"/>
            </w:tcBorders>
            <w:vAlign w:val="center"/>
          </w:tcPr>
          <w:p>
            <w:pPr>
              <w:widowControl/>
              <w:numPr>
                <w:ilvl w:val="0"/>
                <w:numId w:val="0"/>
              </w:numPr>
              <w:spacing w:line="324" w:lineRule="auto"/>
              <w:ind w:firstLine="0" w:firstLineChars="0"/>
              <w:jc w:val="both"/>
              <w:rPr>
                <w:rFonts w:hint="eastAsia" w:ascii="仿宋_GB2312" w:hAnsi="仿宋_GB2312" w:eastAsia="仿宋_GB2312" w:cs="仿宋_GB2312"/>
                <w:color w:val="000000"/>
                <w:kern w:val="0"/>
                <w:sz w:val="32"/>
                <w:szCs w:val="32"/>
                <w:lang w:val="en-US" w:eastAsia="zh-CN"/>
              </w:rPr>
            </w:pPr>
            <w:r>
              <w:rPr>
                <w:rFonts w:hint="eastAsia" w:ascii="宋体" w:hAnsi="宋体" w:eastAsia="宋体" w:cs="Times New Roman"/>
                <w:color w:val="auto"/>
                <w:spacing w:val="0"/>
                <w:sz w:val="20"/>
                <w:szCs w:val="21"/>
                <w:lang w:eastAsia="zh-CN"/>
              </w:rPr>
              <w:t>深建设〔201</w:t>
            </w:r>
            <w:r>
              <w:rPr>
                <w:rFonts w:hint="eastAsia" w:ascii="宋体" w:hAnsi="宋体" w:eastAsia="宋体" w:cs="Times New Roman"/>
                <w:color w:val="auto"/>
                <w:spacing w:val="0"/>
                <w:sz w:val="20"/>
                <w:szCs w:val="21"/>
                <w:lang w:val="en-US" w:eastAsia="zh-CN"/>
              </w:rPr>
              <w:t>8</w:t>
            </w:r>
            <w:r>
              <w:rPr>
                <w:rFonts w:hint="eastAsia" w:ascii="宋体" w:hAnsi="宋体" w:eastAsia="宋体" w:cs="Times New Roman"/>
                <w:color w:val="auto"/>
                <w:spacing w:val="0"/>
                <w:sz w:val="20"/>
                <w:szCs w:val="21"/>
                <w:lang w:eastAsia="zh-CN"/>
              </w:rPr>
              <w:t>〕</w:t>
            </w:r>
            <w:r>
              <w:rPr>
                <w:rFonts w:hint="eastAsia" w:ascii="宋体" w:hAnsi="宋体" w:eastAsia="宋体" w:cs="Times New Roman"/>
                <w:color w:val="auto"/>
                <w:spacing w:val="0"/>
                <w:sz w:val="20"/>
                <w:szCs w:val="21"/>
                <w:lang w:val="en-US" w:eastAsia="zh-CN"/>
              </w:rPr>
              <w:t>44</w:t>
            </w:r>
            <w:r>
              <w:rPr>
                <w:rFonts w:hint="eastAsia" w:ascii="宋体" w:hAnsi="宋体" w:eastAsia="宋体" w:cs="Times New Roman"/>
                <w:color w:val="auto"/>
                <w:spacing w:val="0"/>
                <w:sz w:val="20"/>
                <w:szCs w:val="21"/>
                <w:lang w:eastAsia="zh-CN"/>
              </w:rPr>
              <w:t>号</w:t>
            </w:r>
            <w:r>
              <w:rPr>
                <w:rFonts w:hint="eastAsia" w:ascii="宋体" w:hAnsi="宋体" w:eastAsia="宋体" w:cs="Times New Roman"/>
                <w:color w:val="auto"/>
                <w:spacing w:val="0"/>
                <w:sz w:val="20"/>
                <w:szCs w:val="21"/>
                <w:lang w:val="en-US" w:eastAsia="zh-CN"/>
              </w:rPr>
              <w:t>:</w:t>
            </w:r>
            <w:r>
              <w:rPr>
                <w:rFonts w:hint="eastAsia" w:ascii="宋体" w:hAnsi="宋体" w:eastAsia="宋体" w:cs="Times New Roman"/>
                <w:color w:val="auto"/>
                <w:kern w:val="0"/>
                <w:sz w:val="20"/>
                <w:szCs w:val="21"/>
                <w:lang w:val="en-US" w:eastAsia="zh-CN"/>
              </w:rPr>
              <w:t>凡未与省、市监管平台联网，不愿接受监管的检测机构不得在广东省内从事检测活动。</w:t>
            </w:r>
          </w:p>
          <w:p>
            <w:pPr>
              <w:rPr>
                <w:rFonts w:hint="eastAsia"/>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9" w:hRule="atLeast"/>
          <w:jc w:val="center"/>
        </w:trPr>
        <w:tc>
          <w:tcPr>
            <w:tcW w:w="855" w:type="dxa"/>
            <w:vMerge w:val="restart"/>
            <w:tcBorders>
              <w:left w:val="single" w:color="auto" w:sz="12" w:space="0"/>
            </w:tcBorders>
            <w:vAlign w:val="center"/>
          </w:tcPr>
          <w:p>
            <w:pPr>
              <w:jc w:val="center"/>
              <w:rPr>
                <w:rFonts w:hint="eastAsia" w:ascii="宋体" w:hAnsi="宋体"/>
                <w:color w:val="000000"/>
                <w:szCs w:val="21"/>
                <w:lang w:val="en-US"/>
              </w:rPr>
            </w:pPr>
            <w:r>
              <w:rPr>
                <w:rFonts w:hint="eastAsia" w:ascii="宋体" w:hAnsi="宋体"/>
                <w:color w:val="000000"/>
                <w:szCs w:val="21"/>
                <w:lang w:val="en-US" w:eastAsia="zh-CN"/>
              </w:rPr>
              <w:t>7</w:t>
            </w:r>
          </w:p>
        </w:tc>
        <w:tc>
          <w:tcPr>
            <w:tcW w:w="1795" w:type="dxa"/>
            <w:vMerge w:val="restart"/>
            <w:vAlign w:val="center"/>
          </w:tcPr>
          <w:p>
            <w:pPr>
              <w:spacing w:beforeAutospacing="1" w:afterAutospacing="1"/>
              <w:rPr>
                <w:rFonts w:hint="eastAsia" w:ascii="宋体" w:hAnsi="宋体"/>
                <w:color w:val="000000"/>
                <w:szCs w:val="21"/>
              </w:rPr>
            </w:pPr>
            <w:r>
              <w:rPr>
                <w:rFonts w:hint="eastAsia" w:ascii="宋体" w:hAnsi="宋体"/>
                <w:color w:val="000000"/>
                <w:szCs w:val="21"/>
              </w:rPr>
              <w:t>未按规定进行检测档案管理</w:t>
            </w:r>
          </w:p>
        </w:tc>
        <w:tc>
          <w:tcPr>
            <w:tcW w:w="3288" w:type="dxa"/>
            <w:vAlign w:val="center"/>
          </w:tcPr>
          <w:p>
            <w:pPr>
              <w:spacing w:beforeAutospacing="1" w:afterAutospacing="1"/>
              <w:rPr>
                <w:rFonts w:hint="eastAsia" w:ascii="宋体" w:hAnsi="宋体"/>
                <w:color w:val="000000"/>
                <w:szCs w:val="21"/>
              </w:rPr>
            </w:pPr>
            <w:r>
              <w:rPr>
                <w:rFonts w:hint="eastAsia" w:ascii="宋体" w:hAnsi="宋体"/>
                <w:color w:val="000000"/>
                <w:szCs w:val="21"/>
                <w:lang w:val="en-US" w:eastAsia="zh-CN"/>
              </w:rPr>
              <w:t>1、</w:t>
            </w:r>
            <w:r>
              <w:rPr>
                <w:rFonts w:hint="eastAsia" w:ascii="宋体" w:hAnsi="宋体"/>
                <w:color w:val="000000"/>
                <w:szCs w:val="21"/>
              </w:rPr>
              <w:t>档案资料管理混乱，造成检测数据无法追溯</w:t>
            </w:r>
          </w:p>
        </w:tc>
        <w:tc>
          <w:tcPr>
            <w:tcW w:w="7257" w:type="dxa"/>
            <w:tcBorders>
              <w:right w:val="single" w:color="auto" w:sz="12" w:space="0"/>
            </w:tcBorders>
            <w:vAlign w:val="center"/>
          </w:tcPr>
          <w:p>
            <w:pPr>
              <w:rPr>
                <w:rFonts w:hint="eastAsia"/>
                <w:b/>
                <w:color w:val="000000"/>
              </w:rPr>
            </w:pPr>
            <w:r>
              <w:rPr>
                <w:rFonts w:hint="eastAsia"/>
                <w:b/>
                <w:color w:val="000000"/>
              </w:rPr>
              <w:t>141号：</w:t>
            </w:r>
            <w:r>
              <w:rPr>
                <w:rFonts w:hint="eastAsia"/>
                <w:color w:val="000000"/>
              </w:rPr>
              <w:t>第二十九条　检测机构违反本办法规定，有下列行为之一的，由县级以上地方人民政府建设主管部门责令改正，可并处1万元以上3万元以下的罚款；构成犯罪的，依法追究刑事责任：（七）档案资料管理混乱，造成检测数据无法追溯的</w:t>
            </w:r>
            <w:r>
              <w:rPr>
                <w:rFonts w:hint="eastAsia"/>
                <w:color w:val="00000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9" w:hRule="atLeast"/>
          <w:jc w:val="center"/>
        </w:trPr>
        <w:tc>
          <w:tcPr>
            <w:tcW w:w="855" w:type="dxa"/>
            <w:vMerge w:val="continue"/>
            <w:tcBorders>
              <w:left w:val="single" w:color="auto" w:sz="12" w:space="0"/>
            </w:tcBorders>
            <w:vAlign w:val="center"/>
          </w:tcPr>
          <w:p>
            <w:pPr>
              <w:jc w:val="center"/>
              <w:rPr>
                <w:rFonts w:hint="eastAsia" w:ascii="宋体" w:hAnsi="宋体"/>
                <w:color w:val="000000"/>
                <w:szCs w:val="21"/>
                <w:lang w:val="en-US"/>
              </w:rPr>
            </w:pPr>
          </w:p>
        </w:tc>
        <w:tc>
          <w:tcPr>
            <w:tcW w:w="1795" w:type="dxa"/>
            <w:vMerge w:val="continue"/>
            <w:vAlign w:val="center"/>
          </w:tcPr>
          <w:p>
            <w:pPr>
              <w:rPr>
                <w:rFonts w:hint="eastAsia" w:ascii="宋体" w:hAnsi="宋体"/>
                <w:color w:val="000000"/>
                <w:szCs w:val="21"/>
              </w:rPr>
            </w:pPr>
          </w:p>
        </w:tc>
        <w:tc>
          <w:tcPr>
            <w:tcW w:w="3288" w:type="dxa"/>
            <w:vAlign w:val="center"/>
          </w:tcPr>
          <w:p>
            <w:pPr>
              <w:spacing w:beforeAutospacing="1" w:afterAutospacing="1"/>
              <w:rPr>
                <w:rFonts w:hint="eastAsia" w:ascii="宋体" w:hAnsi="宋体"/>
                <w:color w:val="000000"/>
                <w:szCs w:val="21"/>
                <w:lang w:val="en-US" w:eastAsia="zh-CN"/>
              </w:rPr>
            </w:pPr>
            <w:r>
              <w:rPr>
                <w:rFonts w:hint="eastAsia" w:ascii="宋体" w:hAnsi="宋体"/>
                <w:color w:val="000000"/>
                <w:szCs w:val="21"/>
                <w:lang w:val="en-US" w:eastAsia="zh-CN"/>
              </w:rPr>
              <w:t>2、</w:t>
            </w:r>
            <w:r>
              <w:rPr>
                <w:rFonts w:hint="eastAsia" w:ascii="宋体" w:hAnsi="宋体"/>
                <w:color w:val="000000"/>
                <w:szCs w:val="21"/>
              </w:rPr>
              <w:t>检测合同、委托单、原始</w:t>
            </w:r>
            <w:r>
              <w:rPr>
                <w:rFonts w:hint="eastAsia"/>
                <w:color w:val="000000"/>
                <w:szCs w:val="21"/>
              </w:rPr>
              <w:t>记录、检测报告没有编号或编号混乱、不连续，随意更改、增发或抽撤</w:t>
            </w:r>
          </w:p>
        </w:tc>
        <w:tc>
          <w:tcPr>
            <w:tcW w:w="7257" w:type="dxa"/>
            <w:tcBorders>
              <w:right w:val="single" w:color="auto" w:sz="12" w:space="0"/>
            </w:tcBorders>
            <w:vAlign w:val="center"/>
          </w:tcPr>
          <w:p>
            <w:pPr>
              <w:rPr>
                <w:rFonts w:hint="eastAsia"/>
                <w:b/>
                <w:color w:val="000000"/>
              </w:rPr>
            </w:pPr>
            <w:r>
              <w:rPr>
                <w:rFonts w:hint="eastAsia"/>
                <w:b/>
                <w:color w:val="000000"/>
              </w:rPr>
              <w:t>深条例：</w:t>
            </w:r>
            <w:r>
              <w:rPr>
                <w:rFonts w:hint="eastAsia" w:ascii="宋体" w:hAnsi="宋体"/>
                <w:color w:val="000000"/>
                <w:szCs w:val="21"/>
              </w:rPr>
              <w:t>第四十六条  检测单位应建立严格的档案管理制度。检测合同、委托单、原始记录、检测报告应分别按年度统一编号，编号应当连续和相互衔接，不得随意涂改、抽撤。</w:t>
            </w:r>
          </w:p>
        </w:tc>
      </w:tr>
    </w:tbl>
    <w:p>
      <w:pPr>
        <w:rPr>
          <w:rFonts w:hint="eastAsia" w:ascii="宋体" w:hAnsi="宋体"/>
          <w:color w:val="000000"/>
          <w:szCs w:val="21"/>
        </w:rPr>
      </w:pPr>
    </w:p>
    <w:p>
      <w:pPr>
        <w:rPr>
          <w:rFonts w:hint="eastAsia" w:ascii="宋体" w:hAnsi="宋体"/>
          <w:color w:val="000000"/>
          <w:szCs w:val="21"/>
        </w:rPr>
      </w:pPr>
      <w:r>
        <w:rPr>
          <w:rFonts w:hint="eastAsia" w:ascii="宋体" w:hAnsi="宋体"/>
          <w:color w:val="000000"/>
          <w:szCs w:val="21"/>
        </w:rPr>
        <w:t>备注：</w:t>
      </w:r>
    </w:p>
    <w:p>
      <w:pPr>
        <w:ind w:firstLine="400" w:firstLineChars="200"/>
        <w:rPr>
          <w:rFonts w:hint="eastAsia" w:ascii="宋体" w:hAnsi="宋体"/>
          <w:color w:val="000000"/>
          <w:szCs w:val="21"/>
        </w:rPr>
      </w:pPr>
      <w:r>
        <w:rPr>
          <w:rFonts w:hint="eastAsia" w:ascii="宋体" w:hAnsi="宋体"/>
          <w:color w:val="000000"/>
          <w:szCs w:val="21"/>
          <w:lang w:val="en-US" w:eastAsia="zh-CN"/>
        </w:rPr>
        <w:t>1</w:t>
      </w:r>
      <w:r>
        <w:rPr>
          <w:rFonts w:hint="eastAsia" w:ascii="宋体" w:hAnsi="宋体"/>
          <w:color w:val="000000"/>
          <w:szCs w:val="21"/>
        </w:rPr>
        <w:t>、处罚标准按照《建设工程质量检测管理办法》（表中简称“141号”）、《广东省建设工程质量管理条例》、《深圳市建设工程质量管理条例》(表中简称“深条例”)及省住建厅《关于住房和城乡建设系统行政处罚自由裁量权基准适用的规则》、《关于住房和城乡建设系统行政处罚自由裁量权的基准》执行。</w:t>
      </w:r>
    </w:p>
    <w:p>
      <w:pPr>
        <w:ind w:firstLine="400" w:firstLineChars="200"/>
        <w:rPr>
          <w:rFonts w:hint="eastAsia" w:ascii="宋体" w:hAnsi="宋体"/>
          <w:color w:val="000000"/>
          <w:szCs w:val="21"/>
        </w:rPr>
      </w:pPr>
      <w:r>
        <w:rPr>
          <w:rFonts w:hint="eastAsia" w:ascii="宋体" w:hAnsi="宋体"/>
          <w:color w:val="000000"/>
          <w:szCs w:val="21"/>
          <w:lang w:val="en-US" w:eastAsia="zh-CN"/>
        </w:rPr>
        <w:t>2、</w:t>
      </w:r>
      <w:r>
        <w:rPr>
          <w:rFonts w:hint="eastAsia" w:ascii="宋体" w:hAnsi="宋体"/>
          <w:color w:val="000000"/>
          <w:szCs w:val="21"/>
        </w:rPr>
        <w:t>检查标准按照《房屋建筑和市政基础设施工程质量检测技术管理规范》（表中简称“GB 50618”）执行。</w:t>
      </w:r>
    </w:p>
    <w:p>
      <w:pPr>
        <w:rPr>
          <w:rFonts w:ascii="仿宋" w:hAnsi="仿宋" w:eastAsia="仿宋"/>
          <w:sz w:val="28"/>
          <w:szCs w:val="28"/>
        </w:rPr>
      </w:pPr>
    </w:p>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小标宋">
    <w:altName w:val="微软雅黑"/>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A04EDE"/>
    <w:rsid w:val="03A04EDE"/>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sz w:val="21"/>
      <w:szCs w:val="22"/>
      <w:lang w:val="en-US"/>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2018-11-07T03:55:00Z</dcterms:created>
  <dc:creator>张雨溪</dc:creator>
  <cp:lastModifiedBy>张雨溪</cp:lastModifiedBy>
  <dcterms:modified xsi:type="dcterms:W3CDTF">2018-11-07T04:00:05Z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