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482" w:lineRule="atLeast"/>
        <w:jc w:val="center"/>
        <w:rPr>
          <w:rFonts w:ascii="宋体" w:hAnsi="宋体" w:eastAsia="宋体" w:cs="宋体"/>
          <w:color w:val="000000"/>
          <w:kern w:val="0"/>
          <w:sz w:val="27"/>
          <w:szCs w:val="27"/>
        </w:rPr>
      </w:pPr>
      <w:r>
        <w:rPr>
          <w:rFonts w:hint="eastAsia" w:ascii="黑体" w:hAnsi="黑体" w:eastAsia="黑体" w:cs="宋体"/>
          <w:color w:val="000000"/>
          <w:kern w:val="0"/>
          <w:sz w:val="36"/>
          <w:szCs w:val="36"/>
        </w:rPr>
        <w:t>深圳市建筑能效公示管理办法</w:t>
      </w:r>
    </w:p>
    <w:p>
      <w:pPr>
        <w:widowControl/>
        <w:shd w:val="clear" w:color="auto" w:fill="FFFFFF"/>
        <w:spacing w:line="402" w:lineRule="atLeast"/>
        <w:jc w:val="center"/>
        <w:rPr>
          <w:rFonts w:ascii="宋体" w:hAnsi="宋体" w:eastAsia="宋体" w:cs="宋体"/>
          <w:color w:val="000000"/>
          <w:kern w:val="0"/>
          <w:sz w:val="36"/>
          <w:szCs w:val="36"/>
        </w:rPr>
      </w:pPr>
    </w:p>
    <w:p>
      <w:pPr>
        <w:widowControl/>
        <w:shd w:val="clear" w:color="auto" w:fill="FFFFFF"/>
        <w:spacing w:line="402" w:lineRule="atLeast"/>
        <w:jc w:val="center"/>
        <w:outlineLvl w:val="0"/>
        <w:rPr>
          <w:rFonts w:ascii="宋体" w:hAnsi="宋体" w:eastAsia="宋体" w:cs="宋体"/>
          <w:color w:val="000000"/>
          <w:kern w:val="0"/>
          <w:sz w:val="27"/>
          <w:szCs w:val="27"/>
        </w:rPr>
      </w:pPr>
      <w:r>
        <w:rPr>
          <w:rFonts w:hint="eastAsia" w:ascii="仿宋_GB2312" w:hAnsi="宋体" w:eastAsia="仿宋_GB2312" w:cs="宋体"/>
          <w:color w:val="000000"/>
          <w:kern w:val="0"/>
          <w:sz w:val="30"/>
          <w:szCs w:val="30"/>
        </w:rPr>
        <w:t>第一章  总则</w:t>
      </w:r>
    </w:p>
    <w:p>
      <w:pPr>
        <w:widowControl/>
        <w:shd w:val="clear" w:color="auto" w:fill="FFFFFF"/>
        <w:spacing w:line="402" w:lineRule="atLeast"/>
        <w:ind w:firstLine="596"/>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第一条  为提高我市建筑能源利用效率，建立和实施建筑能效公示制度，规范能效公示行为，依据《民用建筑节能条例》、《公共机构节能条例》、《深圳</w:t>
      </w:r>
      <w:r>
        <w:rPr>
          <w:rFonts w:ascii="仿宋_GB2312" w:hAnsi="宋体" w:eastAsia="仿宋_GB2312" w:cs="宋体"/>
          <w:color w:val="000000"/>
          <w:kern w:val="0"/>
          <w:sz w:val="30"/>
          <w:szCs w:val="30"/>
        </w:rPr>
        <w:t>经济特区建筑节能条例</w:t>
      </w:r>
      <w:r>
        <w:rPr>
          <w:rFonts w:hint="eastAsia" w:ascii="仿宋_GB2312" w:hAnsi="宋体" w:eastAsia="仿宋_GB2312" w:cs="宋体"/>
          <w:color w:val="000000"/>
          <w:kern w:val="0"/>
          <w:sz w:val="30"/>
          <w:szCs w:val="30"/>
        </w:rPr>
        <w:t>》及《</w:t>
      </w:r>
      <w:r>
        <w:fldChar w:fldCharType="begin"/>
      </w:r>
      <w:r>
        <w:instrText xml:space="preserve">HYPERLINK "http://www.baidu.com/link?url=CaGKZSDfXp_YBA78ooLAeVRDEPKrC-LPXyszyREUAqRCpHg3oHfkNzZDE75vjtZZqNOgB_y2Vn6gaLQqvHAZGZSulacMBMcsDFE1Xv7ZPckk4uV2wBuU7G4NiiSplnX8" \t "_blank" </w:instrText>
      </w:r>
      <w:r>
        <w:fldChar w:fldCharType="separate"/>
      </w:r>
      <w:r>
        <w:rPr>
          <w:rFonts w:ascii="仿宋_GB2312" w:hAnsi="宋体" w:eastAsia="仿宋_GB2312" w:cs="宋体"/>
          <w:color w:val="000000"/>
          <w:kern w:val="0"/>
          <w:sz w:val="30"/>
          <w:szCs w:val="30"/>
        </w:rPr>
        <w:t>深圳市绿色建筑促进办法</w:t>
      </w:r>
      <w:r>
        <w:fldChar w:fldCharType="end"/>
      </w:r>
      <w:r>
        <w:rPr>
          <w:rFonts w:hint="eastAsia" w:ascii="仿宋_GB2312" w:hAnsi="宋体" w:eastAsia="仿宋_GB2312" w:cs="宋体"/>
          <w:color w:val="000000"/>
          <w:kern w:val="0"/>
          <w:sz w:val="30"/>
          <w:szCs w:val="30"/>
        </w:rPr>
        <w:t>》等的规定，并结合本市实际情况，制定本办法。</w:t>
      </w:r>
    </w:p>
    <w:p>
      <w:pPr>
        <w:widowControl/>
        <w:shd w:val="clear" w:color="auto" w:fill="FFFFFF"/>
        <w:spacing w:line="402" w:lineRule="atLeast"/>
        <w:ind w:firstLine="600" w:firstLineChars="200"/>
        <w:jc w:val="left"/>
        <w:rPr>
          <w:rFonts w:hint="eastAsia"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第二条   本办法适用于</w:t>
      </w:r>
      <w:r>
        <w:rPr>
          <w:rFonts w:hint="eastAsia" w:ascii="仿宋_GB2312" w:hAnsi="宋体" w:eastAsia="仿宋_GB2312" w:cs="宋体"/>
          <w:color w:val="000000"/>
          <w:kern w:val="0"/>
          <w:sz w:val="30"/>
          <w:szCs w:val="30"/>
          <w:lang w:eastAsia="zh-CN"/>
        </w:rPr>
        <w:t>本市行政区域内</w:t>
      </w:r>
      <w:r>
        <w:rPr>
          <w:rFonts w:hint="eastAsia" w:ascii="仿宋_GB2312" w:hAnsi="宋体" w:eastAsia="仿宋_GB2312" w:cs="宋体"/>
          <w:color w:val="000000"/>
          <w:kern w:val="0"/>
          <w:sz w:val="30"/>
          <w:szCs w:val="30"/>
        </w:rPr>
        <w:t>建筑能效公示及其相关管理活动。</w:t>
      </w:r>
    </w:p>
    <w:p>
      <w:pPr>
        <w:widowControl/>
        <w:shd w:val="clear" w:color="auto" w:fill="FFFFFF"/>
        <w:spacing w:line="402" w:lineRule="atLeast"/>
        <w:ind w:firstLine="600" w:firstLineChars="200"/>
        <w:jc w:val="left"/>
        <w:rPr>
          <w:rFonts w:hint="eastAsia" w:ascii="仿宋_GB2312" w:hAnsi="宋体" w:eastAsia="仿宋_GB2312" w:cs="宋体"/>
          <w:color w:val="0C0C0C"/>
          <w:kern w:val="0"/>
          <w:sz w:val="30"/>
          <w:szCs w:val="30"/>
        </w:rPr>
      </w:pPr>
      <w:r>
        <w:rPr>
          <w:rFonts w:hint="eastAsia" w:ascii="仿宋_GB2312" w:hAnsi="宋体" w:eastAsia="仿宋_GB2312" w:cs="宋体"/>
          <w:color w:val="0C0C0C"/>
          <w:kern w:val="0"/>
          <w:sz w:val="30"/>
          <w:szCs w:val="30"/>
        </w:rPr>
        <w:t>适用的公示对象包括本市行政区域内建筑面积</w:t>
      </w:r>
      <w:r>
        <w:rPr>
          <w:rFonts w:ascii="Times New Roman" w:hAnsi="Times New Roman" w:eastAsia="仿宋_GB2312" w:cs="Times New Roman"/>
          <w:color w:val="0C0C0C"/>
          <w:kern w:val="0"/>
          <w:sz w:val="30"/>
          <w:szCs w:val="30"/>
        </w:rPr>
        <w:t>3000</w:t>
      </w:r>
      <w:r>
        <w:rPr>
          <w:rFonts w:hint="eastAsia" w:ascii="仿宋_GB2312" w:hAnsi="宋体" w:eastAsia="仿宋_GB2312" w:cs="宋体"/>
          <w:color w:val="0C0C0C"/>
          <w:kern w:val="0"/>
          <w:sz w:val="30"/>
          <w:szCs w:val="30"/>
        </w:rPr>
        <w:t>平方米及以上市、区国家机关办公建筑</w:t>
      </w:r>
      <w:r>
        <w:rPr>
          <w:rFonts w:hint="eastAsia" w:ascii="仿宋_GB2312" w:hAnsi="宋体" w:eastAsia="仿宋_GB2312" w:cs="宋体"/>
          <w:color w:val="0C0C0C"/>
          <w:kern w:val="0"/>
          <w:sz w:val="30"/>
          <w:szCs w:val="30"/>
          <w:lang w:eastAsia="zh-CN"/>
        </w:rPr>
        <w:t>，</w:t>
      </w:r>
      <w:r>
        <w:rPr>
          <w:rFonts w:hint="eastAsia" w:ascii="仿宋_GB2312" w:hAnsi="宋体" w:eastAsia="仿宋_GB2312" w:cs="宋体"/>
          <w:color w:val="0C0C0C"/>
          <w:kern w:val="0"/>
          <w:sz w:val="30"/>
          <w:szCs w:val="30"/>
        </w:rPr>
        <w:t>单体建筑面积</w:t>
      </w:r>
      <w:r>
        <w:rPr>
          <w:rFonts w:ascii="Times New Roman" w:hAnsi="Times New Roman" w:eastAsia="仿宋_GB2312" w:cs="Times New Roman"/>
          <w:color w:val="0C0C0C"/>
          <w:kern w:val="0"/>
          <w:sz w:val="30"/>
          <w:szCs w:val="30"/>
        </w:rPr>
        <w:t>20000</w:t>
      </w:r>
      <w:r>
        <w:rPr>
          <w:rFonts w:hint="eastAsia" w:ascii="仿宋_GB2312" w:hAnsi="宋体" w:eastAsia="仿宋_GB2312" w:cs="宋体"/>
          <w:color w:val="0C0C0C"/>
          <w:kern w:val="0"/>
          <w:sz w:val="30"/>
          <w:szCs w:val="30"/>
        </w:rPr>
        <w:t>平方米及以上的大型公共建筑，以及总建筑面积超过</w:t>
      </w:r>
      <w:r>
        <w:rPr>
          <w:rFonts w:ascii="Times New Roman" w:hAnsi="Times New Roman" w:eastAsia="仿宋_GB2312" w:cs="Times New Roman"/>
          <w:color w:val="0C0C0C"/>
          <w:kern w:val="0"/>
          <w:sz w:val="30"/>
          <w:szCs w:val="30"/>
        </w:rPr>
        <w:t>20000</w:t>
      </w:r>
      <w:r>
        <w:rPr>
          <w:rFonts w:hint="eastAsia" w:ascii="仿宋_GB2312" w:hAnsi="宋体" w:eastAsia="仿宋_GB2312" w:cs="宋体"/>
          <w:color w:val="0C0C0C"/>
          <w:kern w:val="0"/>
          <w:sz w:val="30"/>
          <w:szCs w:val="30"/>
        </w:rPr>
        <w:t>平方米的公共建筑。</w:t>
      </w:r>
    </w:p>
    <w:p>
      <w:pPr>
        <w:widowControl/>
        <w:numPr>
          <w:ilvl w:val="0"/>
          <w:numId w:val="2"/>
        </w:numPr>
        <w:shd w:val="clear" w:color="auto" w:fill="FFFFFF"/>
        <w:spacing w:line="402" w:lineRule="atLeast"/>
        <w:ind w:firstLine="600" w:firstLineChars="200"/>
        <w:jc w:val="left"/>
        <w:rPr>
          <w:rFonts w:hint="eastAsia"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 xml:space="preserve"> 本办法所称能效公示，是指通过能耗统计、能源审计等方式，获得建筑能源消费情况，并以一定的形式公布的活动。</w:t>
      </w:r>
    </w:p>
    <w:p>
      <w:pPr>
        <w:widowControl/>
        <w:shd w:val="clear" w:color="auto" w:fill="FFFFFF"/>
        <w:spacing w:line="402" w:lineRule="atLeast"/>
        <w:ind w:firstLine="600" w:firstLineChars="200"/>
        <w:jc w:val="left"/>
        <w:rPr>
          <w:rFonts w:hint="eastAsia" w:ascii="仿宋_GB2312" w:hAnsi="宋体" w:eastAsia="仿宋_GB2312" w:cs="宋体"/>
          <w:color w:val="000000"/>
          <w:kern w:val="0"/>
          <w:sz w:val="30"/>
          <w:szCs w:val="30"/>
          <w:lang w:eastAsia="zh-CN"/>
        </w:rPr>
      </w:pPr>
      <w:r>
        <w:rPr>
          <w:rFonts w:hint="eastAsia" w:ascii="仿宋_GB2312" w:hAnsi="宋体" w:eastAsia="仿宋_GB2312" w:cs="宋体"/>
          <w:color w:val="000000"/>
          <w:kern w:val="0"/>
          <w:sz w:val="30"/>
          <w:szCs w:val="30"/>
        </w:rPr>
        <w:t>第</w:t>
      </w:r>
      <w:r>
        <w:rPr>
          <w:rFonts w:hint="eastAsia" w:ascii="仿宋_GB2312" w:hAnsi="宋体" w:eastAsia="仿宋_GB2312" w:cs="宋体"/>
          <w:color w:val="000000"/>
          <w:kern w:val="0"/>
          <w:sz w:val="30"/>
          <w:szCs w:val="30"/>
          <w:lang w:eastAsia="zh-CN"/>
        </w:rPr>
        <w:t>四</w:t>
      </w:r>
      <w:r>
        <w:rPr>
          <w:rFonts w:hint="eastAsia" w:ascii="仿宋_GB2312" w:hAnsi="宋体" w:eastAsia="仿宋_GB2312" w:cs="宋体"/>
          <w:color w:val="000000"/>
          <w:kern w:val="0"/>
          <w:sz w:val="30"/>
          <w:szCs w:val="30"/>
        </w:rPr>
        <w:t xml:space="preserve">条  </w:t>
      </w:r>
      <w:r>
        <w:rPr>
          <w:rFonts w:hint="eastAsia" w:ascii="仿宋_GB2312" w:hAnsi="宋体" w:eastAsia="仿宋_GB2312" w:cs="宋体"/>
          <w:color w:val="000000"/>
          <w:kern w:val="0"/>
          <w:sz w:val="30"/>
          <w:szCs w:val="30"/>
          <w:lang w:eastAsia="zh-CN"/>
        </w:rPr>
        <w:t>建筑</w:t>
      </w:r>
      <w:r>
        <w:rPr>
          <w:rFonts w:hint="eastAsia" w:ascii="仿宋_GB2312" w:hAnsi="宋体" w:eastAsia="仿宋_GB2312" w:cs="宋体"/>
          <w:color w:val="000000"/>
          <w:kern w:val="0"/>
          <w:sz w:val="30"/>
          <w:szCs w:val="30"/>
        </w:rPr>
        <w:t>能效公示</w:t>
      </w:r>
      <w:r>
        <w:rPr>
          <w:rFonts w:hint="eastAsia" w:ascii="仿宋_GB2312" w:hAnsi="宋体" w:eastAsia="仿宋_GB2312" w:cs="宋体"/>
          <w:color w:val="000000"/>
          <w:kern w:val="0"/>
          <w:sz w:val="30"/>
          <w:szCs w:val="30"/>
          <w:lang w:eastAsia="zh-CN"/>
        </w:rPr>
        <w:t>分为内部公示和外部公示两种形式。</w:t>
      </w:r>
    </w:p>
    <w:p>
      <w:pPr>
        <w:widowControl/>
        <w:shd w:val="clear" w:color="auto" w:fill="FFFFFF"/>
        <w:spacing w:line="402" w:lineRule="atLeast"/>
        <w:ind w:firstLine="600" w:firstLineChars="200"/>
        <w:jc w:val="left"/>
        <w:rPr>
          <w:rFonts w:ascii="仿宋_GB2312" w:hAnsi="宋体" w:eastAsia="仿宋_GB2312" w:cs="宋体"/>
          <w:color w:val="0C0C0C"/>
          <w:kern w:val="0"/>
          <w:sz w:val="30"/>
          <w:szCs w:val="30"/>
        </w:rPr>
      </w:pPr>
      <w:r>
        <w:rPr>
          <w:rFonts w:hint="eastAsia" w:ascii="仿宋_GB2312" w:hAnsi="宋体" w:eastAsia="仿宋_GB2312" w:cs="宋体"/>
          <w:color w:val="0C0C0C"/>
          <w:kern w:val="0"/>
          <w:sz w:val="30"/>
          <w:szCs w:val="30"/>
        </w:rPr>
        <w:t>第</w:t>
      </w:r>
      <w:r>
        <w:rPr>
          <w:rFonts w:hint="eastAsia" w:ascii="仿宋_GB2312" w:hAnsi="宋体" w:eastAsia="仿宋_GB2312" w:cs="宋体"/>
          <w:color w:val="0C0C0C"/>
          <w:kern w:val="0"/>
          <w:sz w:val="30"/>
          <w:szCs w:val="30"/>
          <w:lang w:eastAsia="zh-CN"/>
        </w:rPr>
        <w:t>五</w:t>
      </w:r>
      <w:r>
        <w:rPr>
          <w:rFonts w:hint="eastAsia" w:ascii="仿宋_GB2312" w:hAnsi="宋体" w:eastAsia="仿宋_GB2312" w:cs="宋体"/>
          <w:color w:val="0C0C0C"/>
          <w:kern w:val="0"/>
          <w:sz w:val="30"/>
          <w:szCs w:val="30"/>
        </w:rPr>
        <w:t>条  市住房和建设局牵头会同市机关事务管理局、各区政府依照各自职责，共同推进能效公示管理工作。</w:t>
      </w:r>
    </w:p>
    <w:p>
      <w:pPr>
        <w:ind w:firstLine="560"/>
        <w:rPr>
          <w:rFonts w:ascii="仿宋_GB2312" w:hAnsi="宋体" w:eastAsia="仿宋_GB2312" w:cs="宋体"/>
          <w:color w:val="0C0C0C"/>
          <w:kern w:val="0"/>
          <w:sz w:val="30"/>
          <w:szCs w:val="30"/>
        </w:rPr>
      </w:pPr>
      <w:r>
        <w:rPr>
          <w:rFonts w:hint="eastAsia" w:ascii="仿宋_GB2312" w:hAnsi="宋体" w:eastAsia="仿宋_GB2312" w:cs="宋体"/>
          <w:color w:val="0C0C0C"/>
          <w:kern w:val="0"/>
          <w:sz w:val="30"/>
          <w:szCs w:val="30"/>
        </w:rPr>
        <w:t>市住房和建设局统筹协调建筑能效公示的重大问题，监督各相关部门的贯彻落实情况。</w:t>
      </w:r>
    </w:p>
    <w:p>
      <w:pPr>
        <w:ind w:firstLine="560"/>
        <w:rPr>
          <w:rFonts w:ascii="仿宋_GB2312" w:hAnsi="宋体" w:eastAsia="仿宋_GB2312" w:cs="宋体"/>
          <w:color w:val="000000"/>
          <w:kern w:val="0"/>
          <w:sz w:val="30"/>
          <w:szCs w:val="30"/>
        </w:rPr>
      </w:pPr>
      <w:r>
        <w:rPr>
          <w:rFonts w:hint="eastAsia" w:ascii="仿宋_GB2312" w:hAnsi="仿宋" w:eastAsia="仿宋_GB2312"/>
          <w:sz w:val="28"/>
          <w:szCs w:val="28"/>
        </w:rPr>
        <w:t>市机关事务管理局</w:t>
      </w:r>
      <w:r>
        <w:rPr>
          <w:rFonts w:hint="eastAsia" w:ascii="仿宋_GB2312" w:hAnsi="宋体" w:eastAsia="仿宋_GB2312" w:cs="宋体"/>
          <w:color w:val="000000"/>
          <w:kern w:val="0"/>
          <w:sz w:val="30"/>
          <w:szCs w:val="30"/>
        </w:rPr>
        <w:t>负责</w:t>
      </w:r>
      <w:r>
        <w:rPr>
          <w:rFonts w:hint="eastAsia" w:ascii="仿宋_GB2312" w:hAnsi="宋体" w:eastAsia="仿宋_GB2312" w:cs="宋体"/>
          <w:color w:val="0C0C0C"/>
          <w:kern w:val="0"/>
          <w:sz w:val="30"/>
          <w:szCs w:val="30"/>
        </w:rPr>
        <w:t>本市行政区域内市直公共机构</w:t>
      </w:r>
      <w:r>
        <w:rPr>
          <w:rFonts w:hint="eastAsia" w:ascii="仿宋_GB2312" w:hAnsi="宋体" w:eastAsia="仿宋_GB2312" w:cs="宋体"/>
          <w:color w:val="000000"/>
          <w:kern w:val="0"/>
          <w:sz w:val="30"/>
          <w:szCs w:val="30"/>
        </w:rPr>
        <w:t>能效公示的具体实施与监督管理。</w:t>
      </w:r>
    </w:p>
    <w:p>
      <w:pPr>
        <w:ind w:firstLine="560"/>
        <w:rPr>
          <w:rFonts w:ascii="仿宋_GB2312" w:hAnsi="宋体" w:eastAsia="仿宋_GB2312" w:cs="宋体"/>
          <w:color w:val="000000"/>
          <w:kern w:val="0"/>
          <w:sz w:val="30"/>
          <w:szCs w:val="30"/>
        </w:rPr>
      </w:pPr>
      <w:r>
        <w:rPr>
          <w:rFonts w:hint="eastAsia" w:ascii="仿宋_GB2312" w:hAnsi="仿宋" w:eastAsia="仿宋_GB2312"/>
          <w:sz w:val="28"/>
          <w:szCs w:val="28"/>
        </w:rPr>
        <w:t>各区政府</w:t>
      </w:r>
      <w:r>
        <w:rPr>
          <w:rFonts w:hint="eastAsia" w:ascii="仿宋_GB2312" w:hAnsi="宋体" w:eastAsia="仿宋_GB2312" w:cs="宋体"/>
          <w:color w:val="000000"/>
          <w:kern w:val="0"/>
          <w:sz w:val="30"/>
          <w:szCs w:val="30"/>
        </w:rPr>
        <w:t>负责</w:t>
      </w:r>
      <w:r>
        <w:rPr>
          <w:rFonts w:hint="eastAsia" w:ascii="仿宋_GB2312" w:hAnsi="宋体" w:eastAsia="仿宋_GB2312" w:cs="宋体"/>
          <w:color w:val="0C0C0C"/>
          <w:kern w:val="0"/>
          <w:sz w:val="30"/>
          <w:szCs w:val="30"/>
        </w:rPr>
        <w:t>本区行政区域内区属公共机构和其他公共建筑</w:t>
      </w:r>
      <w:r>
        <w:rPr>
          <w:rFonts w:hint="eastAsia" w:ascii="仿宋_GB2312" w:hAnsi="宋体" w:eastAsia="仿宋_GB2312" w:cs="宋体"/>
          <w:color w:val="000000"/>
          <w:kern w:val="0"/>
          <w:sz w:val="30"/>
          <w:szCs w:val="30"/>
        </w:rPr>
        <w:t>能效公示的具体实施与监督管理。</w:t>
      </w:r>
    </w:p>
    <w:p>
      <w:pPr>
        <w:ind w:firstLine="560"/>
        <w:rPr>
          <w:rFonts w:ascii="仿宋_GB2312" w:hAnsi="宋体" w:eastAsia="仿宋_GB2312" w:cs="宋体"/>
          <w:color w:val="0C0C0C"/>
          <w:kern w:val="0"/>
          <w:sz w:val="30"/>
          <w:szCs w:val="30"/>
        </w:rPr>
      </w:pPr>
      <w:r>
        <w:rPr>
          <w:rFonts w:hint="eastAsia" w:ascii="仿宋_GB2312" w:hAnsi="宋体" w:eastAsia="仿宋_GB2312" w:cs="宋体"/>
          <w:color w:val="0C0C0C"/>
          <w:kern w:val="0"/>
          <w:sz w:val="30"/>
          <w:szCs w:val="30"/>
        </w:rPr>
        <w:t>第</w:t>
      </w:r>
      <w:r>
        <w:rPr>
          <w:rFonts w:hint="eastAsia" w:ascii="仿宋_GB2312" w:hAnsi="宋体" w:eastAsia="仿宋_GB2312" w:cs="宋体"/>
          <w:color w:val="0C0C0C"/>
          <w:kern w:val="0"/>
          <w:sz w:val="30"/>
          <w:szCs w:val="30"/>
          <w:lang w:eastAsia="zh-CN"/>
        </w:rPr>
        <w:t>六</w:t>
      </w:r>
      <w:r>
        <w:rPr>
          <w:rFonts w:hint="eastAsia" w:ascii="仿宋_GB2312" w:hAnsi="宋体" w:eastAsia="仿宋_GB2312" w:cs="宋体"/>
          <w:color w:val="0C0C0C"/>
          <w:kern w:val="0"/>
          <w:sz w:val="30"/>
          <w:szCs w:val="30"/>
        </w:rPr>
        <w:t>条  建筑物所有权人或其授权委托的物业服务企业负责建筑能效数据的收集、</w:t>
      </w:r>
      <w:r>
        <w:rPr>
          <w:rFonts w:ascii="仿宋_GB2312" w:hAnsi="宋体" w:eastAsia="仿宋_GB2312" w:cs="宋体"/>
          <w:color w:val="0C0C0C"/>
          <w:kern w:val="0"/>
          <w:sz w:val="30"/>
          <w:szCs w:val="30"/>
        </w:rPr>
        <w:t>统计</w:t>
      </w:r>
      <w:r>
        <w:rPr>
          <w:rFonts w:hint="eastAsia" w:ascii="仿宋_GB2312" w:hAnsi="宋体" w:eastAsia="仿宋_GB2312" w:cs="宋体"/>
          <w:color w:val="0C0C0C"/>
          <w:kern w:val="0"/>
          <w:sz w:val="30"/>
          <w:szCs w:val="30"/>
        </w:rPr>
        <w:t>及报送。</w:t>
      </w:r>
    </w:p>
    <w:p>
      <w:pPr>
        <w:ind w:firstLine="560"/>
        <w:rPr>
          <w:rFonts w:hint="eastAsia" w:ascii="仿宋_GB2312" w:hAnsi="宋体" w:eastAsia="仿宋_GB2312" w:cs="宋体"/>
          <w:color w:val="000000"/>
          <w:kern w:val="0"/>
          <w:sz w:val="30"/>
          <w:szCs w:val="30"/>
          <w:lang w:eastAsia="zh-CN"/>
        </w:rPr>
      </w:pPr>
      <w:r>
        <w:rPr>
          <w:rFonts w:hint="eastAsia" w:ascii="仿宋_GB2312" w:hAnsi="宋体" w:eastAsia="仿宋_GB2312" w:cs="宋体"/>
          <w:color w:val="000000"/>
          <w:kern w:val="0"/>
          <w:sz w:val="30"/>
          <w:szCs w:val="30"/>
          <w:lang w:eastAsia="zh-CN"/>
        </w:rPr>
        <w:t>第七天</w:t>
      </w:r>
      <w:r>
        <w:rPr>
          <w:rFonts w:hint="eastAsia" w:ascii="仿宋_GB2312" w:hAnsi="宋体" w:eastAsia="仿宋_GB2312" w:cs="宋体"/>
          <w:color w:val="000000"/>
          <w:kern w:val="0"/>
          <w:sz w:val="30"/>
          <w:szCs w:val="30"/>
          <w:lang w:val="en-US" w:eastAsia="zh-CN"/>
        </w:rPr>
        <w:t xml:space="preserve">  </w:t>
      </w:r>
      <w:r>
        <w:rPr>
          <w:rFonts w:hint="eastAsia" w:ascii="仿宋_GB2312" w:hAnsi="宋体" w:eastAsia="仿宋_GB2312" w:cs="宋体"/>
          <w:color w:val="000000"/>
          <w:kern w:val="0"/>
          <w:sz w:val="30"/>
          <w:szCs w:val="30"/>
        </w:rPr>
        <w:t>建筑能效公示应遵循诚信申报、实事求是</w:t>
      </w:r>
      <w:r>
        <w:rPr>
          <w:rFonts w:hint="eastAsia" w:ascii="仿宋_GB2312" w:hAnsi="宋体" w:eastAsia="仿宋_GB2312" w:cs="宋体"/>
          <w:color w:val="000000"/>
          <w:kern w:val="0"/>
          <w:sz w:val="30"/>
          <w:szCs w:val="30"/>
          <w:lang w:val="en-US" w:eastAsia="zh-CN"/>
        </w:rPr>
        <w:t>、</w:t>
      </w:r>
      <w:r>
        <w:rPr>
          <w:rFonts w:hint="eastAsia" w:ascii="仿宋_GB2312" w:hAnsi="宋体" w:eastAsia="仿宋_GB2312" w:cs="宋体"/>
          <w:color w:val="000000"/>
          <w:kern w:val="0"/>
          <w:sz w:val="30"/>
          <w:szCs w:val="30"/>
        </w:rPr>
        <w:t>客观公正的原则，并注重社会效益，提高公示信息的公信力。</w:t>
      </w:r>
    </w:p>
    <w:p>
      <w:pPr>
        <w:widowControl/>
        <w:shd w:val="clear" w:color="auto" w:fill="FFFFFF"/>
        <w:spacing w:line="402" w:lineRule="atLeast"/>
        <w:jc w:val="center"/>
        <w:outlineLvl w:val="0"/>
        <w:rPr>
          <w:rFonts w:hint="eastAsia" w:ascii="仿宋_GB2312" w:hAnsi="宋体" w:eastAsia="仿宋_GB2312" w:cs="宋体"/>
          <w:color w:val="000000"/>
          <w:kern w:val="0"/>
          <w:sz w:val="30"/>
          <w:szCs w:val="30"/>
        </w:rPr>
      </w:pPr>
    </w:p>
    <w:p>
      <w:pPr>
        <w:widowControl/>
        <w:shd w:val="clear" w:color="auto" w:fill="FFFFFF"/>
        <w:spacing w:line="402" w:lineRule="atLeast"/>
        <w:jc w:val="center"/>
        <w:outlineLvl w:val="0"/>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第二章  建筑内部公示</w:t>
      </w:r>
    </w:p>
    <w:p>
      <w:pPr>
        <w:widowControl/>
        <w:shd w:val="clear" w:color="auto" w:fill="FFFFFF"/>
        <w:spacing w:line="402" w:lineRule="atLeast"/>
        <w:ind w:firstLine="600" w:firstLineChars="200"/>
        <w:jc w:val="left"/>
        <w:rPr>
          <w:rFonts w:ascii="仿宋_GB2312" w:hAnsi="宋体" w:eastAsia="仿宋_GB2312" w:cs="宋体"/>
          <w:color w:val="0C0C0C"/>
          <w:kern w:val="0"/>
          <w:sz w:val="30"/>
          <w:szCs w:val="30"/>
        </w:rPr>
      </w:pPr>
      <w:r>
        <w:rPr>
          <w:rFonts w:hint="eastAsia" w:ascii="仿宋_GB2312" w:hAnsi="宋体" w:eastAsia="仿宋_GB2312" w:cs="宋体"/>
          <w:color w:val="000000"/>
          <w:kern w:val="0"/>
          <w:sz w:val="30"/>
          <w:szCs w:val="30"/>
        </w:rPr>
        <w:t xml:space="preserve">第八条  </w:t>
      </w:r>
      <w:r>
        <w:rPr>
          <w:rFonts w:hint="eastAsia" w:ascii="仿宋_GB2312" w:hAnsi="宋体" w:eastAsia="仿宋_GB2312" w:cs="宋体"/>
          <w:color w:val="0C0C0C"/>
          <w:kern w:val="0"/>
          <w:sz w:val="30"/>
          <w:szCs w:val="30"/>
          <w:lang w:eastAsia="zh-CN"/>
        </w:rPr>
        <w:t>本办法第二条中“适用的</w:t>
      </w:r>
      <w:r>
        <w:rPr>
          <w:rFonts w:hint="eastAsia" w:ascii="仿宋_GB2312" w:hAnsi="宋体" w:eastAsia="仿宋_GB2312" w:cs="宋体"/>
          <w:color w:val="0C0C0C"/>
          <w:kern w:val="0"/>
          <w:sz w:val="30"/>
          <w:szCs w:val="30"/>
        </w:rPr>
        <w:t>公示对象</w:t>
      </w:r>
      <w:r>
        <w:rPr>
          <w:rFonts w:hint="eastAsia" w:ascii="仿宋_GB2312" w:hAnsi="宋体" w:eastAsia="仿宋_GB2312" w:cs="宋体"/>
          <w:color w:val="0C0C0C"/>
          <w:kern w:val="0"/>
          <w:sz w:val="30"/>
          <w:szCs w:val="30"/>
          <w:lang w:eastAsia="zh-CN"/>
        </w:rPr>
        <w:t>”</w:t>
      </w:r>
      <w:r>
        <w:rPr>
          <w:rFonts w:hint="eastAsia" w:ascii="仿宋_GB2312" w:hAnsi="宋体" w:eastAsia="仿宋_GB2312" w:cs="宋体"/>
          <w:color w:val="0C0C0C"/>
          <w:kern w:val="0"/>
          <w:sz w:val="30"/>
          <w:szCs w:val="30"/>
        </w:rPr>
        <w:t>均应进行内部公示。</w:t>
      </w:r>
    </w:p>
    <w:p>
      <w:pPr>
        <w:widowControl/>
        <w:shd w:val="clear" w:color="auto" w:fill="FFFFFF"/>
        <w:spacing w:line="402" w:lineRule="atLeast"/>
        <w:ind w:firstLine="600" w:firstLineChars="200"/>
        <w:jc w:val="left"/>
        <w:rPr>
          <w:rFonts w:ascii="仿宋_GB2312" w:hAnsi="宋体" w:eastAsia="仿宋_GB2312" w:cs="宋体"/>
          <w:color w:val="0C0C0C"/>
          <w:kern w:val="0"/>
          <w:sz w:val="30"/>
          <w:szCs w:val="30"/>
        </w:rPr>
      </w:pPr>
      <w:r>
        <w:rPr>
          <w:rFonts w:hint="eastAsia" w:ascii="仿宋_GB2312" w:hAnsi="宋体" w:eastAsia="仿宋_GB2312" w:cs="宋体"/>
          <w:color w:val="0C0C0C"/>
          <w:kern w:val="0"/>
          <w:sz w:val="30"/>
          <w:szCs w:val="30"/>
        </w:rPr>
        <w:t>第</w:t>
      </w:r>
      <w:r>
        <w:rPr>
          <w:rFonts w:hint="eastAsia" w:ascii="仿宋_GB2312" w:hAnsi="宋体" w:eastAsia="仿宋_GB2312" w:cs="宋体"/>
          <w:color w:val="0C0C0C"/>
          <w:kern w:val="0"/>
          <w:sz w:val="30"/>
          <w:szCs w:val="30"/>
          <w:lang w:eastAsia="zh-CN"/>
        </w:rPr>
        <w:t>九</w:t>
      </w:r>
      <w:r>
        <w:rPr>
          <w:rFonts w:hint="eastAsia" w:ascii="仿宋_GB2312" w:hAnsi="宋体" w:eastAsia="仿宋_GB2312" w:cs="宋体"/>
          <w:color w:val="0C0C0C"/>
          <w:kern w:val="0"/>
          <w:sz w:val="30"/>
          <w:szCs w:val="30"/>
        </w:rPr>
        <w:t>条  建筑内部公示应采取以下程序：</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C0C0C"/>
          <w:kern w:val="0"/>
          <w:sz w:val="30"/>
          <w:szCs w:val="30"/>
        </w:rPr>
        <w:t>建筑物所有权人或其授权委托的物业服务</w:t>
      </w:r>
      <w:r>
        <w:rPr>
          <w:rFonts w:hint="eastAsia" w:ascii="仿宋_GB2312" w:hAnsi="宋体" w:eastAsia="仿宋_GB2312" w:cs="宋体"/>
          <w:color w:val="000000"/>
          <w:kern w:val="0"/>
          <w:sz w:val="30"/>
          <w:szCs w:val="30"/>
        </w:rPr>
        <w:t>企业</w:t>
      </w:r>
      <w:r>
        <w:rPr>
          <w:rFonts w:hint="eastAsia" w:ascii="仿宋_GB2312" w:hAnsi="宋体" w:eastAsia="仿宋_GB2312" w:cs="宋体"/>
          <w:color w:val="000000"/>
          <w:kern w:val="0"/>
          <w:sz w:val="30"/>
          <w:szCs w:val="30"/>
          <w:lang w:eastAsia="zh-CN"/>
        </w:rPr>
        <w:t>，</w:t>
      </w:r>
      <w:r>
        <w:rPr>
          <w:rFonts w:ascii="仿宋_GB2312" w:hAnsi="宋体" w:eastAsia="仿宋_GB2312" w:cs="宋体"/>
          <w:color w:val="0C0C0C"/>
          <w:kern w:val="0"/>
          <w:sz w:val="30"/>
          <w:szCs w:val="30"/>
        </w:rPr>
        <w:t>对建筑能效数据进行</w:t>
      </w:r>
      <w:r>
        <w:rPr>
          <w:rFonts w:hint="eastAsia" w:ascii="仿宋_GB2312" w:hAnsi="宋体" w:eastAsia="仿宋_GB2312" w:cs="宋体"/>
          <w:color w:val="0C0C0C"/>
          <w:kern w:val="0"/>
          <w:sz w:val="30"/>
          <w:szCs w:val="30"/>
        </w:rPr>
        <w:t>收集</w:t>
      </w:r>
      <w:r>
        <w:rPr>
          <w:rFonts w:ascii="仿宋_GB2312" w:hAnsi="宋体" w:eastAsia="仿宋_GB2312" w:cs="宋体"/>
          <w:color w:val="0C0C0C"/>
          <w:kern w:val="0"/>
          <w:sz w:val="30"/>
          <w:szCs w:val="30"/>
        </w:rPr>
        <w:t>与统计</w:t>
      </w:r>
      <w:r>
        <w:rPr>
          <w:rFonts w:hint="eastAsia" w:ascii="仿宋_GB2312" w:hAnsi="宋体" w:eastAsia="仿宋_GB2312" w:cs="宋体"/>
          <w:color w:val="0C0C0C"/>
          <w:kern w:val="0"/>
          <w:sz w:val="30"/>
          <w:szCs w:val="30"/>
        </w:rPr>
        <w:t>并</w:t>
      </w:r>
      <w:r>
        <w:rPr>
          <w:rFonts w:hint="eastAsia" w:ascii="仿宋_GB2312" w:hAnsi="宋体" w:eastAsia="仿宋_GB2312" w:cs="宋体"/>
          <w:color w:val="000000"/>
          <w:kern w:val="0"/>
          <w:sz w:val="30"/>
          <w:szCs w:val="30"/>
        </w:rPr>
        <w:t>在建筑首层内部或外部的公告栏或公示栏进行公开公示。</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 xml:space="preserve">第十条  </w:t>
      </w:r>
      <w:r>
        <w:rPr>
          <w:rFonts w:hint="eastAsia" w:ascii="仿宋_GB2312" w:hAnsi="宋体" w:eastAsia="仿宋_GB2312" w:cs="宋体"/>
          <w:color w:val="000000"/>
          <w:kern w:val="0"/>
          <w:sz w:val="30"/>
        </w:rPr>
        <w:t>建筑</w:t>
      </w:r>
      <w:r>
        <w:rPr>
          <w:rFonts w:hint="eastAsia" w:ascii="仿宋_GB2312" w:hAnsi="宋体" w:eastAsia="仿宋_GB2312" w:cs="宋体"/>
          <w:color w:val="000000"/>
          <w:kern w:val="0"/>
          <w:sz w:val="30"/>
          <w:szCs w:val="30"/>
        </w:rPr>
        <w:t>内部公示信息一般包括以下几个方面：</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（一）建筑基本情况，应包括建筑类型、建筑名称、竣工时间、建筑面积、空气调节方式等建筑物基本信息及能效公示</w:t>
      </w:r>
      <w:r>
        <w:rPr>
          <w:rFonts w:ascii="仿宋_GB2312" w:hAnsi="宋体" w:eastAsia="仿宋_GB2312" w:cs="宋体"/>
          <w:color w:val="000000"/>
          <w:kern w:val="0"/>
          <w:sz w:val="30"/>
          <w:szCs w:val="30"/>
        </w:rPr>
        <w:t>主管人员</w:t>
      </w:r>
      <w:r>
        <w:rPr>
          <w:rFonts w:hint="eastAsia" w:ascii="仿宋_GB2312" w:hAnsi="宋体" w:eastAsia="仿宋_GB2312" w:cs="宋体"/>
          <w:color w:val="000000"/>
          <w:kern w:val="0"/>
          <w:sz w:val="30"/>
          <w:szCs w:val="30"/>
        </w:rPr>
        <w:t>或</w:t>
      </w:r>
      <w:r>
        <w:rPr>
          <w:rFonts w:ascii="仿宋_GB2312" w:hAnsi="宋体" w:eastAsia="仿宋_GB2312" w:cs="宋体"/>
          <w:color w:val="000000"/>
          <w:kern w:val="0"/>
          <w:sz w:val="30"/>
          <w:szCs w:val="30"/>
        </w:rPr>
        <w:t>其他直接责任人员</w:t>
      </w:r>
      <w:r>
        <w:rPr>
          <w:rFonts w:hint="eastAsia" w:ascii="仿宋_GB2312" w:hAnsi="宋体" w:eastAsia="仿宋_GB2312" w:cs="宋体"/>
          <w:color w:val="000000"/>
          <w:kern w:val="0"/>
          <w:sz w:val="30"/>
          <w:szCs w:val="30"/>
        </w:rPr>
        <w:t>。</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（二）能耗数据，应包括电(</w:t>
      </w:r>
      <w:r>
        <w:rPr>
          <w:rFonts w:ascii="Times New Roman" w:hAnsi="Times New Roman" w:eastAsia="仿宋_GB2312" w:cs="Times New Roman"/>
          <w:color w:val="000000"/>
          <w:kern w:val="0"/>
          <w:sz w:val="30"/>
          <w:szCs w:val="30"/>
        </w:rPr>
        <w:t>kWh</w:t>
      </w:r>
      <w:r>
        <w:rPr>
          <w:rFonts w:hint="eastAsia" w:ascii="仿宋_GB2312" w:hAnsi="宋体" w:eastAsia="仿宋_GB2312" w:cs="宋体"/>
          <w:color w:val="000000"/>
          <w:kern w:val="0"/>
          <w:sz w:val="30"/>
          <w:szCs w:val="30"/>
        </w:rPr>
        <w:t>)、油(</w:t>
      </w:r>
      <w:r>
        <w:rPr>
          <w:rFonts w:ascii="Times New Roman" w:hAnsi="Times New Roman" w:eastAsia="仿宋_GB2312" w:cs="Times New Roman"/>
          <w:color w:val="000000"/>
          <w:kern w:val="0"/>
          <w:sz w:val="30"/>
          <w:szCs w:val="30"/>
        </w:rPr>
        <w:t>t</w:t>
      </w:r>
      <w:r>
        <w:rPr>
          <w:rFonts w:hint="eastAsia" w:ascii="仿宋_GB2312" w:hAnsi="宋体" w:eastAsia="仿宋_GB2312" w:cs="宋体"/>
          <w:color w:val="000000"/>
          <w:kern w:val="0"/>
          <w:sz w:val="30"/>
          <w:szCs w:val="30"/>
        </w:rPr>
        <w:t>)、天然气(</w:t>
      </w:r>
      <w:r>
        <w:rPr>
          <w:rFonts w:ascii="Times New Roman" w:hAnsi="Times New Roman" w:eastAsia="仿宋_GB2312" w:cs="Times New Roman"/>
          <w:color w:val="000000"/>
          <w:kern w:val="0"/>
          <w:sz w:val="30"/>
          <w:szCs w:val="30"/>
        </w:rPr>
        <w:t>m</w:t>
      </w:r>
      <w:r>
        <w:rPr>
          <w:rFonts w:ascii="Times New Roman" w:hAnsi="Times New Roman" w:eastAsia="宋体" w:cs="Times New Roman"/>
          <w:color w:val="000000"/>
          <w:kern w:val="0"/>
          <w:sz w:val="30"/>
          <w:szCs w:val="30"/>
        </w:rPr>
        <w:t>³</w:t>
      </w:r>
      <w:r>
        <w:rPr>
          <w:rFonts w:hint="eastAsia" w:ascii="仿宋_GB2312" w:hAnsi="宋体" w:eastAsia="仿宋_GB2312" w:cs="宋体"/>
          <w:color w:val="000000"/>
          <w:kern w:val="0"/>
          <w:sz w:val="30"/>
          <w:szCs w:val="30"/>
        </w:rPr>
        <w:t>)等各类能源年度总能耗量和耗水量（</w:t>
      </w:r>
      <w:r>
        <w:rPr>
          <w:rFonts w:ascii="Times New Roman" w:hAnsi="Times New Roman" w:eastAsia="仿宋_GB2312" w:cs="Times New Roman"/>
          <w:color w:val="000000"/>
          <w:kern w:val="0"/>
          <w:sz w:val="30"/>
          <w:szCs w:val="30"/>
        </w:rPr>
        <w:t>m</w:t>
      </w:r>
      <w:r>
        <w:rPr>
          <w:rFonts w:ascii="Times New Roman" w:hAnsi="Times New Roman" w:eastAsia="仿宋_GB2312" w:cs="Times New Roman"/>
          <w:color w:val="000000"/>
          <w:kern w:val="0"/>
          <w:sz w:val="30"/>
          <w:szCs w:val="30"/>
          <w:vertAlign w:val="superscript"/>
        </w:rPr>
        <w:t>3</w:t>
      </w:r>
      <w:r>
        <w:rPr>
          <w:rFonts w:hint="eastAsia" w:ascii="仿宋_GB2312" w:hAnsi="宋体" w:eastAsia="仿宋_GB2312" w:cs="宋体"/>
          <w:color w:val="000000"/>
          <w:kern w:val="0"/>
          <w:sz w:val="30"/>
          <w:szCs w:val="30"/>
        </w:rPr>
        <w:t>）及逐月能耗数据，以及年度</w:t>
      </w:r>
      <w:r>
        <w:rPr>
          <w:rFonts w:hint="eastAsia" w:ascii="Times New Roman" w:hAnsi="Times New Roman" w:eastAsia="仿宋_GB2312" w:cs="Times New Roman"/>
          <w:color w:val="000000"/>
          <w:kern w:val="0"/>
          <w:sz w:val="30"/>
          <w:szCs w:val="30"/>
        </w:rPr>
        <w:t>建筑</w:t>
      </w:r>
      <w:r>
        <w:rPr>
          <w:rFonts w:hint="eastAsia" w:ascii="仿宋_GB2312" w:hAnsi="宋体" w:eastAsia="仿宋_GB2312" w:cs="宋体"/>
          <w:color w:val="000000"/>
          <w:kern w:val="0"/>
          <w:sz w:val="30"/>
          <w:szCs w:val="30"/>
        </w:rPr>
        <w:t>综合</w:t>
      </w:r>
      <w:r>
        <w:rPr>
          <w:rFonts w:hint="eastAsia" w:ascii="Times New Roman" w:hAnsi="Times New Roman" w:eastAsia="仿宋_GB2312" w:cs="Times New Roman"/>
          <w:color w:val="000000"/>
          <w:kern w:val="0"/>
          <w:sz w:val="30"/>
          <w:szCs w:val="30"/>
        </w:rPr>
        <w:t>总能耗（kWh）</w:t>
      </w:r>
      <w:r>
        <w:rPr>
          <w:rFonts w:hint="eastAsia" w:ascii="仿宋_GB2312" w:hAnsi="宋体" w:eastAsia="仿宋_GB2312" w:cs="宋体"/>
          <w:color w:val="000000"/>
          <w:kern w:val="0"/>
          <w:sz w:val="30"/>
          <w:szCs w:val="30"/>
        </w:rPr>
        <w:t>、年度单位建筑面积综合能耗（</w:t>
      </w:r>
      <w:r>
        <w:rPr>
          <w:rFonts w:ascii="Times New Roman" w:hAnsi="Times New Roman" w:eastAsia="仿宋_GB2312" w:cs="Times New Roman"/>
          <w:color w:val="000000"/>
          <w:kern w:val="0"/>
          <w:sz w:val="30"/>
          <w:szCs w:val="30"/>
        </w:rPr>
        <w:t>kWh/m</w:t>
      </w:r>
      <w:r>
        <w:rPr>
          <w:rFonts w:ascii="Times New Roman" w:hAnsi="Times New Roman" w:eastAsia="仿宋_GB2312" w:cs="Times New Roman"/>
          <w:color w:val="000000"/>
          <w:kern w:val="0"/>
          <w:sz w:val="30"/>
          <w:szCs w:val="30"/>
          <w:vertAlign w:val="superscript"/>
        </w:rPr>
        <w:t>2</w:t>
      </w:r>
      <w:r>
        <w:rPr>
          <w:rFonts w:ascii="Times New Roman" w:hAnsi="Times New Roman" w:eastAsia="仿宋_GB2312" w:cs="Times New Roman"/>
          <w:color w:val="000000"/>
          <w:kern w:val="0"/>
          <w:sz w:val="30"/>
          <w:szCs w:val="30"/>
        </w:rPr>
        <w:t>.a</w:t>
      </w:r>
      <w:r>
        <w:rPr>
          <w:rFonts w:hint="eastAsia" w:ascii="仿宋_GB2312" w:hAnsi="宋体" w:eastAsia="仿宋_GB2312" w:cs="宋体"/>
          <w:color w:val="000000"/>
          <w:kern w:val="0"/>
          <w:sz w:val="30"/>
          <w:szCs w:val="30"/>
        </w:rPr>
        <w:t>）。能耗</w:t>
      </w:r>
      <w:r>
        <w:rPr>
          <w:rFonts w:ascii="仿宋_GB2312" w:hAnsi="宋体" w:eastAsia="仿宋_GB2312" w:cs="宋体"/>
          <w:color w:val="000000"/>
          <w:kern w:val="0"/>
          <w:sz w:val="30"/>
          <w:szCs w:val="30"/>
        </w:rPr>
        <w:t>指标的</w:t>
      </w:r>
      <w:r>
        <w:rPr>
          <w:rFonts w:hint="eastAsia" w:ascii="仿宋_GB2312" w:hAnsi="宋体" w:eastAsia="仿宋_GB2312" w:cs="宋体"/>
          <w:color w:val="000000"/>
          <w:kern w:val="0"/>
          <w:sz w:val="30"/>
          <w:szCs w:val="30"/>
        </w:rPr>
        <w:t>扣除</w:t>
      </w:r>
      <w:r>
        <w:rPr>
          <w:rFonts w:ascii="仿宋_GB2312" w:hAnsi="宋体" w:eastAsia="仿宋_GB2312" w:cs="宋体"/>
          <w:color w:val="000000"/>
          <w:kern w:val="0"/>
          <w:sz w:val="30"/>
          <w:szCs w:val="30"/>
        </w:rPr>
        <w:t>、折算</w:t>
      </w:r>
      <w:r>
        <w:rPr>
          <w:rFonts w:hint="eastAsia" w:ascii="仿宋_GB2312" w:hAnsi="宋体" w:eastAsia="仿宋_GB2312" w:cs="宋体"/>
          <w:color w:val="000000"/>
          <w:kern w:val="0"/>
          <w:sz w:val="30"/>
          <w:szCs w:val="30"/>
        </w:rPr>
        <w:t>与</w:t>
      </w:r>
      <w:r>
        <w:rPr>
          <w:rFonts w:ascii="仿宋_GB2312" w:hAnsi="宋体" w:eastAsia="仿宋_GB2312" w:cs="宋体"/>
          <w:color w:val="000000"/>
          <w:kern w:val="0"/>
          <w:sz w:val="30"/>
          <w:szCs w:val="30"/>
        </w:rPr>
        <w:t>修正参照</w:t>
      </w:r>
      <w:r>
        <w:rPr>
          <w:rFonts w:hint="eastAsia" w:ascii="仿宋_GB2312" w:hAnsi="宋体" w:eastAsia="仿宋_GB2312" w:cs="宋体"/>
          <w:color w:val="000000"/>
          <w:kern w:val="0"/>
          <w:sz w:val="30"/>
          <w:szCs w:val="30"/>
        </w:rPr>
        <w:t>《深圳市公共建筑能耗标准》SJG 34</w:t>
      </w:r>
      <w:r>
        <w:rPr>
          <w:rFonts w:ascii="仿宋_GB2312" w:hAnsi="宋体" w:eastAsia="仿宋_GB2312" w:cs="宋体"/>
          <w:color w:val="000000"/>
          <w:kern w:val="0"/>
          <w:sz w:val="30"/>
          <w:szCs w:val="30"/>
        </w:rPr>
        <w:t>-2017</w:t>
      </w:r>
      <w:r>
        <w:rPr>
          <w:rFonts w:hint="eastAsia" w:ascii="仿宋_GB2312" w:hAnsi="宋体" w:eastAsia="仿宋_GB2312" w:cs="宋体"/>
          <w:color w:val="000000"/>
          <w:kern w:val="0"/>
          <w:sz w:val="30"/>
          <w:szCs w:val="30"/>
        </w:rPr>
        <w:t>中</w:t>
      </w:r>
      <w:r>
        <w:rPr>
          <w:rFonts w:ascii="仿宋_GB2312" w:hAnsi="宋体" w:eastAsia="仿宋_GB2312" w:cs="宋体"/>
          <w:color w:val="000000"/>
          <w:kern w:val="0"/>
          <w:sz w:val="30"/>
          <w:szCs w:val="30"/>
        </w:rPr>
        <w:t>的相关规定。</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（三）能耗计量期内建筑所采用的技术节能或管理节能措施。</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第十</w:t>
      </w:r>
      <w:r>
        <w:rPr>
          <w:rFonts w:hint="eastAsia" w:ascii="仿宋_GB2312" w:hAnsi="宋体" w:eastAsia="仿宋_GB2312" w:cs="宋体"/>
          <w:color w:val="000000"/>
          <w:kern w:val="0"/>
          <w:sz w:val="30"/>
          <w:szCs w:val="30"/>
          <w:lang w:eastAsia="zh-CN"/>
        </w:rPr>
        <w:t>一</w:t>
      </w:r>
      <w:r>
        <w:rPr>
          <w:rFonts w:hint="eastAsia" w:ascii="仿宋_GB2312" w:hAnsi="宋体" w:eastAsia="仿宋_GB2312" w:cs="宋体"/>
          <w:color w:val="000000"/>
          <w:kern w:val="0"/>
          <w:sz w:val="30"/>
          <w:szCs w:val="30"/>
        </w:rPr>
        <w:t xml:space="preserve">条  </w:t>
      </w:r>
      <w:r>
        <w:rPr>
          <w:rFonts w:hint="eastAsia" w:ascii="仿宋_GB2312" w:hAnsi="宋体" w:eastAsia="仿宋_GB2312" w:cs="宋体"/>
          <w:color w:val="000000"/>
          <w:kern w:val="0"/>
          <w:sz w:val="30"/>
        </w:rPr>
        <w:t>建筑内部公示</w:t>
      </w:r>
      <w:r>
        <w:rPr>
          <w:rFonts w:hint="eastAsia" w:ascii="仿宋_GB2312" w:hAnsi="宋体" w:eastAsia="仿宋_GB2312" w:cs="宋体"/>
          <w:color w:val="000000"/>
          <w:kern w:val="0"/>
          <w:sz w:val="30"/>
          <w:szCs w:val="30"/>
        </w:rPr>
        <w:t>为每年一次，应在每年第一季度对上一年度能效数据进行公示，为长年公示。</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p>
    <w:p>
      <w:pPr>
        <w:widowControl/>
        <w:shd w:val="clear" w:color="auto" w:fill="FFFFFF"/>
        <w:spacing w:line="402" w:lineRule="atLeast"/>
        <w:jc w:val="center"/>
        <w:outlineLvl w:val="0"/>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第三章  社会公示</w:t>
      </w:r>
    </w:p>
    <w:p>
      <w:pPr>
        <w:widowControl/>
        <w:shd w:val="clear" w:color="auto" w:fill="FFFFFF"/>
        <w:spacing w:line="402" w:lineRule="atLeast"/>
        <w:ind w:firstLine="600" w:firstLineChars="200"/>
        <w:jc w:val="left"/>
        <w:rPr>
          <w:rFonts w:hint="eastAsia" w:ascii="仿宋_GB2312" w:hAnsi="宋体" w:eastAsia="仿宋_GB2312" w:cs="宋体"/>
          <w:color w:val="000000"/>
          <w:kern w:val="0"/>
          <w:sz w:val="30"/>
          <w:szCs w:val="30"/>
          <w:lang w:eastAsia="zh-CN"/>
        </w:rPr>
      </w:pPr>
      <w:r>
        <w:rPr>
          <w:rFonts w:hint="eastAsia" w:ascii="仿宋_GB2312" w:hAnsi="宋体" w:eastAsia="仿宋_GB2312" w:cs="宋体"/>
          <w:color w:val="000000"/>
          <w:kern w:val="0"/>
          <w:sz w:val="30"/>
          <w:szCs w:val="30"/>
        </w:rPr>
        <w:t>第十</w:t>
      </w:r>
      <w:r>
        <w:rPr>
          <w:rFonts w:hint="eastAsia" w:ascii="仿宋_GB2312" w:hAnsi="宋体" w:eastAsia="仿宋_GB2312" w:cs="宋体"/>
          <w:color w:val="000000"/>
          <w:kern w:val="0"/>
          <w:sz w:val="30"/>
          <w:szCs w:val="30"/>
          <w:lang w:eastAsia="zh-CN"/>
        </w:rPr>
        <w:t>二</w:t>
      </w:r>
      <w:r>
        <w:rPr>
          <w:rFonts w:hint="eastAsia" w:ascii="仿宋_GB2312" w:hAnsi="宋体" w:eastAsia="仿宋_GB2312" w:cs="宋体"/>
          <w:color w:val="000000"/>
          <w:kern w:val="0"/>
          <w:sz w:val="30"/>
          <w:szCs w:val="30"/>
        </w:rPr>
        <w:t>条  社会公示由</w:t>
      </w:r>
      <w:r>
        <w:rPr>
          <w:rFonts w:hint="eastAsia" w:ascii="仿宋_GB2312" w:hAnsi="宋体" w:eastAsia="仿宋_GB2312" w:cs="宋体"/>
          <w:color w:val="0C0C0C"/>
          <w:kern w:val="0"/>
          <w:sz w:val="30"/>
        </w:rPr>
        <w:t>市机关事务管理局及</w:t>
      </w:r>
      <w:r>
        <w:rPr>
          <w:rFonts w:hint="eastAsia" w:ascii="仿宋_GB2312" w:hAnsi="宋体" w:eastAsia="仿宋_GB2312" w:cs="宋体"/>
          <w:color w:val="0C0C0C"/>
          <w:kern w:val="0"/>
          <w:sz w:val="30"/>
          <w:szCs w:val="30"/>
        </w:rPr>
        <w:t>区政府进行</w:t>
      </w:r>
      <w:r>
        <w:rPr>
          <w:rFonts w:hint="eastAsia" w:ascii="仿宋_GB2312" w:hAnsi="宋体" w:eastAsia="仿宋_GB2312" w:cs="宋体"/>
          <w:color w:val="000000"/>
          <w:kern w:val="0"/>
          <w:sz w:val="30"/>
          <w:szCs w:val="30"/>
        </w:rPr>
        <w:t>统一公示</w:t>
      </w:r>
      <w:r>
        <w:rPr>
          <w:rFonts w:hint="eastAsia" w:ascii="仿宋_GB2312" w:hAnsi="宋体" w:eastAsia="仿宋_GB2312" w:cs="宋体"/>
          <w:color w:val="000000"/>
          <w:kern w:val="0"/>
          <w:sz w:val="30"/>
          <w:szCs w:val="30"/>
          <w:lang w:eastAsia="zh-CN"/>
        </w:rPr>
        <w:t>。</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lang w:eastAsia="zh-CN"/>
        </w:rPr>
        <w:t>第十三条</w:t>
      </w:r>
      <w:r>
        <w:rPr>
          <w:rFonts w:hint="eastAsia" w:ascii="仿宋_GB2312" w:hAnsi="宋体" w:eastAsia="仿宋_GB2312" w:cs="宋体"/>
          <w:color w:val="000000"/>
          <w:kern w:val="0"/>
          <w:sz w:val="30"/>
          <w:szCs w:val="30"/>
          <w:lang w:val="en-US" w:eastAsia="zh-CN"/>
        </w:rPr>
        <w:t xml:space="preserve"> 社会公示</w:t>
      </w:r>
      <w:r>
        <w:rPr>
          <w:rFonts w:hint="eastAsia" w:ascii="仿宋_GB2312" w:hAnsi="宋体" w:eastAsia="仿宋_GB2312" w:cs="宋体"/>
          <w:color w:val="000000"/>
          <w:kern w:val="0"/>
          <w:sz w:val="30"/>
          <w:szCs w:val="30"/>
        </w:rPr>
        <w:t>可</w:t>
      </w:r>
      <w:r>
        <w:rPr>
          <w:rFonts w:ascii="仿宋_GB2312" w:hAnsi="宋体" w:eastAsia="仿宋_GB2312" w:cs="宋体"/>
          <w:color w:val="000000"/>
          <w:kern w:val="0"/>
          <w:sz w:val="30"/>
          <w:szCs w:val="30"/>
        </w:rPr>
        <w:t>采用网上公示</w:t>
      </w:r>
      <w:r>
        <w:rPr>
          <w:rFonts w:hint="eastAsia" w:ascii="仿宋_GB2312" w:hAnsi="宋体" w:eastAsia="仿宋_GB2312" w:cs="宋体"/>
          <w:color w:val="000000"/>
          <w:kern w:val="0"/>
          <w:sz w:val="30"/>
          <w:szCs w:val="30"/>
        </w:rPr>
        <w:t>、</w:t>
      </w:r>
      <w:r>
        <w:rPr>
          <w:rFonts w:ascii="仿宋_GB2312" w:hAnsi="宋体" w:eastAsia="仿宋_GB2312" w:cs="宋体"/>
          <w:color w:val="000000"/>
          <w:kern w:val="0"/>
          <w:sz w:val="30"/>
          <w:szCs w:val="30"/>
        </w:rPr>
        <w:t>新闻媒体</w:t>
      </w:r>
      <w:r>
        <w:rPr>
          <w:rFonts w:hint="eastAsia" w:ascii="仿宋_GB2312" w:hAnsi="宋体" w:eastAsia="仿宋_GB2312" w:cs="宋体"/>
          <w:color w:val="000000"/>
          <w:kern w:val="0"/>
          <w:sz w:val="30"/>
          <w:szCs w:val="30"/>
        </w:rPr>
        <w:t>公示或</w:t>
      </w:r>
      <w:r>
        <w:rPr>
          <w:rFonts w:ascii="仿宋_GB2312" w:hAnsi="宋体" w:eastAsia="仿宋_GB2312" w:cs="宋体"/>
          <w:color w:val="000000"/>
          <w:kern w:val="0"/>
          <w:sz w:val="30"/>
          <w:szCs w:val="30"/>
        </w:rPr>
        <w:t>展览公示</w:t>
      </w:r>
      <w:r>
        <w:rPr>
          <w:rFonts w:hint="eastAsia" w:ascii="仿宋_GB2312" w:hAnsi="宋体" w:eastAsia="仿宋_GB2312" w:cs="宋体"/>
          <w:color w:val="000000"/>
          <w:kern w:val="0"/>
          <w:sz w:val="30"/>
          <w:szCs w:val="30"/>
        </w:rPr>
        <w:t>。网上公示是选择政府主管部门网站或其指定的网上公示平台进行公示，新闻媒体公示是通过本地电视</w:t>
      </w:r>
      <w:r>
        <w:rPr>
          <w:rFonts w:ascii="仿宋_GB2312" w:hAnsi="宋体" w:eastAsia="仿宋_GB2312" w:cs="宋体"/>
          <w:color w:val="000000"/>
          <w:kern w:val="0"/>
          <w:sz w:val="30"/>
          <w:szCs w:val="30"/>
        </w:rPr>
        <w:t>、报纸及广播等</w:t>
      </w:r>
      <w:r>
        <w:rPr>
          <w:rFonts w:hint="eastAsia" w:ascii="仿宋_GB2312" w:hAnsi="宋体" w:eastAsia="仿宋_GB2312" w:cs="宋体"/>
          <w:color w:val="000000"/>
          <w:kern w:val="0"/>
          <w:sz w:val="30"/>
          <w:szCs w:val="30"/>
        </w:rPr>
        <w:t>主要新闻媒体进行公示，展览公示是选择有影响的场所进行公示。</w:t>
      </w:r>
    </w:p>
    <w:p>
      <w:pPr>
        <w:widowControl/>
        <w:shd w:val="clear" w:color="auto" w:fill="FFFFFF"/>
        <w:spacing w:line="402" w:lineRule="atLeast"/>
        <w:ind w:firstLine="600" w:firstLineChars="200"/>
        <w:jc w:val="left"/>
        <w:rPr>
          <w:rFonts w:ascii="仿宋_GB2312" w:hAnsi="宋体" w:eastAsia="仿宋_GB2312" w:cs="宋体"/>
          <w:color w:val="0C0C0C"/>
          <w:kern w:val="0"/>
          <w:sz w:val="30"/>
          <w:szCs w:val="30"/>
        </w:rPr>
      </w:pPr>
      <w:r>
        <w:rPr>
          <w:rFonts w:hint="eastAsia" w:ascii="仿宋_GB2312" w:hAnsi="宋体" w:eastAsia="仿宋_GB2312" w:cs="宋体"/>
          <w:color w:val="0C0C0C"/>
          <w:kern w:val="0"/>
          <w:sz w:val="30"/>
          <w:szCs w:val="30"/>
        </w:rPr>
        <w:t>第十四条  社会公示应采取以下程序：</w:t>
      </w:r>
    </w:p>
    <w:p>
      <w:pPr>
        <w:widowControl/>
        <w:shd w:val="clear" w:color="auto" w:fill="FFFFFF"/>
        <w:spacing w:line="402" w:lineRule="atLeast"/>
        <w:ind w:firstLine="600" w:firstLineChars="200"/>
        <w:jc w:val="left"/>
        <w:rPr>
          <w:rFonts w:ascii="仿宋_GB2312" w:hAnsi="宋体" w:eastAsia="仿宋_GB2312" w:cs="宋体"/>
          <w:color w:val="FF0000"/>
          <w:kern w:val="0"/>
          <w:sz w:val="30"/>
        </w:rPr>
      </w:pPr>
      <w:r>
        <w:rPr>
          <w:rFonts w:hint="eastAsia" w:ascii="仿宋_GB2312" w:hAnsi="宋体" w:eastAsia="仿宋_GB2312" w:cs="宋体"/>
          <w:color w:val="0C0C0C"/>
          <w:kern w:val="0"/>
          <w:sz w:val="30"/>
          <w:szCs w:val="30"/>
        </w:rPr>
        <w:t>（一）建筑物所有权人或其授权委托的物业服务企业</w:t>
      </w:r>
      <w:r>
        <w:rPr>
          <w:rFonts w:hint="eastAsia" w:ascii="仿宋_GB2312" w:hAnsi="宋体" w:eastAsia="仿宋_GB2312" w:cs="宋体"/>
          <w:color w:val="0C0C0C"/>
          <w:kern w:val="0"/>
          <w:sz w:val="30"/>
          <w:szCs w:val="30"/>
          <w:lang w:eastAsia="zh-CN"/>
        </w:rPr>
        <w:t>，</w:t>
      </w:r>
      <w:r>
        <w:rPr>
          <w:rFonts w:ascii="仿宋_GB2312" w:hAnsi="宋体" w:eastAsia="仿宋_GB2312" w:cs="宋体"/>
          <w:color w:val="0C0C0C"/>
          <w:kern w:val="0"/>
          <w:sz w:val="30"/>
          <w:szCs w:val="30"/>
        </w:rPr>
        <w:t>对建筑能效数据进行</w:t>
      </w:r>
      <w:r>
        <w:rPr>
          <w:rFonts w:hint="eastAsia" w:ascii="仿宋_GB2312" w:hAnsi="宋体" w:eastAsia="仿宋_GB2312" w:cs="宋体"/>
          <w:color w:val="0C0C0C"/>
          <w:kern w:val="0"/>
          <w:sz w:val="30"/>
          <w:szCs w:val="30"/>
        </w:rPr>
        <w:t>收集。</w:t>
      </w:r>
    </w:p>
    <w:p>
      <w:pPr>
        <w:widowControl/>
        <w:shd w:val="clear" w:color="auto" w:fill="FFFFFF"/>
        <w:spacing w:line="402" w:lineRule="atLeast"/>
        <w:ind w:firstLine="600" w:firstLineChars="200"/>
        <w:jc w:val="left"/>
        <w:rPr>
          <w:rFonts w:hint="eastAsia" w:ascii="仿宋_GB2312" w:hAnsi="宋体" w:eastAsia="仿宋_GB2312" w:cs="宋体"/>
          <w:color w:val="0C0C0C"/>
          <w:kern w:val="0"/>
          <w:sz w:val="30"/>
          <w:lang w:eastAsia="zh-CN"/>
        </w:rPr>
      </w:pPr>
      <w:r>
        <w:rPr>
          <w:rFonts w:hint="eastAsia" w:ascii="仿宋_GB2312" w:hAnsi="宋体" w:eastAsia="仿宋_GB2312" w:cs="宋体"/>
          <w:color w:val="0C0C0C"/>
          <w:kern w:val="0"/>
          <w:sz w:val="30"/>
          <w:szCs w:val="30"/>
        </w:rPr>
        <w:t>（二）市直公共机构</w:t>
      </w:r>
      <w:r>
        <w:rPr>
          <w:rFonts w:hint="eastAsia" w:ascii="仿宋_GB2312" w:hAnsi="宋体" w:eastAsia="仿宋_GB2312" w:cs="宋体"/>
          <w:color w:val="0C0C0C"/>
          <w:kern w:val="0"/>
          <w:sz w:val="30"/>
        </w:rPr>
        <w:t>将建筑能效公示内容报送市机关事务管理局</w:t>
      </w:r>
      <w:r>
        <w:rPr>
          <w:rFonts w:hint="eastAsia" w:ascii="仿宋_GB2312" w:hAnsi="宋体" w:eastAsia="仿宋_GB2312" w:cs="宋体"/>
          <w:color w:val="0C0C0C"/>
          <w:kern w:val="0"/>
          <w:sz w:val="30"/>
          <w:lang w:eastAsia="zh-CN"/>
        </w:rPr>
        <w:t>。</w:t>
      </w:r>
    </w:p>
    <w:p>
      <w:pPr>
        <w:widowControl/>
        <w:shd w:val="clear" w:color="auto" w:fill="FFFFFF"/>
        <w:spacing w:line="402" w:lineRule="atLeast"/>
        <w:ind w:firstLine="600" w:firstLineChars="200"/>
        <w:jc w:val="left"/>
        <w:rPr>
          <w:rFonts w:hint="eastAsia" w:ascii="仿宋_GB2312" w:hAnsi="宋体" w:eastAsia="仿宋_GB2312" w:cs="宋体"/>
          <w:color w:val="0C0C0C"/>
          <w:kern w:val="0"/>
          <w:sz w:val="30"/>
        </w:rPr>
      </w:pPr>
      <w:r>
        <w:rPr>
          <w:rFonts w:hint="eastAsia" w:ascii="仿宋_GB2312" w:hAnsi="宋体" w:eastAsia="仿宋_GB2312" w:cs="宋体"/>
          <w:color w:val="0C0C0C"/>
          <w:kern w:val="0"/>
          <w:sz w:val="30"/>
          <w:szCs w:val="30"/>
        </w:rPr>
        <w:t>区属公共机构及其他公共建筑</w:t>
      </w:r>
      <w:r>
        <w:rPr>
          <w:rFonts w:hint="eastAsia" w:ascii="仿宋_GB2312" w:hAnsi="宋体" w:eastAsia="仿宋_GB2312" w:cs="宋体"/>
          <w:color w:val="0C0C0C"/>
          <w:kern w:val="0"/>
          <w:sz w:val="30"/>
        </w:rPr>
        <w:t>将建筑能效公示内容报送</w:t>
      </w:r>
      <w:r>
        <w:rPr>
          <w:rFonts w:hint="eastAsia" w:ascii="仿宋_GB2312" w:hAnsi="宋体" w:eastAsia="仿宋_GB2312" w:cs="宋体"/>
          <w:color w:val="0C0C0C"/>
          <w:kern w:val="0"/>
          <w:sz w:val="30"/>
          <w:szCs w:val="30"/>
        </w:rPr>
        <w:t>所属区政府主管部门</w:t>
      </w:r>
      <w:r>
        <w:rPr>
          <w:rFonts w:hint="eastAsia" w:ascii="仿宋_GB2312" w:hAnsi="宋体" w:eastAsia="仿宋_GB2312" w:cs="宋体"/>
          <w:color w:val="0C0C0C"/>
          <w:kern w:val="0"/>
          <w:sz w:val="30"/>
        </w:rPr>
        <w:t>。</w:t>
      </w:r>
      <w:r>
        <w:rPr>
          <w:rFonts w:hint="eastAsia" w:ascii="仿宋_GB2312" w:hAnsi="宋体" w:eastAsia="仿宋_GB2312" w:cs="宋体"/>
          <w:color w:val="0C0C0C"/>
          <w:kern w:val="0"/>
          <w:sz w:val="30"/>
          <w:szCs w:val="30"/>
        </w:rPr>
        <w:t>报送内容应与建筑内部公示数据一致</w:t>
      </w:r>
      <w:r>
        <w:rPr>
          <w:rFonts w:hint="eastAsia" w:ascii="仿宋_GB2312" w:hAnsi="宋体" w:eastAsia="仿宋_GB2312" w:cs="宋体"/>
          <w:color w:val="0C0C0C"/>
          <w:kern w:val="0"/>
          <w:sz w:val="30"/>
          <w:szCs w:val="30"/>
          <w:lang w:eastAsia="zh-CN"/>
        </w:rPr>
        <w:t>。</w:t>
      </w:r>
    </w:p>
    <w:p>
      <w:pPr>
        <w:widowControl/>
        <w:shd w:val="clear" w:color="auto" w:fill="FFFFFF"/>
        <w:spacing w:line="402" w:lineRule="atLeast"/>
        <w:ind w:firstLine="600" w:firstLineChars="200"/>
        <w:jc w:val="left"/>
        <w:rPr>
          <w:rFonts w:ascii="仿宋_GB2312" w:hAnsi="宋体" w:eastAsia="仿宋_GB2312" w:cs="宋体"/>
          <w:color w:val="0C0C0C"/>
          <w:kern w:val="0"/>
          <w:sz w:val="30"/>
        </w:rPr>
      </w:pPr>
      <w:r>
        <w:rPr>
          <w:rFonts w:hint="eastAsia" w:ascii="仿宋_GB2312" w:hAnsi="宋体" w:eastAsia="仿宋_GB2312" w:cs="宋体"/>
          <w:color w:val="0C0C0C"/>
          <w:kern w:val="0"/>
          <w:sz w:val="30"/>
          <w:szCs w:val="30"/>
          <w:lang w:eastAsia="zh-CN"/>
        </w:rPr>
        <w:t>（三）市机关事务管理局、各区政府对数据</w:t>
      </w:r>
      <w:r>
        <w:rPr>
          <w:rFonts w:hint="eastAsia" w:ascii="仿宋_GB2312" w:hAnsi="宋体" w:eastAsia="仿宋_GB2312" w:cs="宋体"/>
          <w:color w:val="0C0C0C"/>
          <w:kern w:val="0"/>
          <w:sz w:val="30"/>
        </w:rPr>
        <w:t>进行抽查复核</w:t>
      </w:r>
      <w:r>
        <w:rPr>
          <w:rFonts w:hint="eastAsia" w:ascii="仿宋_GB2312" w:hAnsi="宋体" w:eastAsia="仿宋_GB2312" w:cs="宋体"/>
          <w:color w:val="0C0C0C"/>
          <w:kern w:val="0"/>
          <w:sz w:val="30"/>
          <w:lang w:eastAsia="zh-CN"/>
        </w:rPr>
        <w:t>。确定公示对象</w:t>
      </w:r>
      <w:r>
        <w:rPr>
          <w:rFonts w:hint="eastAsia" w:ascii="仿宋_GB2312" w:hAnsi="宋体" w:eastAsia="仿宋_GB2312" w:cs="宋体"/>
          <w:color w:val="0C0C0C"/>
          <w:kern w:val="0"/>
          <w:sz w:val="30"/>
          <w:szCs w:val="30"/>
          <w:lang w:eastAsia="zh-CN"/>
        </w:rPr>
        <w:t>面向社会予以</w:t>
      </w:r>
      <w:r>
        <w:rPr>
          <w:rFonts w:hint="eastAsia" w:ascii="仿宋_GB2312" w:hAnsi="宋体" w:eastAsia="仿宋_GB2312" w:cs="宋体"/>
          <w:color w:val="0C0C0C"/>
          <w:kern w:val="0"/>
          <w:sz w:val="30"/>
          <w:szCs w:val="30"/>
        </w:rPr>
        <w:t>公开公示</w:t>
      </w:r>
      <w:r>
        <w:rPr>
          <w:rFonts w:hint="eastAsia" w:ascii="仿宋_GB2312" w:hAnsi="宋体" w:eastAsia="仿宋_GB2312" w:cs="宋体"/>
          <w:color w:val="0C0C0C"/>
          <w:kern w:val="0"/>
          <w:sz w:val="30"/>
          <w:szCs w:val="30"/>
          <w:lang w:eastAsia="zh-CN"/>
        </w:rPr>
        <w:t>。</w:t>
      </w:r>
    </w:p>
    <w:p>
      <w:pPr>
        <w:widowControl/>
        <w:shd w:val="clear" w:color="auto" w:fill="FFFFFF"/>
        <w:spacing w:line="48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 xml:space="preserve">第十五条  </w:t>
      </w:r>
      <w:r>
        <w:rPr>
          <w:rFonts w:hint="eastAsia" w:ascii="仿宋_GB2312" w:hAnsi="宋体" w:eastAsia="仿宋_GB2312" w:cs="宋体"/>
          <w:color w:val="000000"/>
          <w:kern w:val="0"/>
          <w:sz w:val="30"/>
        </w:rPr>
        <w:t>社会</w:t>
      </w:r>
      <w:r>
        <w:rPr>
          <w:rFonts w:hint="eastAsia" w:ascii="仿宋_GB2312" w:hAnsi="宋体" w:eastAsia="仿宋_GB2312" w:cs="宋体"/>
          <w:color w:val="000000"/>
          <w:kern w:val="0"/>
          <w:sz w:val="30"/>
          <w:szCs w:val="30"/>
        </w:rPr>
        <w:t>公示对象</w:t>
      </w:r>
      <w:r>
        <w:rPr>
          <w:rFonts w:hint="eastAsia" w:ascii="仿宋_GB2312" w:hAnsi="宋体" w:eastAsia="仿宋_GB2312" w:cs="宋体"/>
          <w:color w:val="000000"/>
          <w:kern w:val="0"/>
          <w:sz w:val="30"/>
          <w:szCs w:val="30"/>
          <w:lang w:eastAsia="zh-CN"/>
        </w:rPr>
        <w:t>范围为</w:t>
      </w:r>
      <w:r>
        <w:rPr>
          <w:rFonts w:hint="eastAsia" w:ascii="仿宋_GB2312" w:hAnsi="宋体" w:eastAsia="仿宋_GB2312" w:cs="宋体"/>
          <w:color w:val="000000"/>
          <w:kern w:val="0"/>
          <w:sz w:val="30"/>
          <w:szCs w:val="30"/>
        </w:rPr>
        <w:t>，一是高能耗建筑（根据建筑类型按单位建筑面积能耗从高到低排列位于前1/4区），二是具有标杆示范作用的低能耗建筑（根据建筑类型按单位建筑面积能耗从高到低排列位于后1/4区）。建筑类型分类应符合《深圳市公共建筑能耗标准》SJG 34</w:t>
      </w:r>
      <w:r>
        <w:rPr>
          <w:rFonts w:ascii="仿宋_GB2312" w:hAnsi="宋体" w:eastAsia="仿宋_GB2312" w:cs="宋体"/>
          <w:color w:val="000000"/>
          <w:kern w:val="0"/>
          <w:sz w:val="30"/>
          <w:szCs w:val="30"/>
        </w:rPr>
        <w:t>-2017</w:t>
      </w:r>
      <w:r>
        <w:rPr>
          <w:rFonts w:hint="eastAsia" w:ascii="仿宋_GB2312" w:hAnsi="宋体" w:eastAsia="仿宋_GB2312" w:cs="宋体"/>
          <w:color w:val="000000"/>
          <w:kern w:val="0"/>
          <w:sz w:val="30"/>
          <w:szCs w:val="30"/>
        </w:rPr>
        <w:t>的有关规定。</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第十六条  社会公示信息应包括建筑类型、建筑名称、竣工时间、建筑面积、年度</w:t>
      </w:r>
      <w:r>
        <w:rPr>
          <w:rFonts w:hint="eastAsia" w:ascii="Times New Roman" w:hAnsi="Times New Roman" w:eastAsia="仿宋_GB2312" w:cs="Times New Roman"/>
          <w:color w:val="000000"/>
          <w:kern w:val="0"/>
          <w:sz w:val="30"/>
          <w:szCs w:val="30"/>
        </w:rPr>
        <w:t>建筑</w:t>
      </w:r>
      <w:r>
        <w:rPr>
          <w:rFonts w:hint="eastAsia" w:ascii="仿宋_GB2312" w:hAnsi="宋体" w:eastAsia="仿宋_GB2312" w:cs="宋体"/>
          <w:color w:val="000000"/>
          <w:kern w:val="0"/>
          <w:sz w:val="30"/>
          <w:szCs w:val="30"/>
        </w:rPr>
        <w:t>综合</w:t>
      </w:r>
      <w:r>
        <w:rPr>
          <w:rFonts w:hint="eastAsia" w:ascii="Times New Roman" w:hAnsi="Times New Roman" w:eastAsia="仿宋_GB2312" w:cs="Times New Roman"/>
          <w:color w:val="000000"/>
          <w:kern w:val="0"/>
          <w:sz w:val="30"/>
          <w:szCs w:val="30"/>
        </w:rPr>
        <w:t>总能耗（kWh）</w:t>
      </w:r>
      <w:r>
        <w:rPr>
          <w:rFonts w:hint="eastAsia" w:ascii="仿宋_GB2312" w:hAnsi="宋体" w:eastAsia="仿宋_GB2312" w:cs="宋体"/>
          <w:color w:val="000000"/>
          <w:kern w:val="0"/>
          <w:sz w:val="30"/>
          <w:szCs w:val="30"/>
        </w:rPr>
        <w:t>和年度单位建筑面积综合能耗（</w:t>
      </w:r>
      <w:r>
        <w:rPr>
          <w:rFonts w:ascii="Times New Roman" w:hAnsi="Times New Roman" w:eastAsia="仿宋_GB2312" w:cs="Times New Roman"/>
          <w:color w:val="000000"/>
          <w:kern w:val="0"/>
          <w:sz w:val="30"/>
          <w:szCs w:val="30"/>
        </w:rPr>
        <w:t>kWh /m</w:t>
      </w:r>
      <w:r>
        <w:rPr>
          <w:rFonts w:ascii="Times New Roman" w:hAnsi="Times New Roman" w:eastAsia="仿宋_GB2312" w:cs="Times New Roman"/>
          <w:color w:val="000000"/>
          <w:kern w:val="0"/>
          <w:sz w:val="30"/>
          <w:szCs w:val="30"/>
          <w:vertAlign w:val="superscript"/>
        </w:rPr>
        <w:t>2</w:t>
      </w:r>
      <w:r>
        <w:rPr>
          <w:rFonts w:ascii="Times New Roman" w:hAnsi="Times New Roman" w:eastAsia="仿宋_GB2312" w:cs="Times New Roman"/>
          <w:color w:val="000000"/>
          <w:kern w:val="0"/>
          <w:sz w:val="30"/>
          <w:szCs w:val="30"/>
        </w:rPr>
        <w:t>.a</w:t>
      </w:r>
      <w:r>
        <w:rPr>
          <w:rFonts w:hint="eastAsia" w:ascii="仿宋_GB2312" w:hAnsi="宋体" w:eastAsia="仿宋_GB2312" w:cs="宋体"/>
          <w:color w:val="000000"/>
          <w:kern w:val="0"/>
          <w:sz w:val="30"/>
          <w:szCs w:val="30"/>
        </w:rPr>
        <w:t>）。</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 xml:space="preserve">第十七条  </w:t>
      </w:r>
      <w:r>
        <w:rPr>
          <w:rFonts w:hint="eastAsia" w:ascii="仿宋_GB2312" w:hAnsi="宋体" w:eastAsia="仿宋_GB2312" w:cs="宋体"/>
          <w:color w:val="000000"/>
          <w:kern w:val="0"/>
          <w:sz w:val="30"/>
        </w:rPr>
        <w:t>社会公示</w:t>
      </w:r>
      <w:r>
        <w:rPr>
          <w:rFonts w:hint="eastAsia" w:ascii="仿宋_GB2312" w:hAnsi="宋体" w:eastAsia="仿宋_GB2312" w:cs="宋体"/>
          <w:color w:val="000000"/>
          <w:kern w:val="0"/>
          <w:sz w:val="30"/>
          <w:szCs w:val="30"/>
        </w:rPr>
        <w:t>为每年一次，应在每年第二季度对上一年度能效数据进行公示，持续时间不少于</w:t>
      </w:r>
      <w:r>
        <w:rPr>
          <w:rFonts w:ascii="仿宋_GB2312" w:hAnsi="宋体" w:eastAsia="仿宋_GB2312" w:cs="宋体"/>
          <w:color w:val="000000"/>
          <w:kern w:val="0"/>
          <w:sz w:val="30"/>
          <w:szCs w:val="30"/>
        </w:rPr>
        <w:t>1个月</w:t>
      </w:r>
      <w:r>
        <w:rPr>
          <w:rFonts w:hint="eastAsia" w:ascii="仿宋_GB2312" w:hAnsi="宋体" w:eastAsia="仿宋_GB2312" w:cs="宋体"/>
          <w:color w:val="000000"/>
          <w:kern w:val="0"/>
          <w:sz w:val="30"/>
          <w:szCs w:val="30"/>
        </w:rPr>
        <w:t>。</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第十八条  对能效公示内容有异议者，可在公示发布后1</w:t>
      </w:r>
      <w:r>
        <w:rPr>
          <w:rFonts w:ascii="仿宋_GB2312" w:hAnsi="宋体" w:eastAsia="仿宋_GB2312" w:cs="宋体"/>
          <w:color w:val="000000"/>
          <w:kern w:val="0"/>
          <w:sz w:val="30"/>
          <w:szCs w:val="30"/>
        </w:rPr>
        <w:t>0</w:t>
      </w:r>
      <w:r>
        <w:rPr>
          <w:rFonts w:hint="eastAsia" w:ascii="仿宋_GB2312" w:hAnsi="宋体" w:eastAsia="仿宋_GB2312" w:cs="宋体"/>
          <w:color w:val="000000"/>
          <w:kern w:val="0"/>
          <w:sz w:val="30"/>
          <w:szCs w:val="30"/>
        </w:rPr>
        <w:t>个工作日内向所属市级、区级主管部门提出质询并提供</w:t>
      </w:r>
      <w:r>
        <w:rPr>
          <w:rFonts w:ascii="仿宋_GB2312" w:hAnsi="宋体" w:eastAsia="仿宋_GB2312" w:cs="宋体"/>
          <w:color w:val="000000"/>
          <w:kern w:val="0"/>
          <w:sz w:val="30"/>
          <w:szCs w:val="30"/>
        </w:rPr>
        <w:t>相关</w:t>
      </w:r>
      <w:r>
        <w:rPr>
          <w:rFonts w:hint="eastAsia" w:ascii="仿宋_GB2312" w:hAnsi="宋体" w:eastAsia="仿宋_GB2312" w:cs="宋体"/>
          <w:color w:val="000000"/>
          <w:kern w:val="0"/>
          <w:sz w:val="30"/>
          <w:szCs w:val="30"/>
        </w:rPr>
        <w:t>证明</w:t>
      </w:r>
      <w:r>
        <w:rPr>
          <w:rFonts w:ascii="仿宋_GB2312" w:hAnsi="宋体" w:eastAsia="仿宋_GB2312" w:cs="宋体"/>
          <w:color w:val="000000"/>
          <w:kern w:val="0"/>
          <w:sz w:val="30"/>
          <w:szCs w:val="30"/>
        </w:rPr>
        <w:t>材料</w:t>
      </w:r>
      <w:r>
        <w:rPr>
          <w:rFonts w:hint="eastAsia" w:ascii="仿宋_GB2312" w:hAnsi="宋体" w:eastAsia="仿宋_GB2312" w:cs="宋体"/>
          <w:color w:val="000000"/>
          <w:kern w:val="0"/>
          <w:sz w:val="30"/>
          <w:szCs w:val="30"/>
        </w:rPr>
        <w:t>，各主管部门应当在</w:t>
      </w:r>
      <w:r>
        <w:rPr>
          <w:rFonts w:ascii="Times New Roman" w:hAnsi="Times New Roman" w:eastAsia="仿宋_GB2312" w:cs="Times New Roman"/>
          <w:color w:val="000000"/>
          <w:kern w:val="0"/>
          <w:sz w:val="30"/>
          <w:szCs w:val="30"/>
        </w:rPr>
        <w:t>5</w:t>
      </w:r>
      <w:r>
        <w:rPr>
          <w:rFonts w:hint="eastAsia" w:ascii="仿宋_GB2312" w:hAnsi="宋体" w:eastAsia="仿宋_GB2312" w:cs="宋体"/>
          <w:color w:val="000000"/>
          <w:kern w:val="0"/>
          <w:sz w:val="30"/>
          <w:szCs w:val="30"/>
        </w:rPr>
        <w:t>个工作日内对质询做出答复。公示信息出现错误的，经所属主管部门核实后，在公示媒体上进行</w:t>
      </w:r>
      <w:r>
        <w:rPr>
          <w:rFonts w:ascii="仿宋_GB2312" w:hAnsi="宋体" w:eastAsia="仿宋_GB2312" w:cs="宋体"/>
          <w:color w:val="000000"/>
          <w:kern w:val="0"/>
          <w:sz w:val="30"/>
          <w:szCs w:val="30"/>
        </w:rPr>
        <w:t>5</w:t>
      </w:r>
      <w:r>
        <w:rPr>
          <w:rFonts w:hint="eastAsia" w:ascii="仿宋_GB2312" w:hAnsi="宋体" w:eastAsia="仿宋_GB2312" w:cs="宋体"/>
          <w:color w:val="000000"/>
          <w:kern w:val="0"/>
          <w:sz w:val="30"/>
          <w:szCs w:val="30"/>
        </w:rPr>
        <w:t>个工作日的更正。</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p>
    <w:p>
      <w:pPr>
        <w:widowControl/>
        <w:shd w:val="clear" w:color="auto" w:fill="FFFFFF"/>
        <w:spacing w:line="402" w:lineRule="atLeast"/>
        <w:jc w:val="center"/>
        <w:outlineLvl w:val="0"/>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第四章  监督管理</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第十九条  市住房</w:t>
      </w:r>
      <w:r>
        <w:rPr>
          <w:rFonts w:ascii="仿宋_GB2312" w:hAnsi="宋体" w:eastAsia="仿宋_GB2312" w:cs="宋体"/>
          <w:color w:val="000000"/>
          <w:kern w:val="0"/>
          <w:sz w:val="30"/>
          <w:szCs w:val="30"/>
        </w:rPr>
        <w:t>和建设局</w:t>
      </w:r>
      <w:r>
        <w:rPr>
          <w:rFonts w:hint="eastAsia" w:ascii="仿宋_GB2312" w:hAnsi="宋体" w:eastAsia="仿宋_GB2312" w:cs="宋体"/>
          <w:color w:val="000000"/>
          <w:kern w:val="0"/>
          <w:sz w:val="30"/>
          <w:szCs w:val="30"/>
        </w:rPr>
        <w:t>、市机关事务管理局及各区政府主管部门不定期对建筑内部公示情况进行抽查，对未按要求进行能效公示的建筑进行通报批评。</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w:t>
      </w:r>
      <w:r>
        <w:rPr>
          <w:rFonts w:hint="eastAsia" w:ascii="仿宋_GB2312" w:hAnsi="宋体" w:eastAsia="仿宋_GB2312" w:cs="宋体"/>
          <w:color w:val="000000"/>
          <w:kern w:val="0"/>
          <w:sz w:val="30"/>
          <w:szCs w:val="30"/>
          <w:lang w:eastAsia="zh-CN"/>
        </w:rPr>
        <w:t>二十</w:t>
      </w:r>
      <w:r>
        <w:rPr>
          <w:rFonts w:hint="eastAsia" w:ascii="仿宋_GB2312" w:hAnsi="宋体" w:eastAsia="仿宋_GB2312" w:cs="宋体"/>
          <w:color w:val="000000"/>
          <w:kern w:val="0"/>
          <w:sz w:val="30"/>
          <w:szCs w:val="30"/>
        </w:rPr>
        <w:t xml:space="preserve">条  </w:t>
      </w:r>
      <w:r>
        <w:rPr>
          <w:rFonts w:hint="eastAsia" w:ascii="仿宋_GB2312" w:hAnsi="宋体" w:eastAsia="仿宋_GB2312" w:cs="宋体"/>
          <w:color w:val="000000"/>
          <w:kern w:val="0"/>
          <w:sz w:val="30"/>
          <w:szCs w:val="30"/>
          <w:lang w:eastAsia="zh-CN"/>
        </w:rPr>
        <w:t>建筑物所有权人、物业服务企业无正当理由</w:t>
      </w:r>
      <w:r>
        <w:rPr>
          <w:rFonts w:hint="eastAsia" w:ascii="仿宋_GB2312" w:hAnsi="宋体" w:eastAsia="仿宋_GB2312" w:cs="宋体"/>
          <w:color w:val="000000"/>
          <w:kern w:val="0"/>
          <w:sz w:val="30"/>
          <w:szCs w:val="30"/>
        </w:rPr>
        <w:t>拒绝、拖延提供与能效公示有关的资料，或者提供的资料不真实、不完整的，由</w:t>
      </w:r>
      <w:r>
        <w:rPr>
          <w:rFonts w:hint="eastAsia" w:ascii="仿宋_GB2312" w:hAnsi="宋体" w:eastAsia="仿宋_GB2312" w:cs="宋体"/>
          <w:color w:val="000000"/>
          <w:kern w:val="0"/>
          <w:sz w:val="30"/>
          <w:szCs w:val="30"/>
          <w:lang w:eastAsia="zh-CN"/>
        </w:rPr>
        <w:t>建设</w:t>
      </w:r>
      <w:r>
        <w:rPr>
          <w:rFonts w:hint="eastAsia" w:ascii="仿宋_GB2312" w:hAnsi="宋体" w:eastAsia="仿宋_GB2312" w:cs="宋体"/>
          <w:color w:val="000000"/>
          <w:kern w:val="0"/>
          <w:sz w:val="30"/>
          <w:szCs w:val="30"/>
        </w:rPr>
        <w:t>主管部门责令限期改正，逾期不改正的，</w:t>
      </w:r>
      <w:r>
        <w:rPr>
          <w:rFonts w:hint="eastAsia" w:ascii="仿宋_GB2312" w:hAnsi="宋体" w:eastAsia="仿宋_GB2312" w:cs="宋体"/>
          <w:color w:val="000000"/>
          <w:kern w:val="0"/>
          <w:sz w:val="30"/>
          <w:szCs w:val="30"/>
          <w:lang w:eastAsia="zh-CN"/>
        </w:rPr>
        <w:t>按照</w:t>
      </w:r>
      <w:r>
        <w:rPr>
          <w:rFonts w:hint="eastAsia" w:ascii="仿宋_GB2312" w:hAnsi="宋体" w:eastAsia="仿宋_GB2312" w:cs="宋体"/>
          <w:color w:val="000000"/>
          <w:kern w:val="0"/>
          <w:sz w:val="30"/>
          <w:szCs w:val="30"/>
        </w:rPr>
        <w:t>《</w:t>
      </w:r>
      <w:r>
        <w:rPr>
          <w:rFonts w:ascii="仿宋_GB2312" w:hAnsi="宋体" w:eastAsia="仿宋_GB2312" w:cs="宋体"/>
          <w:color w:val="000000"/>
          <w:kern w:val="0"/>
          <w:sz w:val="30"/>
          <w:szCs w:val="30"/>
        </w:rPr>
        <w:t>深圳市绿色建筑促进办法</w:t>
      </w:r>
      <w:r>
        <w:rPr>
          <w:rFonts w:hint="eastAsia" w:ascii="仿宋_GB2312" w:hAnsi="宋体" w:eastAsia="仿宋_GB2312" w:cs="宋体"/>
          <w:color w:val="000000"/>
          <w:kern w:val="0"/>
          <w:sz w:val="30"/>
          <w:szCs w:val="30"/>
        </w:rPr>
        <w:t>》</w:t>
      </w:r>
      <w:r>
        <w:rPr>
          <w:rFonts w:ascii="仿宋_GB2312" w:hAnsi="宋体" w:eastAsia="仿宋_GB2312" w:cs="宋体"/>
          <w:color w:val="000000"/>
          <w:kern w:val="0"/>
          <w:sz w:val="30"/>
          <w:szCs w:val="30"/>
        </w:rPr>
        <w:t>（深圳市人民政府令第253号）</w:t>
      </w:r>
      <w:r>
        <w:rPr>
          <w:rFonts w:hint="eastAsia" w:ascii="仿宋_GB2312" w:hAnsi="宋体" w:eastAsia="仿宋_GB2312" w:cs="宋体"/>
          <w:color w:val="000000"/>
          <w:kern w:val="0"/>
          <w:sz w:val="30"/>
          <w:szCs w:val="30"/>
        </w:rPr>
        <w:t>第四十八条</w:t>
      </w:r>
      <w:r>
        <w:rPr>
          <w:rFonts w:hint="eastAsia" w:ascii="仿宋_GB2312" w:hAnsi="宋体" w:eastAsia="仿宋_GB2312" w:cs="宋体"/>
          <w:color w:val="000000"/>
          <w:kern w:val="0"/>
          <w:sz w:val="30"/>
          <w:szCs w:val="30"/>
          <w:lang w:eastAsia="zh-CN"/>
        </w:rPr>
        <w:t>和第四十九条</w:t>
      </w:r>
      <w:r>
        <w:rPr>
          <w:rFonts w:hint="eastAsia" w:ascii="仿宋_GB2312" w:hAnsi="宋体" w:eastAsia="仿宋_GB2312" w:cs="宋体"/>
          <w:color w:val="000000"/>
          <w:kern w:val="0"/>
          <w:sz w:val="30"/>
          <w:szCs w:val="30"/>
        </w:rPr>
        <w:t>的规定进行</w:t>
      </w:r>
      <w:r>
        <w:rPr>
          <w:rFonts w:hint="eastAsia" w:ascii="仿宋_GB2312" w:hAnsi="宋体" w:eastAsia="仿宋_GB2312" w:cs="宋体"/>
          <w:color w:val="000000"/>
          <w:kern w:val="0"/>
          <w:sz w:val="30"/>
          <w:szCs w:val="30"/>
          <w:lang w:eastAsia="zh-CN"/>
        </w:rPr>
        <w:t>处理</w:t>
      </w:r>
      <w:r>
        <w:rPr>
          <w:rFonts w:hint="eastAsia" w:ascii="仿宋_GB2312" w:hAnsi="宋体" w:eastAsia="仿宋_GB2312" w:cs="宋体"/>
          <w:color w:val="000000"/>
          <w:kern w:val="0"/>
          <w:sz w:val="30"/>
          <w:szCs w:val="30"/>
        </w:rPr>
        <w:t>。</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第二十</w:t>
      </w:r>
      <w:r>
        <w:rPr>
          <w:rFonts w:hint="eastAsia" w:ascii="仿宋_GB2312" w:hAnsi="宋体" w:eastAsia="仿宋_GB2312" w:cs="宋体"/>
          <w:color w:val="000000"/>
          <w:kern w:val="0"/>
          <w:sz w:val="30"/>
          <w:szCs w:val="30"/>
          <w:lang w:eastAsia="zh-CN"/>
        </w:rPr>
        <w:t>一</w:t>
      </w:r>
      <w:r>
        <w:rPr>
          <w:rFonts w:hint="eastAsia" w:ascii="仿宋_GB2312" w:hAnsi="宋体" w:eastAsia="仿宋_GB2312" w:cs="宋体"/>
          <w:color w:val="000000"/>
          <w:kern w:val="0"/>
          <w:sz w:val="30"/>
          <w:szCs w:val="30"/>
        </w:rPr>
        <w:t>条  用能水平在《深圳市公共建筑能耗标准》SJG 34规定的能耗指标约束值以上</w:t>
      </w:r>
      <w:r>
        <w:rPr>
          <w:rFonts w:ascii="仿宋_GB2312" w:hAnsi="宋体" w:eastAsia="仿宋_GB2312" w:cs="宋体"/>
          <w:color w:val="000000"/>
          <w:kern w:val="0"/>
          <w:sz w:val="30"/>
          <w:szCs w:val="30"/>
        </w:rPr>
        <w:t>的建筑</w:t>
      </w:r>
      <w:r>
        <w:rPr>
          <w:rFonts w:hint="eastAsia" w:ascii="仿宋_GB2312" w:hAnsi="宋体" w:eastAsia="仿宋_GB2312" w:cs="宋体"/>
          <w:color w:val="000000"/>
          <w:kern w:val="0"/>
          <w:sz w:val="30"/>
          <w:szCs w:val="30"/>
        </w:rPr>
        <w:t>，应根据《</w:t>
      </w:r>
      <w:r>
        <w:rPr>
          <w:rFonts w:ascii="仿宋_GB2312" w:hAnsi="宋体" w:eastAsia="仿宋_GB2312" w:cs="宋体"/>
          <w:color w:val="000000"/>
          <w:kern w:val="0"/>
          <w:sz w:val="30"/>
          <w:szCs w:val="30"/>
        </w:rPr>
        <w:t>深圳市绿色建筑促进办法</w:t>
      </w:r>
      <w:r>
        <w:rPr>
          <w:rFonts w:hint="eastAsia" w:ascii="仿宋_GB2312" w:hAnsi="宋体" w:eastAsia="仿宋_GB2312" w:cs="宋体"/>
          <w:color w:val="000000"/>
          <w:kern w:val="0"/>
          <w:sz w:val="30"/>
          <w:szCs w:val="30"/>
        </w:rPr>
        <w:t>》</w:t>
      </w:r>
      <w:r>
        <w:rPr>
          <w:rFonts w:ascii="仿宋_GB2312" w:hAnsi="宋体" w:eastAsia="仿宋_GB2312" w:cs="宋体"/>
          <w:color w:val="000000"/>
          <w:kern w:val="0"/>
          <w:sz w:val="30"/>
          <w:szCs w:val="30"/>
        </w:rPr>
        <w:t>（深圳市人民政府令第253号）</w:t>
      </w:r>
      <w:r>
        <w:rPr>
          <w:rFonts w:hint="eastAsia" w:ascii="仿宋_GB2312" w:hAnsi="宋体" w:eastAsia="仿宋_GB2312" w:cs="宋体"/>
          <w:color w:val="000000"/>
          <w:kern w:val="0"/>
          <w:sz w:val="30"/>
          <w:szCs w:val="30"/>
        </w:rPr>
        <w:t>第十九条的规定进行节能改造。</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第二十</w:t>
      </w:r>
      <w:r>
        <w:rPr>
          <w:rFonts w:hint="eastAsia" w:ascii="仿宋_GB2312" w:hAnsi="宋体" w:eastAsia="仿宋_GB2312" w:cs="宋体"/>
          <w:color w:val="000000"/>
          <w:kern w:val="0"/>
          <w:sz w:val="30"/>
          <w:szCs w:val="30"/>
          <w:lang w:eastAsia="zh-CN"/>
        </w:rPr>
        <w:t>二</w:t>
      </w:r>
      <w:r>
        <w:rPr>
          <w:rFonts w:hint="eastAsia" w:ascii="仿宋_GB2312" w:hAnsi="宋体" w:eastAsia="仿宋_GB2312" w:cs="宋体"/>
          <w:color w:val="000000"/>
          <w:kern w:val="0"/>
          <w:sz w:val="30"/>
          <w:szCs w:val="30"/>
        </w:rPr>
        <w:t>条  对于年度单位建筑面积能耗指标低于《深圳市公共建筑能耗标准》SJG 34规定的能耗指标引导值</w:t>
      </w:r>
      <w:r>
        <w:rPr>
          <w:rFonts w:ascii="仿宋_GB2312" w:hAnsi="宋体" w:eastAsia="仿宋_GB2312" w:cs="宋体"/>
          <w:color w:val="000000"/>
          <w:kern w:val="0"/>
          <w:sz w:val="30"/>
          <w:szCs w:val="30"/>
        </w:rPr>
        <w:t>的建筑</w:t>
      </w:r>
      <w:r>
        <w:rPr>
          <w:rFonts w:hint="eastAsia" w:ascii="仿宋_GB2312" w:hAnsi="宋体" w:eastAsia="仿宋_GB2312" w:cs="宋体"/>
          <w:color w:val="000000"/>
          <w:kern w:val="0"/>
          <w:sz w:val="30"/>
          <w:szCs w:val="30"/>
        </w:rPr>
        <w:t>，或根据建筑类型按单位建筑面积能耗从高到低排列位于后1/10区的建筑，择优</w:t>
      </w:r>
      <w:r>
        <w:rPr>
          <w:rFonts w:ascii="仿宋_GB2312" w:hAnsi="宋体" w:eastAsia="仿宋_GB2312" w:cs="宋体"/>
          <w:color w:val="000000"/>
          <w:kern w:val="0"/>
          <w:sz w:val="30"/>
          <w:szCs w:val="30"/>
        </w:rPr>
        <w:t>授予“</w:t>
      </w:r>
      <w:r>
        <w:rPr>
          <w:rFonts w:hint="eastAsia" w:ascii="仿宋_GB2312" w:hAnsi="宋体" w:eastAsia="仿宋_GB2312" w:cs="宋体"/>
          <w:color w:val="000000"/>
          <w:kern w:val="0"/>
          <w:sz w:val="30"/>
          <w:szCs w:val="30"/>
        </w:rPr>
        <w:t>能效</w:t>
      </w:r>
      <w:r>
        <w:rPr>
          <w:rFonts w:ascii="仿宋_GB2312" w:hAnsi="宋体" w:eastAsia="仿宋_GB2312" w:cs="宋体"/>
          <w:color w:val="000000"/>
          <w:kern w:val="0"/>
          <w:sz w:val="30"/>
          <w:szCs w:val="30"/>
        </w:rPr>
        <w:t>标杆示范</w:t>
      </w:r>
      <w:r>
        <w:rPr>
          <w:rFonts w:hint="eastAsia" w:ascii="仿宋_GB2312" w:hAnsi="宋体" w:eastAsia="仿宋_GB2312" w:cs="宋体"/>
          <w:color w:val="000000"/>
          <w:kern w:val="0"/>
          <w:sz w:val="30"/>
          <w:szCs w:val="30"/>
        </w:rPr>
        <w:t>项目</w:t>
      </w:r>
      <w:r>
        <w:rPr>
          <w:rFonts w:ascii="仿宋_GB2312" w:hAnsi="宋体" w:eastAsia="仿宋_GB2312" w:cs="宋体"/>
          <w:color w:val="000000"/>
          <w:kern w:val="0"/>
          <w:sz w:val="30"/>
          <w:szCs w:val="30"/>
        </w:rPr>
        <w:t>”</w:t>
      </w:r>
      <w:r>
        <w:rPr>
          <w:rFonts w:hint="eastAsia" w:ascii="仿宋_GB2312" w:hAnsi="宋体" w:eastAsia="仿宋_GB2312" w:cs="宋体"/>
          <w:color w:val="000000"/>
          <w:kern w:val="0"/>
          <w:sz w:val="30"/>
          <w:szCs w:val="30"/>
        </w:rPr>
        <w:t>。</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第二十</w:t>
      </w:r>
      <w:r>
        <w:rPr>
          <w:rFonts w:hint="eastAsia" w:ascii="仿宋_GB2312" w:hAnsi="宋体" w:eastAsia="仿宋_GB2312" w:cs="宋体"/>
          <w:color w:val="000000"/>
          <w:kern w:val="0"/>
          <w:sz w:val="30"/>
          <w:szCs w:val="30"/>
          <w:lang w:eastAsia="zh-CN"/>
        </w:rPr>
        <w:t>三</w:t>
      </w:r>
      <w:r>
        <w:rPr>
          <w:rFonts w:hint="eastAsia" w:ascii="仿宋_GB2312" w:hAnsi="宋体" w:eastAsia="仿宋_GB2312" w:cs="宋体"/>
          <w:color w:val="000000"/>
          <w:kern w:val="0"/>
          <w:sz w:val="30"/>
          <w:szCs w:val="30"/>
        </w:rPr>
        <w:t>条  对于公示过程中，相关政府部门及其工作人员由于人为因素造成公示程序不规范的，将依据相关规定对责任单位及责任人予以处理。</w:t>
      </w:r>
    </w:p>
    <w:p>
      <w:pPr>
        <w:widowControl/>
        <w:shd w:val="clear" w:color="auto" w:fill="FFFFFF"/>
        <w:spacing w:line="402" w:lineRule="atLeast"/>
        <w:ind w:firstLine="540" w:firstLineChars="200"/>
        <w:jc w:val="left"/>
        <w:rPr>
          <w:rFonts w:ascii="宋体" w:hAnsi="宋体" w:eastAsia="宋体" w:cs="宋体"/>
          <w:color w:val="000000"/>
          <w:kern w:val="0"/>
          <w:sz w:val="27"/>
          <w:szCs w:val="27"/>
        </w:rPr>
      </w:pPr>
    </w:p>
    <w:p>
      <w:pPr>
        <w:widowControl/>
        <w:shd w:val="clear" w:color="auto" w:fill="FFFFFF"/>
        <w:spacing w:line="402" w:lineRule="atLeast"/>
        <w:jc w:val="center"/>
        <w:outlineLvl w:val="0"/>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第五章  附则</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第二十</w:t>
      </w:r>
      <w:r>
        <w:rPr>
          <w:rFonts w:hint="eastAsia" w:ascii="仿宋_GB2312" w:hAnsi="宋体" w:eastAsia="仿宋_GB2312" w:cs="宋体"/>
          <w:color w:val="000000"/>
          <w:kern w:val="0"/>
          <w:sz w:val="30"/>
          <w:szCs w:val="30"/>
          <w:lang w:eastAsia="zh-CN"/>
        </w:rPr>
        <w:t>四</w:t>
      </w:r>
      <w:r>
        <w:rPr>
          <w:rFonts w:hint="eastAsia" w:ascii="仿宋_GB2312" w:hAnsi="宋体" w:eastAsia="仿宋_GB2312" w:cs="宋体"/>
          <w:color w:val="000000"/>
          <w:kern w:val="0"/>
          <w:sz w:val="30"/>
          <w:szCs w:val="30"/>
        </w:rPr>
        <w:t>条  本办法由深圳市住房和建设局负责具体技术内容的解释。</w:t>
      </w:r>
    </w:p>
    <w:p>
      <w:pPr>
        <w:widowControl/>
        <w:shd w:val="clear" w:color="auto" w:fill="FFFFFF"/>
        <w:spacing w:line="402" w:lineRule="atLeast"/>
        <w:ind w:firstLine="600" w:firstLineChars="200"/>
        <w:jc w:val="left"/>
        <w:rPr>
          <w:rFonts w:ascii="仿宋_GB2312" w:hAnsi="宋体" w:eastAsia="仿宋_GB2312" w:cs="宋体"/>
          <w:color w:val="000000"/>
          <w:kern w:val="0"/>
          <w:sz w:val="30"/>
          <w:szCs w:val="30"/>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NumType w:start="1"/>
          <w:cols w:space="720" w:num="1"/>
          <w:docGrid w:type="lines" w:linePitch="312" w:charSpace="0"/>
        </w:sectPr>
      </w:pPr>
      <w:r>
        <w:rPr>
          <w:rFonts w:hint="eastAsia" w:ascii="仿宋_GB2312" w:hAnsi="宋体" w:eastAsia="仿宋_GB2312" w:cs="宋体"/>
          <w:color w:val="000000"/>
          <w:kern w:val="0"/>
          <w:sz w:val="30"/>
          <w:szCs w:val="30"/>
        </w:rPr>
        <w:t>第二十</w:t>
      </w:r>
      <w:r>
        <w:rPr>
          <w:rFonts w:hint="eastAsia" w:ascii="仿宋_GB2312" w:hAnsi="宋体" w:eastAsia="仿宋_GB2312" w:cs="宋体"/>
          <w:color w:val="000000"/>
          <w:kern w:val="0"/>
          <w:sz w:val="30"/>
          <w:szCs w:val="30"/>
          <w:lang w:eastAsia="zh-CN"/>
        </w:rPr>
        <w:t>五</w:t>
      </w:r>
      <w:r>
        <w:rPr>
          <w:rFonts w:hint="eastAsia" w:ascii="仿宋_GB2312" w:hAnsi="宋体" w:eastAsia="仿宋_GB2312" w:cs="宋体"/>
          <w:color w:val="000000"/>
          <w:kern w:val="0"/>
          <w:sz w:val="30"/>
          <w:szCs w:val="30"/>
        </w:rPr>
        <w:t xml:space="preserve">条  </w:t>
      </w:r>
      <w:r>
        <w:rPr>
          <w:rFonts w:hint="eastAsia" w:ascii="仿宋_GB2312" w:hAnsi="宋体" w:eastAsia="仿宋_GB2312" w:cs="宋体"/>
          <w:color w:val="000000"/>
          <w:kern w:val="0"/>
          <w:sz w:val="30"/>
          <w:szCs w:val="30"/>
          <w:highlight w:val="none"/>
        </w:rPr>
        <w:t>本办法自</w:t>
      </w:r>
      <w:r>
        <w:rPr>
          <w:rFonts w:ascii="Times New Roman" w:hAnsi="Times New Roman" w:eastAsia="仿宋_GB2312" w:cs="Times New Roman"/>
          <w:color w:val="000000"/>
          <w:kern w:val="0"/>
          <w:sz w:val="30"/>
          <w:szCs w:val="30"/>
          <w:highlight w:val="none"/>
        </w:rPr>
        <w:t>201*</w:t>
      </w:r>
      <w:r>
        <w:rPr>
          <w:rFonts w:hint="eastAsia" w:ascii="仿宋_GB2312" w:hAnsi="宋体" w:eastAsia="仿宋_GB2312" w:cs="宋体"/>
          <w:color w:val="000000"/>
          <w:kern w:val="0"/>
          <w:sz w:val="30"/>
          <w:szCs w:val="30"/>
          <w:highlight w:val="none"/>
        </w:rPr>
        <w:t>年</w:t>
      </w:r>
      <w:r>
        <w:rPr>
          <w:rFonts w:ascii="Times New Roman" w:hAnsi="Times New Roman" w:eastAsia="仿宋_GB2312" w:cs="Times New Roman"/>
          <w:color w:val="000000"/>
          <w:kern w:val="0"/>
          <w:sz w:val="30"/>
          <w:szCs w:val="30"/>
          <w:highlight w:val="none"/>
        </w:rPr>
        <w:t>**</w:t>
      </w:r>
      <w:r>
        <w:rPr>
          <w:rFonts w:hint="eastAsia" w:ascii="仿宋_GB2312" w:hAnsi="宋体" w:eastAsia="仿宋_GB2312" w:cs="宋体"/>
          <w:color w:val="000000"/>
          <w:kern w:val="0"/>
          <w:sz w:val="30"/>
          <w:szCs w:val="30"/>
          <w:highlight w:val="none"/>
        </w:rPr>
        <w:t>月</w:t>
      </w:r>
      <w:r>
        <w:rPr>
          <w:rFonts w:ascii="Times New Roman" w:hAnsi="Times New Roman" w:eastAsia="仿宋_GB2312" w:cs="Times New Roman"/>
          <w:color w:val="000000"/>
          <w:kern w:val="0"/>
          <w:sz w:val="30"/>
          <w:szCs w:val="30"/>
          <w:highlight w:val="none"/>
        </w:rPr>
        <w:t>**</w:t>
      </w:r>
      <w:r>
        <w:rPr>
          <w:rFonts w:hint="eastAsia" w:ascii="仿宋_GB2312" w:hAnsi="宋体" w:eastAsia="仿宋_GB2312" w:cs="宋体"/>
          <w:color w:val="000000"/>
          <w:kern w:val="0"/>
          <w:sz w:val="30"/>
          <w:szCs w:val="30"/>
          <w:highlight w:val="none"/>
        </w:rPr>
        <w:t>日起执行</w:t>
      </w:r>
      <w:r>
        <w:rPr>
          <w:rFonts w:hint="eastAsia" w:ascii="仿宋_GB2312" w:hAnsi="宋体" w:eastAsia="仿宋_GB2312" w:cs="宋体"/>
          <w:color w:val="000000"/>
          <w:kern w:val="0"/>
          <w:sz w:val="30"/>
          <w:szCs w:val="30"/>
          <w:highlight w:val="none"/>
          <w:lang w:eastAsia="zh-CN"/>
        </w:rPr>
        <w:t>，有效期五年。</w:t>
      </w:r>
    </w:p>
    <w:p>
      <w:pPr>
        <w:widowControl/>
        <w:shd w:val="clear" w:color="auto" w:fill="FFFFFF"/>
        <w:spacing w:line="402" w:lineRule="atLeast"/>
        <w:jc w:val="left"/>
        <w:outlineLvl w:val="0"/>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附件1  建筑内部公示参考模板</w:t>
      </w:r>
    </w:p>
    <w:p>
      <w:pPr>
        <w:widowControl/>
        <w:shd w:val="clear" w:color="auto" w:fill="FFFFFF"/>
        <w:spacing w:line="402" w:lineRule="atLeast"/>
        <w:jc w:val="center"/>
        <w:rPr>
          <w:rFonts w:ascii="仿宋_GB2312" w:hAnsi="宋体" w:eastAsia="仿宋_GB2312" w:cs="宋体"/>
          <w:color w:val="000000"/>
          <w:kern w:val="0"/>
          <w:sz w:val="30"/>
          <w:szCs w:val="30"/>
        </w:rPr>
      </w:pPr>
      <w:bookmarkStart w:id="0" w:name="_GoBack"/>
      <w:bookmarkEnd w:id="0"/>
      <w:r>
        <w:rPr>
          <w:rFonts w:hint="eastAsia" w:ascii="仿宋_GB2312" w:hAnsi="宋体" w:eastAsia="仿宋_GB2312" w:cs="宋体"/>
          <w:color w:val="000000"/>
          <w:kern w:val="0"/>
          <w:sz w:val="30"/>
          <w:szCs w:val="30"/>
          <w:u w:val="single"/>
          <w:lang w:val="en-US" w:eastAsia="zh-CN"/>
        </w:rPr>
        <w:t xml:space="preserve">                                    </w:t>
      </w:r>
      <w:r>
        <w:rPr>
          <w:rFonts w:ascii="仿宋_GB2312" w:hAnsi="宋体" w:eastAsia="仿宋_GB2312" w:cs="宋体"/>
          <w:color w:val="000000"/>
          <w:kern w:val="0"/>
          <w:sz w:val="30"/>
          <w:szCs w:val="30"/>
        </w:rPr>
        <w:t>建筑</w:t>
      </w:r>
      <w:r>
        <w:rPr>
          <w:rFonts w:hint="eastAsia" w:ascii="仿宋_GB2312" w:hAnsi="宋体" w:eastAsia="仿宋_GB2312" w:cs="宋体"/>
          <w:color w:val="000000"/>
          <w:kern w:val="0"/>
          <w:sz w:val="30"/>
          <w:szCs w:val="30"/>
        </w:rPr>
        <w:t>能效建筑内部</w:t>
      </w:r>
      <w:r>
        <w:rPr>
          <w:rFonts w:ascii="仿宋_GB2312" w:hAnsi="宋体" w:eastAsia="仿宋_GB2312" w:cs="宋体"/>
          <w:color w:val="000000"/>
          <w:kern w:val="0"/>
          <w:sz w:val="30"/>
          <w:szCs w:val="30"/>
        </w:rPr>
        <w:t>公示表</w:t>
      </w:r>
    </w:p>
    <w:tbl>
      <w:tblPr>
        <w:tblStyle w:val="15"/>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2159"/>
        <w:gridCol w:w="534"/>
        <w:gridCol w:w="2552"/>
        <w:gridCol w:w="2693"/>
        <w:gridCol w:w="1559"/>
        <w:gridCol w:w="993"/>
        <w:gridCol w:w="2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4" w:type="dxa"/>
            <w:gridSpan w:val="8"/>
            <w:vAlign w:val="center"/>
          </w:tcPr>
          <w:p>
            <w:pPr>
              <w:widowControl/>
              <w:adjustRightInd w:val="0"/>
              <w:snapToGrid w:val="0"/>
              <w:jc w:val="center"/>
              <w:rPr>
                <w:rFonts w:ascii="仿宋_GB2312" w:hAnsi="宋体" w:eastAsia="仿宋_GB2312" w:cs="宋体"/>
                <w:b/>
                <w:kern w:val="0"/>
                <w:sz w:val="28"/>
                <w:szCs w:val="28"/>
              </w:rPr>
            </w:pPr>
            <w:r>
              <w:rPr>
                <w:rFonts w:hint="eastAsia" w:ascii="仿宋_GB2312" w:hAnsi="宋体" w:eastAsia="仿宋_GB2312" w:cs="宋体"/>
                <w:b/>
                <w:kern w:val="0"/>
                <w:sz w:val="28"/>
                <w:szCs w:val="28"/>
              </w:rPr>
              <w:t>建筑基本情况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43"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建筑类型</w:t>
            </w:r>
          </w:p>
        </w:tc>
        <w:tc>
          <w:tcPr>
            <w:tcW w:w="3086" w:type="dxa"/>
            <w:gridSpan w:val="2"/>
            <w:vAlign w:val="center"/>
          </w:tcPr>
          <w:p>
            <w:pPr>
              <w:widowControl/>
              <w:adjustRightInd w:val="0"/>
              <w:snapToGrid w:val="0"/>
              <w:jc w:val="center"/>
              <w:rPr>
                <w:rFonts w:ascii="仿宋_GB2312" w:hAnsi="宋体" w:eastAsia="仿宋_GB2312" w:cs="宋体"/>
                <w:kern w:val="0"/>
                <w:sz w:val="28"/>
                <w:szCs w:val="28"/>
              </w:rPr>
            </w:pPr>
          </w:p>
        </w:tc>
        <w:tc>
          <w:tcPr>
            <w:tcW w:w="4252"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建筑名称</w:t>
            </w:r>
          </w:p>
        </w:tc>
        <w:tc>
          <w:tcPr>
            <w:tcW w:w="3293" w:type="dxa"/>
            <w:gridSpan w:val="2"/>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43"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竣工时间</w:t>
            </w:r>
          </w:p>
        </w:tc>
        <w:tc>
          <w:tcPr>
            <w:tcW w:w="3086" w:type="dxa"/>
            <w:gridSpan w:val="2"/>
            <w:vAlign w:val="center"/>
          </w:tcPr>
          <w:p>
            <w:pPr>
              <w:widowControl/>
              <w:adjustRightInd w:val="0"/>
              <w:snapToGrid w:val="0"/>
              <w:jc w:val="center"/>
              <w:rPr>
                <w:rFonts w:ascii="仿宋_GB2312" w:hAnsi="宋体" w:eastAsia="仿宋_GB2312" w:cs="宋体"/>
                <w:kern w:val="0"/>
                <w:sz w:val="28"/>
                <w:szCs w:val="28"/>
              </w:rPr>
            </w:pPr>
          </w:p>
        </w:tc>
        <w:tc>
          <w:tcPr>
            <w:tcW w:w="4252"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建筑面积</w:t>
            </w:r>
          </w:p>
        </w:tc>
        <w:tc>
          <w:tcPr>
            <w:tcW w:w="3293" w:type="dxa"/>
            <w:gridSpan w:val="2"/>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43"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空气调节方式</w:t>
            </w:r>
          </w:p>
        </w:tc>
        <w:tc>
          <w:tcPr>
            <w:tcW w:w="3086" w:type="dxa"/>
            <w:gridSpan w:val="2"/>
            <w:vAlign w:val="center"/>
          </w:tcPr>
          <w:p>
            <w:pPr>
              <w:widowControl/>
              <w:adjustRightInd w:val="0"/>
              <w:snapToGrid w:val="0"/>
              <w:jc w:val="center"/>
              <w:rPr>
                <w:rFonts w:ascii="仿宋_GB2312" w:hAnsi="宋体" w:eastAsia="仿宋_GB2312" w:cs="宋体"/>
                <w:kern w:val="0"/>
                <w:sz w:val="28"/>
                <w:szCs w:val="28"/>
              </w:rPr>
            </w:pPr>
          </w:p>
        </w:tc>
        <w:tc>
          <w:tcPr>
            <w:tcW w:w="4252"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color w:val="0C0C0C"/>
                <w:kern w:val="0"/>
                <w:sz w:val="30"/>
              </w:rPr>
              <w:t>建筑所有权人</w:t>
            </w:r>
          </w:p>
        </w:tc>
        <w:tc>
          <w:tcPr>
            <w:tcW w:w="3293" w:type="dxa"/>
            <w:gridSpan w:val="2"/>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543"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物业服务企业</w:t>
            </w:r>
          </w:p>
        </w:tc>
        <w:tc>
          <w:tcPr>
            <w:tcW w:w="3086" w:type="dxa"/>
            <w:gridSpan w:val="2"/>
            <w:vAlign w:val="center"/>
          </w:tcPr>
          <w:p>
            <w:pPr>
              <w:widowControl/>
              <w:adjustRightInd w:val="0"/>
              <w:snapToGrid w:val="0"/>
              <w:jc w:val="center"/>
              <w:rPr>
                <w:rFonts w:ascii="仿宋_GB2312" w:hAnsi="宋体" w:eastAsia="仿宋_GB2312" w:cs="宋体"/>
                <w:kern w:val="0"/>
                <w:sz w:val="28"/>
                <w:szCs w:val="28"/>
              </w:rPr>
            </w:pPr>
          </w:p>
        </w:tc>
        <w:tc>
          <w:tcPr>
            <w:tcW w:w="4252" w:type="dxa"/>
            <w:gridSpan w:val="2"/>
            <w:vAlign w:val="center"/>
          </w:tcPr>
          <w:p>
            <w:pPr>
              <w:widowControl/>
              <w:adjustRightInd w:val="0"/>
              <w:snapToGrid w:val="0"/>
              <w:jc w:val="center"/>
              <w:rPr>
                <w:rFonts w:ascii="仿宋_GB2312" w:hAnsi="宋体" w:eastAsia="仿宋_GB2312" w:cs="宋体"/>
                <w:kern w:val="0"/>
                <w:sz w:val="28"/>
                <w:szCs w:val="28"/>
              </w:rPr>
            </w:pPr>
            <w:r>
              <w:rPr>
                <w:rFonts w:ascii="仿宋_GB2312" w:hAnsi="宋体" w:eastAsia="仿宋_GB2312" w:cs="宋体"/>
                <w:color w:val="000000"/>
                <w:kern w:val="0"/>
                <w:sz w:val="30"/>
                <w:szCs w:val="30"/>
              </w:rPr>
              <w:t>主管人员</w:t>
            </w:r>
            <w:r>
              <w:rPr>
                <w:rFonts w:hint="eastAsia" w:ascii="仿宋_GB2312" w:hAnsi="宋体" w:eastAsia="仿宋_GB2312" w:cs="宋体"/>
                <w:color w:val="000000"/>
                <w:kern w:val="0"/>
                <w:sz w:val="30"/>
                <w:szCs w:val="30"/>
              </w:rPr>
              <w:t>或</w:t>
            </w:r>
            <w:r>
              <w:rPr>
                <w:rFonts w:ascii="仿宋_GB2312" w:hAnsi="宋体" w:eastAsia="仿宋_GB2312" w:cs="宋体"/>
                <w:color w:val="000000"/>
                <w:kern w:val="0"/>
                <w:sz w:val="30"/>
                <w:szCs w:val="30"/>
              </w:rPr>
              <w:t>其他直接责任人员</w:t>
            </w:r>
          </w:p>
        </w:tc>
        <w:tc>
          <w:tcPr>
            <w:tcW w:w="3293" w:type="dxa"/>
            <w:gridSpan w:val="2"/>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4" w:type="dxa"/>
            <w:gridSpan w:val="8"/>
            <w:vAlign w:val="center"/>
          </w:tcPr>
          <w:p>
            <w:pPr>
              <w:widowControl/>
              <w:adjustRightInd w:val="0"/>
              <w:snapToGrid w:val="0"/>
              <w:jc w:val="center"/>
              <w:rPr>
                <w:rFonts w:ascii="仿宋_GB2312" w:hAnsi="宋体" w:eastAsia="仿宋_GB2312" w:cs="宋体"/>
                <w:b/>
                <w:kern w:val="0"/>
                <w:sz w:val="28"/>
                <w:szCs w:val="28"/>
              </w:rPr>
            </w:pPr>
            <w:r>
              <w:rPr>
                <w:rFonts w:hint="eastAsia" w:ascii="仿宋_GB2312" w:hAnsi="宋体" w:eastAsia="仿宋_GB2312" w:cs="宋体"/>
                <w:b/>
                <w:kern w:val="0"/>
                <w:sz w:val="28"/>
                <w:szCs w:val="28"/>
              </w:rPr>
              <w:t>能耗数据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月份</w:t>
            </w:r>
          </w:p>
        </w:tc>
        <w:tc>
          <w:tcPr>
            <w:tcW w:w="2693"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电耗（kWh）</w:t>
            </w:r>
          </w:p>
        </w:tc>
        <w:tc>
          <w:tcPr>
            <w:tcW w:w="2552"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天然气（m</w:t>
            </w:r>
            <w:r>
              <w:rPr>
                <w:rFonts w:hint="eastAsia" w:ascii="仿宋_GB2312" w:hAnsi="宋体" w:eastAsia="仿宋_GB2312" w:cs="宋体"/>
                <w:kern w:val="0"/>
                <w:sz w:val="28"/>
                <w:szCs w:val="28"/>
                <w:vertAlign w:val="superscript"/>
              </w:rPr>
              <w:t>3</w:t>
            </w:r>
            <w:r>
              <w:rPr>
                <w:rFonts w:hint="eastAsia" w:ascii="仿宋_GB2312" w:hAnsi="宋体" w:eastAsia="仿宋_GB2312" w:cs="宋体"/>
                <w:kern w:val="0"/>
                <w:sz w:val="28"/>
                <w:szCs w:val="28"/>
              </w:rPr>
              <w:t>）</w:t>
            </w:r>
          </w:p>
        </w:tc>
        <w:tc>
          <w:tcPr>
            <w:tcW w:w="2693"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color w:val="000000"/>
                <w:kern w:val="0"/>
                <w:sz w:val="30"/>
                <w:szCs w:val="30"/>
              </w:rPr>
              <w:t>油(</w:t>
            </w:r>
            <w:r>
              <w:rPr>
                <w:rFonts w:ascii="Times New Roman" w:hAnsi="Times New Roman" w:eastAsia="仿宋_GB2312" w:cs="Times New Roman"/>
                <w:color w:val="000000"/>
                <w:kern w:val="0"/>
                <w:sz w:val="30"/>
                <w:szCs w:val="30"/>
              </w:rPr>
              <w:t>t</w:t>
            </w:r>
            <w:r>
              <w:rPr>
                <w:rFonts w:hint="eastAsia" w:ascii="仿宋_GB2312" w:hAnsi="宋体" w:eastAsia="仿宋_GB2312" w:cs="宋体"/>
                <w:color w:val="000000"/>
                <w:kern w:val="0"/>
                <w:sz w:val="30"/>
                <w:szCs w:val="30"/>
              </w:rPr>
              <w:t>)</w:t>
            </w:r>
          </w:p>
        </w:tc>
        <w:tc>
          <w:tcPr>
            <w:tcW w:w="2552" w:type="dxa"/>
            <w:gridSpan w:val="2"/>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水（m</w:t>
            </w:r>
            <w:r>
              <w:rPr>
                <w:rFonts w:hint="eastAsia" w:ascii="仿宋_GB2312" w:hAnsi="宋体" w:eastAsia="仿宋_GB2312" w:cs="宋体"/>
                <w:kern w:val="0"/>
                <w:sz w:val="28"/>
                <w:szCs w:val="28"/>
                <w:vertAlign w:val="superscript"/>
              </w:rPr>
              <w:t>3</w:t>
            </w:r>
            <w:r>
              <w:rPr>
                <w:rFonts w:hint="eastAsia" w:ascii="仿宋_GB2312" w:hAnsi="宋体" w:eastAsia="仿宋_GB2312" w:cs="宋体"/>
                <w:kern w:val="0"/>
                <w:sz w:val="28"/>
                <w:szCs w:val="28"/>
              </w:rPr>
              <w:t>）</w:t>
            </w:r>
          </w:p>
        </w:tc>
        <w:tc>
          <w:tcPr>
            <w:tcW w:w="2300"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1</w:t>
            </w:r>
          </w:p>
        </w:tc>
        <w:tc>
          <w:tcPr>
            <w:tcW w:w="2693" w:type="dxa"/>
            <w:gridSpan w:val="2"/>
            <w:vAlign w:val="center"/>
          </w:tcPr>
          <w:p>
            <w:pPr>
              <w:widowControl/>
              <w:adjustRightInd w:val="0"/>
              <w:snapToGrid w:val="0"/>
              <w:jc w:val="center"/>
              <w:rPr>
                <w:rFonts w:ascii="仿宋_GB2312" w:hAnsi="宋体" w:eastAsia="仿宋_GB2312" w:cs="宋体"/>
                <w:kern w:val="0"/>
                <w:sz w:val="28"/>
                <w:szCs w:val="28"/>
              </w:rPr>
            </w:pPr>
          </w:p>
        </w:tc>
        <w:tc>
          <w:tcPr>
            <w:tcW w:w="2552" w:type="dxa"/>
            <w:vAlign w:val="center"/>
          </w:tcPr>
          <w:p>
            <w:pPr>
              <w:widowControl/>
              <w:adjustRightInd w:val="0"/>
              <w:snapToGrid w:val="0"/>
              <w:jc w:val="center"/>
              <w:rPr>
                <w:rFonts w:ascii="仿宋_GB2312" w:hAnsi="宋体" w:eastAsia="仿宋_GB2312" w:cs="宋体"/>
                <w:kern w:val="0"/>
                <w:sz w:val="28"/>
                <w:szCs w:val="28"/>
              </w:rPr>
            </w:pPr>
          </w:p>
        </w:tc>
        <w:tc>
          <w:tcPr>
            <w:tcW w:w="2693" w:type="dxa"/>
            <w:vAlign w:val="center"/>
          </w:tcPr>
          <w:p>
            <w:pPr>
              <w:widowControl/>
              <w:adjustRightInd w:val="0"/>
              <w:snapToGrid w:val="0"/>
              <w:jc w:val="center"/>
              <w:rPr>
                <w:rFonts w:ascii="仿宋_GB2312" w:hAnsi="宋体" w:eastAsia="仿宋_GB2312" w:cs="宋体"/>
                <w:kern w:val="0"/>
                <w:sz w:val="28"/>
                <w:szCs w:val="28"/>
              </w:rPr>
            </w:pPr>
          </w:p>
        </w:tc>
        <w:tc>
          <w:tcPr>
            <w:tcW w:w="2552" w:type="dxa"/>
            <w:gridSpan w:val="2"/>
            <w:vAlign w:val="center"/>
          </w:tcPr>
          <w:p>
            <w:pPr>
              <w:widowControl/>
              <w:adjustRightInd w:val="0"/>
              <w:snapToGrid w:val="0"/>
              <w:jc w:val="center"/>
              <w:rPr>
                <w:rFonts w:ascii="仿宋_GB2312" w:hAnsi="宋体" w:eastAsia="仿宋_GB2312" w:cs="宋体"/>
                <w:kern w:val="0"/>
                <w:sz w:val="28"/>
                <w:szCs w:val="28"/>
              </w:rPr>
            </w:pPr>
          </w:p>
        </w:tc>
        <w:tc>
          <w:tcPr>
            <w:tcW w:w="2300" w:type="dxa"/>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2</w:t>
            </w:r>
          </w:p>
        </w:tc>
        <w:tc>
          <w:tcPr>
            <w:tcW w:w="2693" w:type="dxa"/>
            <w:gridSpan w:val="2"/>
            <w:vAlign w:val="center"/>
          </w:tcPr>
          <w:p>
            <w:pPr>
              <w:widowControl/>
              <w:adjustRightInd w:val="0"/>
              <w:snapToGrid w:val="0"/>
              <w:jc w:val="center"/>
              <w:rPr>
                <w:rFonts w:ascii="仿宋_GB2312" w:hAnsi="宋体" w:eastAsia="仿宋_GB2312" w:cs="宋体"/>
                <w:kern w:val="0"/>
                <w:sz w:val="28"/>
                <w:szCs w:val="28"/>
              </w:rPr>
            </w:pPr>
          </w:p>
        </w:tc>
        <w:tc>
          <w:tcPr>
            <w:tcW w:w="2552" w:type="dxa"/>
            <w:vAlign w:val="center"/>
          </w:tcPr>
          <w:p>
            <w:pPr>
              <w:widowControl/>
              <w:adjustRightInd w:val="0"/>
              <w:snapToGrid w:val="0"/>
              <w:jc w:val="center"/>
              <w:rPr>
                <w:rFonts w:ascii="仿宋_GB2312" w:hAnsi="宋体" w:eastAsia="仿宋_GB2312" w:cs="宋体"/>
                <w:kern w:val="0"/>
                <w:sz w:val="28"/>
                <w:szCs w:val="28"/>
              </w:rPr>
            </w:pPr>
          </w:p>
        </w:tc>
        <w:tc>
          <w:tcPr>
            <w:tcW w:w="2693" w:type="dxa"/>
            <w:vAlign w:val="center"/>
          </w:tcPr>
          <w:p>
            <w:pPr>
              <w:widowControl/>
              <w:adjustRightInd w:val="0"/>
              <w:snapToGrid w:val="0"/>
              <w:jc w:val="center"/>
              <w:rPr>
                <w:rFonts w:ascii="仿宋_GB2312" w:hAnsi="宋体" w:eastAsia="仿宋_GB2312" w:cs="宋体"/>
                <w:kern w:val="0"/>
                <w:sz w:val="28"/>
                <w:szCs w:val="28"/>
              </w:rPr>
            </w:pPr>
          </w:p>
        </w:tc>
        <w:tc>
          <w:tcPr>
            <w:tcW w:w="2552" w:type="dxa"/>
            <w:gridSpan w:val="2"/>
            <w:vAlign w:val="center"/>
          </w:tcPr>
          <w:p>
            <w:pPr>
              <w:widowControl/>
              <w:adjustRightInd w:val="0"/>
              <w:snapToGrid w:val="0"/>
              <w:jc w:val="center"/>
              <w:rPr>
                <w:rFonts w:ascii="仿宋_GB2312" w:hAnsi="宋体" w:eastAsia="仿宋_GB2312" w:cs="宋体"/>
                <w:kern w:val="0"/>
                <w:sz w:val="28"/>
                <w:szCs w:val="28"/>
              </w:rPr>
            </w:pPr>
          </w:p>
        </w:tc>
        <w:tc>
          <w:tcPr>
            <w:tcW w:w="2300" w:type="dxa"/>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3</w:t>
            </w:r>
          </w:p>
        </w:tc>
        <w:tc>
          <w:tcPr>
            <w:tcW w:w="2693" w:type="dxa"/>
            <w:gridSpan w:val="2"/>
            <w:vAlign w:val="center"/>
          </w:tcPr>
          <w:p>
            <w:pPr>
              <w:widowControl/>
              <w:adjustRightInd w:val="0"/>
              <w:snapToGrid w:val="0"/>
              <w:jc w:val="center"/>
              <w:rPr>
                <w:rFonts w:ascii="仿宋_GB2312" w:hAnsi="宋体" w:eastAsia="仿宋_GB2312" w:cs="宋体"/>
                <w:kern w:val="0"/>
                <w:sz w:val="28"/>
                <w:szCs w:val="28"/>
              </w:rPr>
            </w:pPr>
          </w:p>
        </w:tc>
        <w:tc>
          <w:tcPr>
            <w:tcW w:w="2552" w:type="dxa"/>
            <w:vAlign w:val="center"/>
          </w:tcPr>
          <w:p>
            <w:pPr>
              <w:widowControl/>
              <w:adjustRightInd w:val="0"/>
              <w:snapToGrid w:val="0"/>
              <w:jc w:val="center"/>
              <w:rPr>
                <w:rFonts w:ascii="仿宋_GB2312" w:hAnsi="宋体" w:eastAsia="仿宋_GB2312" w:cs="宋体"/>
                <w:kern w:val="0"/>
                <w:sz w:val="28"/>
                <w:szCs w:val="28"/>
              </w:rPr>
            </w:pPr>
          </w:p>
        </w:tc>
        <w:tc>
          <w:tcPr>
            <w:tcW w:w="2693" w:type="dxa"/>
            <w:vAlign w:val="center"/>
          </w:tcPr>
          <w:p>
            <w:pPr>
              <w:widowControl/>
              <w:adjustRightInd w:val="0"/>
              <w:snapToGrid w:val="0"/>
              <w:jc w:val="center"/>
              <w:rPr>
                <w:rFonts w:ascii="仿宋_GB2312" w:hAnsi="宋体" w:eastAsia="仿宋_GB2312" w:cs="宋体"/>
                <w:kern w:val="0"/>
                <w:sz w:val="28"/>
                <w:szCs w:val="28"/>
              </w:rPr>
            </w:pPr>
          </w:p>
        </w:tc>
        <w:tc>
          <w:tcPr>
            <w:tcW w:w="2552" w:type="dxa"/>
            <w:gridSpan w:val="2"/>
            <w:vAlign w:val="center"/>
          </w:tcPr>
          <w:p>
            <w:pPr>
              <w:widowControl/>
              <w:adjustRightInd w:val="0"/>
              <w:snapToGrid w:val="0"/>
              <w:jc w:val="center"/>
              <w:rPr>
                <w:rFonts w:ascii="仿宋_GB2312" w:hAnsi="宋体" w:eastAsia="仿宋_GB2312" w:cs="宋体"/>
                <w:kern w:val="0"/>
                <w:sz w:val="28"/>
                <w:szCs w:val="28"/>
              </w:rPr>
            </w:pPr>
          </w:p>
        </w:tc>
        <w:tc>
          <w:tcPr>
            <w:tcW w:w="2300" w:type="dxa"/>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4</w:t>
            </w:r>
          </w:p>
        </w:tc>
        <w:tc>
          <w:tcPr>
            <w:tcW w:w="2693" w:type="dxa"/>
            <w:gridSpan w:val="2"/>
            <w:vAlign w:val="center"/>
          </w:tcPr>
          <w:p>
            <w:pPr>
              <w:widowControl/>
              <w:adjustRightInd w:val="0"/>
              <w:snapToGrid w:val="0"/>
              <w:jc w:val="center"/>
              <w:rPr>
                <w:rFonts w:ascii="仿宋_GB2312" w:hAnsi="宋体" w:eastAsia="仿宋_GB2312" w:cs="宋体"/>
                <w:kern w:val="0"/>
                <w:sz w:val="28"/>
                <w:szCs w:val="28"/>
              </w:rPr>
            </w:pPr>
          </w:p>
        </w:tc>
        <w:tc>
          <w:tcPr>
            <w:tcW w:w="2552" w:type="dxa"/>
            <w:vAlign w:val="center"/>
          </w:tcPr>
          <w:p>
            <w:pPr>
              <w:widowControl/>
              <w:adjustRightInd w:val="0"/>
              <w:snapToGrid w:val="0"/>
              <w:jc w:val="center"/>
              <w:rPr>
                <w:rFonts w:ascii="仿宋_GB2312" w:hAnsi="宋体" w:eastAsia="仿宋_GB2312" w:cs="宋体"/>
                <w:kern w:val="0"/>
                <w:sz w:val="28"/>
                <w:szCs w:val="28"/>
              </w:rPr>
            </w:pPr>
          </w:p>
        </w:tc>
        <w:tc>
          <w:tcPr>
            <w:tcW w:w="2693" w:type="dxa"/>
            <w:vAlign w:val="center"/>
          </w:tcPr>
          <w:p>
            <w:pPr>
              <w:widowControl/>
              <w:adjustRightInd w:val="0"/>
              <w:snapToGrid w:val="0"/>
              <w:jc w:val="center"/>
              <w:rPr>
                <w:rFonts w:ascii="仿宋_GB2312" w:hAnsi="宋体" w:eastAsia="仿宋_GB2312" w:cs="宋体"/>
                <w:kern w:val="0"/>
                <w:sz w:val="28"/>
                <w:szCs w:val="28"/>
              </w:rPr>
            </w:pPr>
          </w:p>
        </w:tc>
        <w:tc>
          <w:tcPr>
            <w:tcW w:w="2552" w:type="dxa"/>
            <w:gridSpan w:val="2"/>
            <w:vAlign w:val="center"/>
          </w:tcPr>
          <w:p>
            <w:pPr>
              <w:widowControl/>
              <w:adjustRightInd w:val="0"/>
              <w:snapToGrid w:val="0"/>
              <w:jc w:val="center"/>
              <w:rPr>
                <w:rFonts w:ascii="仿宋_GB2312" w:hAnsi="宋体" w:eastAsia="仿宋_GB2312" w:cs="宋体"/>
                <w:kern w:val="0"/>
                <w:sz w:val="28"/>
                <w:szCs w:val="28"/>
              </w:rPr>
            </w:pPr>
          </w:p>
        </w:tc>
        <w:tc>
          <w:tcPr>
            <w:tcW w:w="2300" w:type="dxa"/>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5</w:t>
            </w:r>
          </w:p>
        </w:tc>
        <w:tc>
          <w:tcPr>
            <w:tcW w:w="2693" w:type="dxa"/>
            <w:gridSpan w:val="2"/>
            <w:vAlign w:val="center"/>
          </w:tcPr>
          <w:p>
            <w:pPr>
              <w:widowControl/>
              <w:adjustRightInd w:val="0"/>
              <w:snapToGrid w:val="0"/>
              <w:jc w:val="center"/>
              <w:rPr>
                <w:rFonts w:ascii="仿宋_GB2312" w:hAnsi="宋体" w:eastAsia="仿宋_GB2312" w:cs="宋体"/>
                <w:kern w:val="0"/>
                <w:sz w:val="28"/>
                <w:szCs w:val="28"/>
              </w:rPr>
            </w:pPr>
          </w:p>
        </w:tc>
        <w:tc>
          <w:tcPr>
            <w:tcW w:w="2552" w:type="dxa"/>
            <w:vAlign w:val="center"/>
          </w:tcPr>
          <w:p>
            <w:pPr>
              <w:widowControl/>
              <w:adjustRightInd w:val="0"/>
              <w:snapToGrid w:val="0"/>
              <w:jc w:val="center"/>
              <w:rPr>
                <w:rFonts w:ascii="仿宋_GB2312" w:hAnsi="宋体" w:eastAsia="仿宋_GB2312" w:cs="宋体"/>
                <w:kern w:val="0"/>
                <w:sz w:val="28"/>
                <w:szCs w:val="28"/>
              </w:rPr>
            </w:pPr>
          </w:p>
        </w:tc>
        <w:tc>
          <w:tcPr>
            <w:tcW w:w="2693" w:type="dxa"/>
            <w:vAlign w:val="center"/>
          </w:tcPr>
          <w:p>
            <w:pPr>
              <w:widowControl/>
              <w:adjustRightInd w:val="0"/>
              <w:snapToGrid w:val="0"/>
              <w:jc w:val="center"/>
              <w:rPr>
                <w:rFonts w:ascii="仿宋_GB2312" w:hAnsi="宋体" w:eastAsia="仿宋_GB2312" w:cs="宋体"/>
                <w:kern w:val="0"/>
                <w:sz w:val="28"/>
                <w:szCs w:val="28"/>
              </w:rPr>
            </w:pPr>
          </w:p>
        </w:tc>
        <w:tc>
          <w:tcPr>
            <w:tcW w:w="2552" w:type="dxa"/>
            <w:gridSpan w:val="2"/>
            <w:vAlign w:val="center"/>
          </w:tcPr>
          <w:p>
            <w:pPr>
              <w:widowControl/>
              <w:adjustRightInd w:val="0"/>
              <w:snapToGrid w:val="0"/>
              <w:jc w:val="center"/>
              <w:rPr>
                <w:rFonts w:ascii="仿宋_GB2312" w:hAnsi="宋体" w:eastAsia="仿宋_GB2312" w:cs="宋体"/>
                <w:kern w:val="0"/>
                <w:sz w:val="28"/>
                <w:szCs w:val="28"/>
              </w:rPr>
            </w:pPr>
          </w:p>
        </w:tc>
        <w:tc>
          <w:tcPr>
            <w:tcW w:w="2300" w:type="dxa"/>
            <w:vAlign w:val="center"/>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6</w:t>
            </w:r>
          </w:p>
        </w:tc>
        <w:tc>
          <w:tcPr>
            <w:tcW w:w="2693" w:type="dxa"/>
            <w:gridSpan w:val="2"/>
            <w:vAlign w:val="top"/>
          </w:tcPr>
          <w:p>
            <w:pPr>
              <w:widowControl/>
              <w:adjustRightInd w:val="0"/>
              <w:snapToGrid w:val="0"/>
              <w:jc w:val="center"/>
              <w:rPr>
                <w:rFonts w:ascii="仿宋_GB2312" w:hAnsi="宋体" w:eastAsia="仿宋_GB2312" w:cs="宋体"/>
                <w:kern w:val="0"/>
                <w:sz w:val="28"/>
                <w:szCs w:val="28"/>
              </w:rPr>
            </w:pP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2693" w:type="dxa"/>
            <w:vAlign w:val="top"/>
          </w:tcPr>
          <w:p>
            <w:pPr>
              <w:widowControl/>
              <w:adjustRightInd w:val="0"/>
              <w:snapToGrid w:val="0"/>
              <w:jc w:val="center"/>
              <w:rPr>
                <w:rFonts w:ascii="仿宋_GB2312" w:hAnsi="宋体" w:eastAsia="仿宋_GB2312" w:cs="宋体"/>
                <w:kern w:val="0"/>
                <w:sz w:val="28"/>
                <w:szCs w:val="28"/>
              </w:rPr>
            </w:pPr>
          </w:p>
        </w:tc>
        <w:tc>
          <w:tcPr>
            <w:tcW w:w="2552" w:type="dxa"/>
            <w:gridSpan w:val="2"/>
            <w:vAlign w:val="top"/>
          </w:tcPr>
          <w:p>
            <w:pPr>
              <w:widowControl/>
              <w:adjustRightInd w:val="0"/>
              <w:snapToGrid w:val="0"/>
              <w:jc w:val="center"/>
              <w:rPr>
                <w:rFonts w:ascii="仿宋_GB2312" w:hAnsi="宋体" w:eastAsia="仿宋_GB2312" w:cs="宋体"/>
                <w:kern w:val="0"/>
                <w:sz w:val="28"/>
                <w:szCs w:val="28"/>
              </w:rPr>
            </w:pP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7</w:t>
            </w:r>
          </w:p>
        </w:tc>
        <w:tc>
          <w:tcPr>
            <w:tcW w:w="2693" w:type="dxa"/>
            <w:gridSpan w:val="2"/>
            <w:vAlign w:val="top"/>
          </w:tcPr>
          <w:p>
            <w:pPr>
              <w:widowControl/>
              <w:adjustRightInd w:val="0"/>
              <w:snapToGrid w:val="0"/>
              <w:jc w:val="center"/>
              <w:rPr>
                <w:rFonts w:ascii="仿宋_GB2312" w:hAnsi="宋体" w:eastAsia="仿宋_GB2312" w:cs="宋体"/>
                <w:kern w:val="0"/>
                <w:sz w:val="28"/>
                <w:szCs w:val="28"/>
              </w:rPr>
            </w:pP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2693" w:type="dxa"/>
            <w:vAlign w:val="top"/>
          </w:tcPr>
          <w:p>
            <w:pPr>
              <w:widowControl/>
              <w:adjustRightInd w:val="0"/>
              <w:snapToGrid w:val="0"/>
              <w:jc w:val="center"/>
              <w:rPr>
                <w:rFonts w:ascii="仿宋_GB2312" w:hAnsi="宋体" w:eastAsia="仿宋_GB2312" w:cs="宋体"/>
                <w:kern w:val="0"/>
                <w:sz w:val="28"/>
                <w:szCs w:val="28"/>
              </w:rPr>
            </w:pPr>
          </w:p>
        </w:tc>
        <w:tc>
          <w:tcPr>
            <w:tcW w:w="2552" w:type="dxa"/>
            <w:gridSpan w:val="2"/>
            <w:vAlign w:val="top"/>
          </w:tcPr>
          <w:p>
            <w:pPr>
              <w:widowControl/>
              <w:adjustRightInd w:val="0"/>
              <w:snapToGrid w:val="0"/>
              <w:jc w:val="center"/>
              <w:rPr>
                <w:rFonts w:ascii="仿宋_GB2312" w:hAnsi="宋体" w:eastAsia="仿宋_GB2312" w:cs="宋体"/>
                <w:kern w:val="0"/>
                <w:sz w:val="28"/>
                <w:szCs w:val="28"/>
              </w:rPr>
            </w:pP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8</w:t>
            </w:r>
          </w:p>
        </w:tc>
        <w:tc>
          <w:tcPr>
            <w:tcW w:w="2693" w:type="dxa"/>
            <w:gridSpan w:val="2"/>
            <w:vAlign w:val="top"/>
          </w:tcPr>
          <w:p>
            <w:pPr>
              <w:widowControl/>
              <w:adjustRightInd w:val="0"/>
              <w:snapToGrid w:val="0"/>
              <w:jc w:val="center"/>
              <w:rPr>
                <w:rFonts w:ascii="仿宋_GB2312" w:hAnsi="宋体" w:eastAsia="仿宋_GB2312" w:cs="宋体"/>
                <w:kern w:val="0"/>
                <w:sz w:val="28"/>
                <w:szCs w:val="28"/>
              </w:rPr>
            </w:pP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2693" w:type="dxa"/>
            <w:vAlign w:val="top"/>
          </w:tcPr>
          <w:p>
            <w:pPr>
              <w:widowControl/>
              <w:adjustRightInd w:val="0"/>
              <w:snapToGrid w:val="0"/>
              <w:jc w:val="center"/>
              <w:rPr>
                <w:rFonts w:ascii="仿宋_GB2312" w:hAnsi="宋体" w:eastAsia="仿宋_GB2312" w:cs="宋体"/>
                <w:kern w:val="0"/>
                <w:sz w:val="28"/>
                <w:szCs w:val="28"/>
              </w:rPr>
            </w:pPr>
          </w:p>
        </w:tc>
        <w:tc>
          <w:tcPr>
            <w:tcW w:w="2552" w:type="dxa"/>
            <w:gridSpan w:val="2"/>
            <w:vAlign w:val="top"/>
          </w:tcPr>
          <w:p>
            <w:pPr>
              <w:widowControl/>
              <w:adjustRightInd w:val="0"/>
              <w:snapToGrid w:val="0"/>
              <w:jc w:val="center"/>
              <w:rPr>
                <w:rFonts w:ascii="仿宋_GB2312" w:hAnsi="宋体" w:eastAsia="仿宋_GB2312" w:cs="宋体"/>
                <w:kern w:val="0"/>
                <w:sz w:val="28"/>
                <w:szCs w:val="28"/>
              </w:rPr>
            </w:pP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9</w:t>
            </w:r>
          </w:p>
        </w:tc>
        <w:tc>
          <w:tcPr>
            <w:tcW w:w="2693" w:type="dxa"/>
            <w:gridSpan w:val="2"/>
            <w:vAlign w:val="top"/>
          </w:tcPr>
          <w:p>
            <w:pPr>
              <w:widowControl/>
              <w:adjustRightInd w:val="0"/>
              <w:snapToGrid w:val="0"/>
              <w:jc w:val="center"/>
              <w:rPr>
                <w:rFonts w:ascii="仿宋_GB2312" w:hAnsi="宋体" w:eastAsia="仿宋_GB2312" w:cs="宋体"/>
                <w:kern w:val="0"/>
                <w:sz w:val="28"/>
                <w:szCs w:val="28"/>
              </w:rPr>
            </w:pP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2693" w:type="dxa"/>
            <w:vAlign w:val="top"/>
          </w:tcPr>
          <w:p>
            <w:pPr>
              <w:widowControl/>
              <w:adjustRightInd w:val="0"/>
              <w:snapToGrid w:val="0"/>
              <w:jc w:val="center"/>
              <w:rPr>
                <w:rFonts w:ascii="仿宋_GB2312" w:hAnsi="宋体" w:eastAsia="仿宋_GB2312" w:cs="宋体"/>
                <w:kern w:val="0"/>
                <w:sz w:val="28"/>
                <w:szCs w:val="28"/>
              </w:rPr>
            </w:pPr>
          </w:p>
        </w:tc>
        <w:tc>
          <w:tcPr>
            <w:tcW w:w="2552" w:type="dxa"/>
            <w:gridSpan w:val="2"/>
            <w:vAlign w:val="top"/>
          </w:tcPr>
          <w:p>
            <w:pPr>
              <w:widowControl/>
              <w:adjustRightInd w:val="0"/>
              <w:snapToGrid w:val="0"/>
              <w:jc w:val="center"/>
              <w:rPr>
                <w:rFonts w:ascii="仿宋_GB2312" w:hAnsi="宋体" w:eastAsia="仿宋_GB2312" w:cs="宋体"/>
                <w:kern w:val="0"/>
                <w:sz w:val="28"/>
                <w:szCs w:val="28"/>
              </w:rPr>
            </w:pP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10</w:t>
            </w:r>
          </w:p>
        </w:tc>
        <w:tc>
          <w:tcPr>
            <w:tcW w:w="2693" w:type="dxa"/>
            <w:gridSpan w:val="2"/>
            <w:vAlign w:val="top"/>
          </w:tcPr>
          <w:p>
            <w:pPr>
              <w:widowControl/>
              <w:adjustRightInd w:val="0"/>
              <w:snapToGrid w:val="0"/>
              <w:jc w:val="center"/>
              <w:rPr>
                <w:rFonts w:ascii="仿宋_GB2312" w:hAnsi="宋体" w:eastAsia="仿宋_GB2312" w:cs="宋体"/>
                <w:kern w:val="0"/>
                <w:sz w:val="28"/>
                <w:szCs w:val="28"/>
              </w:rPr>
            </w:pP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2693" w:type="dxa"/>
            <w:vAlign w:val="top"/>
          </w:tcPr>
          <w:p>
            <w:pPr>
              <w:widowControl/>
              <w:adjustRightInd w:val="0"/>
              <w:snapToGrid w:val="0"/>
              <w:jc w:val="center"/>
              <w:rPr>
                <w:rFonts w:ascii="仿宋_GB2312" w:hAnsi="宋体" w:eastAsia="仿宋_GB2312" w:cs="宋体"/>
                <w:kern w:val="0"/>
                <w:sz w:val="28"/>
                <w:szCs w:val="28"/>
              </w:rPr>
            </w:pPr>
          </w:p>
        </w:tc>
        <w:tc>
          <w:tcPr>
            <w:tcW w:w="2552" w:type="dxa"/>
            <w:gridSpan w:val="2"/>
            <w:vAlign w:val="top"/>
          </w:tcPr>
          <w:p>
            <w:pPr>
              <w:widowControl/>
              <w:adjustRightInd w:val="0"/>
              <w:snapToGrid w:val="0"/>
              <w:jc w:val="center"/>
              <w:rPr>
                <w:rFonts w:ascii="仿宋_GB2312" w:hAnsi="宋体" w:eastAsia="仿宋_GB2312" w:cs="宋体"/>
                <w:kern w:val="0"/>
                <w:sz w:val="28"/>
                <w:szCs w:val="28"/>
              </w:rPr>
            </w:pP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11</w:t>
            </w:r>
          </w:p>
        </w:tc>
        <w:tc>
          <w:tcPr>
            <w:tcW w:w="2693" w:type="dxa"/>
            <w:gridSpan w:val="2"/>
            <w:vAlign w:val="top"/>
          </w:tcPr>
          <w:p>
            <w:pPr>
              <w:widowControl/>
              <w:adjustRightInd w:val="0"/>
              <w:snapToGrid w:val="0"/>
              <w:jc w:val="center"/>
              <w:rPr>
                <w:rFonts w:ascii="仿宋_GB2312" w:hAnsi="宋体" w:eastAsia="仿宋_GB2312" w:cs="宋体"/>
                <w:kern w:val="0"/>
                <w:sz w:val="28"/>
                <w:szCs w:val="28"/>
              </w:rPr>
            </w:pP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2693" w:type="dxa"/>
            <w:vAlign w:val="top"/>
          </w:tcPr>
          <w:p>
            <w:pPr>
              <w:widowControl/>
              <w:adjustRightInd w:val="0"/>
              <w:snapToGrid w:val="0"/>
              <w:jc w:val="center"/>
              <w:rPr>
                <w:rFonts w:ascii="仿宋_GB2312" w:hAnsi="宋体" w:eastAsia="仿宋_GB2312" w:cs="宋体"/>
                <w:kern w:val="0"/>
                <w:sz w:val="28"/>
                <w:szCs w:val="28"/>
              </w:rPr>
            </w:pPr>
          </w:p>
        </w:tc>
        <w:tc>
          <w:tcPr>
            <w:tcW w:w="2552" w:type="dxa"/>
            <w:gridSpan w:val="2"/>
            <w:vAlign w:val="top"/>
          </w:tcPr>
          <w:p>
            <w:pPr>
              <w:widowControl/>
              <w:adjustRightInd w:val="0"/>
              <w:snapToGrid w:val="0"/>
              <w:jc w:val="center"/>
              <w:rPr>
                <w:rFonts w:ascii="仿宋_GB2312" w:hAnsi="宋体" w:eastAsia="仿宋_GB2312" w:cs="宋体"/>
                <w:kern w:val="0"/>
                <w:sz w:val="28"/>
                <w:szCs w:val="28"/>
              </w:rPr>
            </w:pP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12</w:t>
            </w:r>
          </w:p>
        </w:tc>
        <w:tc>
          <w:tcPr>
            <w:tcW w:w="2693" w:type="dxa"/>
            <w:gridSpan w:val="2"/>
            <w:vAlign w:val="top"/>
          </w:tcPr>
          <w:p>
            <w:pPr>
              <w:widowControl/>
              <w:adjustRightInd w:val="0"/>
              <w:snapToGrid w:val="0"/>
              <w:jc w:val="center"/>
              <w:rPr>
                <w:rFonts w:ascii="仿宋_GB2312" w:hAnsi="宋体" w:eastAsia="仿宋_GB2312" w:cs="宋体"/>
                <w:kern w:val="0"/>
                <w:sz w:val="28"/>
                <w:szCs w:val="28"/>
              </w:rPr>
            </w:pP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2693" w:type="dxa"/>
            <w:vAlign w:val="top"/>
          </w:tcPr>
          <w:p>
            <w:pPr>
              <w:widowControl/>
              <w:adjustRightInd w:val="0"/>
              <w:snapToGrid w:val="0"/>
              <w:jc w:val="center"/>
              <w:rPr>
                <w:rFonts w:ascii="仿宋_GB2312" w:hAnsi="宋体" w:eastAsia="仿宋_GB2312" w:cs="宋体"/>
                <w:kern w:val="0"/>
                <w:sz w:val="28"/>
                <w:szCs w:val="28"/>
              </w:rPr>
            </w:pPr>
          </w:p>
        </w:tc>
        <w:tc>
          <w:tcPr>
            <w:tcW w:w="2552" w:type="dxa"/>
            <w:gridSpan w:val="2"/>
            <w:vAlign w:val="top"/>
          </w:tcPr>
          <w:p>
            <w:pPr>
              <w:widowControl/>
              <w:adjustRightInd w:val="0"/>
              <w:snapToGrid w:val="0"/>
              <w:jc w:val="center"/>
              <w:rPr>
                <w:rFonts w:ascii="仿宋_GB2312" w:hAnsi="宋体" w:eastAsia="仿宋_GB2312" w:cs="宋体"/>
                <w:kern w:val="0"/>
                <w:sz w:val="28"/>
                <w:szCs w:val="28"/>
              </w:rPr>
            </w:pP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84"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合计</w:t>
            </w:r>
          </w:p>
        </w:tc>
        <w:tc>
          <w:tcPr>
            <w:tcW w:w="2693" w:type="dxa"/>
            <w:gridSpan w:val="2"/>
            <w:vAlign w:val="top"/>
          </w:tcPr>
          <w:p>
            <w:pPr>
              <w:widowControl/>
              <w:adjustRightInd w:val="0"/>
              <w:snapToGrid w:val="0"/>
              <w:jc w:val="center"/>
              <w:rPr>
                <w:rFonts w:ascii="仿宋_GB2312" w:hAnsi="宋体" w:eastAsia="仿宋_GB2312" w:cs="宋体"/>
                <w:kern w:val="0"/>
                <w:sz w:val="28"/>
                <w:szCs w:val="28"/>
              </w:rPr>
            </w:pP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2693" w:type="dxa"/>
            <w:vAlign w:val="top"/>
          </w:tcPr>
          <w:p>
            <w:pPr>
              <w:widowControl/>
              <w:adjustRightInd w:val="0"/>
              <w:snapToGrid w:val="0"/>
              <w:jc w:val="center"/>
              <w:rPr>
                <w:rFonts w:ascii="仿宋_GB2312" w:hAnsi="宋体" w:eastAsia="仿宋_GB2312" w:cs="宋体"/>
                <w:kern w:val="0"/>
                <w:sz w:val="28"/>
                <w:szCs w:val="28"/>
              </w:rPr>
            </w:pPr>
          </w:p>
        </w:tc>
        <w:tc>
          <w:tcPr>
            <w:tcW w:w="2552" w:type="dxa"/>
            <w:gridSpan w:val="2"/>
            <w:vAlign w:val="top"/>
          </w:tcPr>
          <w:p>
            <w:pPr>
              <w:widowControl/>
              <w:adjustRightInd w:val="0"/>
              <w:snapToGrid w:val="0"/>
              <w:jc w:val="center"/>
              <w:rPr>
                <w:rFonts w:ascii="仿宋_GB2312" w:hAnsi="宋体" w:eastAsia="仿宋_GB2312" w:cs="宋体"/>
                <w:kern w:val="0"/>
                <w:sz w:val="28"/>
                <w:szCs w:val="28"/>
              </w:rPr>
            </w:pP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3" w:hRule="atLeast"/>
        </w:trPr>
        <w:tc>
          <w:tcPr>
            <w:tcW w:w="4077" w:type="dxa"/>
            <w:gridSpan w:val="3"/>
            <w:vAlign w:val="center"/>
          </w:tcPr>
          <w:p>
            <w:pPr>
              <w:widowControl/>
              <w:adjustRightInd w:val="0"/>
              <w:snapToGrid w:val="0"/>
              <w:jc w:val="center"/>
              <w:rPr>
                <w:rFonts w:ascii="仿宋_GB2312" w:hAnsi="宋体" w:eastAsia="仿宋_GB2312" w:cs="宋体"/>
                <w:kern w:val="0"/>
                <w:sz w:val="28"/>
                <w:szCs w:val="28"/>
              </w:rPr>
            </w:pPr>
            <w:r>
              <w:rPr>
                <w:rFonts w:hint="eastAsia" w:ascii="Times New Roman" w:hAnsi="Times New Roman" w:eastAsia="仿宋_GB2312" w:cs="Times New Roman"/>
                <w:color w:val="000000"/>
                <w:kern w:val="0"/>
                <w:sz w:val="30"/>
                <w:szCs w:val="30"/>
              </w:rPr>
              <w:t>年度建筑</w:t>
            </w:r>
            <w:r>
              <w:rPr>
                <w:rFonts w:hint="eastAsia" w:ascii="仿宋_GB2312" w:hAnsi="宋体" w:eastAsia="仿宋_GB2312" w:cs="宋体"/>
                <w:color w:val="000000"/>
                <w:kern w:val="0"/>
                <w:sz w:val="30"/>
                <w:szCs w:val="30"/>
              </w:rPr>
              <w:t>综合</w:t>
            </w:r>
            <w:r>
              <w:rPr>
                <w:rFonts w:hint="eastAsia" w:ascii="Times New Roman" w:hAnsi="Times New Roman" w:eastAsia="仿宋_GB2312" w:cs="Times New Roman"/>
                <w:color w:val="000000"/>
                <w:kern w:val="0"/>
                <w:sz w:val="30"/>
                <w:szCs w:val="30"/>
              </w:rPr>
              <w:t>总能耗（kWh）</w:t>
            </w:r>
          </w:p>
        </w:tc>
        <w:tc>
          <w:tcPr>
            <w:tcW w:w="2552" w:type="dxa"/>
            <w:vAlign w:val="top"/>
          </w:tcPr>
          <w:p>
            <w:pPr>
              <w:widowControl/>
              <w:adjustRightInd w:val="0"/>
              <w:snapToGrid w:val="0"/>
              <w:jc w:val="center"/>
              <w:rPr>
                <w:rFonts w:ascii="仿宋_GB2312" w:hAnsi="宋体" w:eastAsia="仿宋_GB2312" w:cs="宋体"/>
                <w:kern w:val="0"/>
                <w:sz w:val="28"/>
                <w:szCs w:val="28"/>
              </w:rPr>
            </w:pPr>
          </w:p>
        </w:tc>
        <w:tc>
          <w:tcPr>
            <w:tcW w:w="5245" w:type="dxa"/>
            <w:gridSpan w:val="3"/>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color w:val="000000"/>
                <w:kern w:val="0"/>
                <w:sz w:val="30"/>
                <w:szCs w:val="30"/>
              </w:rPr>
              <w:t>年度单位建筑面积综合能耗（</w:t>
            </w:r>
            <w:r>
              <w:rPr>
                <w:rFonts w:ascii="Times New Roman" w:hAnsi="Times New Roman" w:eastAsia="仿宋_GB2312" w:cs="Times New Roman"/>
                <w:color w:val="000000"/>
                <w:kern w:val="0"/>
                <w:sz w:val="30"/>
                <w:szCs w:val="30"/>
              </w:rPr>
              <w:t>kWh/m</w:t>
            </w:r>
            <w:r>
              <w:rPr>
                <w:rFonts w:ascii="Times New Roman" w:hAnsi="Times New Roman" w:eastAsia="仿宋_GB2312" w:cs="Times New Roman"/>
                <w:color w:val="000000"/>
                <w:kern w:val="0"/>
                <w:sz w:val="30"/>
                <w:szCs w:val="30"/>
                <w:vertAlign w:val="superscript"/>
              </w:rPr>
              <w:t>2</w:t>
            </w:r>
            <w:r>
              <w:rPr>
                <w:rFonts w:ascii="Times New Roman" w:hAnsi="Times New Roman" w:eastAsia="仿宋_GB2312" w:cs="Times New Roman"/>
                <w:color w:val="000000"/>
                <w:kern w:val="0"/>
                <w:sz w:val="30"/>
                <w:szCs w:val="30"/>
              </w:rPr>
              <w:t>.a</w:t>
            </w:r>
            <w:r>
              <w:rPr>
                <w:rFonts w:hint="eastAsia" w:ascii="仿宋_GB2312" w:hAnsi="宋体" w:eastAsia="仿宋_GB2312" w:cs="宋体"/>
                <w:color w:val="000000"/>
                <w:kern w:val="0"/>
                <w:sz w:val="30"/>
                <w:szCs w:val="30"/>
              </w:rPr>
              <w:t>）</w:t>
            </w:r>
          </w:p>
        </w:tc>
        <w:tc>
          <w:tcPr>
            <w:tcW w:w="2300"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1" w:hRule="atLeast"/>
        </w:trPr>
        <w:tc>
          <w:tcPr>
            <w:tcW w:w="14174" w:type="dxa"/>
            <w:gridSpan w:val="8"/>
            <w:vAlign w:val="top"/>
          </w:tcPr>
          <w:p>
            <w:pPr>
              <w:widowControl/>
              <w:adjustRightInd w:val="0"/>
              <w:snapToGrid w:val="0"/>
              <w:jc w:val="left"/>
              <w:rPr>
                <w:rFonts w:hint="eastAsia"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能耗计量期内建筑所采用的技术节能或管理节能措施：</w:t>
            </w:r>
          </w:p>
          <w:p>
            <w:pPr>
              <w:widowControl/>
              <w:adjustRightInd w:val="0"/>
              <w:snapToGrid w:val="0"/>
              <w:jc w:val="left"/>
              <w:rPr>
                <w:rFonts w:hint="eastAsia" w:ascii="仿宋_GB2312" w:hAnsi="宋体" w:eastAsia="仿宋_GB2312" w:cs="宋体"/>
                <w:color w:val="000000"/>
                <w:kern w:val="0"/>
                <w:sz w:val="30"/>
                <w:szCs w:val="30"/>
              </w:rPr>
            </w:pPr>
          </w:p>
          <w:p>
            <w:pPr>
              <w:widowControl/>
              <w:adjustRightInd w:val="0"/>
              <w:snapToGrid w:val="0"/>
              <w:jc w:val="left"/>
              <w:rPr>
                <w:rFonts w:hint="eastAsia" w:ascii="仿宋_GB2312" w:hAnsi="宋体" w:eastAsia="仿宋_GB2312" w:cs="宋体"/>
                <w:color w:val="000000"/>
                <w:kern w:val="0"/>
                <w:sz w:val="30"/>
                <w:szCs w:val="30"/>
              </w:rPr>
            </w:pPr>
          </w:p>
          <w:p>
            <w:pPr>
              <w:widowControl/>
              <w:adjustRightInd w:val="0"/>
              <w:snapToGrid w:val="0"/>
              <w:jc w:val="left"/>
              <w:rPr>
                <w:rFonts w:hint="eastAsia" w:ascii="仿宋_GB2312" w:hAnsi="宋体" w:eastAsia="仿宋_GB2312" w:cs="宋体"/>
                <w:color w:val="000000"/>
                <w:kern w:val="0"/>
                <w:sz w:val="30"/>
                <w:szCs w:val="30"/>
              </w:rPr>
            </w:pPr>
          </w:p>
        </w:tc>
      </w:tr>
    </w:tbl>
    <w:p>
      <w:pPr>
        <w:widowControl/>
        <w:shd w:val="clear" w:color="auto" w:fill="FFFFFF"/>
        <w:adjustRightInd w:val="0"/>
        <w:snapToGrid w:val="0"/>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注：计算年度建筑综合总能耗（kWh）及年度单位建筑面积综合能耗（</w:t>
      </w:r>
      <w:r>
        <w:rPr>
          <w:rFonts w:ascii="仿宋_GB2312" w:hAnsi="宋体" w:eastAsia="仿宋_GB2312" w:cs="宋体"/>
          <w:kern w:val="0"/>
          <w:sz w:val="28"/>
          <w:szCs w:val="28"/>
        </w:rPr>
        <w:t>kWh/m</w:t>
      </w:r>
      <w:r>
        <w:rPr>
          <w:rFonts w:hint="eastAsia" w:ascii="仿宋_GB2312" w:hAnsi="宋体" w:eastAsia="仿宋_GB2312" w:cs="宋体"/>
          <w:kern w:val="0"/>
          <w:sz w:val="28"/>
          <w:szCs w:val="28"/>
          <w:vertAlign w:val="superscript"/>
        </w:rPr>
        <w:t>2</w:t>
      </w:r>
      <w:r>
        <w:rPr>
          <w:rFonts w:ascii="仿宋_GB2312" w:hAnsi="宋体" w:eastAsia="仿宋_GB2312" w:cs="宋体"/>
          <w:kern w:val="0"/>
          <w:sz w:val="28"/>
          <w:szCs w:val="28"/>
        </w:rPr>
        <w:t>.a</w:t>
      </w:r>
      <w:r>
        <w:rPr>
          <w:rFonts w:hint="eastAsia" w:ascii="仿宋_GB2312" w:hAnsi="宋体" w:eastAsia="仿宋_GB2312" w:cs="宋体"/>
          <w:kern w:val="0"/>
          <w:sz w:val="28"/>
          <w:szCs w:val="28"/>
        </w:rPr>
        <w:t>）时，各类能源折算等效电值应符合现行行业标准《公共建筑能耗远程监测系统技术规程》JGJ/T 285 附录G及</w:t>
      </w:r>
      <w:r>
        <w:rPr>
          <w:rFonts w:hint="eastAsia" w:ascii="仿宋_GB2312" w:hAnsi="宋体" w:eastAsia="仿宋_GB2312" w:cs="宋体"/>
          <w:color w:val="000000"/>
          <w:kern w:val="0"/>
          <w:sz w:val="30"/>
          <w:szCs w:val="30"/>
        </w:rPr>
        <w:t>《深圳市公共建筑能耗标准》SJG 34</w:t>
      </w:r>
      <w:r>
        <w:rPr>
          <w:rFonts w:hint="eastAsia" w:ascii="仿宋_GB2312" w:hAnsi="宋体" w:eastAsia="仿宋_GB2312" w:cs="宋体"/>
          <w:kern w:val="0"/>
          <w:sz w:val="28"/>
          <w:szCs w:val="28"/>
        </w:rPr>
        <w:t>的有关规定。</w:t>
      </w:r>
    </w:p>
    <w:p>
      <w:pPr>
        <w:widowControl/>
        <w:shd w:val="clear" w:color="auto" w:fill="FFFFFF"/>
        <w:spacing w:line="402" w:lineRule="atLeast"/>
        <w:jc w:val="left"/>
        <w:rPr>
          <w:rFonts w:ascii="仿宋_GB2312" w:hAnsi="宋体" w:eastAsia="仿宋_GB2312" w:cs="宋体"/>
          <w:kern w:val="0"/>
          <w:sz w:val="28"/>
          <w:szCs w:val="28"/>
        </w:rPr>
      </w:pPr>
    </w:p>
    <w:p>
      <w:pPr>
        <w:widowControl/>
        <w:shd w:val="clear" w:color="auto" w:fill="FFFFFF"/>
        <w:spacing w:line="402" w:lineRule="atLeast"/>
        <w:jc w:val="left"/>
        <w:rPr>
          <w:rFonts w:ascii="仿宋_GB2312" w:hAnsi="宋体" w:eastAsia="仿宋_GB2312" w:cs="宋体"/>
          <w:kern w:val="0"/>
          <w:sz w:val="28"/>
          <w:szCs w:val="28"/>
        </w:rPr>
        <w:sectPr>
          <w:pgSz w:w="16838" w:h="11906" w:orient="landscape"/>
          <w:pgMar w:top="1800" w:right="1440" w:bottom="1800" w:left="1440" w:header="851" w:footer="992" w:gutter="0"/>
          <w:cols w:space="720" w:num="1"/>
          <w:docGrid w:type="lines" w:linePitch="312" w:charSpace="0"/>
        </w:sectPr>
      </w:pPr>
    </w:p>
    <w:p>
      <w:pPr>
        <w:widowControl/>
        <w:shd w:val="clear" w:color="auto" w:fill="FFFFFF"/>
        <w:spacing w:line="402" w:lineRule="atLeast"/>
        <w:jc w:val="left"/>
        <w:outlineLvl w:val="0"/>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附件2  社会公示参考模板</w:t>
      </w:r>
    </w:p>
    <w:p>
      <w:pPr>
        <w:widowControl/>
        <w:shd w:val="clear" w:color="auto" w:fill="FFFFFF"/>
        <w:spacing w:line="402" w:lineRule="atLeast"/>
        <w:jc w:val="center"/>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w:t>
      </w:r>
      <w:r>
        <w:rPr>
          <w:rFonts w:ascii="仿宋_GB2312" w:hAnsi="宋体" w:eastAsia="仿宋_GB2312" w:cs="宋体"/>
          <w:color w:val="000000"/>
          <w:kern w:val="0"/>
          <w:sz w:val="30"/>
          <w:szCs w:val="30"/>
        </w:rPr>
        <w:t>建筑能</w:t>
      </w:r>
      <w:r>
        <w:rPr>
          <w:rFonts w:hint="eastAsia" w:ascii="仿宋_GB2312" w:hAnsi="宋体" w:eastAsia="仿宋_GB2312" w:cs="宋体"/>
          <w:color w:val="000000"/>
          <w:kern w:val="0"/>
          <w:sz w:val="30"/>
          <w:szCs w:val="30"/>
        </w:rPr>
        <w:t>效社会</w:t>
      </w:r>
      <w:r>
        <w:rPr>
          <w:rFonts w:ascii="仿宋_GB2312" w:hAnsi="宋体" w:eastAsia="仿宋_GB2312" w:cs="宋体"/>
          <w:color w:val="000000"/>
          <w:kern w:val="0"/>
          <w:sz w:val="30"/>
          <w:szCs w:val="30"/>
        </w:rPr>
        <w:t>公示</w:t>
      </w:r>
      <w:r>
        <w:rPr>
          <w:rFonts w:hint="eastAsia" w:ascii="仿宋_GB2312" w:hAnsi="宋体" w:eastAsia="仿宋_GB2312" w:cs="宋体"/>
          <w:color w:val="000000"/>
          <w:kern w:val="0"/>
          <w:sz w:val="30"/>
          <w:szCs w:val="30"/>
        </w:rPr>
        <w:t>情况</w:t>
      </w:r>
      <w:r>
        <w:rPr>
          <w:rFonts w:ascii="仿宋_GB2312" w:hAnsi="宋体" w:eastAsia="仿宋_GB2312" w:cs="宋体"/>
          <w:color w:val="000000"/>
          <w:kern w:val="0"/>
          <w:sz w:val="30"/>
          <w:szCs w:val="30"/>
        </w:rPr>
        <w:t>表</w:t>
      </w:r>
    </w:p>
    <w:tbl>
      <w:tblPr>
        <w:tblStyle w:val="15"/>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43"/>
        <w:gridCol w:w="1984"/>
        <w:gridCol w:w="1985"/>
        <w:gridCol w:w="1701"/>
        <w:gridCol w:w="2835"/>
        <w:gridCol w:w="30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序号</w:t>
            </w:r>
          </w:p>
        </w:tc>
        <w:tc>
          <w:tcPr>
            <w:tcW w:w="1843"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建筑类型</w:t>
            </w:r>
          </w:p>
        </w:tc>
        <w:tc>
          <w:tcPr>
            <w:tcW w:w="1984"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建筑名称</w:t>
            </w:r>
          </w:p>
        </w:tc>
        <w:tc>
          <w:tcPr>
            <w:tcW w:w="1985"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color w:val="000000"/>
                <w:kern w:val="0"/>
                <w:sz w:val="30"/>
                <w:szCs w:val="30"/>
              </w:rPr>
              <w:t>竣工时间</w:t>
            </w:r>
          </w:p>
        </w:tc>
        <w:tc>
          <w:tcPr>
            <w:tcW w:w="1701"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建筑面积</w:t>
            </w:r>
          </w:p>
        </w:tc>
        <w:tc>
          <w:tcPr>
            <w:tcW w:w="2835" w:type="dxa"/>
            <w:vAlign w:val="center"/>
          </w:tcPr>
          <w:p>
            <w:pPr>
              <w:widowControl/>
              <w:shd w:val="clear" w:color="auto" w:fill="FFFFFF"/>
              <w:adjustRightInd w:val="0"/>
              <w:snapToGrid w:val="0"/>
              <w:jc w:val="center"/>
              <w:rPr>
                <w:rFonts w:ascii="Times New Roman" w:hAnsi="Times New Roman" w:eastAsia="仿宋_GB2312" w:cs="Times New Roman"/>
                <w:color w:val="000000"/>
                <w:kern w:val="0"/>
                <w:sz w:val="30"/>
                <w:szCs w:val="30"/>
              </w:rPr>
            </w:pPr>
            <w:r>
              <w:rPr>
                <w:rFonts w:hint="eastAsia" w:ascii="Times New Roman" w:hAnsi="Times New Roman" w:eastAsia="仿宋_GB2312" w:cs="Times New Roman"/>
                <w:color w:val="000000"/>
                <w:kern w:val="0"/>
                <w:sz w:val="30"/>
                <w:szCs w:val="30"/>
              </w:rPr>
              <w:t>年度建筑</w:t>
            </w:r>
            <w:r>
              <w:rPr>
                <w:rFonts w:hint="eastAsia" w:ascii="仿宋_GB2312" w:hAnsi="宋体" w:eastAsia="仿宋_GB2312" w:cs="宋体"/>
                <w:color w:val="000000"/>
                <w:kern w:val="0"/>
                <w:sz w:val="30"/>
                <w:szCs w:val="30"/>
              </w:rPr>
              <w:t>综合</w:t>
            </w:r>
            <w:r>
              <w:rPr>
                <w:rFonts w:hint="eastAsia" w:ascii="Times New Roman" w:hAnsi="Times New Roman" w:eastAsia="仿宋_GB2312" w:cs="Times New Roman"/>
                <w:color w:val="000000"/>
                <w:kern w:val="0"/>
                <w:sz w:val="30"/>
                <w:szCs w:val="30"/>
              </w:rPr>
              <w:t>总能耗（kWh）</w:t>
            </w:r>
          </w:p>
        </w:tc>
        <w:tc>
          <w:tcPr>
            <w:tcW w:w="3009" w:type="dxa"/>
            <w:vAlign w:val="top"/>
          </w:tcPr>
          <w:p>
            <w:pPr>
              <w:widowControl/>
              <w:shd w:val="clear" w:color="auto" w:fill="FFFFFF"/>
              <w:adjustRightInd w:val="0"/>
              <w:snapToGrid w:val="0"/>
              <w:jc w:val="left"/>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年度单位建筑面积综合能耗（</w:t>
            </w:r>
            <w:r>
              <w:rPr>
                <w:rFonts w:ascii="Times New Roman" w:hAnsi="Times New Roman" w:eastAsia="仿宋_GB2312" w:cs="Times New Roman"/>
                <w:color w:val="000000"/>
                <w:kern w:val="0"/>
                <w:sz w:val="30"/>
                <w:szCs w:val="30"/>
              </w:rPr>
              <w:t>kWh /m</w:t>
            </w:r>
            <w:r>
              <w:rPr>
                <w:rFonts w:ascii="Times New Roman" w:hAnsi="Times New Roman" w:eastAsia="仿宋_GB2312" w:cs="Times New Roman"/>
                <w:color w:val="000000"/>
                <w:kern w:val="0"/>
                <w:sz w:val="30"/>
                <w:szCs w:val="30"/>
                <w:vertAlign w:val="superscript"/>
              </w:rPr>
              <w:t>2</w:t>
            </w:r>
            <w:r>
              <w:rPr>
                <w:rFonts w:ascii="Times New Roman" w:hAnsi="Times New Roman" w:eastAsia="仿宋_GB2312" w:cs="Times New Roman"/>
                <w:color w:val="000000"/>
                <w:kern w:val="0"/>
                <w:sz w:val="30"/>
                <w:szCs w:val="30"/>
              </w:rPr>
              <w:t>.a</w:t>
            </w:r>
            <w:r>
              <w:rPr>
                <w:rFonts w:hint="eastAsia" w:ascii="仿宋_GB2312" w:hAnsi="宋体" w:eastAsia="仿宋_GB2312" w:cs="宋体"/>
                <w:color w:val="000000"/>
                <w:kern w:val="0"/>
                <w:sz w:val="30"/>
                <w:szCs w:val="3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1</w:t>
            </w:r>
          </w:p>
        </w:tc>
        <w:tc>
          <w:tcPr>
            <w:tcW w:w="1843" w:type="dxa"/>
            <w:vAlign w:val="center"/>
          </w:tcPr>
          <w:p>
            <w:pPr>
              <w:widowControl/>
              <w:adjustRightInd w:val="0"/>
              <w:snapToGrid w:val="0"/>
              <w:jc w:val="center"/>
              <w:rPr>
                <w:rFonts w:ascii="仿宋_GB2312" w:hAnsi="宋体" w:eastAsia="仿宋_GB2312" w:cs="宋体"/>
                <w:kern w:val="0"/>
                <w:sz w:val="28"/>
                <w:szCs w:val="28"/>
              </w:rPr>
            </w:pPr>
          </w:p>
        </w:tc>
        <w:tc>
          <w:tcPr>
            <w:tcW w:w="1984" w:type="dxa"/>
            <w:vAlign w:val="center"/>
          </w:tcPr>
          <w:p>
            <w:pPr>
              <w:widowControl/>
              <w:adjustRightInd w:val="0"/>
              <w:snapToGrid w:val="0"/>
              <w:jc w:val="center"/>
              <w:rPr>
                <w:rFonts w:ascii="仿宋_GB2312" w:hAnsi="宋体" w:eastAsia="仿宋_GB2312" w:cs="宋体"/>
                <w:kern w:val="0"/>
                <w:sz w:val="28"/>
                <w:szCs w:val="28"/>
              </w:rPr>
            </w:pPr>
          </w:p>
        </w:tc>
        <w:tc>
          <w:tcPr>
            <w:tcW w:w="1985" w:type="dxa"/>
            <w:vAlign w:val="center"/>
          </w:tcPr>
          <w:p>
            <w:pPr>
              <w:widowControl/>
              <w:adjustRightInd w:val="0"/>
              <w:snapToGrid w:val="0"/>
              <w:jc w:val="center"/>
              <w:rPr>
                <w:rFonts w:ascii="仿宋_GB2312" w:hAnsi="宋体" w:eastAsia="仿宋_GB2312" w:cs="宋体"/>
                <w:kern w:val="0"/>
                <w:sz w:val="28"/>
                <w:szCs w:val="28"/>
              </w:rPr>
            </w:pPr>
          </w:p>
        </w:tc>
        <w:tc>
          <w:tcPr>
            <w:tcW w:w="1701" w:type="dxa"/>
            <w:vAlign w:val="center"/>
          </w:tcPr>
          <w:p>
            <w:pPr>
              <w:widowControl/>
              <w:adjustRightInd w:val="0"/>
              <w:snapToGrid w:val="0"/>
              <w:jc w:val="center"/>
              <w:rPr>
                <w:rFonts w:ascii="仿宋_GB2312" w:hAnsi="宋体" w:eastAsia="仿宋_GB2312" w:cs="宋体"/>
                <w:kern w:val="0"/>
                <w:sz w:val="28"/>
                <w:szCs w:val="28"/>
              </w:rPr>
            </w:pPr>
          </w:p>
        </w:tc>
        <w:tc>
          <w:tcPr>
            <w:tcW w:w="2835" w:type="dxa"/>
            <w:vAlign w:val="center"/>
          </w:tcPr>
          <w:p>
            <w:pPr>
              <w:widowControl/>
              <w:adjustRightInd w:val="0"/>
              <w:snapToGrid w:val="0"/>
              <w:jc w:val="center"/>
              <w:rPr>
                <w:rFonts w:ascii="仿宋_GB2312" w:hAnsi="宋体" w:eastAsia="仿宋_GB2312" w:cs="宋体"/>
                <w:kern w:val="0"/>
                <w:sz w:val="28"/>
                <w:szCs w:val="28"/>
              </w:rPr>
            </w:pPr>
          </w:p>
        </w:tc>
        <w:tc>
          <w:tcPr>
            <w:tcW w:w="3009"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2</w:t>
            </w:r>
          </w:p>
        </w:tc>
        <w:tc>
          <w:tcPr>
            <w:tcW w:w="1843" w:type="dxa"/>
            <w:vAlign w:val="center"/>
          </w:tcPr>
          <w:p>
            <w:pPr>
              <w:widowControl/>
              <w:adjustRightInd w:val="0"/>
              <w:snapToGrid w:val="0"/>
              <w:jc w:val="center"/>
              <w:rPr>
                <w:rFonts w:ascii="仿宋_GB2312" w:hAnsi="宋体" w:eastAsia="仿宋_GB2312" w:cs="宋体"/>
                <w:kern w:val="0"/>
                <w:sz w:val="28"/>
                <w:szCs w:val="28"/>
              </w:rPr>
            </w:pPr>
          </w:p>
        </w:tc>
        <w:tc>
          <w:tcPr>
            <w:tcW w:w="1984" w:type="dxa"/>
            <w:vAlign w:val="center"/>
          </w:tcPr>
          <w:p>
            <w:pPr>
              <w:widowControl/>
              <w:adjustRightInd w:val="0"/>
              <w:snapToGrid w:val="0"/>
              <w:jc w:val="center"/>
              <w:rPr>
                <w:rFonts w:ascii="仿宋_GB2312" w:hAnsi="宋体" w:eastAsia="仿宋_GB2312" w:cs="宋体"/>
                <w:kern w:val="0"/>
                <w:sz w:val="28"/>
                <w:szCs w:val="28"/>
              </w:rPr>
            </w:pPr>
          </w:p>
        </w:tc>
        <w:tc>
          <w:tcPr>
            <w:tcW w:w="1985" w:type="dxa"/>
            <w:vAlign w:val="center"/>
          </w:tcPr>
          <w:p>
            <w:pPr>
              <w:widowControl/>
              <w:adjustRightInd w:val="0"/>
              <w:snapToGrid w:val="0"/>
              <w:jc w:val="center"/>
              <w:rPr>
                <w:rFonts w:ascii="仿宋_GB2312" w:hAnsi="宋体" w:eastAsia="仿宋_GB2312" w:cs="宋体"/>
                <w:kern w:val="0"/>
                <w:sz w:val="28"/>
                <w:szCs w:val="28"/>
              </w:rPr>
            </w:pPr>
          </w:p>
        </w:tc>
        <w:tc>
          <w:tcPr>
            <w:tcW w:w="1701" w:type="dxa"/>
            <w:vAlign w:val="center"/>
          </w:tcPr>
          <w:p>
            <w:pPr>
              <w:widowControl/>
              <w:adjustRightInd w:val="0"/>
              <w:snapToGrid w:val="0"/>
              <w:jc w:val="center"/>
              <w:rPr>
                <w:rFonts w:ascii="仿宋_GB2312" w:hAnsi="宋体" w:eastAsia="仿宋_GB2312" w:cs="宋体"/>
                <w:kern w:val="0"/>
                <w:sz w:val="28"/>
                <w:szCs w:val="28"/>
              </w:rPr>
            </w:pPr>
          </w:p>
        </w:tc>
        <w:tc>
          <w:tcPr>
            <w:tcW w:w="2835" w:type="dxa"/>
            <w:vAlign w:val="center"/>
          </w:tcPr>
          <w:p>
            <w:pPr>
              <w:widowControl/>
              <w:adjustRightInd w:val="0"/>
              <w:snapToGrid w:val="0"/>
              <w:jc w:val="center"/>
              <w:rPr>
                <w:rFonts w:ascii="仿宋_GB2312" w:hAnsi="宋体" w:eastAsia="仿宋_GB2312" w:cs="宋体"/>
                <w:kern w:val="0"/>
                <w:sz w:val="28"/>
                <w:szCs w:val="28"/>
              </w:rPr>
            </w:pPr>
          </w:p>
        </w:tc>
        <w:tc>
          <w:tcPr>
            <w:tcW w:w="3009"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3</w:t>
            </w:r>
          </w:p>
        </w:tc>
        <w:tc>
          <w:tcPr>
            <w:tcW w:w="1843" w:type="dxa"/>
            <w:vAlign w:val="center"/>
          </w:tcPr>
          <w:p>
            <w:pPr>
              <w:widowControl/>
              <w:adjustRightInd w:val="0"/>
              <w:snapToGrid w:val="0"/>
              <w:jc w:val="center"/>
              <w:rPr>
                <w:rFonts w:ascii="仿宋_GB2312" w:hAnsi="宋体" w:eastAsia="仿宋_GB2312" w:cs="宋体"/>
                <w:kern w:val="0"/>
                <w:sz w:val="28"/>
                <w:szCs w:val="28"/>
              </w:rPr>
            </w:pPr>
          </w:p>
        </w:tc>
        <w:tc>
          <w:tcPr>
            <w:tcW w:w="1984" w:type="dxa"/>
            <w:vAlign w:val="center"/>
          </w:tcPr>
          <w:p>
            <w:pPr>
              <w:widowControl/>
              <w:adjustRightInd w:val="0"/>
              <w:snapToGrid w:val="0"/>
              <w:jc w:val="center"/>
              <w:rPr>
                <w:rFonts w:ascii="仿宋_GB2312" w:hAnsi="宋体" w:eastAsia="仿宋_GB2312" w:cs="宋体"/>
                <w:kern w:val="0"/>
                <w:sz w:val="28"/>
                <w:szCs w:val="28"/>
              </w:rPr>
            </w:pPr>
          </w:p>
        </w:tc>
        <w:tc>
          <w:tcPr>
            <w:tcW w:w="1985" w:type="dxa"/>
            <w:vAlign w:val="center"/>
          </w:tcPr>
          <w:p>
            <w:pPr>
              <w:widowControl/>
              <w:adjustRightInd w:val="0"/>
              <w:snapToGrid w:val="0"/>
              <w:jc w:val="center"/>
              <w:rPr>
                <w:rFonts w:ascii="仿宋_GB2312" w:hAnsi="宋体" w:eastAsia="仿宋_GB2312" w:cs="宋体"/>
                <w:kern w:val="0"/>
                <w:sz w:val="28"/>
                <w:szCs w:val="28"/>
              </w:rPr>
            </w:pPr>
          </w:p>
        </w:tc>
        <w:tc>
          <w:tcPr>
            <w:tcW w:w="1701" w:type="dxa"/>
            <w:vAlign w:val="center"/>
          </w:tcPr>
          <w:p>
            <w:pPr>
              <w:widowControl/>
              <w:adjustRightInd w:val="0"/>
              <w:snapToGrid w:val="0"/>
              <w:jc w:val="center"/>
              <w:rPr>
                <w:rFonts w:ascii="仿宋_GB2312" w:hAnsi="宋体" w:eastAsia="仿宋_GB2312" w:cs="宋体"/>
                <w:kern w:val="0"/>
                <w:sz w:val="28"/>
                <w:szCs w:val="28"/>
              </w:rPr>
            </w:pPr>
          </w:p>
        </w:tc>
        <w:tc>
          <w:tcPr>
            <w:tcW w:w="2835" w:type="dxa"/>
            <w:vAlign w:val="center"/>
          </w:tcPr>
          <w:p>
            <w:pPr>
              <w:widowControl/>
              <w:adjustRightInd w:val="0"/>
              <w:snapToGrid w:val="0"/>
              <w:jc w:val="center"/>
              <w:rPr>
                <w:rFonts w:ascii="仿宋_GB2312" w:hAnsi="宋体" w:eastAsia="仿宋_GB2312" w:cs="宋体"/>
                <w:kern w:val="0"/>
                <w:sz w:val="28"/>
                <w:szCs w:val="28"/>
              </w:rPr>
            </w:pPr>
          </w:p>
        </w:tc>
        <w:tc>
          <w:tcPr>
            <w:tcW w:w="3009"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4</w:t>
            </w:r>
          </w:p>
        </w:tc>
        <w:tc>
          <w:tcPr>
            <w:tcW w:w="1843" w:type="dxa"/>
            <w:vAlign w:val="center"/>
          </w:tcPr>
          <w:p>
            <w:pPr>
              <w:widowControl/>
              <w:adjustRightInd w:val="0"/>
              <w:snapToGrid w:val="0"/>
              <w:jc w:val="center"/>
              <w:rPr>
                <w:rFonts w:ascii="仿宋_GB2312" w:hAnsi="宋体" w:eastAsia="仿宋_GB2312" w:cs="宋体"/>
                <w:kern w:val="0"/>
                <w:sz w:val="28"/>
                <w:szCs w:val="28"/>
              </w:rPr>
            </w:pPr>
          </w:p>
        </w:tc>
        <w:tc>
          <w:tcPr>
            <w:tcW w:w="1984" w:type="dxa"/>
            <w:vAlign w:val="center"/>
          </w:tcPr>
          <w:p>
            <w:pPr>
              <w:widowControl/>
              <w:adjustRightInd w:val="0"/>
              <w:snapToGrid w:val="0"/>
              <w:jc w:val="center"/>
              <w:rPr>
                <w:rFonts w:ascii="仿宋_GB2312" w:hAnsi="宋体" w:eastAsia="仿宋_GB2312" w:cs="宋体"/>
                <w:kern w:val="0"/>
                <w:sz w:val="28"/>
                <w:szCs w:val="28"/>
              </w:rPr>
            </w:pPr>
          </w:p>
        </w:tc>
        <w:tc>
          <w:tcPr>
            <w:tcW w:w="1985" w:type="dxa"/>
            <w:vAlign w:val="center"/>
          </w:tcPr>
          <w:p>
            <w:pPr>
              <w:widowControl/>
              <w:adjustRightInd w:val="0"/>
              <w:snapToGrid w:val="0"/>
              <w:jc w:val="center"/>
              <w:rPr>
                <w:rFonts w:ascii="仿宋_GB2312" w:hAnsi="宋体" w:eastAsia="仿宋_GB2312" w:cs="宋体"/>
                <w:kern w:val="0"/>
                <w:sz w:val="28"/>
                <w:szCs w:val="28"/>
              </w:rPr>
            </w:pPr>
          </w:p>
        </w:tc>
        <w:tc>
          <w:tcPr>
            <w:tcW w:w="1701" w:type="dxa"/>
            <w:vAlign w:val="center"/>
          </w:tcPr>
          <w:p>
            <w:pPr>
              <w:widowControl/>
              <w:adjustRightInd w:val="0"/>
              <w:snapToGrid w:val="0"/>
              <w:jc w:val="center"/>
              <w:rPr>
                <w:rFonts w:ascii="仿宋_GB2312" w:hAnsi="宋体" w:eastAsia="仿宋_GB2312" w:cs="宋体"/>
                <w:kern w:val="0"/>
                <w:sz w:val="28"/>
                <w:szCs w:val="28"/>
              </w:rPr>
            </w:pPr>
          </w:p>
        </w:tc>
        <w:tc>
          <w:tcPr>
            <w:tcW w:w="2835" w:type="dxa"/>
            <w:vAlign w:val="center"/>
          </w:tcPr>
          <w:p>
            <w:pPr>
              <w:widowControl/>
              <w:adjustRightInd w:val="0"/>
              <w:snapToGrid w:val="0"/>
              <w:jc w:val="center"/>
              <w:rPr>
                <w:rFonts w:ascii="仿宋_GB2312" w:hAnsi="宋体" w:eastAsia="仿宋_GB2312" w:cs="宋体"/>
                <w:kern w:val="0"/>
                <w:sz w:val="28"/>
                <w:szCs w:val="28"/>
              </w:rPr>
            </w:pPr>
          </w:p>
        </w:tc>
        <w:tc>
          <w:tcPr>
            <w:tcW w:w="3009"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center"/>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5</w:t>
            </w:r>
          </w:p>
        </w:tc>
        <w:tc>
          <w:tcPr>
            <w:tcW w:w="1843" w:type="dxa"/>
            <w:vAlign w:val="center"/>
          </w:tcPr>
          <w:p>
            <w:pPr>
              <w:widowControl/>
              <w:adjustRightInd w:val="0"/>
              <w:snapToGrid w:val="0"/>
              <w:jc w:val="center"/>
              <w:rPr>
                <w:rFonts w:ascii="仿宋_GB2312" w:hAnsi="宋体" w:eastAsia="仿宋_GB2312" w:cs="宋体"/>
                <w:kern w:val="0"/>
                <w:sz w:val="28"/>
                <w:szCs w:val="28"/>
              </w:rPr>
            </w:pPr>
          </w:p>
        </w:tc>
        <w:tc>
          <w:tcPr>
            <w:tcW w:w="1984" w:type="dxa"/>
            <w:vAlign w:val="center"/>
          </w:tcPr>
          <w:p>
            <w:pPr>
              <w:widowControl/>
              <w:adjustRightInd w:val="0"/>
              <w:snapToGrid w:val="0"/>
              <w:jc w:val="center"/>
              <w:rPr>
                <w:rFonts w:ascii="仿宋_GB2312" w:hAnsi="宋体" w:eastAsia="仿宋_GB2312" w:cs="宋体"/>
                <w:kern w:val="0"/>
                <w:sz w:val="28"/>
                <w:szCs w:val="28"/>
              </w:rPr>
            </w:pPr>
          </w:p>
        </w:tc>
        <w:tc>
          <w:tcPr>
            <w:tcW w:w="1985" w:type="dxa"/>
            <w:vAlign w:val="center"/>
          </w:tcPr>
          <w:p>
            <w:pPr>
              <w:widowControl/>
              <w:adjustRightInd w:val="0"/>
              <w:snapToGrid w:val="0"/>
              <w:jc w:val="center"/>
              <w:rPr>
                <w:rFonts w:ascii="仿宋_GB2312" w:hAnsi="宋体" w:eastAsia="仿宋_GB2312" w:cs="宋体"/>
                <w:kern w:val="0"/>
                <w:sz w:val="28"/>
                <w:szCs w:val="28"/>
              </w:rPr>
            </w:pPr>
          </w:p>
        </w:tc>
        <w:tc>
          <w:tcPr>
            <w:tcW w:w="1701" w:type="dxa"/>
            <w:vAlign w:val="center"/>
          </w:tcPr>
          <w:p>
            <w:pPr>
              <w:widowControl/>
              <w:adjustRightInd w:val="0"/>
              <w:snapToGrid w:val="0"/>
              <w:jc w:val="center"/>
              <w:rPr>
                <w:rFonts w:ascii="仿宋_GB2312" w:hAnsi="宋体" w:eastAsia="仿宋_GB2312" w:cs="宋体"/>
                <w:kern w:val="0"/>
                <w:sz w:val="28"/>
                <w:szCs w:val="28"/>
              </w:rPr>
            </w:pPr>
          </w:p>
        </w:tc>
        <w:tc>
          <w:tcPr>
            <w:tcW w:w="2835" w:type="dxa"/>
            <w:vAlign w:val="center"/>
          </w:tcPr>
          <w:p>
            <w:pPr>
              <w:widowControl/>
              <w:adjustRightInd w:val="0"/>
              <w:snapToGrid w:val="0"/>
              <w:jc w:val="center"/>
              <w:rPr>
                <w:rFonts w:ascii="仿宋_GB2312" w:hAnsi="宋体" w:eastAsia="仿宋_GB2312" w:cs="宋体"/>
                <w:kern w:val="0"/>
                <w:sz w:val="28"/>
                <w:szCs w:val="28"/>
              </w:rPr>
            </w:pPr>
          </w:p>
        </w:tc>
        <w:tc>
          <w:tcPr>
            <w:tcW w:w="3009"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6</w:t>
            </w:r>
          </w:p>
        </w:tc>
        <w:tc>
          <w:tcPr>
            <w:tcW w:w="1843" w:type="dxa"/>
            <w:vAlign w:val="top"/>
          </w:tcPr>
          <w:p>
            <w:pPr>
              <w:widowControl/>
              <w:adjustRightInd w:val="0"/>
              <w:snapToGrid w:val="0"/>
              <w:jc w:val="center"/>
              <w:rPr>
                <w:rFonts w:ascii="仿宋_GB2312" w:hAnsi="宋体" w:eastAsia="仿宋_GB2312" w:cs="宋体"/>
                <w:kern w:val="0"/>
                <w:sz w:val="28"/>
                <w:szCs w:val="28"/>
              </w:rPr>
            </w:pPr>
          </w:p>
        </w:tc>
        <w:tc>
          <w:tcPr>
            <w:tcW w:w="1984" w:type="dxa"/>
            <w:vAlign w:val="top"/>
          </w:tcPr>
          <w:p>
            <w:pPr>
              <w:widowControl/>
              <w:adjustRightInd w:val="0"/>
              <w:snapToGrid w:val="0"/>
              <w:jc w:val="center"/>
              <w:rPr>
                <w:rFonts w:ascii="仿宋_GB2312" w:hAnsi="宋体" w:eastAsia="仿宋_GB2312" w:cs="宋体"/>
                <w:kern w:val="0"/>
                <w:sz w:val="28"/>
                <w:szCs w:val="28"/>
              </w:rPr>
            </w:pPr>
          </w:p>
        </w:tc>
        <w:tc>
          <w:tcPr>
            <w:tcW w:w="1985" w:type="dxa"/>
            <w:vAlign w:val="top"/>
          </w:tcPr>
          <w:p>
            <w:pPr>
              <w:widowControl/>
              <w:adjustRightInd w:val="0"/>
              <w:snapToGrid w:val="0"/>
              <w:jc w:val="center"/>
              <w:rPr>
                <w:rFonts w:ascii="仿宋_GB2312" w:hAnsi="宋体" w:eastAsia="仿宋_GB2312" w:cs="宋体"/>
                <w:kern w:val="0"/>
                <w:sz w:val="28"/>
                <w:szCs w:val="28"/>
              </w:rPr>
            </w:pPr>
          </w:p>
        </w:tc>
        <w:tc>
          <w:tcPr>
            <w:tcW w:w="1701" w:type="dxa"/>
            <w:vAlign w:val="top"/>
          </w:tcPr>
          <w:p>
            <w:pPr>
              <w:widowControl/>
              <w:adjustRightInd w:val="0"/>
              <w:snapToGrid w:val="0"/>
              <w:jc w:val="center"/>
              <w:rPr>
                <w:rFonts w:ascii="仿宋_GB2312" w:hAnsi="宋体" w:eastAsia="仿宋_GB2312" w:cs="宋体"/>
                <w:kern w:val="0"/>
                <w:sz w:val="28"/>
                <w:szCs w:val="28"/>
              </w:rPr>
            </w:pPr>
          </w:p>
        </w:tc>
        <w:tc>
          <w:tcPr>
            <w:tcW w:w="2835" w:type="dxa"/>
            <w:vAlign w:val="top"/>
          </w:tcPr>
          <w:p>
            <w:pPr>
              <w:widowControl/>
              <w:adjustRightInd w:val="0"/>
              <w:snapToGrid w:val="0"/>
              <w:jc w:val="center"/>
              <w:rPr>
                <w:rFonts w:ascii="仿宋_GB2312" w:hAnsi="宋体" w:eastAsia="仿宋_GB2312" w:cs="宋体"/>
                <w:kern w:val="0"/>
                <w:sz w:val="28"/>
                <w:szCs w:val="28"/>
              </w:rPr>
            </w:pPr>
          </w:p>
        </w:tc>
        <w:tc>
          <w:tcPr>
            <w:tcW w:w="3009"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7</w:t>
            </w:r>
          </w:p>
        </w:tc>
        <w:tc>
          <w:tcPr>
            <w:tcW w:w="1843" w:type="dxa"/>
            <w:vAlign w:val="top"/>
          </w:tcPr>
          <w:p>
            <w:pPr>
              <w:widowControl/>
              <w:adjustRightInd w:val="0"/>
              <w:snapToGrid w:val="0"/>
              <w:jc w:val="center"/>
              <w:rPr>
                <w:rFonts w:ascii="仿宋_GB2312" w:hAnsi="宋体" w:eastAsia="仿宋_GB2312" w:cs="宋体"/>
                <w:kern w:val="0"/>
                <w:sz w:val="28"/>
                <w:szCs w:val="28"/>
              </w:rPr>
            </w:pPr>
          </w:p>
        </w:tc>
        <w:tc>
          <w:tcPr>
            <w:tcW w:w="1984" w:type="dxa"/>
            <w:vAlign w:val="top"/>
          </w:tcPr>
          <w:p>
            <w:pPr>
              <w:widowControl/>
              <w:adjustRightInd w:val="0"/>
              <w:snapToGrid w:val="0"/>
              <w:jc w:val="center"/>
              <w:rPr>
                <w:rFonts w:ascii="仿宋_GB2312" w:hAnsi="宋体" w:eastAsia="仿宋_GB2312" w:cs="宋体"/>
                <w:kern w:val="0"/>
                <w:sz w:val="28"/>
                <w:szCs w:val="28"/>
              </w:rPr>
            </w:pPr>
          </w:p>
        </w:tc>
        <w:tc>
          <w:tcPr>
            <w:tcW w:w="1985" w:type="dxa"/>
            <w:vAlign w:val="top"/>
          </w:tcPr>
          <w:p>
            <w:pPr>
              <w:widowControl/>
              <w:adjustRightInd w:val="0"/>
              <w:snapToGrid w:val="0"/>
              <w:jc w:val="center"/>
              <w:rPr>
                <w:rFonts w:ascii="仿宋_GB2312" w:hAnsi="宋体" w:eastAsia="仿宋_GB2312" w:cs="宋体"/>
                <w:kern w:val="0"/>
                <w:sz w:val="28"/>
                <w:szCs w:val="28"/>
              </w:rPr>
            </w:pPr>
          </w:p>
        </w:tc>
        <w:tc>
          <w:tcPr>
            <w:tcW w:w="1701" w:type="dxa"/>
            <w:vAlign w:val="top"/>
          </w:tcPr>
          <w:p>
            <w:pPr>
              <w:widowControl/>
              <w:adjustRightInd w:val="0"/>
              <w:snapToGrid w:val="0"/>
              <w:jc w:val="center"/>
              <w:rPr>
                <w:rFonts w:ascii="仿宋_GB2312" w:hAnsi="宋体" w:eastAsia="仿宋_GB2312" w:cs="宋体"/>
                <w:kern w:val="0"/>
                <w:sz w:val="28"/>
                <w:szCs w:val="28"/>
              </w:rPr>
            </w:pPr>
          </w:p>
        </w:tc>
        <w:tc>
          <w:tcPr>
            <w:tcW w:w="2835" w:type="dxa"/>
            <w:vAlign w:val="top"/>
          </w:tcPr>
          <w:p>
            <w:pPr>
              <w:widowControl/>
              <w:adjustRightInd w:val="0"/>
              <w:snapToGrid w:val="0"/>
              <w:jc w:val="center"/>
              <w:rPr>
                <w:rFonts w:ascii="仿宋_GB2312" w:hAnsi="宋体" w:eastAsia="仿宋_GB2312" w:cs="宋体"/>
                <w:kern w:val="0"/>
                <w:sz w:val="28"/>
                <w:szCs w:val="28"/>
              </w:rPr>
            </w:pPr>
          </w:p>
        </w:tc>
        <w:tc>
          <w:tcPr>
            <w:tcW w:w="3009" w:type="dxa"/>
            <w:vAlign w:val="top"/>
          </w:tcPr>
          <w:p>
            <w:pPr>
              <w:widowControl/>
              <w:adjustRightInd w:val="0"/>
              <w:snapToGrid w:val="0"/>
              <w:jc w:val="center"/>
              <w:rPr>
                <w:rFonts w:ascii="仿宋_GB2312" w:hAnsi="宋体" w:eastAsia="仿宋_GB2312" w:cs="宋体"/>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17" w:type="dxa"/>
            <w:vAlign w:val="top"/>
          </w:tcPr>
          <w:p>
            <w:pPr>
              <w:widowControl/>
              <w:adjustRightInd w:val="0"/>
              <w:snapToGrid w:val="0"/>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w:t>
            </w:r>
          </w:p>
        </w:tc>
        <w:tc>
          <w:tcPr>
            <w:tcW w:w="1843" w:type="dxa"/>
            <w:vAlign w:val="top"/>
          </w:tcPr>
          <w:p>
            <w:pPr>
              <w:widowControl/>
              <w:adjustRightInd w:val="0"/>
              <w:snapToGrid w:val="0"/>
              <w:jc w:val="center"/>
              <w:rPr>
                <w:rFonts w:ascii="仿宋_GB2312" w:hAnsi="宋体" w:eastAsia="仿宋_GB2312" w:cs="宋体"/>
                <w:kern w:val="0"/>
                <w:sz w:val="28"/>
                <w:szCs w:val="28"/>
              </w:rPr>
            </w:pPr>
          </w:p>
        </w:tc>
        <w:tc>
          <w:tcPr>
            <w:tcW w:w="1984" w:type="dxa"/>
            <w:vAlign w:val="top"/>
          </w:tcPr>
          <w:p>
            <w:pPr>
              <w:widowControl/>
              <w:adjustRightInd w:val="0"/>
              <w:snapToGrid w:val="0"/>
              <w:jc w:val="center"/>
              <w:rPr>
                <w:rFonts w:ascii="仿宋_GB2312" w:hAnsi="宋体" w:eastAsia="仿宋_GB2312" w:cs="宋体"/>
                <w:kern w:val="0"/>
                <w:sz w:val="28"/>
                <w:szCs w:val="28"/>
              </w:rPr>
            </w:pPr>
          </w:p>
        </w:tc>
        <w:tc>
          <w:tcPr>
            <w:tcW w:w="1985" w:type="dxa"/>
            <w:vAlign w:val="top"/>
          </w:tcPr>
          <w:p>
            <w:pPr>
              <w:widowControl/>
              <w:adjustRightInd w:val="0"/>
              <w:snapToGrid w:val="0"/>
              <w:jc w:val="center"/>
              <w:rPr>
                <w:rFonts w:ascii="仿宋_GB2312" w:hAnsi="宋体" w:eastAsia="仿宋_GB2312" w:cs="宋体"/>
                <w:kern w:val="0"/>
                <w:sz w:val="28"/>
                <w:szCs w:val="28"/>
              </w:rPr>
            </w:pPr>
          </w:p>
        </w:tc>
        <w:tc>
          <w:tcPr>
            <w:tcW w:w="1701" w:type="dxa"/>
            <w:vAlign w:val="top"/>
          </w:tcPr>
          <w:p>
            <w:pPr>
              <w:widowControl/>
              <w:adjustRightInd w:val="0"/>
              <w:snapToGrid w:val="0"/>
              <w:jc w:val="center"/>
              <w:rPr>
                <w:rFonts w:ascii="仿宋_GB2312" w:hAnsi="宋体" w:eastAsia="仿宋_GB2312" w:cs="宋体"/>
                <w:kern w:val="0"/>
                <w:sz w:val="28"/>
                <w:szCs w:val="28"/>
              </w:rPr>
            </w:pPr>
          </w:p>
        </w:tc>
        <w:tc>
          <w:tcPr>
            <w:tcW w:w="2835" w:type="dxa"/>
            <w:vAlign w:val="top"/>
          </w:tcPr>
          <w:p>
            <w:pPr>
              <w:widowControl/>
              <w:adjustRightInd w:val="0"/>
              <w:snapToGrid w:val="0"/>
              <w:jc w:val="center"/>
              <w:rPr>
                <w:rFonts w:ascii="仿宋_GB2312" w:hAnsi="宋体" w:eastAsia="仿宋_GB2312" w:cs="宋体"/>
                <w:kern w:val="0"/>
                <w:sz w:val="28"/>
                <w:szCs w:val="28"/>
              </w:rPr>
            </w:pPr>
          </w:p>
        </w:tc>
        <w:tc>
          <w:tcPr>
            <w:tcW w:w="3009" w:type="dxa"/>
            <w:vAlign w:val="top"/>
          </w:tcPr>
          <w:p>
            <w:pPr>
              <w:widowControl/>
              <w:adjustRightInd w:val="0"/>
              <w:snapToGrid w:val="0"/>
              <w:jc w:val="center"/>
              <w:rPr>
                <w:rFonts w:ascii="仿宋_GB2312" w:hAnsi="宋体" w:eastAsia="仿宋_GB2312" w:cs="宋体"/>
                <w:kern w:val="0"/>
                <w:sz w:val="28"/>
                <w:szCs w:val="28"/>
              </w:rPr>
            </w:pPr>
          </w:p>
        </w:tc>
      </w:tr>
    </w:tbl>
    <w:p>
      <w:pPr>
        <w:widowControl/>
        <w:shd w:val="clear" w:color="auto" w:fill="FFFFFF"/>
        <w:adjustRightInd w:val="0"/>
        <w:snapToGrid w:val="0"/>
        <w:ind w:firstLine="560" w:firstLineChars="200"/>
        <w:jc w:val="left"/>
        <w:rPr>
          <w:rFonts w:ascii="仿宋_GB2312" w:hAnsi="宋体" w:eastAsia="仿宋_GB2312" w:cs="宋体"/>
          <w:kern w:val="0"/>
          <w:sz w:val="28"/>
          <w:szCs w:val="28"/>
        </w:rPr>
      </w:pPr>
      <w:r>
        <w:rPr>
          <w:rFonts w:hint="eastAsia" w:ascii="仿宋_GB2312" w:hAnsi="宋体" w:eastAsia="仿宋_GB2312" w:cs="宋体"/>
          <w:kern w:val="0"/>
          <w:sz w:val="28"/>
          <w:szCs w:val="28"/>
        </w:rPr>
        <w:t>注：计算年度建筑综合总能耗（kWh）及年度单位建筑面积综合能耗（</w:t>
      </w:r>
      <w:r>
        <w:rPr>
          <w:rFonts w:ascii="仿宋_GB2312" w:hAnsi="宋体" w:eastAsia="仿宋_GB2312" w:cs="宋体"/>
          <w:kern w:val="0"/>
          <w:sz w:val="28"/>
          <w:szCs w:val="28"/>
        </w:rPr>
        <w:t>kWh/m</w:t>
      </w:r>
      <w:r>
        <w:rPr>
          <w:rFonts w:hint="eastAsia" w:ascii="仿宋_GB2312" w:hAnsi="宋体" w:eastAsia="仿宋_GB2312" w:cs="宋体"/>
          <w:kern w:val="0"/>
          <w:sz w:val="28"/>
          <w:szCs w:val="28"/>
          <w:vertAlign w:val="superscript"/>
        </w:rPr>
        <w:t>2</w:t>
      </w:r>
      <w:r>
        <w:rPr>
          <w:rFonts w:ascii="仿宋_GB2312" w:hAnsi="宋体" w:eastAsia="仿宋_GB2312" w:cs="宋体"/>
          <w:kern w:val="0"/>
          <w:sz w:val="28"/>
          <w:szCs w:val="28"/>
        </w:rPr>
        <w:t>.a</w:t>
      </w:r>
      <w:r>
        <w:rPr>
          <w:rFonts w:hint="eastAsia" w:ascii="仿宋_GB2312" w:hAnsi="宋体" w:eastAsia="仿宋_GB2312" w:cs="宋体"/>
          <w:kern w:val="0"/>
          <w:sz w:val="28"/>
          <w:szCs w:val="28"/>
        </w:rPr>
        <w:t>）时，各类能源折算等效电值应符合现行行业标准《公共建筑能耗远程监测系统技术规程》JGJ/T 285 附录G及</w:t>
      </w:r>
      <w:r>
        <w:rPr>
          <w:rFonts w:hint="eastAsia" w:ascii="仿宋_GB2312" w:hAnsi="宋体" w:eastAsia="仿宋_GB2312" w:cs="宋体"/>
          <w:color w:val="000000"/>
          <w:kern w:val="0"/>
          <w:sz w:val="30"/>
          <w:szCs w:val="30"/>
        </w:rPr>
        <w:t>《深圳市公共建筑能耗标准》SJG 34</w:t>
      </w:r>
      <w:r>
        <w:rPr>
          <w:rFonts w:hint="eastAsia" w:ascii="仿宋_GB2312" w:hAnsi="宋体" w:eastAsia="仿宋_GB2312" w:cs="宋体"/>
          <w:kern w:val="0"/>
          <w:sz w:val="28"/>
          <w:szCs w:val="28"/>
        </w:rPr>
        <w:t>的有关规定。</w:t>
      </w:r>
    </w:p>
    <w:p>
      <w:pPr>
        <w:widowControl/>
        <w:shd w:val="clear" w:color="auto" w:fill="FFFFFF"/>
        <w:spacing w:line="402" w:lineRule="atLeast"/>
        <w:jc w:val="left"/>
        <w:rPr>
          <w:rFonts w:ascii="仿宋_GB2312" w:hAnsi="宋体" w:eastAsia="仿宋_GB2312" w:cs="宋体"/>
          <w:kern w:val="0"/>
          <w:sz w:val="28"/>
          <w:szCs w:val="28"/>
        </w:rPr>
        <w:sectPr>
          <w:pgSz w:w="16838" w:h="11906" w:orient="landscape"/>
          <w:pgMar w:top="1800" w:right="1440" w:bottom="1800" w:left="1440" w:header="851" w:footer="992" w:gutter="0"/>
          <w:cols w:space="720" w:num="1"/>
          <w:docGrid w:type="lines" w:linePitch="312" w:charSpace="0"/>
        </w:sectPr>
      </w:pPr>
    </w:p>
    <w:p>
      <w:pPr>
        <w:widowControl/>
        <w:shd w:val="clear" w:color="auto" w:fill="FFFFFF"/>
        <w:spacing w:line="402" w:lineRule="atLeast"/>
        <w:jc w:val="left"/>
        <w:outlineLvl w:val="0"/>
        <w:rPr>
          <w:rFonts w:ascii="仿宋_GB2312" w:hAnsi="宋体" w:eastAsia="仿宋_GB2312" w:cs="宋体"/>
          <w:color w:val="000000"/>
          <w:kern w:val="0"/>
          <w:sz w:val="30"/>
          <w:szCs w:val="30"/>
        </w:rPr>
      </w:pPr>
      <w:r>
        <w:rPr>
          <w:rFonts w:hint="eastAsia" w:ascii="仿宋_GB2312" w:hAnsi="宋体" w:eastAsia="仿宋_GB2312" w:cs="宋体"/>
          <w:color w:val="000000"/>
          <w:kern w:val="0"/>
          <w:sz w:val="30"/>
          <w:szCs w:val="30"/>
        </w:rPr>
        <w:t>附件3  能效公示流程图</w:t>
      </w:r>
    </w:p>
    <w:p>
      <w:pPr>
        <w:widowControl/>
        <w:shd w:val="clear" w:color="auto" w:fill="FFFFFF"/>
        <w:spacing w:line="402" w:lineRule="atLeast"/>
        <w:jc w:val="center"/>
        <w:outlineLvl w:val="0"/>
        <w:rPr>
          <w:rFonts w:ascii="仿宋_GB2312" w:hAnsi="宋体" w:eastAsia="仿宋_GB2312" w:cs="宋体"/>
          <w:color w:val="000000"/>
          <w:kern w:val="0"/>
          <w:sz w:val="30"/>
          <w:szCs w:val="30"/>
        </w:rPr>
      </w:pPr>
      <w:r>
        <w:rPr>
          <w:rFonts w:ascii="Calibri" w:hAnsi="Calibri" w:eastAsia="宋体" w:cs="黑体"/>
          <w:kern w:val="2"/>
          <w:sz w:val="21"/>
          <w:szCs w:val="22"/>
          <w:lang w:val="en-US" w:eastAsia="zh-CN" w:bidi="ar-SA"/>
        </w:rPr>
        <w:object>
          <v:shape id="_x0000_i1025" o:spt="75" type="#_x0000_t75" style="height:448.5pt;width:420pt;" o:ole="t" fillcolor="#FFFFFF" filled="f" o:preferrelative="t" stroked="f" coordsize="21600,21600">
            <v:path/>
            <v:fill on="f" color2="#FFFFFF" focussize="0,0"/>
            <v:stroke on="f"/>
            <v:imagedata r:id="rId11" gain="65536f" blacklevel="0f" gamma="0" o:title=""/>
            <o:lock v:ext="edit" position="f" selection="f" grouping="f" rotation="f" cropping="f" text="f" aspectratio="t"/>
            <w10:wrap type="none"/>
            <w10:anchorlock/>
          </v:shape>
          <o:OLEObject Type="Embed" ProgID="" ShapeID="_x0000_i1025" DrawAspect="Content" ObjectID="_1468075725" r:id="rId10">
            <o:LockedField>false</o:LockedField>
          </o:OLEObject>
        </w:objec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rPr>
        <w:lang w:val="zh-CN"/>
      </w:rPr>
      <w:fldChar w:fldCharType="begin"/>
    </w:r>
    <w:r>
      <w:rPr>
        <w:lang w:val="zh-CN"/>
      </w:rPr>
      <w:instrText xml:space="preserve"> PAGE   \* MERGEFORMAT </w:instrText>
    </w:r>
    <w:r>
      <w:rPr>
        <w:lang w:val="zh-CN"/>
      </w:rPr>
      <w:fldChar w:fldCharType="separate"/>
    </w:r>
    <w:r>
      <w:rPr>
        <w:lang w:val="zh-CN"/>
      </w:rPr>
      <w:t>5</w:t>
    </w:r>
    <w:r>
      <w:rPr>
        <w:lang w:val="zh-CN"/>
      </w:rPr>
      <w:fldChar w:fldCharType="end"/>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0934BC"/>
    <w:multiLevelType w:val="multilevel"/>
    <w:tmpl w:val="200934BC"/>
    <w:lvl w:ilvl="0" w:tentative="0">
      <w:start w:val="1"/>
      <w:numFmt w:val="chineseCountingThousand"/>
      <w:pStyle w:val="2"/>
      <w:lvlText w:val="第%1条"/>
      <w:lvlJc w:val="left"/>
      <w:pPr>
        <w:ind w:left="1260" w:hanging="420"/>
      </w:pPr>
      <w:rPr>
        <w:rFonts w:hint="eastAsia" w:cs="Times New Roman"/>
        <w:b/>
      </w:rPr>
    </w:lvl>
    <w:lvl w:ilvl="1" w:tentative="0">
      <w:start w:val="1"/>
      <w:numFmt w:val="lowerLetter"/>
      <w:lvlText w:val="%2)"/>
      <w:lvlJc w:val="left"/>
      <w:pPr>
        <w:ind w:left="1680" w:hanging="420"/>
      </w:pPr>
      <w:rPr>
        <w:rFonts w:cs="Times New Roman"/>
      </w:rPr>
    </w:lvl>
    <w:lvl w:ilvl="2" w:tentative="0">
      <w:start w:val="1"/>
      <w:numFmt w:val="lowerRoman"/>
      <w:lvlText w:val="%3."/>
      <w:lvlJc w:val="right"/>
      <w:pPr>
        <w:ind w:left="2100" w:hanging="420"/>
      </w:pPr>
      <w:rPr>
        <w:rFonts w:cs="Times New Roman"/>
      </w:rPr>
    </w:lvl>
    <w:lvl w:ilvl="3" w:tentative="0">
      <w:start w:val="1"/>
      <w:numFmt w:val="decimal"/>
      <w:lvlText w:val="%4."/>
      <w:lvlJc w:val="left"/>
      <w:pPr>
        <w:ind w:left="2520" w:hanging="420"/>
      </w:pPr>
      <w:rPr>
        <w:rFonts w:cs="Times New Roman"/>
      </w:rPr>
    </w:lvl>
    <w:lvl w:ilvl="4" w:tentative="0">
      <w:start w:val="1"/>
      <w:numFmt w:val="lowerLetter"/>
      <w:lvlText w:val="%5)"/>
      <w:lvlJc w:val="left"/>
      <w:pPr>
        <w:ind w:left="2940" w:hanging="420"/>
      </w:pPr>
      <w:rPr>
        <w:rFonts w:cs="Times New Roman"/>
      </w:rPr>
    </w:lvl>
    <w:lvl w:ilvl="5" w:tentative="0">
      <w:start w:val="1"/>
      <w:numFmt w:val="lowerRoman"/>
      <w:lvlText w:val="%6."/>
      <w:lvlJc w:val="right"/>
      <w:pPr>
        <w:ind w:left="3360" w:hanging="420"/>
      </w:pPr>
      <w:rPr>
        <w:rFonts w:cs="Times New Roman"/>
      </w:rPr>
    </w:lvl>
    <w:lvl w:ilvl="6" w:tentative="0">
      <w:start w:val="1"/>
      <w:numFmt w:val="decimal"/>
      <w:lvlText w:val="%7."/>
      <w:lvlJc w:val="left"/>
      <w:pPr>
        <w:ind w:left="3780" w:hanging="420"/>
      </w:pPr>
      <w:rPr>
        <w:rFonts w:cs="Times New Roman"/>
      </w:rPr>
    </w:lvl>
    <w:lvl w:ilvl="7" w:tentative="0">
      <w:start w:val="1"/>
      <w:numFmt w:val="lowerLetter"/>
      <w:lvlText w:val="%8)"/>
      <w:lvlJc w:val="left"/>
      <w:pPr>
        <w:ind w:left="4200" w:hanging="420"/>
      </w:pPr>
      <w:rPr>
        <w:rFonts w:cs="Times New Roman"/>
      </w:rPr>
    </w:lvl>
    <w:lvl w:ilvl="8" w:tentative="0">
      <w:start w:val="1"/>
      <w:numFmt w:val="lowerRoman"/>
      <w:lvlText w:val="%9."/>
      <w:lvlJc w:val="right"/>
      <w:pPr>
        <w:ind w:left="4620" w:hanging="420"/>
      </w:pPr>
      <w:rPr>
        <w:rFonts w:cs="Times New Roman"/>
      </w:rPr>
    </w:lvl>
  </w:abstractNum>
  <w:abstractNum w:abstractNumId="1">
    <w:nsid w:val="5C385025"/>
    <w:multiLevelType w:val="singleLevel"/>
    <w:tmpl w:val="5C385025"/>
    <w:lvl w:ilvl="0" w:tentative="0">
      <w:start w:val="3"/>
      <w:numFmt w:val="chineseCounting"/>
      <w:suff w:val="space"/>
      <w:lvlText w:val="第%1条"/>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rsids>
    <w:rsidRoot w:val="00A420F5"/>
    <w:rsid w:val="00002948"/>
    <w:rsid w:val="0001038E"/>
    <w:rsid w:val="000122C0"/>
    <w:rsid w:val="00013593"/>
    <w:rsid w:val="00013C45"/>
    <w:rsid w:val="000144B9"/>
    <w:rsid w:val="00031A93"/>
    <w:rsid w:val="0003532C"/>
    <w:rsid w:val="00035837"/>
    <w:rsid w:val="000360D3"/>
    <w:rsid w:val="00040EE1"/>
    <w:rsid w:val="00041A63"/>
    <w:rsid w:val="000449C9"/>
    <w:rsid w:val="00057399"/>
    <w:rsid w:val="00061219"/>
    <w:rsid w:val="00066C9C"/>
    <w:rsid w:val="00074795"/>
    <w:rsid w:val="00074B38"/>
    <w:rsid w:val="00082EF6"/>
    <w:rsid w:val="000831FD"/>
    <w:rsid w:val="000837DE"/>
    <w:rsid w:val="00087A5A"/>
    <w:rsid w:val="00092394"/>
    <w:rsid w:val="0009374C"/>
    <w:rsid w:val="00095CA1"/>
    <w:rsid w:val="00096465"/>
    <w:rsid w:val="000A4024"/>
    <w:rsid w:val="000A55CB"/>
    <w:rsid w:val="000B13DC"/>
    <w:rsid w:val="000B190C"/>
    <w:rsid w:val="000B3CD5"/>
    <w:rsid w:val="000B47F0"/>
    <w:rsid w:val="000B4D3F"/>
    <w:rsid w:val="000B6A34"/>
    <w:rsid w:val="000C210E"/>
    <w:rsid w:val="000C4136"/>
    <w:rsid w:val="000D05A5"/>
    <w:rsid w:val="000D34A4"/>
    <w:rsid w:val="000E0DE3"/>
    <w:rsid w:val="000E30BF"/>
    <w:rsid w:val="000E475C"/>
    <w:rsid w:val="000F3FC9"/>
    <w:rsid w:val="000F6F3F"/>
    <w:rsid w:val="00101BEF"/>
    <w:rsid w:val="00110532"/>
    <w:rsid w:val="00111101"/>
    <w:rsid w:val="001139D3"/>
    <w:rsid w:val="00114D04"/>
    <w:rsid w:val="00120BE8"/>
    <w:rsid w:val="001244D4"/>
    <w:rsid w:val="001250DC"/>
    <w:rsid w:val="00126A8B"/>
    <w:rsid w:val="0013413C"/>
    <w:rsid w:val="001345F3"/>
    <w:rsid w:val="00134C49"/>
    <w:rsid w:val="00137CC9"/>
    <w:rsid w:val="00146812"/>
    <w:rsid w:val="00146B39"/>
    <w:rsid w:val="0015088B"/>
    <w:rsid w:val="00152982"/>
    <w:rsid w:val="0015536D"/>
    <w:rsid w:val="00156EC0"/>
    <w:rsid w:val="0016277F"/>
    <w:rsid w:val="00166247"/>
    <w:rsid w:val="00171677"/>
    <w:rsid w:val="00171BBA"/>
    <w:rsid w:val="00171D60"/>
    <w:rsid w:val="001723B4"/>
    <w:rsid w:val="001735BA"/>
    <w:rsid w:val="00176B92"/>
    <w:rsid w:val="00181B12"/>
    <w:rsid w:val="00182FEF"/>
    <w:rsid w:val="00187E97"/>
    <w:rsid w:val="00190627"/>
    <w:rsid w:val="001970ED"/>
    <w:rsid w:val="001A206D"/>
    <w:rsid w:val="001A29AF"/>
    <w:rsid w:val="001A2F3F"/>
    <w:rsid w:val="001A39CA"/>
    <w:rsid w:val="001A46C1"/>
    <w:rsid w:val="001A5C8E"/>
    <w:rsid w:val="001B3A5A"/>
    <w:rsid w:val="001B5EEA"/>
    <w:rsid w:val="001B62C9"/>
    <w:rsid w:val="001B6A7F"/>
    <w:rsid w:val="001C3BBE"/>
    <w:rsid w:val="001C7DDF"/>
    <w:rsid w:val="001D21BF"/>
    <w:rsid w:val="001D3B5C"/>
    <w:rsid w:val="001D3FD4"/>
    <w:rsid w:val="001D44F5"/>
    <w:rsid w:val="001D5489"/>
    <w:rsid w:val="001D6ADE"/>
    <w:rsid w:val="001E54B1"/>
    <w:rsid w:val="001E67B3"/>
    <w:rsid w:val="001E798F"/>
    <w:rsid w:val="001F0615"/>
    <w:rsid w:val="001F1555"/>
    <w:rsid w:val="001F3648"/>
    <w:rsid w:val="001F643F"/>
    <w:rsid w:val="001F7518"/>
    <w:rsid w:val="002012B7"/>
    <w:rsid w:val="00201F4A"/>
    <w:rsid w:val="002024C9"/>
    <w:rsid w:val="002031D6"/>
    <w:rsid w:val="0022025B"/>
    <w:rsid w:val="00226971"/>
    <w:rsid w:val="0024135B"/>
    <w:rsid w:val="00244843"/>
    <w:rsid w:val="002527AE"/>
    <w:rsid w:val="00253DE8"/>
    <w:rsid w:val="00255680"/>
    <w:rsid w:val="00256AE2"/>
    <w:rsid w:val="00257F79"/>
    <w:rsid w:val="00260B7D"/>
    <w:rsid w:val="00271BD4"/>
    <w:rsid w:val="00274BC9"/>
    <w:rsid w:val="0027602E"/>
    <w:rsid w:val="00281029"/>
    <w:rsid w:val="002814F5"/>
    <w:rsid w:val="00286DEC"/>
    <w:rsid w:val="002B27AA"/>
    <w:rsid w:val="002B38A4"/>
    <w:rsid w:val="002B3BD0"/>
    <w:rsid w:val="002C1463"/>
    <w:rsid w:val="002C3D9D"/>
    <w:rsid w:val="002C70B1"/>
    <w:rsid w:val="002D3ECF"/>
    <w:rsid w:val="002D4F16"/>
    <w:rsid w:val="002E0A38"/>
    <w:rsid w:val="002E3031"/>
    <w:rsid w:val="002E5A85"/>
    <w:rsid w:val="002E7F30"/>
    <w:rsid w:val="002F50F9"/>
    <w:rsid w:val="00301A50"/>
    <w:rsid w:val="0030449C"/>
    <w:rsid w:val="00310D93"/>
    <w:rsid w:val="00315424"/>
    <w:rsid w:val="003167C2"/>
    <w:rsid w:val="00317B1C"/>
    <w:rsid w:val="0032055D"/>
    <w:rsid w:val="00320631"/>
    <w:rsid w:val="00322E6A"/>
    <w:rsid w:val="00332A27"/>
    <w:rsid w:val="00334082"/>
    <w:rsid w:val="00336B6C"/>
    <w:rsid w:val="00337352"/>
    <w:rsid w:val="00340EF6"/>
    <w:rsid w:val="003437AB"/>
    <w:rsid w:val="0034545F"/>
    <w:rsid w:val="00351358"/>
    <w:rsid w:val="00352AEE"/>
    <w:rsid w:val="003577C3"/>
    <w:rsid w:val="003616B6"/>
    <w:rsid w:val="00370CCE"/>
    <w:rsid w:val="00371D61"/>
    <w:rsid w:val="00372872"/>
    <w:rsid w:val="00375E84"/>
    <w:rsid w:val="003774BB"/>
    <w:rsid w:val="003868C6"/>
    <w:rsid w:val="00386E30"/>
    <w:rsid w:val="0039471B"/>
    <w:rsid w:val="00394EBB"/>
    <w:rsid w:val="00395789"/>
    <w:rsid w:val="003A1EA3"/>
    <w:rsid w:val="003A67CA"/>
    <w:rsid w:val="003A686F"/>
    <w:rsid w:val="003B0540"/>
    <w:rsid w:val="003B08C4"/>
    <w:rsid w:val="003B2C01"/>
    <w:rsid w:val="003B6C9B"/>
    <w:rsid w:val="003B6E3B"/>
    <w:rsid w:val="003B78F5"/>
    <w:rsid w:val="003C0611"/>
    <w:rsid w:val="003C5ADD"/>
    <w:rsid w:val="003C7165"/>
    <w:rsid w:val="003D030B"/>
    <w:rsid w:val="003D05D4"/>
    <w:rsid w:val="003D212D"/>
    <w:rsid w:val="003D23D9"/>
    <w:rsid w:val="003D42CC"/>
    <w:rsid w:val="003D6F00"/>
    <w:rsid w:val="003E1EEC"/>
    <w:rsid w:val="003E6790"/>
    <w:rsid w:val="003F034A"/>
    <w:rsid w:val="003F20A6"/>
    <w:rsid w:val="003F43E5"/>
    <w:rsid w:val="00401FAF"/>
    <w:rsid w:val="00402148"/>
    <w:rsid w:val="0040287A"/>
    <w:rsid w:val="00403016"/>
    <w:rsid w:val="004033B9"/>
    <w:rsid w:val="004107C3"/>
    <w:rsid w:val="0041080A"/>
    <w:rsid w:val="004169FA"/>
    <w:rsid w:val="00416C80"/>
    <w:rsid w:val="00416EA9"/>
    <w:rsid w:val="00417944"/>
    <w:rsid w:val="004222EC"/>
    <w:rsid w:val="00425DE1"/>
    <w:rsid w:val="004261D1"/>
    <w:rsid w:val="004315EC"/>
    <w:rsid w:val="00431E35"/>
    <w:rsid w:val="00432FF6"/>
    <w:rsid w:val="00436EA7"/>
    <w:rsid w:val="00444C60"/>
    <w:rsid w:val="00447888"/>
    <w:rsid w:val="00447FB5"/>
    <w:rsid w:val="0045122C"/>
    <w:rsid w:val="00456395"/>
    <w:rsid w:val="004640FB"/>
    <w:rsid w:val="00465AF5"/>
    <w:rsid w:val="004673A8"/>
    <w:rsid w:val="00470336"/>
    <w:rsid w:val="004723CC"/>
    <w:rsid w:val="00474633"/>
    <w:rsid w:val="004768C1"/>
    <w:rsid w:val="00486000"/>
    <w:rsid w:val="004917CE"/>
    <w:rsid w:val="00493874"/>
    <w:rsid w:val="00495B2A"/>
    <w:rsid w:val="00497392"/>
    <w:rsid w:val="004A31D6"/>
    <w:rsid w:val="004A4539"/>
    <w:rsid w:val="004A5D9C"/>
    <w:rsid w:val="004A6F09"/>
    <w:rsid w:val="004A779B"/>
    <w:rsid w:val="004C076C"/>
    <w:rsid w:val="004C0D0E"/>
    <w:rsid w:val="004C13D2"/>
    <w:rsid w:val="004C556D"/>
    <w:rsid w:val="004C5FB8"/>
    <w:rsid w:val="004C6B8B"/>
    <w:rsid w:val="004D05CB"/>
    <w:rsid w:val="004D0C01"/>
    <w:rsid w:val="004D4900"/>
    <w:rsid w:val="004D683B"/>
    <w:rsid w:val="004E4FFA"/>
    <w:rsid w:val="004E641C"/>
    <w:rsid w:val="004E6858"/>
    <w:rsid w:val="004E6F33"/>
    <w:rsid w:val="004F0861"/>
    <w:rsid w:val="004F0C18"/>
    <w:rsid w:val="004F2A5B"/>
    <w:rsid w:val="00503069"/>
    <w:rsid w:val="00503B39"/>
    <w:rsid w:val="005048E6"/>
    <w:rsid w:val="005076D5"/>
    <w:rsid w:val="005112F0"/>
    <w:rsid w:val="00511E52"/>
    <w:rsid w:val="005121EA"/>
    <w:rsid w:val="005133D9"/>
    <w:rsid w:val="00521E6A"/>
    <w:rsid w:val="00523A5B"/>
    <w:rsid w:val="00525477"/>
    <w:rsid w:val="00525B2B"/>
    <w:rsid w:val="0053797E"/>
    <w:rsid w:val="00543638"/>
    <w:rsid w:val="005441AD"/>
    <w:rsid w:val="00546340"/>
    <w:rsid w:val="0054743A"/>
    <w:rsid w:val="00553796"/>
    <w:rsid w:val="00555A9F"/>
    <w:rsid w:val="0055602F"/>
    <w:rsid w:val="0056130A"/>
    <w:rsid w:val="00561CF1"/>
    <w:rsid w:val="00562FEF"/>
    <w:rsid w:val="00564789"/>
    <w:rsid w:val="00565A1D"/>
    <w:rsid w:val="005713C3"/>
    <w:rsid w:val="00573CC0"/>
    <w:rsid w:val="0057479B"/>
    <w:rsid w:val="005768C3"/>
    <w:rsid w:val="00576E5E"/>
    <w:rsid w:val="00576F6A"/>
    <w:rsid w:val="00577647"/>
    <w:rsid w:val="00582671"/>
    <w:rsid w:val="00585E79"/>
    <w:rsid w:val="00591B9E"/>
    <w:rsid w:val="005966D6"/>
    <w:rsid w:val="005A24E5"/>
    <w:rsid w:val="005B3F08"/>
    <w:rsid w:val="005B5612"/>
    <w:rsid w:val="005B5720"/>
    <w:rsid w:val="005B58BF"/>
    <w:rsid w:val="005B780C"/>
    <w:rsid w:val="005C2F0F"/>
    <w:rsid w:val="005C42F3"/>
    <w:rsid w:val="005C4A0B"/>
    <w:rsid w:val="005C537D"/>
    <w:rsid w:val="005C7385"/>
    <w:rsid w:val="005D062A"/>
    <w:rsid w:val="005D0EA4"/>
    <w:rsid w:val="005D6287"/>
    <w:rsid w:val="005E3B09"/>
    <w:rsid w:val="005E4C0F"/>
    <w:rsid w:val="005E4D7A"/>
    <w:rsid w:val="005E689A"/>
    <w:rsid w:val="00601584"/>
    <w:rsid w:val="006059BF"/>
    <w:rsid w:val="006074B0"/>
    <w:rsid w:val="00614609"/>
    <w:rsid w:val="00614709"/>
    <w:rsid w:val="006159E7"/>
    <w:rsid w:val="00615AE8"/>
    <w:rsid w:val="00616760"/>
    <w:rsid w:val="0061678E"/>
    <w:rsid w:val="00622195"/>
    <w:rsid w:val="0063034F"/>
    <w:rsid w:val="00630994"/>
    <w:rsid w:val="0063135C"/>
    <w:rsid w:val="006345E0"/>
    <w:rsid w:val="006352F6"/>
    <w:rsid w:val="0063553F"/>
    <w:rsid w:val="006374C4"/>
    <w:rsid w:val="00656525"/>
    <w:rsid w:val="00657D48"/>
    <w:rsid w:val="0066286A"/>
    <w:rsid w:val="00663A30"/>
    <w:rsid w:val="006655C4"/>
    <w:rsid w:val="00665AE8"/>
    <w:rsid w:val="006703E5"/>
    <w:rsid w:val="0067224C"/>
    <w:rsid w:val="00675141"/>
    <w:rsid w:val="006755D4"/>
    <w:rsid w:val="0068148A"/>
    <w:rsid w:val="0068465F"/>
    <w:rsid w:val="00684F68"/>
    <w:rsid w:val="00686864"/>
    <w:rsid w:val="006976C5"/>
    <w:rsid w:val="006A065F"/>
    <w:rsid w:val="006A0F8C"/>
    <w:rsid w:val="006A4478"/>
    <w:rsid w:val="006B46C7"/>
    <w:rsid w:val="006B4CFB"/>
    <w:rsid w:val="006B5B6C"/>
    <w:rsid w:val="006B7AA8"/>
    <w:rsid w:val="006C0971"/>
    <w:rsid w:val="006C2DC6"/>
    <w:rsid w:val="006C4A74"/>
    <w:rsid w:val="006C5024"/>
    <w:rsid w:val="006D42FA"/>
    <w:rsid w:val="006D595F"/>
    <w:rsid w:val="006D5ED1"/>
    <w:rsid w:val="006E512E"/>
    <w:rsid w:val="006E6F12"/>
    <w:rsid w:val="006E77CC"/>
    <w:rsid w:val="006E7C7B"/>
    <w:rsid w:val="006F4D63"/>
    <w:rsid w:val="006F7559"/>
    <w:rsid w:val="006F79B8"/>
    <w:rsid w:val="007039AD"/>
    <w:rsid w:val="0070622A"/>
    <w:rsid w:val="00710028"/>
    <w:rsid w:val="0071022F"/>
    <w:rsid w:val="00714956"/>
    <w:rsid w:val="007227D9"/>
    <w:rsid w:val="00723BB5"/>
    <w:rsid w:val="00727495"/>
    <w:rsid w:val="00730B86"/>
    <w:rsid w:val="00734775"/>
    <w:rsid w:val="00734B77"/>
    <w:rsid w:val="00737562"/>
    <w:rsid w:val="00741DA4"/>
    <w:rsid w:val="0074726F"/>
    <w:rsid w:val="007514BE"/>
    <w:rsid w:val="00754B57"/>
    <w:rsid w:val="007551CD"/>
    <w:rsid w:val="00755D4B"/>
    <w:rsid w:val="00757090"/>
    <w:rsid w:val="007573B8"/>
    <w:rsid w:val="007576B0"/>
    <w:rsid w:val="00766695"/>
    <w:rsid w:val="0076734E"/>
    <w:rsid w:val="007702C1"/>
    <w:rsid w:val="007708A1"/>
    <w:rsid w:val="00772262"/>
    <w:rsid w:val="0078324E"/>
    <w:rsid w:val="007851FD"/>
    <w:rsid w:val="0079022E"/>
    <w:rsid w:val="0079185A"/>
    <w:rsid w:val="00792DAE"/>
    <w:rsid w:val="007A24BC"/>
    <w:rsid w:val="007B1B33"/>
    <w:rsid w:val="007B65D3"/>
    <w:rsid w:val="007C2E08"/>
    <w:rsid w:val="007C3111"/>
    <w:rsid w:val="007C3E1A"/>
    <w:rsid w:val="007D0A3A"/>
    <w:rsid w:val="007D4B0F"/>
    <w:rsid w:val="007E40EC"/>
    <w:rsid w:val="007E5786"/>
    <w:rsid w:val="007F31E8"/>
    <w:rsid w:val="007F36DB"/>
    <w:rsid w:val="007F52E0"/>
    <w:rsid w:val="007F5519"/>
    <w:rsid w:val="007F6309"/>
    <w:rsid w:val="008035D3"/>
    <w:rsid w:val="0080544F"/>
    <w:rsid w:val="00805FB4"/>
    <w:rsid w:val="00807308"/>
    <w:rsid w:val="008145E9"/>
    <w:rsid w:val="0081553B"/>
    <w:rsid w:val="00824E51"/>
    <w:rsid w:val="008301BF"/>
    <w:rsid w:val="008346E8"/>
    <w:rsid w:val="008348F8"/>
    <w:rsid w:val="00834EBC"/>
    <w:rsid w:val="00855274"/>
    <w:rsid w:val="008576E4"/>
    <w:rsid w:val="00863686"/>
    <w:rsid w:val="00870377"/>
    <w:rsid w:val="008704C6"/>
    <w:rsid w:val="00872887"/>
    <w:rsid w:val="00873BB5"/>
    <w:rsid w:val="00875048"/>
    <w:rsid w:val="00880B24"/>
    <w:rsid w:val="00883F10"/>
    <w:rsid w:val="00884218"/>
    <w:rsid w:val="008848C8"/>
    <w:rsid w:val="0089263B"/>
    <w:rsid w:val="008929BF"/>
    <w:rsid w:val="00897119"/>
    <w:rsid w:val="008A0C2F"/>
    <w:rsid w:val="008A1E27"/>
    <w:rsid w:val="008A35E4"/>
    <w:rsid w:val="008A5508"/>
    <w:rsid w:val="008A5744"/>
    <w:rsid w:val="008B38D2"/>
    <w:rsid w:val="008B7EA3"/>
    <w:rsid w:val="008C5D1B"/>
    <w:rsid w:val="008C709F"/>
    <w:rsid w:val="008D02E1"/>
    <w:rsid w:val="008D1070"/>
    <w:rsid w:val="008D2564"/>
    <w:rsid w:val="008E1A89"/>
    <w:rsid w:val="008F1235"/>
    <w:rsid w:val="008F4C4E"/>
    <w:rsid w:val="008F5463"/>
    <w:rsid w:val="008F7D71"/>
    <w:rsid w:val="0090168D"/>
    <w:rsid w:val="00902CE9"/>
    <w:rsid w:val="00903B54"/>
    <w:rsid w:val="009077E7"/>
    <w:rsid w:val="009132E0"/>
    <w:rsid w:val="009225C4"/>
    <w:rsid w:val="00925221"/>
    <w:rsid w:val="00927BE0"/>
    <w:rsid w:val="009322F3"/>
    <w:rsid w:val="0094076C"/>
    <w:rsid w:val="00947A8D"/>
    <w:rsid w:val="00950A6F"/>
    <w:rsid w:val="009537CE"/>
    <w:rsid w:val="009548C8"/>
    <w:rsid w:val="00955E18"/>
    <w:rsid w:val="00957F1B"/>
    <w:rsid w:val="0096128C"/>
    <w:rsid w:val="00967449"/>
    <w:rsid w:val="00967C09"/>
    <w:rsid w:val="00967F5A"/>
    <w:rsid w:val="0097510D"/>
    <w:rsid w:val="00976016"/>
    <w:rsid w:val="00976051"/>
    <w:rsid w:val="00985F5E"/>
    <w:rsid w:val="009873E0"/>
    <w:rsid w:val="0099054A"/>
    <w:rsid w:val="00994978"/>
    <w:rsid w:val="009962B4"/>
    <w:rsid w:val="009966AC"/>
    <w:rsid w:val="0099729F"/>
    <w:rsid w:val="009A2981"/>
    <w:rsid w:val="009A5D6B"/>
    <w:rsid w:val="009C0B69"/>
    <w:rsid w:val="009C0FFB"/>
    <w:rsid w:val="009C2022"/>
    <w:rsid w:val="009D183E"/>
    <w:rsid w:val="009D1D05"/>
    <w:rsid w:val="009D6D1D"/>
    <w:rsid w:val="009E1CC6"/>
    <w:rsid w:val="009E2B74"/>
    <w:rsid w:val="009E6E55"/>
    <w:rsid w:val="009F19F2"/>
    <w:rsid w:val="009F59C6"/>
    <w:rsid w:val="00A03768"/>
    <w:rsid w:val="00A03F07"/>
    <w:rsid w:val="00A044AA"/>
    <w:rsid w:val="00A10933"/>
    <w:rsid w:val="00A17937"/>
    <w:rsid w:val="00A17C37"/>
    <w:rsid w:val="00A2414F"/>
    <w:rsid w:val="00A30DCE"/>
    <w:rsid w:val="00A3189E"/>
    <w:rsid w:val="00A41A1F"/>
    <w:rsid w:val="00A420F5"/>
    <w:rsid w:val="00A4492F"/>
    <w:rsid w:val="00A47EBE"/>
    <w:rsid w:val="00A52448"/>
    <w:rsid w:val="00A56382"/>
    <w:rsid w:val="00A63F2F"/>
    <w:rsid w:val="00A662C1"/>
    <w:rsid w:val="00A76E27"/>
    <w:rsid w:val="00A82970"/>
    <w:rsid w:val="00A839A2"/>
    <w:rsid w:val="00A83CA7"/>
    <w:rsid w:val="00A855AF"/>
    <w:rsid w:val="00A950D1"/>
    <w:rsid w:val="00A959D1"/>
    <w:rsid w:val="00AA3748"/>
    <w:rsid w:val="00AA54C1"/>
    <w:rsid w:val="00AA64DA"/>
    <w:rsid w:val="00AB05C2"/>
    <w:rsid w:val="00AC1C27"/>
    <w:rsid w:val="00AC616E"/>
    <w:rsid w:val="00AC72AB"/>
    <w:rsid w:val="00AD3B89"/>
    <w:rsid w:val="00AD5E1B"/>
    <w:rsid w:val="00AE0189"/>
    <w:rsid w:val="00AE1F4F"/>
    <w:rsid w:val="00AF1E1B"/>
    <w:rsid w:val="00AF4D33"/>
    <w:rsid w:val="00AF7F21"/>
    <w:rsid w:val="00B040C2"/>
    <w:rsid w:val="00B11358"/>
    <w:rsid w:val="00B11EF4"/>
    <w:rsid w:val="00B142FD"/>
    <w:rsid w:val="00B154A1"/>
    <w:rsid w:val="00B16988"/>
    <w:rsid w:val="00B16D29"/>
    <w:rsid w:val="00B2016C"/>
    <w:rsid w:val="00B212F2"/>
    <w:rsid w:val="00B21BEF"/>
    <w:rsid w:val="00B22082"/>
    <w:rsid w:val="00B351CC"/>
    <w:rsid w:val="00B35B39"/>
    <w:rsid w:val="00B37B3D"/>
    <w:rsid w:val="00B42274"/>
    <w:rsid w:val="00B42445"/>
    <w:rsid w:val="00B44625"/>
    <w:rsid w:val="00B44DC6"/>
    <w:rsid w:val="00B46EC2"/>
    <w:rsid w:val="00B473B3"/>
    <w:rsid w:val="00B47B0B"/>
    <w:rsid w:val="00B47EEE"/>
    <w:rsid w:val="00B51103"/>
    <w:rsid w:val="00B51FCB"/>
    <w:rsid w:val="00B54076"/>
    <w:rsid w:val="00B54D07"/>
    <w:rsid w:val="00B5577C"/>
    <w:rsid w:val="00B57018"/>
    <w:rsid w:val="00B619A9"/>
    <w:rsid w:val="00B64254"/>
    <w:rsid w:val="00B65975"/>
    <w:rsid w:val="00B6660F"/>
    <w:rsid w:val="00B71917"/>
    <w:rsid w:val="00B7359F"/>
    <w:rsid w:val="00B804C5"/>
    <w:rsid w:val="00B84EED"/>
    <w:rsid w:val="00B856D4"/>
    <w:rsid w:val="00B929DB"/>
    <w:rsid w:val="00B92CAB"/>
    <w:rsid w:val="00BB38E0"/>
    <w:rsid w:val="00BB3B90"/>
    <w:rsid w:val="00BB6174"/>
    <w:rsid w:val="00BC4790"/>
    <w:rsid w:val="00BC7D6A"/>
    <w:rsid w:val="00BD04E2"/>
    <w:rsid w:val="00BD43A0"/>
    <w:rsid w:val="00BD71E3"/>
    <w:rsid w:val="00BE14C1"/>
    <w:rsid w:val="00BE30F5"/>
    <w:rsid w:val="00BF1599"/>
    <w:rsid w:val="00BF6202"/>
    <w:rsid w:val="00BF6492"/>
    <w:rsid w:val="00BF7ED2"/>
    <w:rsid w:val="00C01CCD"/>
    <w:rsid w:val="00C02CBB"/>
    <w:rsid w:val="00C15863"/>
    <w:rsid w:val="00C16285"/>
    <w:rsid w:val="00C17BFD"/>
    <w:rsid w:val="00C2353C"/>
    <w:rsid w:val="00C27C91"/>
    <w:rsid w:val="00C32D57"/>
    <w:rsid w:val="00C35A0F"/>
    <w:rsid w:val="00C42526"/>
    <w:rsid w:val="00C43606"/>
    <w:rsid w:val="00C45930"/>
    <w:rsid w:val="00C46F50"/>
    <w:rsid w:val="00C509AB"/>
    <w:rsid w:val="00C51CD1"/>
    <w:rsid w:val="00C55365"/>
    <w:rsid w:val="00C63405"/>
    <w:rsid w:val="00C64E5B"/>
    <w:rsid w:val="00C667A2"/>
    <w:rsid w:val="00C67445"/>
    <w:rsid w:val="00C67EA6"/>
    <w:rsid w:val="00C75F6F"/>
    <w:rsid w:val="00C76476"/>
    <w:rsid w:val="00C95149"/>
    <w:rsid w:val="00C95ECB"/>
    <w:rsid w:val="00CB1E6E"/>
    <w:rsid w:val="00CB4E37"/>
    <w:rsid w:val="00CC0076"/>
    <w:rsid w:val="00CC0794"/>
    <w:rsid w:val="00CC0D58"/>
    <w:rsid w:val="00CC7523"/>
    <w:rsid w:val="00CD23C8"/>
    <w:rsid w:val="00CE27BD"/>
    <w:rsid w:val="00CF423E"/>
    <w:rsid w:val="00CF503A"/>
    <w:rsid w:val="00D02AEB"/>
    <w:rsid w:val="00D03A95"/>
    <w:rsid w:val="00D1143D"/>
    <w:rsid w:val="00D1178D"/>
    <w:rsid w:val="00D15D90"/>
    <w:rsid w:val="00D17A78"/>
    <w:rsid w:val="00D17D1F"/>
    <w:rsid w:val="00D20E4A"/>
    <w:rsid w:val="00D24A94"/>
    <w:rsid w:val="00D25750"/>
    <w:rsid w:val="00D3179D"/>
    <w:rsid w:val="00D323A4"/>
    <w:rsid w:val="00D32D59"/>
    <w:rsid w:val="00D45AD5"/>
    <w:rsid w:val="00D50281"/>
    <w:rsid w:val="00D54AD4"/>
    <w:rsid w:val="00D57E8C"/>
    <w:rsid w:val="00D64224"/>
    <w:rsid w:val="00D73B97"/>
    <w:rsid w:val="00D836BF"/>
    <w:rsid w:val="00D951B3"/>
    <w:rsid w:val="00DA129E"/>
    <w:rsid w:val="00DA153E"/>
    <w:rsid w:val="00DA1C18"/>
    <w:rsid w:val="00DA3C38"/>
    <w:rsid w:val="00DB07C3"/>
    <w:rsid w:val="00DB3D0A"/>
    <w:rsid w:val="00DB3E45"/>
    <w:rsid w:val="00DB5AE4"/>
    <w:rsid w:val="00DB66D3"/>
    <w:rsid w:val="00DB7AA7"/>
    <w:rsid w:val="00DB7D3B"/>
    <w:rsid w:val="00DC4537"/>
    <w:rsid w:val="00DC6490"/>
    <w:rsid w:val="00DD1663"/>
    <w:rsid w:val="00DD5B75"/>
    <w:rsid w:val="00DD7450"/>
    <w:rsid w:val="00DE118C"/>
    <w:rsid w:val="00DE359E"/>
    <w:rsid w:val="00DE3814"/>
    <w:rsid w:val="00DE52BD"/>
    <w:rsid w:val="00DE56E7"/>
    <w:rsid w:val="00DF18E0"/>
    <w:rsid w:val="00DF32D1"/>
    <w:rsid w:val="00DF3409"/>
    <w:rsid w:val="00DF38B4"/>
    <w:rsid w:val="00DF42BC"/>
    <w:rsid w:val="00DF6A1D"/>
    <w:rsid w:val="00E00D40"/>
    <w:rsid w:val="00E04DB9"/>
    <w:rsid w:val="00E176B3"/>
    <w:rsid w:val="00E20E97"/>
    <w:rsid w:val="00E255D3"/>
    <w:rsid w:val="00E2674F"/>
    <w:rsid w:val="00E27381"/>
    <w:rsid w:val="00E33C1B"/>
    <w:rsid w:val="00E403CA"/>
    <w:rsid w:val="00E41AB7"/>
    <w:rsid w:val="00E42C58"/>
    <w:rsid w:val="00E44751"/>
    <w:rsid w:val="00E5165A"/>
    <w:rsid w:val="00E5471D"/>
    <w:rsid w:val="00E54A14"/>
    <w:rsid w:val="00E56A40"/>
    <w:rsid w:val="00E576E4"/>
    <w:rsid w:val="00E57ADB"/>
    <w:rsid w:val="00E607EE"/>
    <w:rsid w:val="00E66FD5"/>
    <w:rsid w:val="00E71FB2"/>
    <w:rsid w:val="00E83AA1"/>
    <w:rsid w:val="00E8441D"/>
    <w:rsid w:val="00E94B47"/>
    <w:rsid w:val="00E96424"/>
    <w:rsid w:val="00E9657D"/>
    <w:rsid w:val="00EA406A"/>
    <w:rsid w:val="00EA53BC"/>
    <w:rsid w:val="00EA7557"/>
    <w:rsid w:val="00EA7D11"/>
    <w:rsid w:val="00EB2709"/>
    <w:rsid w:val="00EB27A2"/>
    <w:rsid w:val="00EB27F2"/>
    <w:rsid w:val="00EB3628"/>
    <w:rsid w:val="00EB54A5"/>
    <w:rsid w:val="00ED02F5"/>
    <w:rsid w:val="00ED0603"/>
    <w:rsid w:val="00ED0E56"/>
    <w:rsid w:val="00ED3EAE"/>
    <w:rsid w:val="00ED5258"/>
    <w:rsid w:val="00ED6FEB"/>
    <w:rsid w:val="00EE77EB"/>
    <w:rsid w:val="00EF0150"/>
    <w:rsid w:val="00EF35C1"/>
    <w:rsid w:val="00EF419B"/>
    <w:rsid w:val="00EF6CEB"/>
    <w:rsid w:val="00F03821"/>
    <w:rsid w:val="00F04CBB"/>
    <w:rsid w:val="00F0548B"/>
    <w:rsid w:val="00F06E3B"/>
    <w:rsid w:val="00F071D9"/>
    <w:rsid w:val="00F10626"/>
    <w:rsid w:val="00F121F8"/>
    <w:rsid w:val="00F122D1"/>
    <w:rsid w:val="00F14ACD"/>
    <w:rsid w:val="00F161DD"/>
    <w:rsid w:val="00F2050C"/>
    <w:rsid w:val="00F2319F"/>
    <w:rsid w:val="00F2794E"/>
    <w:rsid w:val="00F30117"/>
    <w:rsid w:val="00F31869"/>
    <w:rsid w:val="00F37C97"/>
    <w:rsid w:val="00F40B30"/>
    <w:rsid w:val="00F41B4D"/>
    <w:rsid w:val="00F44807"/>
    <w:rsid w:val="00F52789"/>
    <w:rsid w:val="00F52DDD"/>
    <w:rsid w:val="00F546E4"/>
    <w:rsid w:val="00F572BA"/>
    <w:rsid w:val="00F576F3"/>
    <w:rsid w:val="00F60C86"/>
    <w:rsid w:val="00F6651C"/>
    <w:rsid w:val="00F70778"/>
    <w:rsid w:val="00F710E1"/>
    <w:rsid w:val="00F71A94"/>
    <w:rsid w:val="00F74578"/>
    <w:rsid w:val="00F74A03"/>
    <w:rsid w:val="00F8235A"/>
    <w:rsid w:val="00F85CFE"/>
    <w:rsid w:val="00F908F4"/>
    <w:rsid w:val="00F96C57"/>
    <w:rsid w:val="00FA0783"/>
    <w:rsid w:val="00FA3861"/>
    <w:rsid w:val="00FB024E"/>
    <w:rsid w:val="00FB2EF1"/>
    <w:rsid w:val="00FB4142"/>
    <w:rsid w:val="00FB53E1"/>
    <w:rsid w:val="00FB6BEB"/>
    <w:rsid w:val="00FC58A3"/>
    <w:rsid w:val="00FD5DC4"/>
    <w:rsid w:val="00FD647C"/>
    <w:rsid w:val="00FD70DC"/>
    <w:rsid w:val="00FD71D3"/>
    <w:rsid w:val="00FE3118"/>
    <w:rsid w:val="00FE4522"/>
    <w:rsid w:val="00FE4EBB"/>
    <w:rsid w:val="00FF2A3E"/>
    <w:rsid w:val="00FF3C43"/>
    <w:rsid w:val="00FF4E18"/>
    <w:rsid w:val="02D73F78"/>
    <w:rsid w:val="126C7906"/>
    <w:rsid w:val="15BE1232"/>
    <w:rsid w:val="184D2D8F"/>
    <w:rsid w:val="28DB0E17"/>
    <w:rsid w:val="421D04C5"/>
    <w:rsid w:val="4238375D"/>
    <w:rsid w:val="6BDA26F9"/>
    <w:rsid w:val="6F9E0083"/>
    <w:rsid w:val="71855F5A"/>
    <w:rsid w:val="7C7D655E"/>
  </w:rsids>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qFormat="1"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paragraph" w:styleId="2">
    <w:name w:val="heading 3"/>
    <w:basedOn w:val="1"/>
    <w:next w:val="1"/>
    <w:link w:val="26"/>
    <w:qFormat/>
    <w:uiPriority w:val="0"/>
    <w:pPr>
      <w:keepNext/>
      <w:keepLines/>
      <w:numPr>
        <w:ilvl w:val="0"/>
        <w:numId w:val="1"/>
      </w:numPr>
      <w:spacing w:before="260" w:after="260"/>
      <w:outlineLvl w:val="2"/>
    </w:pPr>
    <w:rPr>
      <w:rFonts w:ascii="华文中宋" w:hAnsi="华文中宋" w:eastAsia="华文中宋" w:cs="Times New Roman"/>
      <w:bCs/>
      <w:szCs w:val="21"/>
    </w:rPr>
  </w:style>
  <w:style w:type="character" w:default="1" w:styleId="11">
    <w:name w:val="Default Paragraph Font"/>
    <w:unhideWhenUsed/>
    <w:qFormat/>
    <w:uiPriority w:val="1"/>
  </w:style>
  <w:style w:type="table" w:default="1" w:styleId="14">
    <w:name w:val="Normal Table"/>
    <w:unhideWhenUsed/>
    <w:qFormat/>
    <w:uiPriority w:val="99"/>
    <w:tblPr>
      <w:tblLayout w:type="fixed"/>
      <w:tblCellMar>
        <w:top w:w="0" w:type="dxa"/>
        <w:left w:w="108" w:type="dxa"/>
        <w:bottom w:w="0" w:type="dxa"/>
        <w:right w:w="108" w:type="dxa"/>
      </w:tblCellMar>
    </w:tblPr>
    <w:tcPr>
      <w:textDirection w:val="lrTb"/>
    </w:tcPr>
  </w:style>
  <w:style w:type="paragraph" w:styleId="3">
    <w:name w:val="annotation subject"/>
    <w:basedOn w:val="4"/>
    <w:next w:val="4"/>
    <w:link w:val="22"/>
    <w:unhideWhenUsed/>
    <w:qFormat/>
    <w:uiPriority w:val="99"/>
    <w:rPr>
      <w:b/>
      <w:bCs/>
    </w:rPr>
  </w:style>
  <w:style w:type="paragraph" w:styleId="4">
    <w:name w:val="annotation text"/>
    <w:basedOn w:val="1"/>
    <w:link w:val="21"/>
    <w:unhideWhenUsed/>
    <w:qFormat/>
    <w:uiPriority w:val="99"/>
    <w:pPr>
      <w:jc w:val="left"/>
    </w:pPr>
  </w:style>
  <w:style w:type="paragraph" w:styleId="5">
    <w:name w:val="Document Map"/>
    <w:basedOn w:val="1"/>
    <w:link w:val="25"/>
    <w:unhideWhenUsed/>
    <w:qFormat/>
    <w:uiPriority w:val="99"/>
    <w:rPr>
      <w:rFonts w:ascii="宋体" w:eastAsia="宋体"/>
      <w:sz w:val="18"/>
      <w:szCs w:val="18"/>
    </w:rPr>
  </w:style>
  <w:style w:type="paragraph" w:styleId="6">
    <w:name w:val="Balloon Text"/>
    <w:basedOn w:val="1"/>
    <w:link w:val="23"/>
    <w:unhideWhenUsed/>
    <w:qFormat/>
    <w:uiPriority w:val="99"/>
    <w:rPr>
      <w:sz w:val="18"/>
      <w:szCs w:val="18"/>
    </w:rPr>
  </w:style>
  <w:style w:type="paragraph" w:styleId="7">
    <w:name w:val="footer"/>
    <w:basedOn w:val="1"/>
    <w:link w:val="19"/>
    <w:unhideWhenUsed/>
    <w:qFormat/>
    <w:uiPriority w:val="99"/>
    <w:pPr>
      <w:tabs>
        <w:tab w:val="center" w:pos="4153"/>
        <w:tab w:val="right" w:pos="8306"/>
      </w:tabs>
      <w:snapToGrid w:val="0"/>
      <w:jc w:val="left"/>
    </w:pPr>
    <w:rPr>
      <w:sz w:val="18"/>
      <w:szCs w:val="18"/>
    </w:rPr>
  </w:style>
  <w:style w:type="paragraph" w:styleId="8">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Title"/>
    <w:basedOn w:val="1"/>
    <w:next w:val="1"/>
    <w:link w:val="24"/>
    <w:qFormat/>
    <w:uiPriority w:val="0"/>
    <w:pPr>
      <w:spacing w:before="340" w:after="330"/>
      <w:jc w:val="center"/>
      <w:outlineLvl w:val="0"/>
    </w:pPr>
    <w:rPr>
      <w:rFonts w:ascii="Times New Roman" w:hAnsi="Times New Roman" w:eastAsia="宋体" w:cs="Times New Roman"/>
      <w:sz w:val="32"/>
      <w:szCs w:val="32"/>
    </w:rPr>
  </w:style>
  <w:style w:type="character" w:styleId="12">
    <w:name w:val="Hyperlink"/>
    <w:basedOn w:val="11"/>
    <w:unhideWhenUsed/>
    <w:qFormat/>
    <w:uiPriority w:val="99"/>
    <w:rPr>
      <w:color w:val="0000CC"/>
      <w:u w:val="single"/>
    </w:rPr>
  </w:style>
  <w:style w:type="character" w:styleId="13">
    <w:name w:val="annotation reference"/>
    <w:basedOn w:val="11"/>
    <w:unhideWhenUsed/>
    <w:qFormat/>
    <w:uiPriority w:val="99"/>
    <w:rPr>
      <w:sz w:val="21"/>
      <w:szCs w:val="21"/>
    </w:rPr>
  </w:style>
  <w:style w:type="table" w:styleId="15">
    <w:name w:val="Table Grid"/>
    <w:basedOn w:val="1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16">
    <w:name w:val="List Paragraph"/>
    <w:basedOn w:val="1"/>
    <w:qFormat/>
    <w:uiPriority w:val="34"/>
    <w:pPr>
      <w:ind w:firstLine="420" w:firstLineChars="200"/>
    </w:pPr>
  </w:style>
  <w:style w:type="paragraph" w:customStyle="1" w:styleId="17">
    <w:name w:val="Default"/>
    <w:qFormat/>
    <w:uiPriority w:val="0"/>
    <w:pPr>
      <w:widowControl w:val="0"/>
      <w:autoSpaceDE w:val="0"/>
      <w:autoSpaceDN w:val="0"/>
      <w:adjustRightInd w:val="0"/>
    </w:pPr>
    <w:rPr>
      <w:rFonts w:ascii="宋体" w:hAnsi="Calibri" w:eastAsia="宋体" w:cs="宋体"/>
      <w:color w:val="000000"/>
      <w:kern w:val="0"/>
      <w:sz w:val="24"/>
      <w:szCs w:val="24"/>
      <w:lang w:val="en-US" w:eastAsia="zh-CN" w:bidi="ar-SA"/>
    </w:rPr>
  </w:style>
  <w:style w:type="character" w:customStyle="1" w:styleId="18">
    <w:name w:val="页眉 字符"/>
    <w:basedOn w:val="11"/>
    <w:link w:val="8"/>
    <w:qFormat/>
    <w:uiPriority w:val="99"/>
    <w:rPr>
      <w:sz w:val="18"/>
      <w:szCs w:val="18"/>
    </w:rPr>
  </w:style>
  <w:style w:type="character" w:customStyle="1" w:styleId="19">
    <w:name w:val="页脚 字符"/>
    <w:basedOn w:val="11"/>
    <w:link w:val="7"/>
    <w:qFormat/>
    <w:uiPriority w:val="99"/>
    <w:rPr>
      <w:sz w:val="18"/>
      <w:szCs w:val="18"/>
    </w:rPr>
  </w:style>
  <w:style w:type="character" w:customStyle="1" w:styleId="20">
    <w:name w:val="apple-converted-space"/>
    <w:basedOn w:val="11"/>
    <w:qFormat/>
    <w:uiPriority w:val="0"/>
  </w:style>
  <w:style w:type="character" w:customStyle="1" w:styleId="21">
    <w:name w:val="批注文字 字符"/>
    <w:basedOn w:val="11"/>
    <w:link w:val="4"/>
    <w:semiHidden/>
    <w:uiPriority w:val="99"/>
  </w:style>
  <w:style w:type="character" w:customStyle="1" w:styleId="22">
    <w:name w:val="批注主题 字符"/>
    <w:basedOn w:val="21"/>
    <w:link w:val="3"/>
    <w:semiHidden/>
    <w:qFormat/>
    <w:uiPriority w:val="99"/>
    <w:rPr>
      <w:b/>
      <w:bCs/>
    </w:rPr>
  </w:style>
  <w:style w:type="character" w:customStyle="1" w:styleId="23">
    <w:name w:val="批注框文本 字符"/>
    <w:basedOn w:val="11"/>
    <w:link w:val="6"/>
    <w:semiHidden/>
    <w:qFormat/>
    <w:uiPriority w:val="99"/>
    <w:rPr>
      <w:sz w:val="18"/>
      <w:szCs w:val="18"/>
    </w:rPr>
  </w:style>
  <w:style w:type="character" w:customStyle="1" w:styleId="24">
    <w:name w:val="标题 字符"/>
    <w:basedOn w:val="11"/>
    <w:link w:val="10"/>
    <w:uiPriority w:val="0"/>
    <w:rPr>
      <w:rFonts w:ascii="Times New Roman" w:hAnsi="Times New Roman" w:eastAsia="宋体" w:cs="Times New Roman"/>
      <w:sz w:val="32"/>
      <w:szCs w:val="32"/>
    </w:rPr>
  </w:style>
  <w:style w:type="character" w:customStyle="1" w:styleId="25">
    <w:name w:val="文档结构图 字符"/>
    <w:basedOn w:val="11"/>
    <w:link w:val="5"/>
    <w:semiHidden/>
    <w:qFormat/>
    <w:uiPriority w:val="99"/>
    <w:rPr>
      <w:rFonts w:ascii="宋体" w:eastAsia="宋体"/>
      <w:sz w:val="18"/>
      <w:szCs w:val="18"/>
    </w:rPr>
  </w:style>
  <w:style w:type="character" w:customStyle="1" w:styleId="26">
    <w:name w:val="标题 3 字符"/>
    <w:basedOn w:val="11"/>
    <w:link w:val="2"/>
    <w:qFormat/>
    <w:uiPriority w:val="0"/>
    <w:rPr>
      <w:rFonts w:ascii="华文中宋" w:hAnsi="华文中宋" w:eastAsia="华文中宋" w:cs="Times New Roman"/>
      <w:bCs/>
      <w:szCs w:val="21"/>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emf"/><Relationship Id="rId10" Type="http://schemas.openxmlformats.org/officeDocument/2006/relationships/oleObject" Target="embeddings/oleObject1.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mycomputer</Company>
  <Pages>10</Pages>
  <Words>512</Words>
  <Characters>2919</Characters>
  <Lines>24</Lines>
  <Paragraphs>6</Paragraphs>
  <ScaleCrop>false</ScaleCrop>
  <LinksUpToDate>false</LinksUpToDate>
  <CharactersWithSpaces>0</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2019-01-10T07:24:00Z</dcterms:created>
  <dc:creator>Administrator</dc:creator>
  <cp:lastModifiedBy>刘轶群</cp:lastModifiedBy>
  <cp:lastPrinted>2019-01-03T09:14:00Z</cp:lastPrinted>
  <dcterms:modified xsi:type="dcterms:W3CDTF">2019-01-14T10:10:56Z</dcterms:modified>
  <dc:title>深圳市建筑能效公示管理办法</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