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Theme="minorEastAsia" w:hAnsiTheme="minorEastAsia" w:eastAsiaTheme="minorEastAsia" w:cstheme="minorEastAsia"/>
          <w:b/>
          <w:bCs/>
          <w:sz w:val="32"/>
          <w:szCs w:val="32"/>
          <w:lang w:val="en-US" w:eastAsia="zh-CN"/>
        </w:rPr>
      </w:pPr>
      <w:r>
        <w:rPr>
          <w:rFonts w:hint="eastAsia" w:asciiTheme="minorEastAsia" w:hAnsiTheme="minorEastAsia" w:eastAsiaTheme="minorEastAsia" w:cstheme="minorEastAsia"/>
          <w:b/>
          <w:bCs/>
          <w:sz w:val="32"/>
          <w:szCs w:val="32"/>
          <w:lang w:val="en-US" w:eastAsia="zh-CN"/>
        </w:rPr>
        <w:t>对《深圳市建设工程防水技术标准》SJG1</w:t>
      </w:r>
      <w:r>
        <w:rPr>
          <w:rFonts w:hint="eastAsia" w:asciiTheme="minorEastAsia" w:hAnsiTheme="minorEastAsia" w:cstheme="minorEastAsia"/>
          <w:b/>
          <w:bCs/>
          <w:sz w:val="32"/>
          <w:szCs w:val="32"/>
          <w:lang w:val="en-US" w:eastAsia="zh-CN"/>
        </w:rPr>
        <w:t>9</w:t>
      </w:r>
      <w:r>
        <w:rPr>
          <w:rFonts w:hint="eastAsia" w:asciiTheme="minorEastAsia" w:hAnsiTheme="minorEastAsia" w:eastAsiaTheme="minorEastAsia" w:cstheme="minorEastAsia"/>
          <w:b/>
          <w:bCs/>
          <w:sz w:val="32"/>
          <w:szCs w:val="32"/>
          <w:lang w:val="en-US" w:eastAsia="zh-CN"/>
        </w:rPr>
        <w:t>征求意见及处理情况统计</w:t>
      </w:r>
    </w:p>
    <w:p>
      <w:pPr>
        <w:jc w:val="center"/>
        <w:rPr>
          <w:rFonts w:hint="eastAsia" w:asciiTheme="minorEastAsia" w:hAnsi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w:t>
      </w:r>
      <w:r>
        <w:rPr>
          <w:rFonts w:hint="eastAsia" w:asciiTheme="minorEastAsia" w:hAnsiTheme="minorEastAsia" w:cstheme="minorEastAsia"/>
          <w:b w:val="0"/>
          <w:bCs w:val="0"/>
          <w:sz w:val="24"/>
          <w:szCs w:val="24"/>
          <w:lang w:val="en-US" w:eastAsia="zh-CN"/>
        </w:rPr>
        <w:t>深圳市建设工程防水技术标准</w:t>
      </w:r>
      <w:r>
        <w:rPr>
          <w:rFonts w:hint="eastAsia" w:asciiTheme="minorEastAsia" w:hAnsiTheme="minorEastAsia" w:eastAsiaTheme="minorEastAsia" w:cstheme="minorEastAsia"/>
          <w:b w:val="0"/>
          <w:bCs w:val="0"/>
          <w:sz w:val="24"/>
          <w:szCs w:val="24"/>
          <w:lang w:val="en-US" w:eastAsia="zh-CN"/>
        </w:rPr>
        <w:t>》SJG1</w:t>
      </w:r>
      <w:r>
        <w:rPr>
          <w:rFonts w:hint="eastAsia" w:asciiTheme="minorEastAsia" w:hAnsiTheme="minorEastAsia" w:cstheme="minorEastAsia"/>
          <w:b w:val="0"/>
          <w:bCs w:val="0"/>
          <w:sz w:val="24"/>
          <w:szCs w:val="24"/>
          <w:lang w:val="en-US" w:eastAsia="zh-CN"/>
        </w:rPr>
        <w:t>9编制组  2019年2月 26日</w:t>
      </w:r>
    </w:p>
    <w:p>
      <w:pPr>
        <w:jc w:val="center"/>
        <w:rPr>
          <w:rFonts w:hint="eastAsia" w:asciiTheme="minorEastAsia" w:hAnsiTheme="minorEastAsia" w:cstheme="minorEastAsia"/>
          <w:b w:val="0"/>
          <w:bCs w:val="0"/>
          <w:sz w:val="24"/>
          <w:szCs w:val="24"/>
          <w:lang w:val="en-US" w:eastAsia="zh-CN"/>
        </w:rPr>
      </w:pPr>
    </w:p>
    <w:p>
      <w:pPr>
        <w:jc w:val="left"/>
        <w:rPr>
          <w:rFonts w:hint="eastAsia" w:asciiTheme="minorEastAsia" w:hAnsiTheme="minorEastAsia" w:cstheme="minorEastAsia"/>
          <w:b w:val="0"/>
          <w:bCs w:val="0"/>
          <w:sz w:val="24"/>
          <w:szCs w:val="24"/>
          <w:lang w:val="en-US" w:eastAsia="zh-CN"/>
        </w:rPr>
      </w:pPr>
      <w:r>
        <w:rPr>
          <w:rFonts w:hint="eastAsia" w:asciiTheme="minorEastAsia" w:hAnsiTheme="minorEastAsia" w:cstheme="minorEastAsia"/>
          <w:b w:val="0"/>
          <w:bCs w:val="0"/>
          <w:sz w:val="24"/>
          <w:szCs w:val="24"/>
          <w:lang w:val="en-US" w:eastAsia="zh-CN"/>
        </w:rPr>
        <w:t>本次征求意见工作共收45条有效意见。其中，采纳8条，部分采纳4条，未采纳33条。</w:t>
      </w:r>
    </w:p>
    <w:tbl>
      <w:tblPr>
        <w:tblStyle w:val="6"/>
        <w:tblW w:w="1561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2107"/>
        <w:gridCol w:w="975"/>
        <w:gridCol w:w="7080"/>
        <w:gridCol w:w="1095"/>
        <w:gridCol w:w="36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20" w:hRule="atLeast"/>
          <w:tblHeader/>
        </w:trPr>
        <w:tc>
          <w:tcPr>
            <w:tcW w:w="705" w:type="dxa"/>
            <w:vAlign w:val="center"/>
          </w:tcPr>
          <w:p>
            <w:pPr>
              <w:ind w:left="-199" w:leftChars="-95" w:firstLine="210" w:firstLineChars="100"/>
              <w:jc w:val="center"/>
              <w:rPr>
                <w:rFonts w:hint="eastAsia" w:ascii="宋体" w:hAnsi="宋体" w:eastAsia="宋体"/>
                <w:sz w:val="21"/>
                <w:szCs w:val="21"/>
                <w:lang w:val="en-US" w:eastAsia="zh-CN"/>
              </w:rPr>
            </w:pPr>
            <w:r>
              <w:rPr>
                <w:rFonts w:hint="eastAsia" w:ascii="宋体" w:hAnsi="宋体" w:eastAsia="宋体"/>
                <w:sz w:val="21"/>
                <w:szCs w:val="21"/>
                <w:lang w:val="en-US" w:eastAsia="zh-CN"/>
              </w:rPr>
              <w:t>序号</w:t>
            </w:r>
          </w:p>
        </w:tc>
        <w:tc>
          <w:tcPr>
            <w:tcW w:w="2107" w:type="dxa"/>
            <w:vAlign w:val="center"/>
          </w:tcPr>
          <w:p>
            <w:pPr>
              <w:ind w:left="-199" w:leftChars="-95" w:firstLine="210" w:firstLineChars="100"/>
              <w:jc w:val="center"/>
              <w:rPr>
                <w:rFonts w:hint="eastAsia" w:ascii="宋体" w:hAnsi="宋体" w:eastAsia="宋体"/>
                <w:sz w:val="21"/>
                <w:szCs w:val="21"/>
                <w:lang w:val="en-US" w:eastAsia="zh-CN"/>
              </w:rPr>
            </w:pPr>
            <w:r>
              <w:rPr>
                <w:rFonts w:hint="eastAsia" w:ascii="宋体" w:hAnsi="宋体" w:eastAsia="宋体"/>
                <w:sz w:val="21"/>
                <w:szCs w:val="21"/>
                <w:lang w:val="en-US" w:eastAsia="zh-CN"/>
              </w:rPr>
              <w:t>单位或专家名称</w:t>
            </w:r>
          </w:p>
        </w:tc>
        <w:tc>
          <w:tcPr>
            <w:tcW w:w="975" w:type="dxa"/>
            <w:vAlign w:val="center"/>
          </w:tcPr>
          <w:p>
            <w:pPr>
              <w:ind w:left="-199" w:leftChars="-95" w:firstLine="210" w:firstLineChars="100"/>
              <w:jc w:val="center"/>
              <w:rPr>
                <w:rFonts w:hint="eastAsia" w:ascii="宋体" w:hAnsi="宋体" w:eastAsia="宋体"/>
                <w:sz w:val="21"/>
                <w:szCs w:val="21"/>
                <w:lang w:val="en-US" w:eastAsia="zh-CN"/>
              </w:rPr>
            </w:pPr>
            <w:r>
              <w:rPr>
                <w:rFonts w:hint="eastAsia" w:ascii="宋体" w:hAnsi="宋体" w:eastAsia="宋体"/>
                <w:sz w:val="21"/>
                <w:szCs w:val="21"/>
                <w:lang w:val="en-US" w:eastAsia="zh-CN"/>
              </w:rPr>
              <w:t>条文</w:t>
            </w:r>
          </w:p>
        </w:tc>
        <w:tc>
          <w:tcPr>
            <w:tcW w:w="7080" w:type="dxa"/>
            <w:vAlign w:val="center"/>
          </w:tcPr>
          <w:p>
            <w:pPr>
              <w:ind w:left="-199" w:leftChars="-95" w:firstLine="210" w:firstLineChars="100"/>
              <w:jc w:val="center"/>
              <w:rPr>
                <w:rFonts w:hint="eastAsia" w:ascii="宋体" w:hAnsi="宋体" w:eastAsia="宋体"/>
                <w:sz w:val="21"/>
                <w:szCs w:val="21"/>
                <w:lang w:val="en-US" w:eastAsia="zh-CN"/>
              </w:rPr>
            </w:pPr>
            <w:r>
              <w:rPr>
                <w:rFonts w:hint="eastAsia" w:ascii="宋体" w:hAnsi="宋体" w:eastAsia="宋体"/>
                <w:sz w:val="21"/>
                <w:szCs w:val="21"/>
                <w:lang w:val="en-US" w:eastAsia="zh-CN"/>
              </w:rPr>
              <w:t>修改意见</w:t>
            </w:r>
          </w:p>
        </w:tc>
        <w:tc>
          <w:tcPr>
            <w:tcW w:w="1095" w:type="dxa"/>
            <w:vAlign w:val="center"/>
          </w:tcPr>
          <w:p>
            <w:pPr>
              <w:ind w:left="-199" w:leftChars="-95" w:firstLine="210" w:firstLineChars="100"/>
              <w:jc w:val="center"/>
              <w:rPr>
                <w:rFonts w:hint="eastAsia" w:ascii="宋体" w:hAnsi="宋体" w:eastAsia="宋体"/>
                <w:sz w:val="21"/>
                <w:szCs w:val="21"/>
                <w:lang w:val="en-US" w:eastAsia="zh-CN"/>
              </w:rPr>
            </w:pPr>
            <w:r>
              <w:rPr>
                <w:rFonts w:hint="eastAsia" w:ascii="宋体" w:hAnsi="宋体" w:eastAsia="宋体"/>
                <w:sz w:val="21"/>
                <w:szCs w:val="21"/>
                <w:lang w:val="en-US" w:eastAsia="zh-CN"/>
              </w:rPr>
              <w:t>处理情况</w:t>
            </w:r>
          </w:p>
        </w:tc>
        <w:tc>
          <w:tcPr>
            <w:tcW w:w="3652" w:type="dxa"/>
            <w:vAlign w:val="center"/>
          </w:tcPr>
          <w:p>
            <w:pPr>
              <w:ind w:left="-199" w:leftChars="-95" w:firstLine="210" w:firstLineChars="100"/>
              <w:jc w:val="center"/>
              <w:rPr>
                <w:rFonts w:hint="eastAsia" w:ascii="宋体" w:hAnsi="宋体" w:eastAsia="宋体"/>
                <w:sz w:val="21"/>
                <w:szCs w:val="21"/>
                <w:lang w:val="en-US" w:eastAsia="zh-CN"/>
              </w:rPr>
            </w:pPr>
            <w:r>
              <w:rPr>
                <w:rFonts w:hint="eastAsia" w:ascii="宋体" w:hAnsi="宋体" w:eastAsia="宋体"/>
                <w:sz w:val="21"/>
                <w:szCs w:val="21"/>
                <w:lang w:val="en-US" w:eastAsia="zh-CN"/>
              </w:rPr>
              <w:t>原因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2" w:hRule="atLeast"/>
        </w:trPr>
        <w:tc>
          <w:tcPr>
            <w:tcW w:w="15614" w:type="dxa"/>
            <w:gridSpan w:val="6"/>
            <w:vAlign w:val="center"/>
          </w:tcPr>
          <w:p>
            <w:pPr>
              <w:jc w:val="both"/>
              <w:rPr>
                <w:rFonts w:hint="eastAsia" w:asciiTheme="minorEastAsia" w:hAnsiTheme="minorEastAsia" w:cstheme="minorEastAsia"/>
                <w:b w:val="0"/>
                <w:bCs w:val="0"/>
                <w:sz w:val="21"/>
                <w:szCs w:val="21"/>
                <w:vertAlign w:val="baseline"/>
                <w:lang w:val="en-US" w:eastAsia="zh-CN"/>
              </w:rPr>
            </w:pPr>
            <w:r>
              <w:rPr>
                <w:rFonts w:hint="eastAsia" w:ascii="宋体" w:hAnsi="宋体" w:eastAsia="宋体"/>
                <w:sz w:val="21"/>
                <w:szCs w:val="21"/>
                <w:lang w:val="en-US" w:eastAsia="zh-CN"/>
              </w:rPr>
              <w:t>相关政府职能部门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1</w:t>
            </w:r>
          </w:p>
        </w:tc>
        <w:tc>
          <w:tcPr>
            <w:tcW w:w="2107" w:type="dxa"/>
            <w:vMerge w:val="restart"/>
            <w:vAlign w:val="center"/>
          </w:tcPr>
          <w:p>
            <w:pPr>
              <w:jc w:val="left"/>
              <w:rPr>
                <w:rFonts w:hint="eastAsia" w:asciiTheme="minorEastAsia" w:hAnsiTheme="minorEastAsia" w:cstheme="minorEastAsia"/>
                <w:b w:val="0"/>
                <w:bCs w:val="0"/>
                <w:sz w:val="21"/>
                <w:szCs w:val="21"/>
                <w:vertAlign w:val="baseline"/>
                <w:lang w:val="en-US" w:eastAsia="zh-CN"/>
              </w:rPr>
            </w:pPr>
            <w:r>
              <w:rPr>
                <w:rFonts w:hint="eastAsia" w:ascii="宋体" w:hAnsi="宋体" w:eastAsia="宋体"/>
                <w:sz w:val="21"/>
                <w:szCs w:val="21"/>
              </w:rPr>
              <w:t>光明区住房和建设局</w:t>
            </w:r>
          </w:p>
        </w:tc>
        <w:tc>
          <w:tcPr>
            <w:tcW w:w="975" w:type="dxa"/>
            <w:vAlign w:val="center"/>
          </w:tcPr>
          <w:p>
            <w:pPr>
              <w:jc w:val="both"/>
              <w:rPr>
                <w:rFonts w:hint="eastAsia" w:ascii="宋体" w:hAnsi="宋体" w:eastAsia="宋体"/>
                <w:sz w:val="21"/>
                <w:szCs w:val="21"/>
                <w:lang w:val="en-US" w:eastAsia="zh-CN"/>
              </w:rPr>
            </w:pPr>
            <w:r>
              <w:rPr>
                <w:rFonts w:hint="eastAsia" w:ascii="宋体" w:hAnsi="宋体" w:eastAsia="宋体" w:cstheme="minorBidi"/>
                <w:kern w:val="2"/>
                <w:sz w:val="21"/>
                <w:szCs w:val="21"/>
                <w:lang w:val="en-US" w:eastAsia="zh-CN" w:bidi="ar-SA"/>
              </w:rPr>
              <w:t>3.0.3</w:t>
            </w:r>
          </w:p>
        </w:tc>
        <w:tc>
          <w:tcPr>
            <w:tcW w:w="7080" w:type="dxa"/>
          </w:tcPr>
          <w:p>
            <w:pPr>
              <w:jc w:val="left"/>
              <w:rPr>
                <w:rFonts w:hint="eastAsia" w:ascii="宋体" w:hAnsi="宋体" w:eastAsia="宋体"/>
                <w:sz w:val="21"/>
                <w:szCs w:val="21"/>
              </w:rPr>
            </w:pPr>
            <w:r>
              <w:rPr>
                <w:rFonts w:hint="eastAsia" w:ascii="宋体" w:hAnsi="宋体" w:eastAsia="宋体"/>
                <w:sz w:val="21"/>
                <w:szCs w:val="21"/>
              </w:rPr>
              <w:t>建议：防水专家评审会建议在施工图后，报送第三方审图之前召开；专家意见纳入审图范围，第三方审图公司对专家意见审查合格后出具该项目审图合格证；专家应根据现场实际情况、经验、规范提出评审意见，指定材料品种及防水做法时应有合理的理由。</w:t>
            </w:r>
          </w:p>
          <w:p>
            <w:pPr>
              <w:jc w:val="left"/>
              <w:rPr>
                <w:rFonts w:hint="eastAsia" w:ascii="宋体" w:hAnsi="宋体" w:eastAsia="宋体"/>
                <w:sz w:val="21"/>
                <w:szCs w:val="21"/>
                <w:lang w:val="en-US" w:eastAsia="zh-CN"/>
              </w:rPr>
            </w:pPr>
            <w:r>
              <w:rPr>
                <w:rFonts w:hint="eastAsia" w:ascii="宋体" w:hAnsi="宋体" w:eastAsia="宋体"/>
                <w:sz w:val="21"/>
                <w:szCs w:val="21"/>
              </w:rPr>
              <w:t>理由：目前，大部分项目防水专家评审在取得审图合格证或防水实施后进行防水评审，现场按专家意见进行施工，个别项目未出设计变更，或变更未经审图公司审图，不利于施工质量控制；个别专家对符合规范要求的防水材料及做法进行变更，未提出修改的合理理由。</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部分采纳</w:t>
            </w:r>
          </w:p>
        </w:tc>
        <w:tc>
          <w:tcPr>
            <w:tcW w:w="3652"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可在3.O.3条末加一句：评审宜在施工图审图前进行。在条文说明中增加理由的叙述。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2</w:t>
            </w:r>
          </w:p>
        </w:tc>
        <w:tc>
          <w:tcPr>
            <w:tcW w:w="2107" w:type="dxa"/>
            <w:vMerge w:val="continue"/>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vAlign w:val="center"/>
          </w:tcPr>
          <w:p>
            <w:pPr>
              <w:pStyle w:val="3"/>
              <w:jc w:val="left"/>
              <w:rPr>
                <w:rFonts w:hint="eastAsia" w:ascii="宋体" w:hAnsi="宋体" w:eastAsia="宋体" w:cstheme="minorBidi"/>
                <w:kern w:val="2"/>
                <w:sz w:val="21"/>
                <w:szCs w:val="21"/>
                <w:lang w:val="en-US" w:eastAsia="zh-CN" w:bidi="ar-SA"/>
              </w:rPr>
            </w:pPr>
            <w:r>
              <w:rPr>
                <w:rFonts w:hint="eastAsia" w:ascii="宋体" w:hAnsi="宋体" w:eastAsia="宋体" w:cstheme="minorBidi"/>
                <w:kern w:val="2"/>
                <w:sz w:val="21"/>
                <w:szCs w:val="21"/>
                <w:lang w:val="en-US" w:eastAsia="zh-CN" w:bidi="ar-SA"/>
              </w:rPr>
              <w:t>6.2.2</w:t>
            </w:r>
          </w:p>
        </w:tc>
        <w:tc>
          <w:tcPr>
            <w:tcW w:w="7080" w:type="dxa"/>
            <w:vAlign w:val="center"/>
          </w:tcPr>
          <w:p>
            <w:pPr>
              <w:jc w:val="left"/>
              <w:rPr>
                <w:rFonts w:hint="eastAsia" w:ascii="宋体" w:hAnsi="宋体" w:eastAsia="宋体"/>
                <w:sz w:val="21"/>
                <w:szCs w:val="21"/>
                <w:lang w:val="en-US" w:eastAsia="zh-CN"/>
              </w:rPr>
            </w:pPr>
            <w:r>
              <w:rPr>
                <w:rFonts w:hint="eastAsia" w:ascii="宋体" w:hAnsi="宋体" w:eastAsia="宋体"/>
                <w:sz w:val="21"/>
                <w:szCs w:val="21"/>
                <w:lang w:val="en-US" w:eastAsia="zh-CN"/>
              </w:rPr>
              <w:t>建议：建议分格条及嵌填密封材料应具备耐老化的性能要求，并要求材料复检。</w:t>
            </w:r>
          </w:p>
          <w:p>
            <w:pPr>
              <w:jc w:val="left"/>
              <w:rPr>
                <w:rFonts w:hint="eastAsia" w:ascii="宋体" w:hAnsi="宋体" w:eastAsia="宋体"/>
                <w:sz w:val="21"/>
                <w:szCs w:val="21"/>
                <w:lang w:val="en-US" w:eastAsia="zh-CN"/>
              </w:rPr>
            </w:pPr>
            <w:r>
              <w:rPr>
                <w:rFonts w:hint="eastAsia" w:ascii="宋体" w:hAnsi="宋体" w:eastAsia="宋体"/>
                <w:sz w:val="21"/>
                <w:szCs w:val="21"/>
                <w:lang w:val="en-US" w:eastAsia="zh-CN"/>
              </w:rPr>
              <w:t>理由：部分小区竣工验收后容易出现分格条及密封材料老化、掉落、渗漏情况。</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未采纳</w:t>
            </w:r>
          </w:p>
        </w:tc>
        <w:tc>
          <w:tcPr>
            <w:tcW w:w="3652"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分割条为临时性措施，拆除后嵌填密封胶，附录表B.8.1已有对密封胶的性能要求。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3</w:t>
            </w:r>
          </w:p>
        </w:tc>
        <w:tc>
          <w:tcPr>
            <w:tcW w:w="2107" w:type="dxa"/>
            <w:vMerge w:val="continue"/>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vAlign w:val="center"/>
          </w:tcPr>
          <w:p>
            <w:pPr>
              <w:pStyle w:val="3"/>
              <w:jc w:val="left"/>
              <w:rPr>
                <w:rFonts w:hint="eastAsia" w:ascii="宋体" w:hAnsi="宋体" w:eastAsia="宋体" w:cstheme="minorBidi"/>
                <w:kern w:val="2"/>
                <w:sz w:val="21"/>
                <w:szCs w:val="21"/>
                <w:lang w:val="en-US" w:eastAsia="zh-CN" w:bidi="ar-SA"/>
              </w:rPr>
            </w:pPr>
            <w:r>
              <w:rPr>
                <w:rFonts w:hint="eastAsia" w:ascii="宋体" w:hAnsi="宋体" w:eastAsia="宋体" w:cstheme="minorBidi"/>
                <w:kern w:val="2"/>
                <w:sz w:val="21"/>
                <w:szCs w:val="21"/>
                <w:lang w:val="en-US" w:eastAsia="zh-CN" w:bidi="ar-SA"/>
              </w:rPr>
              <w:t>6.4.6</w:t>
            </w:r>
          </w:p>
        </w:tc>
        <w:tc>
          <w:tcPr>
            <w:tcW w:w="7080"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建议：外墙螺杆孔防水施工方法建议增加采用胶塞等其他方法。</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理由：目前，封堵外墙螺杆孔的防水施工方法都很成熟，取得的防水效果也很好，不应只限一种施工方法。</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未采纳</w:t>
            </w:r>
          </w:p>
        </w:tc>
        <w:tc>
          <w:tcPr>
            <w:tcW w:w="3652"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胶塞的耐久性无成熟经验，现场用了胶塞还会对孔内注发泡胶，室内还会凿凹槽，抹砂浆该种方法适用爬架工程要在室内进行防水加强。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4</w:t>
            </w:r>
          </w:p>
        </w:tc>
        <w:tc>
          <w:tcPr>
            <w:tcW w:w="2107" w:type="dxa"/>
            <w:vMerge w:val="continue"/>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vAlign w:val="center"/>
          </w:tcPr>
          <w:p>
            <w:pPr>
              <w:jc w:val="left"/>
              <w:rPr>
                <w:rFonts w:hint="eastAsia" w:ascii="宋体" w:hAnsi="宋体" w:eastAsia="宋体" w:cstheme="minorBidi"/>
                <w:kern w:val="2"/>
                <w:sz w:val="21"/>
                <w:szCs w:val="21"/>
                <w:lang w:val="en-US" w:eastAsia="zh-CN" w:bidi="ar-SA"/>
              </w:rPr>
            </w:pPr>
            <w:r>
              <w:rPr>
                <w:rFonts w:hint="eastAsia" w:ascii="宋体" w:hAnsi="宋体" w:eastAsia="宋体" w:cstheme="minorBidi"/>
                <w:kern w:val="2"/>
                <w:sz w:val="21"/>
                <w:szCs w:val="21"/>
                <w:lang w:val="en-US" w:eastAsia="zh-CN" w:bidi="ar-SA"/>
              </w:rPr>
              <w:t>7.1.8</w:t>
            </w:r>
          </w:p>
        </w:tc>
        <w:tc>
          <w:tcPr>
            <w:tcW w:w="7080"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建议：厨房墙 面防水高度不应低于1800mm，建议改为上返地面300mm。</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理由：一般厨房墙面除水龙头外无水源，不需要防水。</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部分采纳</w:t>
            </w:r>
          </w:p>
        </w:tc>
        <w:tc>
          <w:tcPr>
            <w:tcW w:w="3652"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将“不低于1800mm”改为“不低于1200mm”，因厨房洗菜盆一般为800mm-900mm高，相当于设置防潮层。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5</w:t>
            </w:r>
          </w:p>
        </w:tc>
        <w:tc>
          <w:tcPr>
            <w:tcW w:w="2107" w:type="dxa"/>
            <w:vMerge w:val="continue"/>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vAlign w:val="center"/>
          </w:tcPr>
          <w:p>
            <w:pPr>
              <w:jc w:val="left"/>
              <w:rPr>
                <w:rFonts w:hint="eastAsia" w:ascii="宋体" w:hAnsi="宋体" w:eastAsia="宋体" w:cstheme="minorBidi"/>
                <w:kern w:val="2"/>
                <w:sz w:val="21"/>
                <w:szCs w:val="21"/>
                <w:lang w:val="en-US" w:eastAsia="zh-CN" w:bidi="ar-SA"/>
              </w:rPr>
            </w:pPr>
            <w:r>
              <w:rPr>
                <w:rFonts w:hint="eastAsia" w:ascii="宋体" w:hAnsi="宋体" w:eastAsia="宋体" w:cstheme="minorBidi"/>
                <w:kern w:val="2"/>
                <w:sz w:val="21"/>
                <w:szCs w:val="21"/>
                <w:lang w:val="en-US" w:eastAsia="zh-CN" w:bidi="ar-SA"/>
              </w:rPr>
              <w:t>8.5.1</w:t>
            </w:r>
          </w:p>
        </w:tc>
        <w:tc>
          <w:tcPr>
            <w:tcW w:w="7080"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建议：建议降水效果不符合要求时，应在混凝土垫层下预设排水盲沟，改为临时排水盲沟，待防水层施工基本完成前填堵盲沟。</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理由：永久排水盲沟增加渗漏风险。</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采纳</w:t>
            </w:r>
          </w:p>
        </w:tc>
        <w:tc>
          <w:tcPr>
            <w:tcW w:w="3652" w:type="dxa"/>
          </w:tcPr>
          <w:p>
            <w:pPr>
              <w:jc w:val="left"/>
              <w:rPr>
                <w:rFonts w:hint="eastAsia" w:asciiTheme="minorEastAsia" w:hAnsiTheme="minorEastAsia" w:cstheme="minorEastAsia"/>
                <w:b w:val="0"/>
                <w:bCs w:val="0"/>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6</w:t>
            </w:r>
          </w:p>
        </w:tc>
        <w:tc>
          <w:tcPr>
            <w:tcW w:w="2107" w:type="dxa"/>
            <w:vMerge w:val="continue"/>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表B.5.1</w:t>
            </w:r>
          </w:p>
        </w:tc>
        <w:tc>
          <w:tcPr>
            <w:tcW w:w="7080"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建议：表B.5.1及B.10为同一材料，不同指标要求，建议设为同一做法。</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理由：同一材料做法应该一致。</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未采纳</w:t>
            </w:r>
          </w:p>
        </w:tc>
        <w:tc>
          <w:tcPr>
            <w:tcW w:w="3652"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为二种不同材料，一个是有防水功能的聚合物防水砂浆，一个是仅提高粘结性能的聚合物砂浆。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7</w:t>
            </w:r>
          </w:p>
        </w:tc>
        <w:tc>
          <w:tcPr>
            <w:tcW w:w="2107" w:type="dxa"/>
            <w:vAlign w:val="center"/>
          </w:tcPr>
          <w:p>
            <w:pPr>
              <w:jc w:val="left"/>
              <w:rPr>
                <w:rFonts w:hint="eastAsia" w:asciiTheme="minorEastAsia" w:hAnsiTheme="minorEastAsia" w:cstheme="minorEastAsia"/>
                <w:b w:val="0"/>
                <w:bCs w:val="0"/>
                <w:sz w:val="21"/>
                <w:szCs w:val="21"/>
                <w:vertAlign w:val="baseline"/>
                <w:lang w:val="en-US" w:eastAsia="zh-CN"/>
              </w:rPr>
            </w:pPr>
            <w:r>
              <w:rPr>
                <w:rFonts w:hint="eastAsia" w:ascii="宋体" w:hAnsi="宋体" w:eastAsia="宋体"/>
                <w:sz w:val="21"/>
                <w:szCs w:val="21"/>
              </w:rPr>
              <w:t>光明区住房和建设局</w:t>
            </w:r>
          </w:p>
        </w:tc>
        <w:tc>
          <w:tcPr>
            <w:tcW w:w="97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附录C</w:t>
            </w:r>
          </w:p>
        </w:tc>
        <w:tc>
          <w:tcPr>
            <w:tcW w:w="7080"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建议：建筑防水工程材料现场抽样复验材料中增加分格缝分格条及密封材料的复验项目 。</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理由：部分小区竣工验收后容易出现分格条及密封材料老化、掉落、渗漏情况。</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未采纳</w:t>
            </w:r>
          </w:p>
        </w:tc>
        <w:tc>
          <w:tcPr>
            <w:tcW w:w="3652"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分割条为临时性措施，拆除后嵌填密封胶，附录C已有密封胶复验项目。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8</w:t>
            </w:r>
          </w:p>
        </w:tc>
        <w:tc>
          <w:tcPr>
            <w:tcW w:w="2107" w:type="dxa"/>
            <w:vMerge w:val="restart"/>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宋体" w:hAnsi="宋体" w:eastAsia="宋体"/>
                <w:sz w:val="21"/>
                <w:szCs w:val="21"/>
              </w:rPr>
              <w:t>深圳市建筑工务署</w:t>
            </w:r>
          </w:p>
        </w:tc>
        <w:tc>
          <w:tcPr>
            <w:tcW w:w="975"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4.1.8</w:t>
            </w:r>
          </w:p>
        </w:tc>
        <w:tc>
          <w:tcPr>
            <w:tcW w:w="7080"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建议删除，不符合JGJ 155-2013《种植屋面工程技术规程》要求，且内嵌的阻根聚氨酯密封胶无检测依据，不利管控。</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未采纳</w:t>
            </w:r>
          </w:p>
        </w:tc>
        <w:tc>
          <w:tcPr>
            <w:tcW w:w="3652" w:type="dxa"/>
            <w:vMerge w:val="restart"/>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已有工程实例。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9</w:t>
            </w:r>
          </w:p>
        </w:tc>
        <w:tc>
          <w:tcPr>
            <w:tcW w:w="2107" w:type="dxa"/>
            <w:vMerge w:val="continue"/>
            <w:tcBorders/>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表4.1.3 -1</w:t>
            </w:r>
          </w:p>
        </w:tc>
        <w:tc>
          <w:tcPr>
            <w:tcW w:w="7080"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建议删除4.1-14，三道防水层均为卷材，细部节点防水处理可靠差。</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未采纳</w:t>
            </w:r>
          </w:p>
        </w:tc>
        <w:tc>
          <w:tcPr>
            <w:tcW w:w="3652"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材性相同的防水卷材可以复合。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10</w:t>
            </w:r>
          </w:p>
        </w:tc>
        <w:tc>
          <w:tcPr>
            <w:tcW w:w="2107" w:type="dxa"/>
            <w:vMerge w:val="continue"/>
            <w:tcBorders/>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表4.1.3 -2</w:t>
            </w:r>
          </w:p>
        </w:tc>
        <w:tc>
          <w:tcPr>
            <w:tcW w:w="7080"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4.2-3防水做法，建议增加1.5mm厚湿铺防水卷材（高分子膜基），与非固化橡胶沥青防水涂料复合的防水做法。</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未采纳</w:t>
            </w:r>
          </w:p>
          <w:p>
            <w:pPr>
              <w:jc w:val="both"/>
              <w:rPr>
                <w:rFonts w:hint="eastAsia" w:ascii="宋体" w:hAnsi="宋体" w:eastAsia="宋体"/>
                <w:sz w:val="21"/>
                <w:szCs w:val="21"/>
                <w:lang w:val="en-US" w:eastAsia="zh-CN"/>
              </w:rPr>
            </w:pPr>
          </w:p>
        </w:tc>
        <w:tc>
          <w:tcPr>
            <w:tcW w:w="3652"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已有非固化橡胶沥青防水涂料与自粘卷材复合，湿铺卷材施工时所用水泥浆会形成隔离层，非固化橡胶沥青涂料不能与湿铺卷材复合。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11</w:t>
            </w:r>
          </w:p>
        </w:tc>
        <w:tc>
          <w:tcPr>
            <w:tcW w:w="2107" w:type="dxa"/>
            <w:vMerge w:val="continue"/>
            <w:tcBorders/>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表4.1.4</w:t>
            </w:r>
          </w:p>
        </w:tc>
        <w:tc>
          <w:tcPr>
            <w:tcW w:w="7080"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建议删除4.3-5，单道丙纶防水层可靠性差，不建议列为推荐做法</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未采纳</w:t>
            </w:r>
          </w:p>
        </w:tc>
        <w:tc>
          <w:tcPr>
            <w:tcW w:w="3652"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国标屋面工程规范GB 50345均有此做法。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12</w:t>
            </w:r>
          </w:p>
        </w:tc>
        <w:tc>
          <w:tcPr>
            <w:tcW w:w="2107" w:type="dxa"/>
            <w:vMerge w:val="continue"/>
            <w:tcBorders/>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4.2</w:t>
            </w:r>
          </w:p>
        </w:tc>
        <w:tc>
          <w:tcPr>
            <w:tcW w:w="7080"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所例节点详图为正置式屋面防水做法（防水层在保温层上），与深圳地区常用的倒置式屋面防水做法不符，建议调整。</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未采纳</w:t>
            </w:r>
          </w:p>
        </w:tc>
        <w:tc>
          <w:tcPr>
            <w:tcW w:w="3652"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所述不详，4.2为细部构造设计，非节点详图。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13</w:t>
            </w:r>
          </w:p>
        </w:tc>
        <w:tc>
          <w:tcPr>
            <w:tcW w:w="2107" w:type="dxa"/>
            <w:vMerge w:val="continue"/>
            <w:tcBorders/>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4.4.1</w:t>
            </w:r>
          </w:p>
        </w:tc>
        <w:tc>
          <w:tcPr>
            <w:tcW w:w="7080"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第8小点……应符合表4.4.1-7（采用《地下工程防水技术规范》GB 50108表4.3.14防水卷材搭接宽度）的要求。</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此为屋面做法，建议删除条文括弧内容。</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未采纳</w:t>
            </w:r>
          </w:p>
        </w:tc>
        <w:tc>
          <w:tcPr>
            <w:tcW w:w="3652"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可采用国家屋面规范无此规定，搭接宽度是一样的。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14</w:t>
            </w:r>
          </w:p>
        </w:tc>
        <w:tc>
          <w:tcPr>
            <w:tcW w:w="2107" w:type="dxa"/>
            <w:vMerge w:val="continue"/>
            <w:tcBorders/>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4.4.2</w:t>
            </w:r>
          </w:p>
        </w:tc>
        <w:tc>
          <w:tcPr>
            <w:tcW w:w="7080"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建议“加热炉”修改为“加热设备”。</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采纳</w:t>
            </w:r>
          </w:p>
        </w:tc>
        <w:tc>
          <w:tcPr>
            <w:tcW w:w="3652" w:type="dxa"/>
          </w:tcPr>
          <w:p>
            <w:pPr>
              <w:jc w:val="both"/>
              <w:rPr>
                <w:rFonts w:hint="eastAsia" w:ascii="宋体" w:hAnsi="宋体" w:eastAsia="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561"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15</w:t>
            </w:r>
          </w:p>
        </w:tc>
        <w:tc>
          <w:tcPr>
            <w:tcW w:w="2107" w:type="dxa"/>
            <w:vMerge w:val="continue"/>
            <w:tcBorders/>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表 5.1.5</w:t>
            </w:r>
          </w:p>
        </w:tc>
        <w:tc>
          <w:tcPr>
            <w:tcW w:w="7080"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5.1-2  建议删除聚氨酯防水涂料内衬耐碱玻纤网格布的做法，一是坡屋面钢筋头多，不利施工；二是坡屋面变形较小，可不需大面加网格布增强。</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5.1-4、5.1-6 同样是高分子膜胎类防水卷材，一个要求1.5，一个要求2厚，建议统一厚度。</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5.1-8压型钢板描述的顺序与5.1-7等不一致，建议统一。</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采纳</w:t>
            </w:r>
          </w:p>
        </w:tc>
        <w:tc>
          <w:tcPr>
            <w:tcW w:w="3652" w:type="dxa"/>
            <w:vAlign w:val="top"/>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1、5.1-2取消内衬网格布；</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2、5.1-4、5.1-6 均按1.5厚；</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3、调整顺序。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16</w:t>
            </w:r>
          </w:p>
        </w:tc>
        <w:tc>
          <w:tcPr>
            <w:tcW w:w="2107" w:type="dxa"/>
            <w:vMerge w:val="continue"/>
            <w:tcBorders/>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tcPr>
          <w:p>
            <w:pPr>
              <w:jc w:val="left"/>
              <w:rPr>
                <w:rFonts w:hint="eastAsia" w:ascii="宋体" w:hAnsi="宋体" w:eastAsia="宋体" w:cstheme="minorBidi"/>
                <w:kern w:val="2"/>
                <w:sz w:val="21"/>
                <w:szCs w:val="21"/>
                <w:lang w:val="en-US" w:eastAsia="zh-CN" w:bidi="ar-SA"/>
              </w:rPr>
            </w:pPr>
            <w:r>
              <w:rPr>
                <w:rFonts w:hint="eastAsia" w:ascii="宋体" w:hAnsi="宋体" w:eastAsia="宋体" w:cstheme="minorBidi"/>
                <w:kern w:val="2"/>
                <w:sz w:val="21"/>
                <w:szCs w:val="21"/>
                <w:lang w:val="en-US" w:eastAsia="zh-CN" w:bidi="ar-SA"/>
              </w:rPr>
              <w:t>5.2.4</w:t>
            </w:r>
          </w:p>
        </w:tc>
        <w:tc>
          <w:tcPr>
            <w:tcW w:w="7080"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金属屋面缺少与防水层设计方案相配套的节点详图，建议补充</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部分采纳</w:t>
            </w:r>
          </w:p>
        </w:tc>
        <w:tc>
          <w:tcPr>
            <w:tcW w:w="3652"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已有图集配套。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17</w:t>
            </w:r>
          </w:p>
        </w:tc>
        <w:tc>
          <w:tcPr>
            <w:tcW w:w="2107" w:type="dxa"/>
            <w:vMerge w:val="continue"/>
            <w:tcBorders/>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tcPr>
          <w:p>
            <w:pPr>
              <w:jc w:val="left"/>
              <w:rPr>
                <w:rFonts w:hint="eastAsia" w:ascii="宋体" w:hAnsi="宋体" w:eastAsia="宋体" w:cstheme="minorBidi"/>
                <w:kern w:val="2"/>
                <w:sz w:val="21"/>
                <w:szCs w:val="21"/>
                <w:lang w:val="en-US" w:eastAsia="zh-CN" w:bidi="ar-SA"/>
              </w:rPr>
            </w:pPr>
            <w:r>
              <w:rPr>
                <w:rFonts w:hint="eastAsia" w:ascii="宋体" w:hAnsi="宋体" w:eastAsia="宋体" w:cstheme="minorBidi"/>
                <w:kern w:val="2"/>
                <w:sz w:val="21"/>
                <w:szCs w:val="21"/>
                <w:lang w:val="en-US" w:eastAsia="zh-CN" w:bidi="ar-SA"/>
              </w:rPr>
              <w:t>表6.1.2</w:t>
            </w:r>
          </w:p>
        </w:tc>
        <w:tc>
          <w:tcPr>
            <w:tcW w:w="7080"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表格标题“砌体结构外墙面防水层设计方案”</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建议删除“砌体结构”。</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未采纳</w:t>
            </w:r>
          </w:p>
        </w:tc>
        <w:tc>
          <w:tcPr>
            <w:tcW w:w="3652"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对于铝模混凝土墙或装配式混凝土构件可不设置防水层。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18</w:t>
            </w:r>
          </w:p>
        </w:tc>
        <w:tc>
          <w:tcPr>
            <w:tcW w:w="2107" w:type="dxa"/>
            <w:vMerge w:val="continue"/>
            <w:tcBorders/>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tcPr>
          <w:p>
            <w:pPr>
              <w:jc w:val="left"/>
              <w:rPr>
                <w:rFonts w:hint="eastAsia" w:ascii="宋体" w:hAnsi="宋体" w:eastAsia="宋体" w:cstheme="minorBidi"/>
                <w:kern w:val="2"/>
                <w:sz w:val="21"/>
                <w:szCs w:val="21"/>
                <w:lang w:val="en-US" w:eastAsia="zh-CN" w:bidi="ar-SA"/>
              </w:rPr>
            </w:pPr>
            <w:r>
              <w:rPr>
                <w:rFonts w:hint="eastAsia" w:ascii="宋体" w:hAnsi="宋体" w:eastAsia="宋体" w:cstheme="minorBidi"/>
                <w:kern w:val="2"/>
                <w:sz w:val="21"/>
                <w:szCs w:val="21"/>
                <w:lang w:val="en-US" w:eastAsia="zh-CN" w:bidi="ar-SA"/>
              </w:rPr>
              <w:t>6.1.4</w:t>
            </w:r>
          </w:p>
        </w:tc>
        <w:tc>
          <w:tcPr>
            <w:tcW w:w="7080"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建议删除，聚合物水泥防水砂浆为厂家配套好的单组分或双组分产品，不需要现场掺抗裂纤维，影响材料性能。</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未采纳</w:t>
            </w:r>
          </w:p>
        </w:tc>
        <w:tc>
          <w:tcPr>
            <w:tcW w:w="3652"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掺纤维是在预拌砂浆厂进行，此处是指预拌砂浆生产时掺入。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19</w:t>
            </w:r>
          </w:p>
        </w:tc>
        <w:tc>
          <w:tcPr>
            <w:tcW w:w="2107" w:type="dxa"/>
            <w:vMerge w:val="restart"/>
            <w:vAlign w:val="center"/>
          </w:tcPr>
          <w:p>
            <w:pPr>
              <w:jc w:val="left"/>
              <w:rPr>
                <w:rFonts w:hint="eastAsia" w:asciiTheme="minorEastAsia" w:hAnsiTheme="minorEastAsia" w:cstheme="minorEastAsia"/>
                <w:b w:val="0"/>
                <w:bCs w:val="0"/>
                <w:sz w:val="21"/>
                <w:szCs w:val="21"/>
                <w:vertAlign w:val="baseline"/>
                <w:lang w:val="en-US" w:eastAsia="zh-CN"/>
              </w:rPr>
            </w:pPr>
            <w:r>
              <w:rPr>
                <w:rFonts w:hint="eastAsia" w:ascii="宋体" w:hAnsi="宋体" w:eastAsia="宋体"/>
                <w:sz w:val="21"/>
                <w:szCs w:val="21"/>
              </w:rPr>
              <w:t>深圳市建筑工务署</w:t>
            </w:r>
          </w:p>
        </w:tc>
        <w:tc>
          <w:tcPr>
            <w:tcW w:w="975" w:type="dxa"/>
          </w:tcPr>
          <w:p>
            <w:pPr>
              <w:jc w:val="left"/>
              <w:rPr>
                <w:rFonts w:hint="eastAsia" w:ascii="宋体" w:hAnsi="宋体" w:eastAsia="宋体" w:cstheme="minorBidi"/>
                <w:kern w:val="2"/>
                <w:sz w:val="21"/>
                <w:szCs w:val="21"/>
                <w:lang w:val="en-US" w:eastAsia="zh-CN" w:bidi="ar-SA"/>
              </w:rPr>
            </w:pPr>
            <w:r>
              <w:rPr>
                <w:rFonts w:hint="eastAsia" w:ascii="宋体" w:hAnsi="宋体" w:eastAsia="宋体" w:cstheme="minorBidi"/>
                <w:kern w:val="2"/>
                <w:sz w:val="21"/>
                <w:szCs w:val="21"/>
                <w:lang w:val="en-US" w:eastAsia="zh-CN" w:bidi="ar-SA"/>
              </w:rPr>
              <w:t>6.4.2</w:t>
            </w:r>
          </w:p>
        </w:tc>
        <w:tc>
          <w:tcPr>
            <w:tcW w:w="7080"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 xml:space="preserve">建议删除“厚度大于15mm的防水砂浆，应分层施工，且待前一层砂浆凝结后方可抹后一层防水砂浆。” </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防水层设计方案无此做法。</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采纳</w:t>
            </w:r>
          </w:p>
        </w:tc>
        <w:tc>
          <w:tcPr>
            <w:tcW w:w="3652" w:type="dxa"/>
          </w:tcPr>
          <w:p>
            <w:pPr>
              <w:jc w:val="both"/>
              <w:rPr>
                <w:rFonts w:hint="eastAsia" w:ascii="宋体" w:hAnsi="宋体" w:eastAsia="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20</w:t>
            </w:r>
          </w:p>
        </w:tc>
        <w:tc>
          <w:tcPr>
            <w:tcW w:w="2107" w:type="dxa"/>
            <w:vMerge w:val="continue"/>
            <w:tcBorders/>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tcPr>
          <w:p>
            <w:pPr>
              <w:jc w:val="left"/>
              <w:rPr>
                <w:rFonts w:hint="eastAsia" w:ascii="宋体" w:hAnsi="宋体" w:eastAsia="宋体" w:cstheme="minorBidi"/>
                <w:kern w:val="2"/>
                <w:sz w:val="21"/>
                <w:szCs w:val="21"/>
                <w:lang w:val="en-US" w:eastAsia="zh-CN" w:bidi="ar-SA"/>
              </w:rPr>
            </w:pPr>
            <w:r>
              <w:rPr>
                <w:rFonts w:hint="eastAsia" w:ascii="宋体" w:hAnsi="宋体" w:eastAsia="宋体" w:cstheme="minorBidi"/>
                <w:kern w:val="2"/>
                <w:sz w:val="21"/>
                <w:szCs w:val="21"/>
                <w:lang w:val="en-US" w:eastAsia="zh-CN" w:bidi="ar-SA"/>
              </w:rPr>
              <w:t>表7.1.4</w:t>
            </w:r>
          </w:p>
        </w:tc>
        <w:tc>
          <w:tcPr>
            <w:tcW w:w="7080"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7.1-4、7.1-16  3.0-5.0mm厚高分子益胶泥（兼粘结层）</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7.1-5、7.1-17  7.0mm厚聚合物水泥防水砂浆</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以上设计厚度不合理，益胶泥做防水粘结层时，应在防水功能保障后，再进行贴砖，需分两层施工，最小厚度不应小于5厚。</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而聚合物水泥防水砂浆设计厚度却要求7厚，缺乏依据，外墙设计也才3厚，建议调整为3厚。</w:t>
            </w:r>
          </w:p>
        </w:tc>
        <w:tc>
          <w:tcPr>
            <w:tcW w:w="1095" w:type="dxa"/>
            <w:vAlign w:val="center"/>
          </w:tcPr>
          <w:p>
            <w:pPr>
              <w:jc w:val="both"/>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未采纳</w:t>
            </w:r>
          </w:p>
        </w:tc>
        <w:tc>
          <w:tcPr>
            <w:tcW w:w="3652"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双组份聚合物水泥防水砂浆为5-8mm，干粉类为3mm；益胶泥可兼粘接层。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21</w:t>
            </w:r>
          </w:p>
        </w:tc>
        <w:tc>
          <w:tcPr>
            <w:tcW w:w="2107" w:type="dxa"/>
            <w:vMerge w:val="continue"/>
            <w:tcBorders/>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tcPr>
          <w:p>
            <w:pPr>
              <w:jc w:val="left"/>
              <w:rPr>
                <w:rFonts w:hint="eastAsia" w:ascii="宋体" w:hAnsi="宋体" w:eastAsia="宋体" w:cstheme="minorBidi"/>
                <w:kern w:val="2"/>
                <w:sz w:val="21"/>
                <w:szCs w:val="21"/>
                <w:lang w:val="en-US" w:eastAsia="zh-CN" w:bidi="ar-SA"/>
              </w:rPr>
            </w:pPr>
            <w:r>
              <w:rPr>
                <w:rFonts w:hint="eastAsia" w:ascii="宋体" w:hAnsi="宋体" w:eastAsia="宋体" w:cstheme="minorBidi"/>
                <w:kern w:val="2"/>
                <w:sz w:val="21"/>
                <w:szCs w:val="21"/>
                <w:lang w:val="en-US" w:eastAsia="zh-CN" w:bidi="ar-SA"/>
              </w:rPr>
              <w:t>表7.1.4</w:t>
            </w:r>
          </w:p>
        </w:tc>
        <w:tc>
          <w:tcPr>
            <w:tcW w:w="7080"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建议删除7.1-8 聚乙烯丙纶复合防水卷材（0.8mm厚卷材+1.3mm厚聚合物水泥胶结料，卷材芯材0.6mm厚）</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一是做在室内可靠性低，二是深圳地区基本不采用。</w:t>
            </w:r>
          </w:p>
        </w:tc>
        <w:tc>
          <w:tcPr>
            <w:tcW w:w="1095" w:type="dxa"/>
            <w:vAlign w:val="center"/>
          </w:tcPr>
          <w:p>
            <w:pPr>
              <w:jc w:val="both"/>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sz w:val="21"/>
                <w:szCs w:val="21"/>
                <w:lang w:val="en-US" w:eastAsia="zh-CN"/>
              </w:rPr>
              <w:t>未</w:t>
            </w:r>
            <w:r>
              <w:rPr>
                <w:rFonts w:hint="eastAsia" w:asciiTheme="minorEastAsia" w:hAnsiTheme="minorEastAsia" w:cstheme="minorEastAsia"/>
                <w:sz w:val="21"/>
                <w:szCs w:val="21"/>
              </w:rPr>
              <w:t>采纳</w:t>
            </w:r>
          </w:p>
        </w:tc>
        <w:tc>
          <w:tcPr>
            <w:tcW w:w="3652" w:type="dxa"/>
            <w:vAlign w:val="top"/>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有相关案例及产品标准GB/T26518。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22</w:t>
            </w:r>
          </w:p>
        </w:tc>
        <w:tc>
          <w:tcPr>
            <w:tcW w:w="2107" w:type="dxa"/>
            <w:vMerge w:val="continue"/>
            <w:tcBorders/>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tcPr>
          <w:p>
            <w:pPr>
              <w:jc w:val="left"/>
              <w:rPr>
                <w:rFonts w:hint="eastAsia" w:ascii="宋体" w:hAnsi="宋体" w:eastAsia="宋体" w:cstheme="minorBidi"/>
                <w:kern w:val="2"/>
                <w:sz w:val="21"/>
                <w:szCs w:val="21"/>
                <w:lang w:val="en-US" w:eastAsia="zh-CN" w:bidi="ar-SA"/>
              </w:rPr>
            </w:pPr>
            <w:r>
              <w:rPr>
                <w:rFonts w:hint="eastAsia" w:ascii="宋体" w:hAnsi="宋体" w:eastAsia="宋体" w:cstheme="minorBidi"/>
                <w:kern w:val="2"/>
                <w:sz w:val="21"/>
                <w:szCs w:val="21"/>
                <w:lang w:val="en-US" w:eastAsia="zh-CN" w:bidi="ar-SA"/>
              </w:rPr>
              <w:t>8.2.2 -1</w:t>
            </w:r>
          </w:p>
        </w:tc>
        <w:tc>
          <w:tcPr>
            <w:tcW w:w="7080"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建议删除8.1-2防水做法，两道1.5mm厚或2.0mm厚预铺防水卷材防水层不粘接，不能形成复合防水效果。</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8.1-9、8.1-15 做法中2.0mm厚聚氨酯防水涂料（上表面设20mm厚M15砂浆隔离）+自粘防水卷材的做法不合理，20厚砂浆层工期长，形成隔离窜水层，建议修改为“界面处理”，例如采取加涂厂家配套界面处理材料解决。</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8.1-24建议删除，三道防水层均为卷材，细部节点防水处理可靠差。</w:t>
            </w:r>
          </w:p>
        </w:tc>
        <w:tc>
          <w:tcPr>
            <w:tcW w:w="1095" w:type="dxa"/>
            <w:vAlign w:val="center"/>
          </w:tcPr>
          <w:p>
            <w:pPr>
              <w:jc w:val="both"/>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sz w:val="21"/>
                <w:szCs w:val="21"/>
                <w:lang w:val="en-US" w:eastAsia="zh-CN"/>
              </w:rPr>
              <w:t>未</w:t>
            </w:r>
            <w:r>
              <w:rPr>
                <w:rFonts w:hint="eastAsia" w:asciiTheme="minorEastAsia" w:hAnsiTheme="minorEastAsia" w:cstheme="minorEastAsia"/>
                <w:sz w:val="21"/>
                <w:szCs w:val="21"/>
              </w:rPr>
              <w:t>采纳</w:t>
            </w:r>
          </w:p>
        </w:tc>
        <w:tc>
          <w:tcPr>
            <w:tcW w:w="3652" w:type="dxa"/>
            <w:vAlign w:val="top"/>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国外均可采用橡胶R类预铺卷材叠合三层施工，聚氨酯防水涂料属于反应型高分子类，与自粘卷材复合时起保护。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23</w:t>
            </w:r>
          </w:p>
        </w:tc>
        <w:tc>
          <w:tcPr>
            <w:tcW w:w="2107" w:type="dxa"/>
            <w:vMerge w:val="continue"/>
            <w:tcBorders/>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tcPr>
          <w:p>
            <w:pPr>
              <w:jc w:val="left"/>
              <w:rPr>
                <w:rFonts w:hint="eastAsia" w:ascii="宋体" w:hAnsi="宋体" w:eastAsia="宋体" w:cstheme="minorBidi"/>
                <w:kern w:val="2"/>
                <w:sz w:val="21"/>
                <w:szCs w:val="21"/>
                <w:lang w:val="en-US" w:eastAsia="zh-CN" w:bidi="ar-SA"/>
              </w:rPr>
            </w:pPr>
            <w:r>
              <w:rPr>
                <w:rFonts w:hint="eastAsia" w:ascii="宋体" w:hAnsi="宋体" w:eastAsia="宋体" w:cstheme="minorBidi"/>
                <w:kern w:val="2"/>
                <w:sz w:val="21"/>
                <w:szCs w:val="21"/>
                <w:lang w:val="en-US" w:eastAsia="zh-CN" w:bidi="ar-SA"/>
              </w:rPr>
              <w:t>表8.2.2 -2</w:t>
            </w:r>
          </w:p>
        </w:tc>
        <w:tc>
          <w:tcPr>
            <w:tcW w:w="7080"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建议删除8.2-2防水做法，两道1.5mm厚或2.0mm厚预铺防水卷材防水层不粘接，不能形成复合防水效果。</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建议删除8.2-9、8.2-24防水做法，两道丙纶复合防水层可靠性低，不能满足深圳沿海地区抗地下高压水、耐腐蚀性等要求。</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8.2-10、8.2-18、8.2-19做法中2.0mm厚聚氨酯防水涂料（上表面设20mm厚M15砂浆隔离）+自粘防水卷材的做法不合理，20厚砂浆层工期长，形成隔离窜水层，建议修改为“界面处理”，例如采取加涂厂家配套界面处理材料解决。</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未采纳</w:t>
            </w:r>
          </w:p>
        </w:tc>
        <w:tc>
          <w:tcPr>
            <w:tcW w:w="3652"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国外均可采用橡胶R类预铺卷材叠合三层施工，聚氨酯防水涂料属于反应型高分子类，与自粘卷材复合时起保护。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24</w:t>
            </w:r>
          </w:p>
        </w:tc>
        <w:tc>
          <w:tcPr>
            <w:tcW w:w="2107" w:type="dxa"/>
            <w:vMerge w:val="continue"/>
            <w:tcBorders/>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tcPr>
          <w:p>
            <w:pPr>
              <w:jc w:val="left"/>
              <w:rPr>
                <w:rFonts w:hint="eastAsia" w:ascii="宋体" w:hAnsi="宋体" w:eastAsia="宋体" w:cstheme="minorBidi"/>
                <w:kern w:val="2"/>
                <w:sz w:val="21"/>
                <w:szCs w:val="21"/>
                <w:lang w:val="en-US" w:eastAsia="zh-CN" w:bidi="ar-SA"/>
              </w:rPr>
            </w:pPr>
            <w:r>
              <w:rPr>
                <w:rFonts w:hint="eastAsia" w:ascii="宋体" w:hAnsi="宋体" w:eastAsia="宋体" w:cstheme="minorBidi"/>
                <w:kern w:val="2"/>
                <w:sz w:val="21"/>
                <w:szCs w:val="21"/>
                <w:lang w:val="en-US" w:eastAsia="zh-CN" w:bidi="ar-SA"/>
              </w:rPr>
              <w:t>表8.2.2 -3</w:t>
            </w:r>
          </w:p>
        </w:tc>
        <w:tc>
          <w:tcPr>
            <w:tcW w:w="7080"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建议删除8.3-12、8.3-18，一是单道丙纶防水层可靠性低，二是深圳地区基本不采用。</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未采纳</w:t>
            </w:r>
          </w:p>
        </w:tc>
        <w:tc>
          <w:tcPr>
            <w:tcW w:w="3652" w:type="dxa"/>
            <w:vAlign w:val="top"/>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国标《地下工程技术规范》有此做法。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25</w:t>
            </w:r>
          </w:p>
        </w:tc>
        <w:tc>
          <w:tcPr>
            <w:tcW w:w="2107" w:type="dxa"/>
            <w:vMerge w:val="continue"/>
            <w:tcBorders/>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tcPr>
          <w:p>
            <w:pPr>
              <w:jc w:val="left"/>
              <w:rPr>
                <w:rFonts w:hint="eastAsia" w:ascii="宋体" w:hAnsi="宋体" w:eastAsia="宋体" w:cstheme="minorBidi"/>
                <w:kern w:val="2"/>
                <w:sz w:val="21"/>
                <w:szCs w:val="21"/>
                <w:lang w:val="en-US" w:eastAsia="zh-CN" w:bidi="ar-SA"/>
              </w:rPr>
            </w:pPr>
            <w:r>
              <w:rPr>
                <w:rFonts w:hint="eastAsia" w:ascii="宋体" w:hAnsi="宋体" w:eastAsia="宋体" w:cstheme="minorBidi"/>
                <w:kern w:val="2"/>
                <w:sz w:val="21"/>
                <w:szCs w:val="21"/>
                <w:lang w:val="en-US" w:eastAsia="zh-CN" w:bidi="ar-SA"/>
              </w:rPr>
              <w:t>9.2.11</w:t>
            </w:r>
          </w:p>
        </w:tc>
        <w:tc>
          <w:tcPr>
            <w:tcW w:w="7080"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预制管廊缺少底板拼缝防水节点详图。</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未采纳</w:t>
            </w:r>
          </w:p>
        </w:tc>
        <w:tc>
          <w:tcPr>
            <w:tcW w:w="3652" w:type="dxa"/>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见图9.2.14。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15614" w:type="dxa"/>
            <w:gridSpan w:val="6"/>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公开征求意见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宋体" w:hAnsi="宋体" w:eastAsia="宋体"/>
                <w:sz w:val="21"/>
                <w:szCs w:val="21"/>
                <w:lang w:val="en-US" w:eastAsia="zh-CN"/>
              </w:rPr>
            </w:pPr>
            <w:r>
              <w:rPr>
                <w:rFonts w:hint="eastAsia" w:ascii="宋体" w:hAnsi="宋体" w:eastAsia="宋体"/>
                <w:sz w:val="21"/>
                <w:szCs w:val="21"/>
                <w:lang w:val="en-US" w:eastAsia="zh-CN"/>
              </w:rPr>
              <w:t>26</w:t>
            </w:r>
          </w:p>
        </w:tc>
        <w:tc>
          <w:tcPr>
            <w:tcW w:w="2107" w:type="dxa"/>
            <w:vMerge w:val="restart"/>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广东东方雨虹</w:t>
            </w:r>
          </w:p>
        </w:tc>
        <w:tc>
          <w:tcPr>
            <w:tcW w:w="97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4.1.8</w:t>
            </w:r>
          </w:p>
        </w:tc>
        <w:tc>
          <w:tcPr>
            <w:tcW w:w="7080"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建议删除，不符合JGJ 155-2013《种植屋面工程技术规程》要求，且内嵌的阻根聚氨酯密封胶无检测依据，不利管控。</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未采纳</w:t>
            </w:r>
          </w:p>
        </w:tc>
        <w:tc>
          <w:tcPr>
            <w:tcW w:w="3652" w:type="dxa"/>
            <w:vAlign w:val="top"/>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已有工程实例。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27</w:t>
            </w:r>
          </w:p>
        </w:tc>
        <w:tc>
          <w:tcPr>
            <w:tcW w:w="2107" w:type="dxa"/>
            <w:vMerge w:val="continue"/>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vAlign w:val="center"/>
          </w:tcPr>
          <w:p>
            <w:pPr>
              <w:jc w:val="left"/>
              <w:rPr>
                <w:rFonts w:hint="eastAsia" w:ascii="宋体" w:hAnsi="宋体" w:eastAsia="宋体" w:cstheme="minorBidi"/>
                <w:kern w:val="2"/>
                <w:sz w:val="21"/>
                <w:szCs w:val="21"/>
                <w:lang w:val="en-US" w:eastAsia="zh-CN" w:bidi="ar-SA"/>
              </w:rPr>
            </w:pPr>
            <w:r>
              <w:rPr>
                <w:rFonts w:hint="eastAsia" w:ascii="宋体" w:hAnsi="宋体" w:eastAsia="宋体" w:cstheme="minorBidi"/>
                <w:kern w:val="2"/>
                <w:sz w:val="21"/>
                <w:szCs w:val="21"/>
                <w:lang w:val="en-US" w:eastAsia="zh-CN" w:bidi="ar-SA"/>
              </w:rPr>
              <w:t>表4.1.3 -1</w:t>
            </w:r>
          </w:p>
        </w:tc>
        <w:tc>
          <w:tcPr>
            <w:tcW w:w="7080"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建议删除4.1-14，三道防水层均为卷材，细部节点防水处理可靠差。</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未采纳</w:t>
            </w:r>
          </w:p>
        </w:tc>
        <w:tc>
          <w:tcPr>
            <w:tcW w:w="3652" w:type="dxa"/>
            <w:vAlign w:val="top"/>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材性相同的防水卷材可以复合。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28</w:t>
            </w:r>
          </w:p>
        </w:tc>
        <w:tc>
          <w:tcPr>
            <w:tcW w:w="2107" w:type="dxa"/>
            <w:vMerge w:val="continue"/>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vAlign w:val="center"/>
          </w:tcPr>
          <w:p>
            <w:pPr>
              <w:jc w:val="left"/>
              <w:rPr>
                <w:rFonts w:hint="eastAsia" w:ascii="宋体" w:hAnsi="宋体" w:eastAsia="宋体" w:cstheme="minorBidi"/>
                <w:kern w:val="2"/>
                <w:sz w:val="21"/>
                <w:szCs w:val="21"/>
                <w:lang w:val="en-US" w:eastAsia="zh-CN" w:bidi="ar-SA"/>
              </w:rPr>
            </w:pPr>
            <w:r>
              <w:rPr>
                <w:rFonts w:hint="eastAsia" w:ascii="宋体" w:hAnsi="宋体" w:eastAsia="宋体" w:cstheme="minorBidi"/>
                <w:kern w:val="2"/>
                <w:sz w:val="21"/>
                <w:szCs w:val="21"/>
                <w:lang w:val="en-US" w:eastAsia="zh-CN" w:bidi="ar-SA"/>
              </w:rPr>
              <w:t>表4.1.4</w:t>
            </w:r>
          </w:p>
        </w:tc>
        <w:tc>
          <w:tcPr>
            <w:tcW w:w="7080"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建议删除4.3-5，单道丙纶防水层可靠性差，不建议列为推荐做法</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未采纳</w:t>
            </w:r>
          </w:p>
        </w:tc>
        <w:tc>
          <w:tcPr>
            <w:tcW w:w="3652" w:type="dxa"/>
            <w:vAlign w:val="top"/>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国标屋面工程规范GB 50345均有此做法。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29</w:t>
            </w:r>
          </w:p>
        </w:tc>
        <w:tc>
          <w:tcPr>
            <w:tcW w:w="2107" w:type="dxa"/>
            <w:vMerge w:val="continue"/>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 xml:space="preserve">4.2 </w:t>
            </w:r>
          </w:p>
        </w:tc>
        <w:tc>
          <w:tcPr>
            <w:tcW w:w="7080"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所例节点详图为正置式屋面防水做法（防水层在保温层上），与深圳地区常用的倒置式屋面防水做法不符，建议调整。</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未采纳</w:t>
            </w:r>
          </w:p>
        </w:tc>
        <w:tc>
          <w:tcPr>
            <w:tcW w:w="3652" w:type="dxa"/>
            <w:vAlign w:val="top"/>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所述不详，4.2为细部构造设计，非节点详图。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30</w:t>
            </w:r>
          </w:p>
        </w:tc>
        <w:tc>
          <w:tcPr>
            <w:tcW w:w="2107" w:type="dxa"/>
            <w:vMerge w:val="continue"/>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4.4.1</w:t>
            </w:r>
          </w:p>
        </w:tc>
        <w:tc>
          <w:tcPr>
            <w:tcW w:w="7080"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第8小点……应符合表4.4.1-7（采用《地下工程防水技术规范》GB 50108表4.3.14防水卷材搭接宽度）的要求。</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此为屋面做法，建议删除条文括弧内容。</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未采纳</w:t>
            </w:r>
          </w:p>
        </w:tc>
        <w:tc>
          <w:tcPr>
            <w:tcW w:w="3652" w:type="dxa"/>
            <w:vAlign w:val="top"/>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可采用国家屋面规范无此规定，搭接宽度是一样的。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31</w:t>
            </w:r>
          </w:p>
        </w:tc>
        <w:tc>
          <w:tcPr>
            <w:tcW w:w="2107" w:type="dxa"/>
            <w:vMerge w:val="continue"/>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4.4.2</w:t>
            </w:r>
          </w:p>
        </w:tc>
        <w:tc>
          <w:tcPr>
            <w:tcW w:w="7080"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建议“加热炉”修改为“加热设备”。</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采纳</w:t>
            </w:r>
          </w:p>
        </w:tc>
        <w:tc>
          <w:tcPr>
            <w:tcW w:w="3652" w:type="dxa"/>
          </w:tcPr>
          <w:p>
            <w:pPr>
              <w:jc w:val="both"/>
              <w:rPr>
                <w:rFonts w:hint="eastAsia" w:ascii="宋体" w:hAnsi="宋体" w:eastAsia="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32</w:t>
            </w:r>
          </w:p>
        </w:tc>
        <w:tc>
          <w:tcPr>
            <w:tcW w:w="2107" w:type="dxa"/>
            <w:vMerge w:val="continue"/>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表 5.1.5</w:t>
            </w:r>
          </w:p>
        </w:tc>
        <w:tc>
          <w:tcPr>
            <w:tcW w:w="7080"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5.1-2  建议删除聚氨酯防水涂料内衬耐碱玻纤网格布的做法，一是坡屋面钢筋头多，不利施工；二是坡屋面变形较小，可不需大面加网格布增强。</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5.1-4、5.1-6，同样是高分子膜胎类防水卷材，一个要求1.5，一个要求2厚，建议统一厚度。</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5.1-8压型钢板描述的顺序与5.1-7等不一致，建议统一</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采纳</w:t>
            </w:r>
          </w:p>
        </w:tc>
        <w:tc>
          <w:tcPr>
            <w:tcW w:w="3652" w:type="dxa"/>
            <w:vAlign w:val="top"/>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1、5.1-2取消内衬网格布；</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2、5.1-4、5.1-6 均按1.5厚；</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3、调整顺序。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33</w:t>
            </w:r>
          </w:p>
        </w:tc>
        <w:tc>
          <w:tcPr>
            <w:tcW w:w="2107" w:type="dxa"/>
            <w:vMerge w:val="continue"/>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5.2.4</w:t>
            </w:r>
          </w:p>
        </w:tc>
        <w:tc>
          <w:tcPr>
            <w:tcW w:w="7080"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金属屋面缺少与防水层设计方案相配套的节点详图，建议补充</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部分采纳</w:t>
            </w:r>
          </w:p>
        </w:tc>
        <w:tc>
          <w:tcPr>
            <w:tcW w:w="3652" w:type="dxa"/>
            <w:vAlign w:val="top"/>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已有图集配套。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34</w:t>
            </w:r>
          </w:p>
        </w:tc>
        <w:tc>
          <w:tcPr>
            <w:tcW w:w="2107" w:type="dxa"/>
            <w:vMerge w:val="continue"/>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表6.1.2</w:t>
            </w:r>
          </w:p>
        </w:tc>
        <w:tc>
          <w:tcPr>
            <w:tcW w:w="7080"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表格标题“砌体结构外墙面防水层设计方案”</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建议删除“砌体结构”。</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未采纳</w:t>
            </w:r>
          </w:p>
        </w:tc>
        <w:tc>
          <w:tcPr>
            <w:tcW w:w="3652" w:type="dxa"/>
            <w:vAlign w:val="top"/>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对于铝模混凝土墙或装配式混凝土构件可不设置防水层。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35</w:t>
            </w:r>
          </w:p>
        </w:tc>
        <w:tc>
          <w:tcPr>
            <w:tcW w:w="2107" w:type="dxa"/>
            <w:vMerge w:val="continue"/>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6.1.4</w:t>
            </w:r>
          </w:p>
        </w:tc>
        <w:tc>
          <w:tcPr>
            <w:tcW w:w="7080"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建议删除，聚合物水泥防水砂浆为厂家配套好的单组分或双组分产品，不需要现场掺抗裂纤维，影响材料性能。</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未采纳</w:t>
            </w:r>
          </w:p>
        </w:tc>
        <w:tc>
          <w:tcPr>
            <w:tcW w:w="3652" w:type="dxa"/>
            <w:vAlign w:val="top"/>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掺纤维是在预拌砂浆厂进行，此处是指预拌砂浆生产时掺入。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36</w:t>
            </w:r>
          </w:p>
        </w:tc>
        <w:tc>
          <w:tcPr>
            <w:tcW w:w="2107" w:type="dxa"/>
            <w:vMerge w:val="continue"/>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6.4.2</w:t>
            </w:r>
          </w:p>
        </w:tc>
        <w:tc>
          <w:tcPr>
            <w:tcW w:w="7080"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 xml:space="preserve">建议删除“厚度大于15mm的防水砂浆，应分层施工，且待前一层砂浆凝结后方可抹后一层防水砂浆。” </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防水层设计方案无此做法。</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采纳</w:t>
            </w:r>
          </w:p>
        </w:tc>
        <w:tc>
          <w:tcPr>
            <w:tcW w:w="3652" w:type="dxa"/>
          </w:tcPr>
          <w:p>
            <w:pPr>
              <w:jc w:val="both"/>
              <w:rPr>
                <w:rFonts w:hint="eastAsia" w:ascii="宋体" w:hAnsi="宋体" w:eastAsia="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37</w:t>
            </w:r>
          </w:p>
        </w:tc>
        <w:tc>
          <w:tcPr>
            <w:tcW w:w="2107" w:type="dxa"/>
            <w:vMerge w:val="restart"/>
            <w:vAlign w:val="center"/>
          </w:tcPr>
          <w:p>
            <w:pPr>
              <w:jc w:val="left"/>
              <w:rPr>
                <w:rFonts w:hint="eastAsia" w:asciiTheme="minorEastAsia" w:hAnsiTheme="minorEastAsia" w:cstheme="minorEastAsia"/>
                <w:b w:val="0"/>
                <w:bCs w:val="0"/>
                <w:sz w:val="21"/>
                <w:szCs w:val="21"/>
                <w:vertAlign w:val="baseline"/>
                <w:lang w:val="en-US" w:eastAsia="zh-CN"/>
              </w:rPr>
            </w:pPr>
            <w:r>
              <w:rPr>
                <w:rFonts w:hint="eastAsia" w:ascii="宋体" w:hAnsi="宋体" w:eastAsia="宋体"/>
                <w:sz w:val="21"/>
                <w:szCs w:val="21"/>
                <w:lang w:val="en-US" w:eastAsia="zh-CN"/>
              </w:rPr>
              <w:t>广东东方雨虹</w:t>
            </w:r>
          </w:p>
        </w:tc>
        <w:tc>
          <w:tcPr>
            <w:tcW w:w="97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表7.1.4</w:t>
            </w:r>
          </w:p>
        </w:tc>
        <w:tc>
          <w:tcPr>
            <w:tcW w:w="7080"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7.1-4、7.1-16  3.0-5.0mm厚高分子益胶泥（兼粘结层）</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7.1-5、7.1-17  7.0mm厚聚合物水泥防水砂浆</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以上设计厚度不合理，益胶泥做防水粘结层时，应在防水功能保障后，再进行贴砖，需分两层施工，最小厚度不应小于5厚。</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而聚合物水泥防水砂浆设计厚度却要求7厚，缺乏依据，外墙设计也才3厚，建议调整为3厚。</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未采纳</w:t>
            </w:r>
          </w:p>
        </w:tc>
        <w:tc>
          <w:tcPr>
            <w:tcW w:w="3652" w:type="dxa"/>
            <w:vAlign w:val="top"/>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有相关案例及产品标准GB/T26518。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38</w:t>
            </w:r>
          </w:p>
        </w:tc>
        <w:tc>
          <w:tcPr>
            <w:tcW w:w="2107" w:type="dxa"/>
            <w:vMerge w:val="continue"/>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表7.1.4</w:t>
            </w:r>
          </w:p>
        </w:tc>
        <w:tc>
          <w:tcPr>
            <w:tcW w:w="7080"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建议删除7.1-8 聚乙烯丙纶复合防水卷材（0.8mm厚卷材+1.3mm厚聚合物水泥胶结料，卷材芯材0.6mm厚）</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一是做在室内可靠性低，二是深圳地区基本不采用。</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未采纳</w:t>
            </w:r>
          </w:p>
        </w:tc>
        <w:tc>
          <w:tcPr>
            <w:tcW w:w="3652" w:type="dxa"/>
            <w:vAlign w:val="top"/>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有相关案例及产品标准GB/T26518。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39</w:t>
            </w:r>
          </w:p>
        </w:tc>
        <w:tc>
          <w:tcPr>
            <w:tcW w:w="2107" w:type="dxa"/>
            <w:vMerge w:val="continue"/>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8.2.2 -1</w:t>
            </w:r>
          </w:p>
        </w:tc>
        <w:tc>
          <w:tcPr>
            <w:tcW w:w="7080"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建议删除8.1-2防水做法，两道1.5mm厚或2.0mm厚预铺防水卷材防水层不粘接，不能形成复合防水效果。</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8.1-9、8.1-15 做法中2.0mm厚聚氨酯防水涂料（上表面设20mm厚M15砂浆隔离）+自粘防水卷材的做法不合理，20厚砂浆层工期长，形成隔离窜水层，建议修改为“界面处理”，例如采取加涂厂家配套界面处理材料解决。</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8.1-24建议删除，三道防水层均为卷材，细部节点防水处理可靠差。</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未采纳</w:t>
            </w:r>
          </w:p>
        </w:tc>
        <w:tc>
          <w:tcPr>
            <w:tcW w:w="3652" w:type="dxa"/>
            <w:vAlign w:val="top"/>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国外均可采用橡胶R类预铺卷材叠合三层施工，聚氨酯防水涂料属于反应型高分子类，与自粘卷材复合时起保护。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40</w:t>
            </w:r>
          </w:p>
        </w:tc>
        <w:tc>
          <w:tcPr>
            <w:tcW w:w="2107" w:type="dxa"/>
            <w:vMerge w:val="continue"/>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表8.2.2 -2</w:t>
            </w:r>
          </w:p>
        </w:tc>
        <w:tc>
          <w:tcPr>
            <w:tcW w:w="7080"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建议删除8.2-2防水做法，两道1.5mm厚或2.0mm厚预铺防水卷材防水层不粘接，不能形成复合防水效果。</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建议删除8.2-9、8.2-24防水做法，两道丙纶复合防水层可靠性低，不能满足深圳沿海地区抗地下高压水、耐腐蚀性等要求。</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8.2-10、8.2-18、8.2-19做法中2.0mm厚聚氨酯防水涂料（上表面设20mm厚M15砂浆隔离）+自粘防水卷材的做法不合理，20厚砂浆层工期长，形成隔离窜水层，建议修改为“界面处理”，例如采取加涂厂家配套界面处理材料解决。</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未采纳</w:t>
            </w:r>
          </w:p>
        </w:tc>
        <w:tc>
          <w:tcPr>
            <w:tcW w:w="3652" w:type="dxa"/>
            <w:vAlign w:val="top"/>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国外均可采用橡胶R类预铺卷材叠合三层施工，聚氨酯防水涂料属于反应型高分子类，与自粘卷材复合时起保护。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41</w:t>
            </w:r>
          </w:p>
        </w:tc>
        <w:tc>
          <w:tcPr>
            <w:tcW w:w="2107" w:type="dxa"/>
            <w:vMerge w:val="continue"/>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表8.2.2 -3</w:t>
            </w:r>
          </w:p>
        </w:tc>
        <w:tc>
          <w:tcPr>
            <w:tcW w:w="7080"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建议删除8.3-12、8.3-18，一是单道丙纶防水层可靠性低，二是深圳地区基本不采用。</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未采纳</w:t>
            </w:r>
          </w:p>
        </w:tc>
        <w:tc>
          <w:tcPr>
            <w:tcW w:w="3652" w:type="dxa"/>
            <w:vAlign w:val="top"/>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国标《地下工程技术规范》有此做法。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42</w:t>
            </w:r>
          </w:p>
        </w:tc>
        <w:tc>
          <w:tcPr>
            <w:tcW w:w="2107" w:type="dxa"/>
            <w:vMerge w:val="continue"/>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9.2.11</w:t>
            </w:r>
          </w:p>
        </w:tc>
        <w:tc>
          <w:tcPr>
            <w:tcW w:w="7080"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预制管廊缺少底板拼缝防水节点详图。</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未采纳</w:t>
            </w:r>
          </w:p>
        </w:tc>
        <w:tc>
          <w:tcPr>
            <w:tcW w:w="3652" w:type="dxa"/>
            <w:vAlign w:val="top"/>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见图9.2.14。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43</w:t>
            </w:r>
          </w:p>
        </w:tc>
        <w:tc>
          <w:tcPr>
            <w:tcW w:w="2107" w:type="dxa"/>
            <w:vMerge w:val="continue"/>
            <w:vAlign w:val="center"/>
          </w:tcPr>
          <w:p>
            <w:pPr>
              <w:jc w:val="left"/>
              <w:rPr>
                <w:rFonts w:hint="eastAsia" w:asciiTheme="minorEastAsia" w:hAnsiTheme="minorEastAsia" w:cstheme="minorEastAsia"/>
                <w:b w:val="0"/>
                <w:bCs w:val="0"/>
                <w:sz w:val="21"/>
                <w:szCs w:val="21"/>
                <w:vertAlign w:val="baseline"/>
                <w:lang w:val="en-US" w:eastAsia="zh-CN"/>
              </w:rPr>
            </w:pPr>
          </w:p>
        </w:tc>
        <w:tc>
          <w:tcPr>
            <w:tcW w:w="97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9.2.2</w:t>
            </w:r>
          </w:p>
        </w:tc>
        <w:tc>
          <w:tcPr>
            <w:tcW w:w="7080"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外设防水层的设计应符合表9.2.3-1和表9.2.3-2的规定。</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建议修改为：外设防水层的设计宜按表9.2.3-1和表9.2.3-2选用。原条文描述只能选择表格内做法，防水做法受限，不利于应用新材料、新技术。侧墙防水做法宜增加高分子防水卷材的做法。</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采纳</w:t>
            </w:r>
          </w:p>
        </w:tc>
        <w:tc>
          <w:tcPr>
            <w:tcW w:w="3652" w:type="dxa"/>
            <w:vAlign w:val="top"/>
          </w:tcPr>
          <w:p>
            <w:pPr>
              <w:jc w:val="both"/>
              <w:rPr>
                <w:rFonts w:hint="eastAsia" w:ascii="宋体" w:hAnsi="宋体" w:eastAsia="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Theme="minorEastAsia" w:hAnsiTheme="minorEastAsia" w:cstheme="minorEastAsia"/>
                <w:b w:val="0"/>
                <w:bCs w:val="0"/>
                <w:sz w:val="21"/>
                <w:szCs w:val="21"/>
                <w:vertAlign w:val="baseline"/>
                <w:lang w:val="en-US" w:eastAsia="zh-CN"/>
              </w:rPr>
            </w:pPr>
            <w:r>
              <w:rPr>
                <w:rFonts w:hint="eastAsia" w:asciiTheme="minorEastAsia" w:hAnsiTheme="minorEastAsia" w:cstheme="minorEastAsia"/>
                <w:b w:val="0"/>
                <w:bCs w:val="0"/>
                <w:sz w:val="21"/>
                <w:szCs w:val="21"/>
                <w:vertAlign w:val="baseline"/>
                <w:lang w:val="en-US" w:eastAsia="zh-CN"/>
              </w:rPr>
              <w:t>44</w:t>
            </w:r>
          </w:p>
        </w:tc>
        <w:tc>
          <w:tcPr>
            <w:tcW w:w="2107" w:type="dxa"/>
            <w:vAlign w:val="center"/>
          </w:tcPr>
          <w:p>
            <w:pPr>
              <w:jc w:val="left"/>
              <w:rPr>
                <w:rFonts w:hint="eastAsia" w:asciiTheme="minorEastAsia" w:hAnsiTheme="minorEastAsia" w:cstheme="minorEastAsia"/>
                <w:b w:val="0"/>
                <w:bCs w:val="0"/>
                <w:sz w:val="21"/>
                <w:szCs w:val="21"/>
                <w:vertAlign w:val="baseline"/>
                <w:lang w:val="en-US" w:eastAsia="zh-CN"/>
              </w:rPr>
            </w:pPr>
            <w:r>
              <w:rPr>
                <w:rFonts w:hint="eastAsia" w:ascii="宋体" w:hAnsi="宋体" w:eastAsia="宋体"/>
                <w:sz w:val="21"/>
                <w:szCs w:val="21"/>
                <w:lang w:val="en-US" w:eastAsia="zh-CN"/>
              </w:rPr>
              <w:t>广东东方雨虹</w:t>
            </w:r>
          </w:p>
        </w:tc>
        <w:tc>
          <w:tcPr>
            <w:tcW w:w="97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表9.2.2-2</w:t>
            </w:r>
          </w:p>
        </w:tc>
        <w:tc>
          <w:tcPr>
            <w:tcW w:w="7080"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9.2-15防水做法≥1.2mm厚预铺防水卷材（塑料P类），建议修改为≥1.5mm厚高分子自粘防水卷材（TPO/PVC），预铺防水卷材主要用于底板和外防内贴侧墙部位。</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未采纳</w:t>
            </w:r>
          </w:p>
        </w:tc>
        <w:tc>
          <w:tcPr>
            <w:tcW w:w="3652" w:type="dxa"/>
            <w:vAlign w:val="top"/>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国标GB23457有1.2规格，且工程实践大量采用。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 w:hRule="atLeast"/>
        </w:trPr>
        <w:tc>
          <w:tcPr>
            <w:tcW w:w="705" w:type="dxa"/>
            <w:vAlign w:val="center"/>
          </w:tcPr>
          <w:p>
            <w:pPr>
              <w:jc w:val="center"/>
              <w:rPr>
                <w:rFonts w:hint="eastAsia" w:ascii="宋体" w:hAnsi="宋体" w:eastAsia="宋体"/>
                <w:sz w:val="21"/>
                <w:szCs w:val="21"/>
                <w:lang w:val="en-US" w:eastAsia="zh-CN"/>
              </w:rPr>
            </w:pPr>
            <w:r>
              <w:rPr>
                <w:rFonts w:hint="eastAsia" w:ascii="宋体" w:hAnsi="宋体" w:eastAsia="宋体"/>
                <w:sz w:val="21"/>
                <w:szCs w:val="21"/>
                <w:lang w:val="en-US" w:eastAsia="zh-CN"/>
              </w:rPr>
              <w:t>45</w:t>
            </w:r>
          </w:p>
        </w:tc>
        <w:tc>
          <w:tcPr>
            <w:tcW w:w="2107"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张文强（个人）</w:t>
            </w:r>
            <w:bookmarkStart w:id="0" w:name="_GoBack"/>
            <w:bookmarkEnd w:id="0"/>
          </w:p>
        </w:tc>
        <w:tc>
          <w:tcPr>
            <w:tcW w:w="97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3.0.4</w:t>
            </w:r>
          </w:p>
        </w:tc>
        <w:tc>
          <w:tcPr>
            <w:tcW w:w="7080"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基于《深圳市建筑防水工程技术规范》SJG19-2010执行至今将近10年，马上又到规范更新的时间点。从SJG19-2010执行的这些年中，建筑行业内普遍反映“SJG19-2010第3.0.4条”规定过于笼统，针对性不强，对受防水工程施工影响的重大工程划分不明确。导致很多习惯做法的防水施工工程也需进行专家论证评审通过后，方可施工。行内主要存在以下几种意见：1.SJG19-2010规定需论证评审的防水工程范围涵盖面太广，针对性不强，与国家相关防水规范出入较大，其他地域也无这种特殊规定。2.现如今很大一部分的房建工程均为群体建筑，建筑面积较大，从而屋面防水工程面积也较大，但防水施工做法已很成熟，且工艺流程清楚简单。但因防水面积超过10000㎡，按规定需要组织专家论证，增加了企业负担，使建设过程中防水施工变得复杂繁琐。3.防水工程，不像高支模，深基坑，外架等涉及重大安全事故，也不涉及特种作业。4.防水工程为专业分包，施工专业性强，工艺可控制良好。设计人员经多年的经验总结，对防水工程的设计已有普遍认识。业主方对防水工程已相当重视，在防水设计上，也严格按规范要求执行，并不存在故意降低防水等级的主观意愿。防水材料检验检测制度齐全。基于以上几点，建议在新的SJG19上，取消防水专家评审制度，或对评审范围作出更有针对性的规定，或以业主方自愿为原则。SJG19-2010第3.0.4条规定：“Ⅰ级设防或防水Ⅰ级设防或防水面积超过10000㎡的屋面防水工程、地下防水工程三层以上（含三层）或防水面积超过15000㎡等防水工程的设计，建设单位应组织专家评审。未列入本规范的防水层设计方案，应经专家评审”。</w:t>
            </w:r>
          </w:p>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SJG19-2010第3.0.4条释义：对重大工程应首先从设计上给予保证，根据目前深圳地区防水工程的现状，应实施对重大工程的专家审查制度，由建设单位委托深圳市土木建筑学会防水专业委员会等专业技术团体组织专家评审。</w:t>
            </w:r>
          </w:p>
        </w:tc>
        <w:tc>
          <w:tcPr>
            <w:tcW w:w="1095" w:type="dxa"/>
            <w:vAlign w:val="center"/>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未采纳</w:t>
            </w:r>
          </w:p>
        </w:tc>
        <w:tc>
          <w:tcPr>
            <w:tcW w:w="3652" w:type="dxa"/>
            <w:vAlign w:val="top"/>
          </w:tcPr>
          <w:p>
            <w:pPr>
              <w:jc w:val="both"/>
              <w:rPr>
                <w:rFonts w:hint="eastAsia" w:ascii="宋体" w:hAnsi="宋体" w:eastAsia="宋体"/>
                <w:sz w:val="21"/>
                <w:szCs w:val="21"/>
                <w:lang w:val="en-US" w:eastAsia="zh-CN"/>
              </w:rPr>
            </w:pPr>
            <w:r>
              <w:rPr>
                <w:rFonts w:hint="eastAsia" w:ascii="宋体" w:hAnsi="宋体" w:eastAsia="宋体"/>
                <w:sz w:val="21"/>
                <w:szCs w:val="21"/>
                <w:lang w:val="en-US" w:eastAsia="zh-CN"/>
              </w:rPr>
              <w:t>本条意见是针对《深圳市建筑防水工程技术规范》SJG19-2010版本内容所提的意见，修编组已经在2013年按照住建局的修订要求对本规范做了第一次修订，2018年对《深圳市建筑防水工程技术规范》SJG19-2013版本做第二次修订。特此说明。</w:t>
            </w:r>
          </w:p>
        </w:tc>
      </w:tr>
    </w:tbl>
    <w:p>
      <w:pPr>
        <w:jc w:val="both"/>
        <w:rPr>
          <w:rFonts w:hint="eastAsia" w:asciiTheme="minorEastAsia" w:hAnsiTheme="minorEastAsia" w:eastAsiaTheme="minorEastAsia" w:cstheme="minorEastAsia"/>
          <w:b/>
          <w:bCs/>
          <w:sz w:val="32"/>
          <w:szCs w:val="32"/>
          <w:lang w:val="en-US" w:eastAsia="zh-CN"/>
        </w:rPr>
      </w:pPr>
    </w:p>
    <w:sectPr>
      <w:pgSz w:w="16838" w:h="11906" w:orient="landscape"/>
      <w:pgMar w:top="720" w:right="720" w:bottom="720" w:left="72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77E66C7"/>
    <w:rsid w:val="00196407"/>
    <w:rsid w:val="002E6735"/>
    <w:rsid w:val="002F01B5"/>
    <w:rsid w:val="02007A90"/>
    <w:rsid w:val="023C2D29"/>
    <w:rsid w:val="023F314E"/>
    <w:rsid w:val="02650476"/>
    <w:rsid w:val="02C002B0"/>
    <w:rsid w:val="030C61F0"/>
    <w:rsid w:val="03B60367"/>
    <w:rsid w:val="041B488C"/>
    <w:rsid w:val="044254E6"/>
    <w:rsid w:val="04F853A2"/>
    <w:rsid w:val="057876B1"/>
    <w:rsid w:val="057B24A5"/>
    <w:rsid w:val="06602A39"/>
    <w:rsid w:val="06D66857"/>
    <w:rsid w:val="07440BD4"/>
    <w:rsid w:val="077503E3"/>
    <w:rsid w:val="07E1530A"/>
    <w:rsid w:val="081543D4"/>
    <w:rsid w:val="08AB19D6"/>
    <w:rsid w:val="08D0216E"/>
    <w:rsid w:val="08DB0ADC"/>
    <w:rsid w:val="09132E2B"/>
    <w:rsid w:val="09374136"/>
    <w:rsid w:val="09512DEA"/>
    <w:rsid w:val="0AEF06EA"/>
    <w:rsid w:val="0B853BBF"/>
    <w:rsid w:val="0C042EFF"/>
    <w:rsid w:val="0C221B61"/>
    <w:rsid w:val="0C2661F4"/>
    <w:rsid w:val="0C4D75CB"/>
    <w:rsid w:val="0CE62C0F"/>
    <w:rsid w:val="0D005BA3"/>
    <w:rsid w:val="0D137DE0"/>
    <w:rsid w:val="0D8155BD"/>
    <w:rsid w:val="0D904F1E"/>
    <w:rsid w:val="0E295296"/>
    <w:rsid w:val="0ED45617"/>
    <w:rsid w:val="0F73150B"/>
    <w:rsid w:val="0FAD2789"/>
    <w:rsid w:val="100543E0"/>
    <w:rsid w:val="10214977"/>
    <w:rsid w:val="113474D8"/>
    <w:rsid w:val="113A2F1F"/>
    <w:rsid w:val="126C177A"/>
    <w:rsid w:val="131E7B77"/>
    <w:rsid w:val="133D408A"/>
    <w:rsid w:val="139933B2"/>
    <w:rsid w:val="13DC76F9"/>
    <w:rsid w:val="14034346"/>
    <w:rsid w:val="14284F0F"/>
    <w:rsid w:val="14D67D34"/>
    <w:rsid w:val="152A6178"/>
    <w:rsid w:val="153165BB"/>
    <w:rsid w:val="15F337AC"/>
    <w:rsid w:val="15FE25C8"/>
    <w:rsid w:val="160D641F"/>
    <w:rsid w:val="16272023"/>
    <w:rsid w:val="166B3108"/>
    <w:rsid w:val="17AE2C84"/>
    <w:rsid w:val="181A6CA3"/>
    <w:rsid w:val="183F4973"/>
    <w:rsid w:val="18513E4F"/>
    <w:rsid w:val="18B9111B"/>
    <w:rsid w:val="18EC37A1"/>
    <w:rsid w:val="18FD75DB"/>
    <w:rsid w:val="1A5D7EE6"/>
    <w:rsid w:val="1A720D04"/>
    <w:rsid w:val="1AC671A3"/>
    <w:rsid w:val="1B070FC5"/>
    <w:rsid w:val="1B105CC7"/>
    <w:rsid w:val="1BEB1BF8"/>
    <w:rsid w:val="1BF474D1"/>
    <w:rsid w:val="1C01560B"/>
    <w:rsid w:val="1D7D3625"/>
    <w:rsid w:val="1DA969A6"/>
    <w:rsid w:val="1DF93F34"/>
    <w:rsid w:val="1E1018C7"/>
    <w:rsid w:val="1E376597"/>
    <w:rsid w:val="1E435E7F"/>
    <w:rsid w:val="1EC67932"/>
    <w:rsid w:val="1F22623F"/>
    <w:rsid w:val="203958C5"/>
    <w:rsid w:val="20B05D79"/>
    <w:rsid w:val="20C00B17"/>
    <w:rsid w:val="225A136D"/>
    <w:rsid w:val="226216CB"/>
    <w:rsid w:val="226B1DE1"/>
    <w:rsid w:val="252F0D74"/>
    <w:rsid w:val="253F79E4"/>
    <w:rsid w:val="25A0200D"/>
    <w:rsid w:val="26581FDD"/>
    <w:rsid w:val="26C55A6D"/>
    <w:rsid w:val="26E45E02"/>
    <w:rsid w:val="27764C1A"/>
    <w:rsid w:val="27EA5DBF"/>
    <w:rsid w:val="281E6CDD"/>
    <w:rsid w:val="28BC10C1"/>
    <w:rsid w:val="297E7D1D"/>
    <w:rsid w:val="2A593A7C"/>
    <w:rsid w:val="2A7A00DD"/>
    <w:rsid w:val="2A7A4664"/>
    <w:rsid w:val="2AA85665"/>
    <w:rsid w:val="2B420E6C"/>
    <w:rsid w:val="2BD91C71"/>
    <w:rsid w:val="2C612C72"/>
    <w:rsid w:val="2C8141DF"/>
    <w:rsid w:val="2D9A36BE"/>
    <w:rsid w:val="2DAB0E53"/>
    <w:rsid w:val="2E493404"/>
    <w:rsid w:val="2E953C6B"/>
    <w:rsid w:val="2EBE1798"/>
    <w:rsid w:val="2EC51E99"/>
    <w:rsid w:val="2F491FA8"/>
    <w:rsid w:val="2F4F2D1F"/>
    <w:rsid w:val="2F9610CE"/>
    <w:rsid w:val="2F9C6C62"/>
    <w:rsid w:val="2FBD633D"/>
    <w:rsid w:val="30F45EFE"/>
    <w:rsid w:val="311C55BE"/>
    <w:rsid w:val="31831918"/>
    <w:rsid w:val="319D51B4"/>
    <w:rsid w:val="31A5166B"/>
    <w:rsid w:val="31C51050"/>
    <w:rsid w:val="321A23AD"/>
    <w:rsid w:val="321B01FF"/>
    <w:rsid w:val="325967C2"/>
    <w:rsid w:val="328D2BBA"/>
    <w:rsid w:val="32DA1986"/>
    <w:rsid w:val="32EC0D66"/>
    <w:rsid w:val="334E373A"/>
    <w:rsid w:val="337E185F"/>
    <w:rsid w:val="33C94832"/>
    <w:rsid w:val="3463373F"/>
    <w:rsid w:val="348061F4"/>
    <w:rsid w:val="35661E28"/>
    <w:rsid w:val="35750525"/>
    <w:rsid w:val="35C525FA"/>
    <w:rsid w:val="36125113"/>
    <w:rsid w:val="366B717F"/>
    <w:rsid w:val="367A63EA"/>
    <w:rsid w:val="36882CDE"/>
    <w:rsid w:val="36BC4603"/>
    <w:rsid w:val="373B5BD3"/>
    <w:rsid w:val="373D0DDB"/>
    <w:rsid w:val="3778418F"/>
    <w:rsid w:val="383B35DB"/>
    <w:rsid w:val="3A266409"/>
    <w:rsid w:val="3AB64046"/>
    <w:rsid w:val="3B436A97"/>
    <w:rsid w:val="3B493F8D"/>
    <w:rsid w:val="3B536B6E"/>
    <w:rsid w:val="3B601D53"/>
    <w:rsid w:val="3BF943EF"/>
    <w:rsid w:val="3CBE219D"/>
    <w:rsid w:val="3D6446FF"/>
    <w:rsid w:val="3DC74EB1"/>
    <w:rsid w:val="3DC761D1"/>
    <w:rsid w:val="3E171868"/>
    <w:rsid w:val="3E580678"/>
    <w:rsid w:val="3ED27CE2"/>
    <w:rsid w:val="400C2B82"/>
    <w:rsid w:val="40103660"/>
    <w:rsid w:val="40692132"/>
    <w:rsid w:val="40E6622C"/>
    <w:rsid w:val="411D10BA"/>
    <w:rsid w:val="411E0D88"/>
    <w:rsid w:val="418519F3"/>
    <w:rsid w:val="4192291B"/>
    <w:rsid w:val="429639ED"/>
    <w:rsid w:val="43347351"/>
    <w:rsid w:val="43587CBA"/>
    <w:rsid w:val="4394144E"/>
    <w:rsid w:val="43C96E06"/>
    <w:rsid w:val="45070C1D"/>
    <w:rsid w:val="47663C64"/>
    <w:rsid w:val="479561B2"/>
    <w:rsid w:val="47B44EAB"/>
    <w:rsid w:val="482645D8"/>
    <w:rsid w:val="488D3A22"/>
    <w:rsid w:val="48A37F79"/>
    <w:rsid w:val="48CE0006"/>
    <w:rsid w:val="49311169"/>
    <w:rsid w:val="49313A69"/>
    <w:rsid w:val="49B27E90"/>
    <w:rsid w:val="4A203537"/>
    <w:rsid w:val="4A426B52"/>
    <w:rsid w:val="4AE345D1"/>
    <w:rsid w:val="4C2D20F9"/>
    <w:rsid w:val="4C987C97"/>
    <w:rsid w:val="4CA63B90"/>
    <w:rsid w:val="4CDF7669"/>
    <w:rsid w:val="4D0B3928"/>
    <w:rsid w:val="4D8D7D79"/>
    <w:rsid w:val="4DF11B59"/>
    <w:rsid w:val="4E1457D8"/>
    <w:rsid w:val="4EF54DF1"/>
    <w:rsid w:val="4F3B0955"/>
    <w:rsid w:val="4FA2341F"/>
    <w:rsid w:val="4FE6086A"/>
    <w:rsid w:val="4FFF54AE"/>
    <w:rsid w:val="508462E1"/>
    <w:rsid w:val="51F56309"/>
    <w:rsid w:val="52165688"/>
    <w:rsid w:val="525517E6"/>
    <w:rsid w:val="53196CFE"/>
    <w:rsid w:val="53217810"/>
    <w:rsid w:val="535A06E4"/>
    <w:rsid w:val="53B34406"/>
    <w:rsid w:val="53E35ED1"/>
    <w:rsid w:val="54086AA9"/>
    <w:rsid w:val="545C1FEA"/>
    <w:rsid w:val="55BB6BC0"/>
    <w:rsid w:val="55DC0652"/>
    <w:rsid w:val="561E7EF6"/>
    <w:rsid w:val="574D26DC"/>
    <w:rsid w:val="57B4623F"/>
    <w:rsid w:val="58A63746"/>
    <w:rsid w:val="59821BA4"/>
    <w:rsid w:val="59B74153"/>
    <w:rsid w:val="5A0144ED"/>
    <w:rsid w:val="5A06126F"/>
    <w:rsid w:val="5A0B4252"/>
    <w:rsid w:val="5A1C0B4B"/>
    <w:rsid w:val="5B122B03"/>
    <w:rsid w:val="5B670BFC"/>
    <w:rsid w:val="5BB34ED2"/>
    <w:rsid w:val="5BDB3527"/>
    <w:rsid w:val="5C016379"/>
    <w:rsid w:val="5CC31F12"/>
    <w:rsid w:val="5D2A64FC"/>
    <w:rsid w:val="5DCE6C87"/>
    <w:rsid w:val="5DDC14A4"/>
    <w:rsid w:val="5F127F6B"/>
    <w:rsid w:val="5F194468"/>
    <w:rsid w:val="5FB82785"/>
    <w:rsid w:val="5FBD19CF"/>
    <w:rsid w:val="602B7D04"/>
    <w:rsid w:val="606409E0"/>
    <w:rsid w:val="614E6D37"/>
    <w:rsid w:val="61A9481D"/>
    <w:rsid w:val="620813BC"/>
    <w:rsid w:val="62EE6A22"/>
    <w:rsid w:val="63613B13"/>
    <w:rsid w:val="63854086"/>
    <w:rsid w:val="63D66325"/>
    <w:rsid w:val="64185259"/>
    <w:rsid w:val="643874D4"/>
    <w:rsid w:val="6454378C"/>
    <w:rsid w:val="64716E91"/>
    <w:rsid w:val="650165A0"/>
    <w:rsid w:val="6510362B"/>
    <w:rsid w:val="65527E23"/>
    <w:rsid w:val="655372D3"/>
    <w:rsid w:val="656E772B"/>
    <w:rsid w:val="658B3FFE"/>
    <w:rsid w:val="65997E64"/>
    <w:rsid w:val="665F067A"/>
    <w:rsid w:val="677E66C7"/>
    <w:rsid w:val="67E93F83"/>
    <w:rsid w:val="682B22AF"/>
    <w:rsid w:val="68747406"/>
    <w:rsid w:val="68D4658C"/>
    <w:rsid w:val="68F016B0"/>
    <w:rsid w:val="69551A1D"/>
    <w:rsid w:val="697B736B"/>
    <w:rsid w:val="698D39E8"/>
    <w:rsid w:val="6A7C0B11"/>
    <w:rsid w:val="6C5414B1"/>
    <w:rsid w:val="6CAF454F"/>
    <w:rsid w:val="6CC84A84"/>
    <w:rsid w:val="6D216FDA"/>
    <w:rsid w:val="6D4E5AA7"/>
    <w:rsid w:val="6D690784"/>
    <w:rsid w:val="6F7E687D"/>
    <w:rsid w:val="6FA366E9"/>
    <w:rsid w:val="6FA65114"/>
    <w:rsid w:val="6FBB2583"/>
    <w:rsid w:val="7042627D"/>
    <w:rsid w:val="70512620"/>
    <w:rsid w:val="70A96433"/>
    <w:rsid w:val="70F8165E"/>
    <w:rsid w:val="718623A5"/>
    <w:rsid w:val="71CA1CC9"/>
    <w:rsid w:val="727641CF"/>
    <w:rsid w:val="730435BC"/>
    <w:rsid w:val="7403719C"/>
    <w:rsid w:val="74444F1E"/>
    <w:rsid w:val="7605296A"/>
    <w:rsid w:val="76512E2A"/>
    <w:rsid w:val="76E62F48"/>
    <w:rsid w:val="7701492D"/>
    <w:rsid w:val="774B3B26"/>
    <w:rsid w:val="77682E0D"/>
    <w:rsid w:val="77DE17EE"/>
    <w:rsid w:val="77F66098"/>
    <w:rsid w:val="7808050C"/>
    <w:rsid w:val="785710FA"/>
    <w:rsid w:val="786054D7"/>
    <w:rsid w:val="786D2A1F"/>
    <w:rsid w:val="78F6757E"/>
    <w:rsid w:val="792D76E9"/>
    <w:rsid w:val="797B3CAC"/>
    <w:rsid w:val="7986676C"/>
    <w:rsid w:val="79A321B4"/>
    <w:rsid w:val="79A83B7B"/>
    <w:rsid w:val="7A2014E9"/>
    <w:rsid w:val="7A6B6D28"/>
    <w:rsid w:val="7A9E47B0"/>
    <w:rsid w:val="7B415B4B"/>
    <w:rsid w:val="7B720AB9"/>
    <w:rsid w:val="7BED333A"/>
    <w:rsid w:val="7C9C394B"/>
    <w:rsid w:val="7CCF3DF4"/>
    <w:rsid w:val="7D6720F3"/>
    <w:rsid w:val="7DFB675D"/>
    <w:rsid w:val="7FE6263D"/>
    <w:rsid w:val="7FEF48C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qFormat="1"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List 3"/>
    <w:basedOn w:val="1"/>
    <w:qFormat/>
    <w:uiPriority w:val="0"/>
    <w:pPr>
      <w:ind w:left="1260" w:hanging="420"/>
    </w:pPr>
    <w:rPr>
      <w:szCs w:val="20"/>
    </w:rPr>
  </w:style>
  <w:style w:type="paragraph" w:styleId="3">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styleId="7">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Office_10.8.2.6726_F1E327BC-269C-435d-A152-05C5408002CA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2018-08-16T06:05:00Z</dcterms:created>
  <dc:creator>洋洋杨</dc:creator>
  <cp:lastModifiedBy>系统管理员</cp:lastModifiedBy>
  <cp:lastPrinted>2019-02-18T02:26:00Z</cp:lastPrinted>
  <dcterms:modified xsi:type="dcterms:W3CDTF">2019-02-26T06:38:00Z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2052-10.8.2.6726</vt:lpwstr>
  </property>
</Properties>
</file>