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0" w:lineRule="atLeas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lang w:val="en-US" w:eastAsia="zh-CN"/>
        </w:rPr>
        <w:t>5</w:t>
      </w:r>
    </w:p>
    <w:p>
      <w:pPr>
        <w:overflowPunct w:val="0"/>
        <w:spacing w:after="240" w:line="0" w:lineRule="atLeast"/>
        <w:jc w:val="center"/>
        <w:rPr>
          <w:rFonts w:hint="eastAsia" w:ascii="方正小标宋简体" w:hAnsi="仿宋" w:eastAsia="方正小标宋简体"/>
          <w:spacing w:val="20"/>
          <w:sz w:val="44"/>
          <w:szCs w:val="44"/>
        </w:rPr>
      </w:pPr>
      <w:r>
        <w:rPr>
          <w:rFonts w:hint="eastAsia" w:ascii="方正小标宋简体" w:hAnsi="仿宋" w:eastAsia="方正小标宋简体"/>
          <w:spacing w:val="20"/>
          <w:sz w:val="44"/>
          <w:szCs w:val="44"/>
        </w:rPr>
        <w:t>监理违法违规行为</w:t>
      </w:r>
      <w:r>
        <w:rPr>
          <w:rFonts w:hint="eastAsia" w:ascii="方正小标宋简体" w:hAnsi="仿宋" w:eastAsia="方正小标宋简体"/>
          <w:spacing w:val="20"/>
          <w:sz w:val="44"/>
          <w:szCs w:val="44"/>
          <w:lang w:eastAsia="zh-CN"/>
        </w:rPr>
        <w:t>核查</w:t>
      </w:r>
      <w:r>
        <w:rPr>
          <w:rFonts w:hint="eastAsia" w:ascii="方正小标宋简体" w:hAnsi="仿宋" w:eastAsia="方正小标宋简体"/>
          <w:spacing w:val="20"/>
          <w:sz w:val="44"/>
          <w:szCs w:val="44"/>
        </w:rPr>
        <w:t>表</w:t>
      </w:r>
    </w:p>
    <w:p>
      <w:pPr>
        <w:spacing w:after="120" w:line="0" w:lineRule="atLeast"/>
        <w:jc w:val="left"/>
        <w:rPr>
          <w:rFonts w:ascii="仿宋" w:hAnsi="仿宋" w:eastAsia="仿宋"/>
          <w:color w:val="auto"/>
          <w:szCs w:val="21"/>
        </w:rPr>
      </w:pPr>
      <w:r>
        <w:rPr>
          <w:rFonts w:hint="eastAsia" w:ascii="仿宋" w:hAnsi="仿宋" w:eastAsia="仿宋"/>
          <w:color w:val="auto"/>
          <w:szCs w:val="21"/>
        </w:rPr>
        <w:t xml:space="preserve">监理企业：             </w:t>
      </w:r>
      <w:r>
        <w:rPr>
          <w:rFonts w:ascii="仿宋" w:hAnsi="仿宋" w:eastAsia="仿宋"/>
          <w:color w:val="auto"/>
          <w:szCs w:val="21"/>
        </w:rPr>
        <w:t xml:space="preserve">            </w:t>
      </w:r>
      <w:r>
        <w:rPr>
          <w:rFonts w:hint="eastAsia" w:ascii="仿宋" w:hAnsi="仿宋" w:eastAsia="仿宋"/>
          <w:color w:val="auto"/>
          <w:szCs w:val="21"/>
        </w:rPr>
        <w:t xml:space="preserve">（加盖公章）      </w:t>
      </w:r>
    </w:p>
    <w:p>
      <w:pPr>
        <w:spacing w:after="120" w:line="0" w:lineRule="atLeast"/>
        <w:jc w:val="left"/>
        <w:rPr>
          <w:rFonts w:hint="eastAsia" w:ascii="方正小标宋简体" w:hAnsi="仿宋" w:eastAsia="方正小标宋简体"/>
          <w:spacing w:val="20"/>
          <w:sz w:val="44"/>
          <w:szCs w:val="44"/>
        </w:rPr>
      </w:pPr>
      <w:r>
        <w:rPr>
          <w:rFonts w:hint="eastAsia" w:ascii="仿宋" w:hAnsi="仿宋" w:eastAsia="仿宋"/>
          <w:color w:val="auto"/>
          <w:szCs w:val="21"/>
        </w:rPr>
        <w:t>法定代表人（签名）：                  填表日期：</w:t>
      </w:r>
    </w:p>
    <w:tbl>
      <w:tblPr>
        <w:tblStyle w:val="3"/>
        <w:tblW w:w="13784" w:type="dxa"/>
        <w:jc w:val="center"/>
        <w:tblInd w:w="0" w:type="dxa"/>
        <w:tblLayout w:type="fixed"/>
        <w:tblCellMar>
          <w:top w:w="0" w:type="dxa"/>
          <w:left w:w="108" w:type="dxa"/>
          <w:bottom w:w="0" w:type="dxa"/>
          <w:right w:w="108" w:type="dxa"/>
        </w:tblCellMar>
      </w:tblPr>
      <w:tblGrid>
        <w:gridCol w:w="2528"/>
        <w:gridCol w:w="3743"/>
        <w:gridCol w:w="1545"/>
        <w:gridCol w:w="2216"/>
        <w:gridCol w:w="2029"/>
        <w:gridCol w:w="1723"/>
      </w:tblGrid>
      <w:tr>
        <w:tblPrEx>
          <w:tblLayout w:type="fixed"/>
          <w:tblCellMar>
            <w:top w:w="0" w:type="dxa"/>
            <w:left w:w="108" w:type="dxa"/>
            <w:bottom w:w="0" w:type="dxa"/>
            <w:right w:w="108" w:type="dxa"/>
          </w:tblCellMar>
        </w:tblPrEx>
        <w:trPr>
          <w:trHeight w:val="454" w:hRule="atLeast"/>
          <w:jc w:val="center"/>
        </w:trPr>
        <w:tc>
          <w:tcPr>
            <w:tcW w:w="2528" w:type="dxa"/>
            <w:tcBorders>
              <w:top w:val="single" w:color="auto" w:sz="4" w:space="0"/>
              <w:left w:val="single" w:color="auto" w:sz="4" w:space="0"/>
              <w:bottom w:val="single" w:color="auto" w:sz="2" w:space="0"/>
              <w:right w:val="single" w:color="auto" w:sz="2" w:space="0"/>
            </w:tcBorders>
            <w:vAlign w:val="center"/>
          </w:tcPr>
          <w:p>
            <w:pPr>
              <w:overflowPunct w:val="0"/>
              <w:spacing w:line="0" w:lineRule="atLeast"/>
              <w:jc w:val="center"/>
              <w:rPr>
                <w:rFonts w:ascii="仿宋" w:hAnsi="仿宋" w:eastAsia="仿宋"/>
                <w:szCs w:val="21"/>
              </w:rPr>
            </w:pPr>
            <w:r>
              <w:rPr>
                <w:rFonts w:hint="eastAsia" w:ascii="仿宋" w:hAnsi="仿宋" w:eastAsia="仿宋"/>
                <w:szCs w:val="21"/>
              </w:rPr>
              <w:t>工程项目名称</w:t>
            </w:r>
          </w:p>
        </w:tc>
        <w:tc>
          <w:tcPr>
            <w:tcW w:w="11256" w:type="dxa"/>
            <w:gridSpan w:val="5"/>
            <w:tcBorders>
              <w:top w:val="single" w:color="auto" w:sz="4" w:space="0"/>
              <w:left w:val="single" w:color="auto" w:sz="2" w:space="0"/>
              <w:bottom w:val="single" w:color="auto" w:sz="2" w:space="0"/>
              <w:right w:val="single" w:color="auto" w:sz="4" w:space="0"/>
            </w:tcBorders>
            <w:vAlign w:val="center"/>
          </w:tcPr>
          <w:p>
            <w:pPr>
              <w:overflowPunct w:val="0"/>
              <w:spacing w:line="0" w:lineRule="atLeast"/>
              <w:rPr>
                <w:rFonts w:ascii="仿宋" w:hAnsi="仿宋" w:eastAsia="仿宋"/>
                <w:szCs w:val="21"/>
              </w:rPr>
            </w:pPr>
          </w:p>
        </w:tc>
      </w:tr>
      <w:tr>
        <w:tblPrEx>
          <w:tblLayout w:type="fixed"/>
          <w:tblCellMar>
            <w:top w:w="0" w:type="dxa"/>
            <w:left w:w="108" w:type="dxa"/>
            <w:bottom w:w="0" w:type="dxa"/>
            <w:right w:w="108" w:type="dxa"/>
          </w:tblCellMar>
        </w:tblPrEx>
        <w:trPr>
          <w:trHeight w:val="454" w:hRule="atLeast"/>
          <w:jc w:val="center"/>
        </w:trPr>
        <w:tc>
          <w:tcPr>
            <w:tcW w:w="2528" w:type="dxa"/>
            <w:tcBorders>
              <w:top w:val="single" w:color="auto" w:sz="2" w:space="0"/>
              <w:left w:val="single" w:color="auto" w:sz="4" w:space="0"/>
              <w:bottom w:val="single" w:color="auto" w:sz="2" w:space="0"/>
              <w:right w:val="single" w:color="auto" w:sz="2" w:space="0"/>
            </w:tcBorders>
            <w:vAlign w:val="center"/>
          </w:tcPr>
          <w:p>
            <w:pPr>
              <w:overflowPunct w:val="0"/>
              <w:spacing w:line="0" w:lineRule="atLeast"/>
              <w:jc w:val="center"/>
              <w:rPr>
                <w:rFonts w:ascii="仿宋" w:hAnsi="仿宋" w:eastAsia="仿宋"/>
                <w:szCs w:val="21"/>
              </w:rPr>
            </w:pPr>
            <w:r>
              <w:rPr>
                <w:rFonts w:hint="eastAsia" w:ascii="仿宋" w:hAnsi="仿宋" w:eastAsia="仿宋"/>
                <w:szCs w:val="21"/>
              </w:rPr>
              <w:t>工程项目地点</w:t>
            </w:r>
          </w:p>
        </w:tc>
        <w:tc>
          <w:tcPr>
            <w:tcW w:w="5288" w:type="dxa"/>
            <w:gridSpan w:val="2"/>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ascii="仿宋" w:hAnsi="仿宋" w:eastAsia="仿宋"/>
                <w:szCs w:val="21"/>
              </w:rPr>
            </w:pPr>
            <w:r>
              <w:rPr>
                <w:rFonts w:ascii="仿宋" w:hAnsi="仿宋" w:eastAsia="仿宋"/>
                <w:szCs w:val="21"/>
              </w:rPr>
              <w:t xml:space="preserve"> </w:t>
            </w:r>
          </w:p>
        </w:tc>
        <w:tc>
          <w:tcPr>
            <w:tcW w:w="2216" w:type="dxa"/>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hint="eastAsia" w:ascii="仿宋" w:hAnsi="仿宋" w:eastAsia="仿宋"/>
                <w:szCs w:val="21"/>
              </w:rPr>
            </w:pPr>
            <w:r>
              <w:rPr>
                <w:rFonts w:hint="eastAsia" w:ascii="仿宋" w:hAnsi="仿宋" w:eastAsia="仿宋"/>
                <w:szCs w:val="21"/>
              </w:rPr>
              <w:t>工程造价</w:t>
            </w:r>
          </w:p>
        </w:tc>
        <w:tc>
          <w:tcPr>
            <w:tcW w:w="3752" w:type="dxa"/>
            <w:gridSpan w:val="2"/>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right"/>
              <w:rPr>
                <w:rFonts w:hint="eastAsia" w:ascii="仿宋" w:hAnsi="仿宋" w:eastAsia="仿宋"/>
                <w:szCs w:val="21"/>
              </w:rPr>
            </w:pPr>
            <w:r>
              <w:rPr>
                <w:rFonts w:hint="eastAsia" w:ascii="仿宋" w:hAnsi="仿宋" w:eastAsia="仿宋"/>
                <w:szCs w:val="21"/>
              </w:rPr>
              <w:t>万元</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2" w:space="0"/>
              <w:right w:val="single" w:color="auto" w:sz="2" w:space="0"/>
            </w:tcBorders>
            <w:vAlign w:val="center"/>
          </w:tcPr>
          <w:p>
            <w:pPr>
              <w:overflowPunct w:val="0"/>
              <w:spacing w:line="0" w:lineRule="atLeast"/>
              <w:jc w:val="center"/>
              <w:rPr>
                <w:rFonts w:ascii="仿宋" w:hAnsi="仿宋" w:eastAsia="仿宋"/>
                <w:spacing w:val="20"/>
                <w:sz w:val="44"/>
                <w:szCs w:val="44"/>
              </w:rPr>
            </w:pPr>
            <w:r>
              <w:rPr>
                <w:rFonts w:hint="eastAsia" w:ascii="仿宋" w:hAnsi="仿宋" w:eastAsia="仿宋"/>
                <w:szCs w:val="21"/>
              </w:rPr>
              <w:t>检查</w:t>
            </w:r>
            <w:r>
              <w:rPr>
                <w:rFonts w:ascii="仿宋" w:hAnsi="仿宋" w:eastAsia="仿宋"/>
                <w:szCs w:val="21"/>
              </w:rPr>
              <w:t>内容</w:t>
            </w:r>
          </w:p>
        </w:tc>
        <w:tc>
          <w:tcPr>
            <w:tcW w:w="5790" w:type="dxa"/>
            <w:gridSpan w:val="3"/>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ascii="仿宋" w:hAnsi="仿宋" w:eastAsia="仿宋"/>
                <w:spacing w:val="20"/>
                <w:sz w:val="44"/>
                <w:szCs w:val="44"/>
              </w:rPr>
            </w:pPr>
            <w:r>
              <w:rPr>
                <w:rFonts w:hint="eastAsia" w:ascii="仿宋" w:hAnsi="仿宋" w:eastAsia="仿宋"/>
                <w:szCs w:val="21"/>
              </w:rPr>
              <w:t>依据</w:t>
            </w:r>
          </w:p>
        </w:tc>
        <w:tc>
          <w:tcPr>
            <w:tcW w:w="1723" w:type="dxa"/>
            <w:tcBorders>
              <w:top w:val="single" w:color="auto" w:sz="2" w:space="0"/>
              <w:left w:val="single" w:color="auto" w:sz="2" w:space="0"/>
              <w:bottom w:val="single" w:color="auto" w:sz="2" w:space="0"/>
              <w:right w:val="single" w:color="auto" w:sz="4" w:space="0"/>
            </w:tcBorders>
            <w:vAlign w:val="center"/>
          </w:tcPr>
          <w:p>
            <w:pPr>
              <w:overflowPunct w:val="0"/>
              <w:spacing w:line="0" w:lineRule="atLeast"/>
              <w:jc w:val="center"/>
              <w:rPr>
                <w:rFonts w:ascii="仿宋" w:hAnsi="仿宋" w:eastAsia="仿宋"/>
                <w:spacing w:val="20"/>
                <w:sz w:val="44"/>
                <w:szCs w:val="44"/>
              </w:rPr>
            </w:pPr>
            <w:r>
              <w:rPr>
                <w:rFonts w:hint="eastAsia" w:ascii="仿宋" w:hAnsi="仿宋" w:eastAsia="仿宋"/>
                <w:szCs w:val="21"/>
                <w:lang w:eastAsia="zh-CN"/>
              </w:rPr>
              <w:t>是否存在</w:t>
            </w:r>
          </w:p>
        </w:tc>
      </w:tr>
      <w:tr>
        <w:tblPrEx>
          <w:tblLayout w:type="fixed"/>
          <w:tblCellMar>
            <w:top w:w="0" w:type="dxa"/>
            <w:left w:w="108" w:type="dxa"/>
            <w:bottom w:w="0" w:type="dxa"/>
            <w:right w:w="108" w:type="dxa"/>
          </w:tblCellMar>
        </w:tblPrEx>
        <w:trPr>
          <w:trHeight w:val="1020"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监理企业实际派驻项目监理机构监理人员的资格条件有一名不满足《建设工程监理规范》的要求或数量不满足广东省建设厅文件（粤建管字〔2002〕97号）中有关项目监理机构监理人员最少配置要求</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省动态JL10-2</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及</w:t>
            </w:r>
            <w:r>
              <w:rPr>
                <w:rFonts w:hint="eastAsia" w:ascii="仿宋" w:hAnsi="仿宋" w:eastAsia="仿宋" w:cs="仿宋"/>
                <w:color w:val="000000" w:themeColor="text1"/>
                <w:sz w:val="21"/>
                <w:szCs w:val="21"/>
                <w:shd w:val="clear" w:color="auto" w:fill="FFFFFF"/>
                <w14:textFill>
                  <w14:solidFill>
                    <w14:schemeClr w14:val="tx1"/>
                  </w14:solidFill>
                </w14:textFill>
              </w:rPr>
              <w:t>广东省建设厅文件（粤建管字〔2002〕97号）</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hd w:val="clear" w:color="auto" w:fill="FFFFFF"/>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监理企业派出的项目监理机构的监理人员存在未持《深圳市工程监理从业人员信用手册》的或未经过监理业务培训之一的</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省动态JL10-2</w:t>
            </w:r>
            <w:r>
              <w:rPr>
                <w:rFonts w:hint="eastAsia" w:ascii="仿宋" w:hAnsi="仿宋" w:eastAsia="仿宋" w:cs="仿宋"/>
                <w:color w:val="000000" w:themeColor="text1"/>
                <w:sz w:val="21"/>
                <w:szCs w:val="21"/>
                <w:lang w:eastAsia="zh-CN"/>
                <w14:textFill>
                  <w14:solidFill>
                    <w14:schemeClr w14:val="tx1"/>
                  </w14:solidFill>
                </w14:textFill>
              </w:rPr>
              <w:t>及《</w:t>
            </w:r>
            <w:r>
              <w:rPr>
                <w:rFonts w:hint="eastAsia" w:ascii="仿宋" w:hAnsi="仿宋" w:eastAsia="仿宋" w:cs="仿宋"/>
                <w:color w:val="000000" w:themeColor="text1"/>
                <w:sz w:val="21"/>
                <w:szCs w:val="21"/>
                <w14:textFill>
                  <w14:solidFill>
                    <w14:schemeClr w14:val="tx1"/>
                  </w14:solidFill>
                </w14:textFill>
              </w:rPr>
              <w:t>建设工程监理规范</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GBT50319-2013</w:t>
            </w:r>
            <w:r>
              <w:rPr>
                <w:rFonts w:hint="eastAsia" w:ascii="仿宋" w:hAnsi="仿宋" w:eastAsia="仿宋" w:cs="仿宋"/>
                <w:color w:val="000000" w:themeColor="text1"/>
                <w:sz w:val="21"/>
                <w:szCs w:val="21"/>
                <w:lang w:eastAsia="zh-CN"/>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hd w:val="clear" w:color="auto" w:fill="FFFFFF"/>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存在未注册先执业的</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行为</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w:t>
            </w:r>
            <w:r>
              <w:rPr>
                <w:rFonts w:hint="eastAsia" w:ascii="仿宋" w:hAnsi="仿宋" w:eastAsia="仿宋" w:cs="仿宋"/>
                <w:color w:val="000000" w:themeColor="text1"/>
                <w:sz w:val="21"/>
                <w:szCs w:val="21"/>
                <w:shd w:val="clear" w:color="auto" w:fill="FFFFFF"/>
                <w14:textFill>
                  <w14:solidFill>
                    <w14:schemeClr w14:val="tx1"/>
                  </w14:solidFill>
                </w14:textFill>
              </w:rPr>
              <w:t>JLZJ10-1</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及《</w:t>
            </w:r>
            <w:r>
              <w:rPr>
                <w:rFonts w:hint="eastAsia" w:ascii="仿宋" w:hAnsi="仿宋" w:eastAsia="仿宋" w:cs="仿宋"/>
                <w:color w:val="000000" w:themeColor="text1"/>
                <w:sz w:val="21"/>
                <w:szCs w:val="21"/>
                <w:shd w:val="clear" w:color="auto" w:fill="FFFFFF"/>
                <w14:textFill>
                  <w14:solidFill>
                    <w14:schemeClr w14:val="tx1"/>
                  </w14:solidFill>
                </w14:textFill>
              </w:rPr>
              <w:t>注册监理工程师管理规定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》（建设部令第</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147号</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907"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hd w:val="clear" w:color="auto" w:fill="FFFFFF"/>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监理人员</w:t>
            </w:r>
            <w:r>
              <w:rPr>
                <w:rFonts w:hint="eastAsia" w:ascii="仿宋" w:hAnsi="仿宋" w:eastAsia="仿宋" w:cs="仿宋"/>
                <w:color w:val="000000" w:themeColor="text1"/>
                <w:sz w:val="21"/>
                <w:szCs w:val="21"/>
                <w:shd w:val="clear" w:color="auto" w:fill="FFFFFF"/>
                <w14:textFill>
                  <w14:solidFill>
                    <w14:schemeClr w14:val="tx1"/>
                  </w14:solidFill>
                </w14:textFill>
              </w:rPr>
              <w:t>挂靠</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挂证</w:t>
            </w:r>
            <w:r>
              <w:rPr>
                <w:rFonts w:hint="eastAsia" w:ascii="仿宋" w:hAnsi="仿宋" w:eastAsia="仿宋" w:cs="仿宋"/>
                <w:color w:val="000000" w:themeColor="text1"/>
                <w:sz w:val="21"/>
                <w:szCs w:val="21"/>
                <w:shd w:val="clear" w:color="auto" w:fill="FFFFFF"/>
                <w14:textFill>
                  <w14:solidFill>
                    <w14:schemeClr w14:val="tx1"/>
                  </w14:solidFill>
                </w14:textFill>
              </w:rPr>
              <w:t>行为（出租、出借、倒卖或以其他形式非法转让执业资格证书、注册证书和执业印章</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同时受聘于两个或者两个以上的单位从事执业活动</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等行为</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w:t>
            </w:r>
            <w:r>
              <w:rPr>
                <w:rFonts w:hint="eastAsia" w:ascii="仿宋" w:hAnsi="仿宋" w:eastAsia="仿宋" w:cs="仿宋"/>
                <w:color w:val="000000" w:themeColor="text1"/>
                <w:sz w:val="21"/>
                <w:szCs w:val="21"/>
                <w:shd w:val="clear" w:color="auto" w:fill="FFFFFF"/>
                <w14:textFill>
                  <w14:solidFill>
                    <w14:schemeClr w14:val="tx1"/>
                  </w14:solidFill>
                </w14:textFill>
              </w:rPr>
              <w:t>JLZJ10-2</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及《</w:t>
            </w:r>
            <w:r>
              <w:rPr>
                <w:rFonts w:hint="eastAsia" w:ascii="仿宋" w:hAnsi="仿宋" w:eastAsia="仿宋" w:cs="仿宋"/>
                <w:color w:val="000000" w:themeColor="text1"/>
                <w:sz w:val="21"/>
                <w:szCs w:val="21"/>
                <w:shd w:val="clear" w:color="auto" w:fill="FFFFFF"/>
                <w14:textFill>
                  <w14:solidFill>
                    <w14:schemeClr w14:val="tx1"/>
                  </w14:solidFill>
                </w14:textFill>
              </w:rPr>
              <w:t>注册监理工程师管理规定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》（建设部令第</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147号</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存在总监</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及项目备案监理人员</w:t>
            </w:r>
            <w:r>
              <w:rPr>
                <w:rFonts w:hint="eastAsia" w:ascii="仿宋" w:hAnsi="仿宋" w:eastAsia="仿宋" w:cs="仿宋"/>
                <w:color w:val="000000" w:themeColor="text1"/>
                <w:sz w:val="21"/>
                <w:szCs w:val="21"/>
                <w:shd w:val="clear" w:color="auto" w:fill="FFFFFF"/>
                <w14:textFill>
                  <w14:solidFill>
                    <w14:schemeClr w14:val="tx1"/>
                  </w14:solidFill>
                </w14:textFill>
              </w:rPr>
              <w:t>不在岗履职的</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行为</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省动态扣分标准；</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关于加强建筑市场资质资格动态监管完善企业和人员准入清出制度的指导意见》</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建市[2010]128号</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将不合格的建设工程、建筑材料、建筑构配件和设备按照合格签字</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省动态JL10-3、JLZJ10-3、JLZJ10-4</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JLZY10-1</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JLZY10-2；</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与建设单位或者施工单位串通弄虚作假、降低工程质量</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hint="eastAsia" w:ascii="仿宋" w:hAnsi="仿宋" w:eastAsia="仿宋" w:cs="宋体"/>
                <w:color w:val="auto"/>
                <w:kern w:val="0"/>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hd w:val="clear" w:color="auto" w:fill="FFFFFF"/>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其他不履行监理义务、不履行执业责任、不按技术标准和规范、设计文件进行监理或者违反质量安全规定的</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行为</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省动态扣分标准</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1361" w:hRule="atLeast"/>
          <w:jc w:val="center"/>
        </w:trPr>
        <w:tc>
          <w:tcPr>
            <w:tcW w:w="6271" w:type="dxa"/>
            <w:gridSpan w:val="2"/>
            <w:tcBorders>
              <w:top w:val="single" w:color="auto" w:sz="2" w:space="0"/>
              <w:left w:val="single" w:color="auto" w:sz="4" w:space="0"/>
              <w:bottom w:val="single" w:color="auto" w:sz="2" w:space="0"/>
              <w:right w:val="single" w:color="auto" w:sz="2" w:space="0"/>
            </w:tcBorders>
            <w:textDirection w:val="lrTb"/>
            <w:vAlign w:val="center"/>
          </w:tcPr>
          <w:p>
            <w:pPr>
              <w:shd w:val="clear" w:color="auto" w:fill="FFFFFF"/>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监理单位</w:t>
            </w:r>
            <w:r>
              <w:rPr>
                <w:rFonts w:hint="eastAsia" w:ascii="仿宋" w:hAnsi="仿宋" w:eastAsia="仿宋" w:cs="仿宋"/>
                <w:color w:val="000000" w:themeColor="text1"/>
                <w:kern w:val="0"/>
                <w:sz w:val="21"/>
                <w:szCs w:val="21"/>
                <w14:textFill>
                  <w14:solidFill>
                    <w14:schemeClr w14:val="tx1"/>
                  </w14:solidFill>
                </w14:textFill>
              </w:rPr>
              <w:t>未</w:t>
            </w:r>
            <w:r>
              <w:rPr>
                <w:rFonts w:hint="eastAsia" w:ascii="仿宋" w:hAnsi="仿宋" w:eastAsia="仿宋" w:cs="仿宋"/>
                <w:color w:val="000000" w:themeColor="text1"/>
                <w:sz w:val="21"/>
                <w:szCs w:val="21"/>
                <w:shd w:val="clear" w:color="auto" w:fill="FFFFFF"/>
                <w14:textFill>
                  <w14:solidFill>
                    <w14:schemeClr w14:val="tx1"/>
                  </w14:solidFill>
                </w14:textFill>
              </w:rPr>
              <w:t>将“</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实名制、分账制</w:t>
            </w:r>
            <w:r>
              <w:rPr>
                <w:rFonts w:hint="eastAsia" w:ascii="仿宋" w:hAnsi="仿宋" w:eastAsia="仿宋" w:cs="仿宋"/>
                <w:color w:val="000000" w:themeColor="text1"/>
                <w:sz w:val="21"/>
                <w:szCs w:val="21"/>
                <w:shd w:val="clear" w:color="auto" w:fill="FFFFFF"/>
                <w14:textFill>
                  <w14:solidFill>
                    <w14:schemeClr w14:val="tx1"/>
                  </w14:solidFill>
                </w14:textFill>
              </w:rPr>
              <w:t>”工作情况纳入监理工作范畴，</w:t>
            </w:r>
            <w:r>
              <w:rPr>
                <w:rFonts w:hint="eastAsia" w:ascii="仿宋" w:hAnsi="仿宋" w:eastAsia="仿宋" w:cs="仿宋"/>
                <w:color w:val="000000" w:themeColor="text1"/>
                <w:kern w:val="0"/>
                <w:sz w:val="21"/>
                <w:szCs w:val="21"/>
                <w14:textFill>
                  <w14:solidFill>
                    <w14:schemeClr w14:val="tx1"/>
                  </w14:solidFill>
                </w14:textFill>
              </w:rPr>
              <w:t>未</w:t>
            </w:r>
            <w:r>
              <w:rPr>
                <w:rFonts w:hint="eastAsia" w:ascii="仿宋" w:hAnsi="仿宋" w:eastAsia="仿宋" w:cs="仿宋"/>
                <w:color w:val="000000" w:themeColor="text1"/>
                <w:sz w:val="21"/>
                <w:szCs w:val="21"/>
                <w:shd w:val="clear" w:color="auto" w:fill="FFFFFF"/>
                <w14:textFill>
                  <w14:solidFill>
                    <w14:schemeClr w14:val="tx1"/>
                  </w14:solidFill>
                </w14:textFill>
              </w:rPr>
              <w:t>建立日常监理台账，发现问题</w:t>
            </w:r>
            <w:r>
              <w:rPr>
                <w:rFonts w:hint="eastAsia" w:ascii="仿宋" w:hAnsi="仿宋" w:eastAsia="仿宋" w:cs="仿宋"/>
                <w:color w:val="000000" w:themeColor="text1"/>
                <w:kern w:val="0"/>
                <w:sz w:val="21"/>
                <w:szCs w:val="21"/>
                <w14:textFill>
                  <w14:solidFill>
                    <w14:schemeClr w14:val="tx1"/>
                  </w14:solidFill>
                </w14:textFill>
              </w:rPr>
              <w:t>未</w:t>
            </w:r>
            <w:r>
              <w:rPr>
                <w:rFonts w:hint="eastAsia" w:ascii="仿宋" w:hAnsi="仿宋" w:eastAsia="仿宋" w:cs="仿宋"/>
                <w:color w:val="000000" w:themeColor="text1"/>
                <w:sz w:val="21"/>
                <w:szCs w:val="21"/>
                <w:shd w:val="clear" w:color="auto" w:fill="FFFFFF"/>
                <w14:textFill>
                  <w14:solidFill>
                    <w14:schemeClr w14:val="tx1"/>
                  </w14:solidFill>
                </w14:textFill>
              </w:rPr>
              <w:t>及时向建设单位单位、施工总承包单位反映并要求整改；对未及时整改的</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问题</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未</w:t>
            </w:r>
            <w:r>
              <w:rPr>
                <w:rFonts w:hint="eastAsia" w:ascii="仿宋" w:hAnsi="仿宋" w:eastAsia="仿宋" w:cs="仿宋"/>
                <w:color w:val="000000" w:themeColor="text1"/>
                <w:sz w:val="21"/>
                <w:szCs w:val="21"/>
                <w:shd w:val="clear" w:color="auto" w:fill="FFFFFF"/>
                <w14:textFill>
                  <w14:solidFill>
                    <w14:schemeClr w14:val="tx1"/>
                  </w14:solidFill>
                </w14:textFill>
              </w:rPr>
              <w:t>及时向建设行政主管部门报告</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的行为</w:t>
            </w:r>
          </w:p>
        </w:tc>
        <w:tc>
          <w:tcPr>
            <w:tcW w:w="5790" w:type="dxa"/>
            <w:gridSpan w:val="3"/>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深圳市住房和建设局关于切实推进劳务工实名制和分账制管理工作落地的通知》（深建市场〔2017〕20号）</w:t>
            </w:r>
          </w:p>
        </w:tc>
        <w:tc>
          <w:tcPr>
            <w:tcW w:w="1723" w:type="dxa"/>
            <w:tcBorders>
              <w:top w:val="single" w:color="auto" w:sz="2" w:space="0"/>
              <w:left w:val="single" w:color="auto" w:sz="2" w:space="0"/>
              <w:bottom w:val="single" w:color="auto" w:sz="2"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hd w:val="clear" w:color="auto" w:fill="FFFFFF"/>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监理企业未签署《深圳市工程监理行业廉洁自律公约》并接受行业自律管理</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深圳市住房和建设局关于落实监理行业廉洁从业工作的通知》（深建设〔2017〕21号）</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hd w:val="clear" w:color="auto" w:fill="FFFFFF"/>
              <w:spacing w:line="0" w:lineRule="atLeast"/>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监理企业存在《深圳市工程监理行业廉洁自律六项禁止》行为</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深圳市监理协会</w:t>
            </w:r>
            <w:r>
              <w:rPr>
                <w:rFonts w:hint="eastAsia" w:ascii="仿宋" w:hAnsi="仿宋" w:eastAsia="仿宋" w:cs="仿宋"/>
                <w:color w:val="000000" w:themeColor="text1"/>
                <w:kern w:val="0"/>
                <w:sz w:val="21"/>
                <w:szCs w:val="21"/>
                <w14:textFill>
                  <w14:solidFill>
                    <w14:schemeClr w14:val="tx1"/>
                  </w14:solidFill>
                </w14:textFill>
              </w:rPr>
              <w:t>廉洁从业规定</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hd w:val="clear" w:color="auto" w:fill="FFFFFF"/>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监理企业以低价竞标</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深圳市监理协会房屋建筑工程施工监理服务收费价格信息</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680"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与建设单位串通投标或者与其他工程监理企业串通投标，以行贿手段谋取中标</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超越本企业资质等级或以其他企业名义承揽监理业务</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widowControl/>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允许其他单位或个人以本企业的名义承揽工程</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widowControl/>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将承揽的监理业务转包</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在监理过程中实施商业贿赂</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r>
        <w:tblPrEx>
          <w:tblLayout w:type="fixed"/>
          <w:tblCellMar>
            <w:top w:w="0" w:type="dxa"/>
            <w:left w:w="108" w:type="dxa"/>
            <w:bottom w:w="0" w:type="dxa"/>
            <w:right w:w="108" w:type="dxa"/>
          </w:tblCellMar>
        </w:tblPrEx>
        <w:trPr>
          <w:trHeight w:val="454" w:hRule="atLeast"/>
          <w:jc w:val="center"/>
        </w:trPr>
        <w:tc>
          <w:tcPr>
            <w:tcW w:w="6271" w:type="dxa"/>
            <w:gridSpan w:val="2"/>
            <w:tcBorders>
              <w:top w:val="single" w:color="auto" w:sz="2" w:space="0"/>
              <w:left w:val="single" w:color="auto" w:sz="4" w:space="0"/>
              <w:bottom w:val="single" w:color="auto" w:sz="4" w:space="0"/>
              <w:right w:val="single" w:color="auto" w:sz="2" w:space="0"/>
            </w:tcBorders>
            <w:textDirection w:val="lrTb"/>
            <w:vAlign w:val="center"/>
          </w:tcPr>
          <w:p>
            <w:pPr>
              <w:spacing w:line="0" w:lineRule="atLeast"/>
              <w:jc w:val="both"/>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涂改、伪造、出借、转让工程监理企业资质证书</w:t>
            </w:r>
          </w:p>
        </w:tc>
        <w:tc>
          <w:tcPr>
            <w:tcW w:w="5790" w:type="dxa"/>
            <w:gridSpan w:val="3"/>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工程监理企业资质管理规定</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ascii="仿宋" w:hAnsi="仿宋" w:eastAsia="仿宋" w:cs="Arial"/>
                <w:szCs w:val="21"/>
                <w:shd w:val="clear" w:color="auto" w:fill="FFFFFF"/>
              </w:rPr>
              <w:t>建设部</w:t>
            </w:r>
            <w:r>
              <w:rPr>
                <w:rFonts w:hint="eastAsia" w:ascii="仿宋" w:hAnsi="仿宋" w:eastAsia="仿宋" w:cs="Arial"/>
                <w:szCs w:val="21"/>
                <w:shd w:val="clear" w:color="auto" w:fill="FFFFFF"/>
                <w:lang w:eastAsia="zh-CN"/>
              </w:rPr>
              <w:t>令第</w:t>
            </w:r>
            <w:r>
              <w:rPr>
                <w:rFonts w:ascii="仿宋" w:hAnsi="仿宋" w:eastAsia="仿宋" w:cs="Arial"/>
                <w:szCs w:val="21"/>
                <w:shd w:val="clear" w:color="auto" w:fill="FFFFFF"/>
              </w:rPr>
              <w:t>158号</w:t>
            </w:r>
            <w:r>
              <w:rPr>
                <w:rFonts w:hint="eastAsia" w:ascii="仿宋" w:hAnsi="仿宋" w:eastAsia="仿宋" w:cs="仿宋"/>
                <w:color w:val="000000" w:themeColor="text1"/>
                <w:sz w:val="21"/>
                <w:szCs w:val="21"/>
                <w:shd w:val="clear" w:color="auto" w:fill="FFFFFF"/>
                <w14:textFill>
                  <w14:solidFill>
                    <w14:schemeClr w14:val="tx1"/>
                  </w14:solidFill>
                </w14:textFill>
              </w:rPr>
              <w:t>）</w:t>
            </w:r>
          </w:p>
        </w:tc>
        <w:tc>
          <w:tcPr>
            <w:tcW w:w="1723" w:type="dxa"/>
            <w:tcBorders>
              <w:top w:val="single" w:color="auto" w:sz="2" w:space="0"/>
              <w:left w:val="single" w:color="auto" w:sz="2" w:space="0"/>
              <w:bottom w:val="single" w:color="auto" w:sz="4" w:space="0"/>
              <w:right w:val="single" w:color="auto" w:sz="4" w:space="0"/>
            </w:tcBorders>
            <w:textDirection w:val="lrTb"/>
            <w:vAlign w:val="center"/>
          </w:tcPr>
          <w:p>
            <w:pPr>
              <w:spacing w:line="0" w:lineRule="atLeast"/>
              <w:jc w:val="center"/>
              <w:rPr>
                <w:rFonts w:ascii="仿宋" w:hAnsi="仿宋" w:eastAsia="仿宋" w:cs="宋体"/>
                <w:color w:val="auto"/>
                <w:kern w:val="0"/>
                <w:szCs w:val="21"/>
              </w:rPr>
            </w:pPr>
            <w:r>
              <w:rPr>
                <w:rFonts w:hint="eastAsia" w:ascii="仿宋" w:hAnsi="仿宋" w:eastAsia="仿宋" w:cs="宋体"/>
                <w:color w:val="auto"/>
                <w:kern w:val="0"/>
                <w:szCs w:val="21"/>
              </w:rPr>
              <w:t>□是</w:t>
            </w:r>
          </w:p>
          <w:p>
            <w:pPr>
              <w:spacing w:line="0" w:lineRule="atLeast"/>
              <w:jc w:val="center"/>
              <w:rPr>
                <w:rFonts w:ascii="仿宋" w:hAnsi="仿宋" w:eastAsia="仿宋"/>
                <w:szCs w:val="21"/>
              </w:rPr>
            </w:pPr>
            <w:r>
              <w:rPr>
                <w:rFonts w:hint="eastAsia" w:ascii="仿宋" w:hAnsi="仿宋" w:eastAsia="仿宋" w:cs="宋体"/>
                <w:color w:val="auto"/>
                <w:kern w:val="0"/>
                <w:szCs w:val="21"/>
              </w:rPr>
              <w:t>□否</w:t>
            </w:r>
          </w:p>
        </w:tc>
      </w:tr>
    </w:tbl>
    <w:p>
      <w:pPr>
        <w:spacing w:before="120" w:line="0" w:lineRule="atLeast"/>
        <w:jc w:val="left"/>
        <w:rPr>
          <w:rFonts w:ascii="仿宋" w:hAnsi="仿宋" w:eastAsia="仿宋" w:cs="Arial"/>
          <w:color w:val="auto"/>
          <w:szCs w:val="21"/>
          <w:shd w:val="clear" w:color="auto" w:fill="FFFFFF"/>
        </w:rPr>
      </w:pPr>
      <w:bookmarkStart w:id="0" w:name="_GoBack"/>
      <w:bookmarkEnd w:id="0"/>
      <w:r>
        <w:rPr>
          <w:rFonts w:hint="eastAsia" w:ascii="仿宋" w:hAnsi="仿宋" w:eastAsia="仿宋" w:cs="Arial"/>
          <w:color w:val="auto"/>
          <w:szCs w:val="21"/>
          <w:shd w:val="clear" w:color="auto" w:fill="FFFFFF"/>
        </w:rPr>
        <w:t>注：自查存在问题的，</w:t>
      </w:r>
      <w:r>
        <w:rPr>
          <w:rFonts w:hint="eastAsia" w:ascii="仿宋" w:hAnsi="仿宋" w:eastAsia="仿宋" w:cs="Arial"/>
          <w:color w:val="auto"/>
          <w:szCs w:val="21"/>
          <w:shd w:val="clear" w:color="auto" w:fill="FFFFFF"/>
          <w:lang w:eastAsia="zh-CN"/>
        </w:rPr>
        <w:t>是则</w:t>
      </w:r>
      <w:r>
        <w:rPr>
          <w:rFonts w:hint="eastAsia" w:ascii="仿宋" w:hAnsi="仿宋" w:eastAsia="仿宋" w:cs="Arial"/>
          <w:color w:val="auto"/>
          <w:szCs w:val="21"/>
          <w:shd w:val="clear" w:color="auto" w:fill="FFFFFF"/>
        </w:rPr>
        <w:t>在“□是”中打“√”，否则在“□否”中打“√”。</w:t>
      </w:r>
    </w:p>
    <w:p>
      <w:pPr>
        <w:rPr>
          <w:b/>
          <w:bCs/>
        </w:rPr>
      </w:pPr>
    </w:p>
    <w:sectPr>
      <w:pgSz w:w="16838" w:h="11906" w:orient="landscape"/>
      <w:pgMar w:top="1588" w:right="1474" w:bottom="1474" w:left="1474"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83B29"/>
    <w:rsid w:val="00D03A2F"/>
    <w:rsid w:val="03933728"/>
    <w:rsid w:val="05E23382"/>
    <w:rsid w:val="064E7717"/>
    <w:rsid w:val="07910E38"/>
    <w:rsid w:val="07D06AFF"/>
    <w:rsid w:val="0A38367C"/>
    <w:rsid w:val="0B241FA8"/>
    <w:rsid w:val="0CB40239"/>
    <w:rsid w:val="0CCA6B30"/>
    <w:rsid w:val="0D3416A0"/>
    <w:rsid w:val="0DCB1287"/>
    <w:rsid w:val="0F8255C3"/>
    <w:rsid w:val="0FFE6A0C"/>
    <w:rsid w:val="12156ACF"/>
    <w:rsid w:val="13FD6E7A"/>
    <w:rsid w:val="148E1CA3"/>
    <w:rsid w:val="17266255"/>
    <w:rsid w:val="17AA5A38"/>
    <w:rsid w:val="1CA670B2"/>
    <w:rsid w:val="1CA8363E"/>
    <w:rsid w:val="1F353C3D"/>
    <w:rsid w:val="21C7031A"/>
    <w:rsid w:val="2219556E"/>
    <w:rsid w:val="24AC4103"/>
    <w:rsid w:val="252812ED"/>
    <w:rsid w:val="273A3200"/>
    <w:rsid w:val="29E43152"/>
    <w:rsid w:val="2A083B29"/>
    <w:rsid w:val="2B7346F1"/>
    <w:rsid w:val="2C467C0B"/>
    <w:rsid w:val="2FDB6BD3"/>
    <w:rsid w:val="30CB24F1"/>
    <w:rsid w:val="32693F72"/>
    <w:rsid w:val="37236F79"/>
    <w:rsid w:val="39B15A5B"/>
    <w:rsid w:val="39D844AF"/>
    <w:rsid w:val="3C3105E1"/>
    <w:rsid w:val="3F5D66AF"/>
    <w:rsid w:val="428E4D80"/>
    <w:rsid w:val="4970702B"/>
    <w:rsid w:val="4D893340"/>
    <w:rsid w:val="513E562C"/>
    <w:rsid w:val="521526C7"/>
    <w:rsid w:val="53F00E37"/>
    <w:rsid w:val="54984C80"/>
    <w:rsid w:val="584716BE"/>
    <w:rsid w:val="5AC84CCE"/>
    <w:rsid w:val="5D384A55"/>
    <w:rsid w:val="5F3C7233"/>
    <w:rsid w:val="60773320"/>
    <w:rsid w:val="61A32B74"/>
    <w:rsid w:val="636E6E1F"/>
    <w:rsid w:val="647D5D8E"/>
    <w:rsid w:val="64C242CD"/>
    <w:rsid w:val="654C3E62"/>
    <w:rsid w:val="697230AE"/>
    <w:rsid w:val="69F741B9"/>
    <w:rsid w:val="6F1E770F"/>
    <w:rsid w:val="72760FFF"/>
    <w:rsid w:val="736506D3"/>
    <w:rsid w:val="762D289E"/>
    <w:rsid w:val="76A0389F"/>
    <w:rsid w:val="78EE5359"/>
    <w:rsid w:val="7AAA41D3"/>
    <w:rsid w:val="7B3915A7"/>
    <w:rsid w:val="7BE768C0"/>
    <w:rsid w:val="7D9259A0"/>
    <w:rsid w:val="7EEC2D86"/>
    <w:rsid w:val="7F1A40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2019-03-19T09:48:00Z</dcterms:created>
  <dc:creator>陈锦泉</dc:creator>
  <cp:lastModifiedBy>陈锦泉</cp:lastModifiedBy>
  <dcterms:modified xsi:type="dcterms:W3CDTF">2019-03-26T06:39:06Z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