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C61" w:rsidRDefault="009E3C61" w:rsidP="009E3C61">
      <w:pPr>
        <w:widowControl/>
        <w:jc w:val="left"/>
        <w:rPr>
          <w:rFonts w:ascii="仿宋_GB2312" w:eastAsia="仿宋_GB2312" w:hAnsi="仿宋_GB2312" w:cs="仿宋_GB2312"/>
          <w:sz w:val="32"/>
          <w:szCs w:val="32"/>
        </w:rPr>
      </w:pPr>
    </w:p>
    <w:p w:rsidR="009E3C61" w:rsidRDefault="009E3C61" w:rsidP="009E3C61">
      <w:pPr>
        <w:rPr>
          <w:rFonts w:ascii="黑体" w:eastAsia="黑体" w:hAnsi="黑体" w:cs="仿宋"/>
          <w:bCs/>
          <w:sz w:val="32"/>
          <w:szCs w:val="32"/>
        </w:rPr>
      </w:pPr>
      <w:r>
        <w:rPr>
          <w:rFonts w:ascii="黑体" w:eastAsia="黑体" w:hAnsi="黑体" w:cs="仿宋" w:hint="eastAsia"/>
          <w:bCs/>
          <w:sz w:val="32"/>
          <w:szCs w:val="32"/>
        </w:rPr>
        <w:t>附件：</w:t>
      </w:r>
    </w:p>
    <w:p w:rsidR="009E3C61" w:rsidRDefault="009E3C61" w:rsidP="009E3C61">
      <w:pPr>
        <w:jc w:val="center"/>
        <w:rPr>
          <w:rFonts w:ascii="宋体" w:hAnsi="宋体" w:cs="仿宋"/>
          <w:b/>
          <w:bCs/>
          <w:sz w:val="44"/>
          <w:szCs w:val="44"/>
        </w:rPr>
      </w:pPr>
      <w:r>
        <w:rPr>
          <w:rFonts w:ascii="宋体" w:hAnsi="宋体" w:cs="仿宋" w:hint="eastAsia"/>
          <w:b/>
          <w:bCs/>
          <w:sz w:val="44"/>
          <w:szCs w:val="44"/>
        </w:rPr>
        <w:t>房屋编码和地址查询操作指引</w:t>
      </w:r>
    </w:p>
    <w:p w:rsidR="009E3C61" w:rsidRDefault="009E3C61" w:rsidP="009E3C61">
      <w:pPr>
        <w:jc w:val="center"/>
        <w:rPr>
          <w:rFonts w:ascii="宋体" w:hAnsi="宋体" w:cs="仿宋"/>
          <w:sz w:val="44"/>
          <w:szCs w:val="44"/>
        </w:rPr>
      </w:pPr>
    </w:p>
    <w:p w:rsidR="009E3C61" w:rsidRDefault="009E3C61" w:rsidP="009E3C61">
      <w:pPr>
        <w:numPr>
          <w:ilvl w:val="0"/>
          <w:numId w:val="1"/>
        </w:numPr>
        <w:spacing w:line="560" w:lineRule="exact"/>
        <w:ind w:firstLineChars="200" w:firstLine="640"/>
        <w:jc w:val="left"/>
        <w:rPr>
          <w:rFonts w:ascii="黑体" w:eastAsia="黑体" w:hAnsi="黑体" w:cs="仿宋"/>
          <w:sz w:val="32"/>
          <w:szCs w:val="32"/>
        </w:rPr>
      </w:pPr>
      <w:r>
        <w:rPr>
          <w:rFonts w:ascii="黑体" w:eastAsia="黑体" w:hAnsi="黑体" w:cs="仿宋" w:hint="eastAsia"/>
          <w:sz w:val="32"/>
          <w:szCs w:val="32"/>
        </w:rPr>
        <w:t>房屋编码和地址的查询途径</w:t>
      </w:r>
    </w:p>
    <w:p w:rsidR="009E3C61" w:rsidRDefault="009E3C61" w:rsidP="009E3C61">
      <w:pPr>
        <w:spacing w:line="560" w:lineRule="exact"/>
        <w:ind w:firstLineChars="200" w:firstLine="640"/>
        <w:jc w:val="lef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(一)途径1: “深圳社区网格管理”微信公众号</w:t>
      </w:r>
    </w:p>
    <w:p w:rsidR="009E3C61" w:rsidRDefault="009E3C61" w:rsidP="009E3C61">
      <w:pPr>
        <w:spacing w:line="560" w:lineRule="exact"/>
        <w:ind w:firstLineChars="200" w:firstLine="640"/>
        <w:jc w:val="lef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通过手机端关注微信公众号“深圳社区网格管理”，点击“办事指南”——“房屋编码地址”，通过“按名称”、“按地址或楼栋编码”、“按门楼牌”等方式可查询出房屋编码和详细地址（如下列图示）。</w:t>
      </w:r>
    </w:p>
    <w:p w:rsidR="009E3C61" w:rsidRDefault="009E3C61" w:rsidP="009E3C61">
      <w:pPr>
        <w:spacing w:line="560" w:lineRule="exact"/>
        <w:ind w:firstLineChars="200" w:firstLine="640"/>
        <w:jc w:val="left"/>
        <w:rPr>
          <w:rFonts w:ascii="仿宋_GB2312" w:eastAsia="仿宋_GB2312" w:hAnsi="仿宋" w:cs="仿宋"/>
          <w:sz w:val="32"/>
          <w:szCs w:val="32"/>
        </w:rPr>
      </w:pPr>
    </w:p>
    <w:p w:rsidR="009E3C61" w:rsidRDefault="009E3C61" w:rsidP="009E3C61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仿宋" w:cs="仿宋"/>
          <w:noProof/>
          <w:sz w:val="32"/>
          <w:szCs w:val="32"/>
        </w:rPr>
        <w:drawing>
          <wp:inline distT="0" distB="0" distL="0" distR="0">
            <wp:extent cx="2154555" cy="2544445"/>
            <wp:effectExtent l="1905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4555" cy="2544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仿宋_GB2312" w:eastAsia="仿宋_GB2312"/>
          <w:noProof/>
          <w:sz w:val="32"/>
          <w:szCs w:val="32"/>
        </w:rPr>
        <w:drawing>
          <wp:inline distT="0" distB="0" distL="0" distR="0">
            <wp:extent cx="2154555" cy="2544445"/>
            <wp:effectExtent l="1905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4555" cy="2544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3C61" w:rsidRDefault="009E3C61" w:rsidP="009E3C61">
      <w:pPr>
        <w:ind w:firstLine="420"/>
        <w:jc w:val="left"/>
        <w:rPr>
          <w:rFonts w:ascii="仿宋_GB2312" w:eastAsia="仿宋_GB2312"/>
          <w:sz w:val="32"/>
          <w:szCs w:val="32"/>
        </w:rPr>
      </w:pPr>
    </w:p>
    <w:p w:rsidR="009E3C61" w:rsidRDefault="009E3C61" w:rsidP="009E3C61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noProof/>
          <w:sz w:val="32"/>
          <w:szCs w:val="32"/>
        </w:rPr>
        <w:lastRenderedPageBreak/>
        <w:drawing>
          <wp:inline distT="0" distB="0" distL="0" distR="0">
            <wp:extent cx="2154555" cy="2544445"/>
            <wp:effectExtent l="1905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b="489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4555" cy="2544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仿宋_GB2312" w:eastAsia="仿宋_GB2312" w:hAnsi="仿宋" w:cs="仿宋"/>
          <w:noProof/>
          <w:sz w:val="32"/>
          <w:szCs w:val="32"/>
        </w:rPr>
        <w:drawing>
          <wp:inline distT="0" distB="0" distL="0" distR="0">
            <wp:extent cx="2154555" cy="2544445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b="459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4555" cy="2544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3C61" w:rsidRDefault="009E3C61" w:rsidP="009E3C61">
      <w:pPr>
        <w:jc w:val="left"/>
        <w:rPr>
          <w:rFonts w:ascii="仿宋_GB2312" w:eastAsia="仿宋_GB2312"/>
          <w:sz w:val="32"/>
          <w:szCs w:val="32"/>
        </w:rPr>
      </w:pPr>
    </w:p>
    <w:p w:rsidR="009E3C61" w:rsidRDefault="009E3C61" w:rsidP="009E3C61">
      <w:pPr>
        <w:ind w:firstLine="42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仿宋" w:cs="仿宋"/>
          <w:noProof/>
          <w:sz w:val="32"/>
          <w:szCs w:val="32"/>
        </w:rPr>
        <w:drawing>
          <wp:inline distT="0" distB="0" distL="0" distR="0">
            <wp:extent cx="2544445" cy="4309745"/>
            <wp:effectExtent l="19050" t="0" r="825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4445" cy="4309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3C61" w:rsidRDefault="009E3C61" w:rsidP="009E3C61">
      <w:pPr>
        <w:jc w:val="left"/>
        <w:rPr>
          <w:rFonts w:ascii="仿宋_GB2312" w:eastAsia="仿宋_GB2312" w:hAnsi="仿宋" w:cs="仿宋"/>
          <w:sz w:val="32"/>
          <w:szCs w:val="32"/>
        </w:rPr>
      </w:pPr>
    </w:p>
    <w:p w:rsidR="009E3C61" w:rsidRDefault="009E3C61" w:rsidP="009E3C61">
      <w:pPr>
        <w:widowControl/>
        <w:jc w:val="lef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/>
          <w:sz w:val="32"/>
          <w:szCs w:val="32"/>
        </w:rPr>
        <w:br w:type="page"/>
      </w:r>
    </w:p>
    <w:p w:rsidR="009E3C61" w:rsidRDefault="009E3C61" w:rsidP="009E3C61">
      <w:pPr>
        <w:spacing w:line="560" w:lineRule="exact"/>
        <w:ind w:firstLineChars="200" w:firstLine="640"/>
        <w:jc w:val="lef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lastRenderedPageBreak/>
        <w:t>(二)途径2：“统一编码地址应用”网站</w:t>
      </w:r>
    </w:p>
    <w:p w:rsidR="009E3C61" w:rsidRDefault="009E3C61" w:rsidP="009E3C61">
      <w:pPr>
        <w:spacing w:line="560" w:lineRule="exact"/>
        <w:ind w:firstLineChars="200" w:firstLine="640"/>
        <w:jc w:val="lef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在PC端浏览器打开“统一编码地址应用”（网址链接:</w:t>
      </w:r>
      <w:hyperlink r:id="rId12" w:history="1">
        <w:r>
          <w:rPr>
            <w:rStyle w:val="a5"/>
            <w:rFonts w:ascii="仿宋_GB2312" w:eastAsia="仿宋_GB2312" w:hAnsi="仿宋" w:cs="仿宋" w:hint="eastAsia"/>
            <w:sz w:val="32"/>
            <w:szCs w:val="32"/>
          </w:rPr>
          <w:t>http://tybm.szzlb.gov.cn:10000/AddressWeb/fullquery/toFullQueryWeb.go</w:t>
        </w:r>
      </w:hyperlink>
      <w:r>
        <w:rPr>
          <w:rFonts w:ascii="仿宋_GB2312" w:eastAsia="仿宋_GB2312" w:hAnsi="仿宋" w:cs="仿宋" w:hint="eastAsia"/>
          <w:sz w:val="32"/>
          <w:szCs w:val="32"/>
        </w:rPr>
        <w:t>）, 通过输入地址或者房屋编码可查询出对应的房屋编码和详细地址（如下列图示）。</w:t>
      </w:r>
    </w:p>
    <w:p w:rsidR="009E3C61" w:rsidRDefault="009E3C61" w:rsidP="009E3C61">
      <w:pPr>
        <w:jc w:val="left"/>
        <w:rPr>
          <w:rFonts w:ascii="仿宋_GB2312" w:eastAsia="仿宋_GB2312" w:hAnsi="仿宋" w:cs="仿宋"/>
          <w:sz w:val="32"/>
          <w:szCs w:val="32"/>
        </w:rPr>
      </w:pPr>
    </w:p>
    <w:p w:rsidR="009E3C61" w:rsidRDefault="009E3C61" w:rsidP="009E3C61">
      <w:pPr>
        <w:jc w:val="lef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/>
          <w:noProof/>
          <w:sz w:val="32"/>
          <w:szCs w:val="32"/>
        </w:rPr>
        <w:drawing>
          <wp:inline distT="0" distB="0" distL="0" distR="0">
            <wp:extent cx="2544445" cy="4317365"/>
            <wp:effectExtent l="19050" t="0" r="825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r="538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4445" cy="4317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仿宋_GB2312" w:eastAsia="仿宋_GB2312"/>
          <w:noProof/>
          <w:sz w:val="32"/>
          <w:szCs w:val="32"/>
        </w:rPr>
        <w:drawing>
          <wp:inline distT="0" distB="0" distL="0" distR="0">
            <wp:extent cx="2544445" cy="4317365"/>
            <wp:effectExtent l="19050" t="0" r="825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r="538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4445" cy="4317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3C61" w:rsidRDefault="009E3C61" w:rsidP="009E3C61">
      <w:pPr>
        <w:jc w:val="left"/>
        <w:rPr>
          <w:rFonts w:ascii="仿宋_GB2312" w:eastAsia="仿宋_GB2312" w:hAnsi="仿宋" w:cs="仿宋"/>
          <w:sz w:val="32"/>
          <w:szCs w:val="32"/>
        </w:rPr>
      </w:pPr>
    </w:p>
    <w:p w:rsidR="009E3C61" w:rsidRDefault="009E3C61" w:rsidP="009E3C61">
      <w:pPr>
        <w:jc w:val="left"/>
        <w:rPr>
          <w:rFonts w:ascii="仿宋_GB2312" w:eastAsia="仿宋_GB2312" w:hAnsi="仿宋" w:cs="仿宋"/>
          <w:sz w:val="32"/>
          <w:szCs w:val="32"/>
        </w:rPr>
      </w:pPr>
    </w:p>
    <w:p w:rsidR="009E3C61" w:rsidRDefault="009E3C61" w:rsidP="009E3C61">
      <w:pPr>
        <w:widowControl/>
        <w:jc w:val="lef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/>
          <w:sz w:val="32"/>
          <w:szCs w:val="32"/>
        </w:rPr>
        <w:br w:type="page"/>
      </w:r>
    </w:p>
    <w:p w:rsidR="009E3C61" w:rsidRDefault="009E3C61" w:rsidP="009E3C61">
      <w:pPr>
        <w:spacing w:line="560" w:lineRule="exact"/>
        <w:ind w:firstLineChars="200" w:firstLine="640"/>
        <w:jc w:val="lef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lastRenderedPageBreak/>
        <w:t>(三)途径3：房屋二维码</w:t>
      </w:r>
    </w:p>
    <w:p w:rsidR="009E3C61" w:rsidRDefault="009E3C61" w:rsidP="009E3C61">
      <w:pPr>
        <w:spacing w:line="560" w:lineRule="exact"/>
        <w:ind w:firstLineChars="200" w:firstLine="640"/>
        <w:jc w:val="lef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通过张贴在房屋所在楼层的房屋二维码可获得房屋编码（如下图示），再将房屋编码通过上述途径1或途径2可查询出对应的详细地址。</w:t>
      </w:r>
    </w:p>
    <w:p w:rsidR="009E3C61" w:rsidRDefault="009E3C61" w:rsidP="009E3C61">
      <w:pPr>
        <w:jc w:val="left"/>
        <w:rPr>
          <w:rFonts w:ascii="仿宋_GB2312" w:eastAsia="仿宋_GB2312" w:hAnsi="仿宋" w:cs="仿宋"/>
          <w:sz w:val="32"/>
          <w:szCs w:val="32"/>
        </w:rPr>
      </w:pPr>
    </w:p>
    <w:p w:rsidR="009E3C61" w:rsidRDefault="009E3C61" w:rsidP="009E3C61">
      <w:pPr>
        <w:jc w:val="lef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/>
          <w:noProof/>
          <w:sz w:val="32"/>
          <w:szCs w:val="32"/>
        </w:rPr>
        <w:drawing>
          <wp:inline distT="0" distB="0" distL="0" distR="0">
            <wp:extent cx="3594100" cy="3585845"/>
            <wp:effectExtent l="19050" t="0" r="635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0" cy="3585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3C61" w:rsidRDefault="009E3C61" w:rsidP="009E3C61">
      <w:pPr>
        <w:widowControl/>
        <w:jc w:val="left"/>
        <w:rPr>
          <w:rFonts w:ascii="仿宋_GB2312" w:eastAsia="仿宋_GB2312" w:hAnsi="仿宋" w:cs="仿宋"/>
          <w:sz w:val="32"/>
          <w:szCs w:val="32"/>
        </w:rPr>
      </w:pPr>
    </w:p>
    <w:p w:rsidR="009E3C61" w:rsidRDefault="009E3C61" w:rsidP="009E3C61">
      <w:pPr>
        <w:spacing w:line="560" w:lineRule="exact"/>
        <w:ind w:firstLineChars="200" w:firstLine="640"/>
        <w:jc w:val="lef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(四)途径4：社区工作站</w:t>
      </w:r>
    </w:p>
    <w:p w:rsidR="009E3C61" w:rsidRDefault="009E3C61" w:rsidP="009E3C61">
      <w:pPr>
        <w:spacing w:line="560" w:lineRule="exact"/>
        <w:ind w:firstLineChars="200" w:firstLine="640"/>
        <w:jc w:val="lef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可直接到房屋所在社区工作站咨询获得房屋编码和详细地址。</w:t>
      </w:r>
    </w:p>
    <w:p w:rsidR="009E3C61" w:rsidRDefault="009E3C61" w:rsidP="009E3C61">
      <w:pPr>
        <w:widowControl/>
        <w:jc w:val="lef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/>
          <w:sz w:val="32"/>
          <w:szCs w:val="32"/>
        </w:rPr>
        <w:br w:type="page"/>
      </w:r>
    </w:p>
    <w:p w:rsidR="009E3C61" w:rsidRDefault="009E3C61" w:rsidP="009E3C61">
      <w:pPr>
        <w:spacing w:line="560" w:lineRule="exact"/>
        <w:ind w:firstLineChars="200" w:firstLine="640"/>
        <w:jc w:val="left"/>
        <w:rPr>
          <w:rFonts w:ascii="黑体" w:eastAsia="黑体" w:hAnsi="黑体" w:cs="仿宋"/>
          <w:sz w:val="32"/>
          <w:szCs w:val="32"/>
        </w:rPr>
      </w:pPr>
      <w:r>
        <w:rPr>
          <w:rFonts w:ascii="黑体" w:eastAsia="黑体" w:hAnsi="黑体" w:cs="仿宋" w:hint="eastAsia"/>
          <w:sz w:val="32"/>
          <w:szCs w:val="32"/>
        </w:rPr>
        <w:lastRenderedPageBreak/>
        <w:t>二、问题地址救济机制</w:t>
      </w:r>
    </w:p>
    <w:p w:rsidR="009E3C61" w:rsidRDefault="009E3C61" w:rsidP="009E3C61">
      <w:pPr>
        <w:spacing w:line="560" w:lineRule="exact"/>
        <w:ind w:firstLineChars="200" w:firstLine="640"/>
        <w:jc w:val="left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在使用房屋编码和地址信息的过程中，如遇到地址信息错误或者地址信息缺漏等问题，可通过线上方式（微信公众号或者网站的“地址反馈”功能，如下图示）或者线下方式（到房屋所在社区工作站）向网格管理部门反馈。网格管理部门收到反馈后，将及时通知相关的网格员上门进行核实和更新。</w:t>
      </w:r>
    </w:p>
    <w:p w:rsidR="009E3C61" w:rsidRDefault="009E3C61" w:rsidP="009E3C61">
      <w:pPr>
        <w:spacing w:line="560" w:lineRule="exact"/>
        <w:ind w:firstLineChars="200" w:firstLine="640"/>
        <w:jc w:val="left"/>
        <w:rPr>
          <w:rFonts w:ascii="仿宋_GB2312" w:eastAsia="仿宋_GB2312" w:hAnsi="仿宋" w:cs="仿宋"/>
          <w:sz w:val="32"/>
          <w:szCs w:val="32"/>
        </w:rPr>
      </w:pPr>
    </w:p>
    <w:p w:rsidR="009E3C61" w:rsidRDefault="009E3C61" w:rsidP="009E3C61">
      <w:pPr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noProof/>
          <w:sz w:val="32"/>
          <w:szCs w:val="32"/>
        </w:rPr>
        <w:drawing>
          <wp:inline distT="0" distB="0" distL="0" distR="0">
            <wp:extent cx="2878455" cy="4317365"/>
            <wp:effectExtent l="1905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8455" cy="4317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3C61" w:rsidRDefault="009E3C61" w:rsidP="009E3C61">
      <w:pPr>
        <w:spacing w:line="360" w:lineRule="auto"/>
        <w:ind w:right="800"/>
        <w:jc w:val="left"/>
        <w:rPr>
          <w:rFonts w:ascii="仿宋_GB2312" w:eastAsia="仿宋_GB2312" w:hAnsi="仿宋_GB2312" w:cs="仿宋_GB2312"/>
          <w:sz w:val="32"/>
          <w:szCs w:val="32"/>
        </w:rPr>
      </w:pPr>
    </w:p>
    <w:p w:rsidR="001B6E18" w:rsidRDefault="001B6E18"/>
    <w:sectPr w:rsidR="001B6E18" w:rsidSect="00F2416E">
      <w:pgSz w:w="11906" w:h="16838"/>
      <w:pgMar w:top="2041" w:right="1531" w:bottom="1814" w:left="1587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6E18" w:rsidRPr="00D30F27" w:rsidRDefault="001B6E18" w:rsidP="009E3C61">
      <w:pPr>
        <w:rPr>
          <w:rFonts w:ascii="Times New Roman" w:hAnsi="Times New Roman"/>
        </w:rPr>
      </w:pPr>
      <w:r>
        <w:separator/>
      </w:r>
    </w:p>
  </w:endnote>
  <w:endnote w:type="continuationSeparator" w:id="1">
    <w:p w:rsidR="001B6E18" w:rsidRPr="00D30F27" w:rsidRDefault="001B6E18" w:rsidP="009E3C61">
      <w:pPr>
        <w:rPr>
          <w:rFonts w:ascii="Times New Roman" w:hAnsi="Times New Roman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6E18" w:rsidRPr="00D30F27" w:rsidRDefault="001B6E18" w:rsidP="009E3C61">
      <w:pPr>
        <w:rPr>
          <w:rFonts w:ascii="Times New Roman" w:hAnsi="Times New Roman"/>
        </w:rPr>
      </w:pPr>
      <w:r>
        <w:separator/>
      </w:r>
    </w:p>
  </w:footnote>
  <w:footnote w:type="continuationSeparator" w:id="1">
    <w:p w:rsidR="001B6E18" w:rsidRPr="00D30F27" w:rsidRDefault="001B6E18" w:rsidP="009E3C61">
      <w:pPr>
        <w:rPr>
          <w:rFonts w:ascii="Times New Roman" w:hAnsi="Times New Roman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9FC2CA"/>
    <w:multiLevelType w:val="singleLevel"/>
    <w:tmpl w:val="119FC2CA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E3C61"/>
    <w:rsid w:val="001B6E18"/>
    <w:rsid w:val="009E3C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C61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E3C6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E3C6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E3C6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E3C61"/>
    <w:rPr>
      <w:sz w:val="18"/>
      <w:szCs w:val="18"/>
    </w:rPr>
  </w:style>
  <w:style w:type="character" w:styleId="a5">
    <w:name w:val="Hyperlink"/>
    <w:unhideWhenUsed/>
    <w:qFormat/>
    <w:rsid w:val="009E3C61"/>
    <w:rPr>
      <w:color w:val="0000FF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9E3C61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9E3C61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tybm.szzlb.gov.cn:10000/AddressWeb/fullquery/toFullQueryWeb.go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101</Words>
  <Characters>577</Characters>
  <Application>Microsoft Office Word</Application>
  <DocSecurity>0</DocSecurity>
  <Lines>4</Lines>
  <Paragraphs>1</Paragraphs>
  <ScaleCrop>false</ScaleCrop>
  <Company>Microsoft</Company>
  <LinksUpToDate>false</LinksUpToDate>
  <CharactersWithSpaces>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周晓阳</dc:creator>
  <cp:keywords/>
  <dc:description/>
  <cp:lastModifiedBy>周晓阳</cp:lastModifiedBy>
  <cp:revision>2</cp:revision>
  <dcterms:created xsi:type="dcterms:W3CDTF">2019-08-30T02:16:00Z</dcterms:created>
  <dcterms:modified xsi:type="dcterms:W3CDTF">2019-08-30T02:16:00Z</dcterms:modified>
</cp:coreProperties>
</file>