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57" w:rsidRDefault="00F76957" w:rsidP="00F76957">
      <w:pPr>
        <w:rPr>
          <w:rFonts w:ascii="仿宋_GB2312" w:eastAsia="仿宋_GB2312"/>
          <w:sz w:val="32"/>
          <w:szCs w:val="32"/>
        </w:rPr>
      </w:pPr>
      <w:r w:rsidRPr="00F76957">
        <w:rPr>
          <w:rFonts w:ascii="仿宋_GB2312" w:eastAsia="仿宋_GB2312" w:hint="eastAsia"/>
          <w:sz w:val="32"/>
          <w:szCs w:val="32"/>
        </w:rPr>
        <w:t>附表7（2014年深圳市民用建筑绿色建筑设计文件检查表）</w:t>
      </w:r>
    </w:p>
    <w:p w:rsidR="00F76957" w:rsidRPr="00F76957" w:rsidRDefault="00F76957" w:rsidP="00F76957">
      <w:pPr>
        <w:rPr>
          <w:rFonts w:ascii="仿宋_GB2312" w:eastAsia="仿宋_GB2312"/>
          <w:sz w:val="32"/>
          <w:szCs w:val="32"/>
        </w:rPr>
      </w:pPr>
    </w:p>
    <w:p w:rsidR="0081222E" w:rsidRPr="00F76957" w:rsidRDefault="00372E3E" w:rsidP="00F76957">
      <w:pPr>
        <w:rPr>
          <w:rFonts w:ascii="仿宋_GB2312" w:eastAsia="仿宋_GB2312" w:hAnsi="黑体"/>
          <w:sz w:val="32"/>
          <w:szCs w:val="32"/>
        </w:rPr>
      </w:pPr>
      <w:r w:rsidRPr="00F76957">
        <w:rPr>
          <w:rFonts w:ascii="仿宋_GB2312" w:eastAsia="仿宋_GB2312" w:hint="eastAsia"/>
          <w:sz w:val="32"/>
          <w:szCs w:val="32"/>
        </w:rPr>
        <w:t>7-3</w:t>
      </w:r>
      <w:r w:rsidR="00F76957" w:rsidRPr="00F76957">
        <w:rPr>
          <w:rFonts w:ascii="仿宋_GB2312" w:eastAsia="仿宋_GB2312" w:hint="eastAsia"/>
          <w:sz w:val="32"/>
          <w:szCs w:val="32"/>
        </w:rPr>
        <w:t xml:space="preserve">  </w:t>
      </w:r>
      <w:r w:rsidR="00F76957">
        <w:rPr>
          <w:rFonts w:ascii="仿宋_GB2312" w:eastAsia="仿宋_GB2312" w:hint="eastAsia"/>
          <w:sz w:val="32"/>
          <w:szCs w:val="32"/>
        </w:rPr>
        <w:t xml:space="preserve"> </w:t>
      </w:r>
      <w:r w:rsidR="0081222E" w:rsidRPr="00F76957">
        <w:rPr>
          <w:rFonts w:ascii="仿宋_GB2312" w:eastAsia="仿宋_GB2312" w:hAnsi="黑体" w:hint="eastAsia"/>
          <w:sz w:val="32"/>
          <w:szCs w:val="32"/>
        </w:rPr>
        <w:t>2014年</w:t>
      </w:r>
      <w:r w:rsidR="00073799" w:rsidRPr="00F76957">
        <w:rPr>
          <w:rFonts w:ascii="仿宋_GB2312" w:eastAsia="仿宋_GB2312" w:hAnsi="黑体" w:hint="eastAsia"/>
          <w:sz w:val="32"/>
          <w:szCs w:val="32"/>
        </w:rPr>
        <w:t>深圳市</w:t>
      </w:r>
      <w:r w:rsidR="0081222E" w:rsidRPr="00F76957">
        <w:rPr>
          <w:rFonts w:ascii="仿宋_GB2312" w:eastAsia="仿宋_GB2312" w:hAnsi="黑体" w:hint="eastAsia"/>
          <w:sz w:val="32"/>
          <w:szCs w:val="32"/>
        </w:rPr>
        <w:t>公共建筑</w:t>
      </w:r>
      <w:r w:rsidR="00073799" w:rsidRPr="00F76957">
        <w:rPr>
          <w:rFonts w:ascii="仿宋_GB2312" w:eastAsia="仿宋_GB2312" w:hAnsi="黑体" w:hint="eastAsia"/>
          <w:sz w:val="32"/>
          <w:szCs w:val="32"/>
        </w:rPr>
        <w:t>深圳市级</w:t>
      </w:r>
      <w:r w:rsidR="0081222E" w:rsidRPr="00F76957">
        <w:rPr>
          <w:rFonts w:ascii="仿宋_GB2312" w:eastAsia="仿宋_GB2312" w:hAnsi="黑体" w:hint="eastAsia"/>
          <w:sz w:val="32"/>
          <w:szCs w:val="32"/>
        </w:rPr>
        <w:t>绿色建筑设计文件检查表</w:t>
      </w:r>
    </w:p>
    <w:p w:rsidR="00073799" w:rsidRPr="00073799" w:rsidRDefault="00073799" w:rsidP="00073799">
      <w:pPr>
        <w:jc w:val="center"/>
        <w:rPr>
          <w:rFonts w:ascii="仿宋_GB2312" w:eastAsia="仿宋_GB2312"/>
          <w:sz w:val="30"/>
          <w:szCs w:val="30"/>
        </w:rPr>
      </w:pPr>
      <w:r>
        <w:rPr>
          <w:rFonts w:ascii="仿宋_GB2312" w:eastAsia="仿宋_GB2312" w:hint="eastAsia"/>
          <w:sz w:val="30"/>
          <w:szCs w:val="30"/>
        </w:rPr>
        <w:t>（</w:t>
      </w:r>
      <w:r w:rsidR="00372E3E">
        <w:rPr>
          <w:rFonts w:ascii="仿宋_GB2312" w:eastAsia="仿宋_GB2312" w:hint="eastAsia"/>
          <w:sz w:val="32"/>
          <w:szCs w:val="32"/>
        </w:rPr>
        <w:t>检查组填写</w:t>
      </w:r>
      <w:r>
        <w:rPr>
          <w:rFonts w:ascii="仿宋_GB2312" w:eastAsia="仿宋_GB2312" w:hint="eastAsia"/>
          <w:sz w:val="30"/>
          <w:szCs w:val="30"/>
        </w:rPr>
        <w:t>）</w:t>
      </w:r>
    </w:p>
    <w:p w:rsidR="006D20E7" w:rsidRDefault="009F545B" w:rsidP="006D20E7">
      <w:pPr>
        <w:ind w:firstLineChars="600" w:firstLine="1415"/>
        <w:jc w:val="left"/>
        <w:rPr>
          <w:rFonts w:ascii="仿宋_GB2312" w:eastAsia="仿宋_GB2312"/>
          <w:sz w:val="24"/>
        </w:rPr>
      </w:pPr>
      <w:r>
        <w:rPr>
          <w:rFonts w:ascii="仿宋_GB2312" w:eastAsia="仿宋_GB2312" w:hint="eastAsia"/>
          <w:sz w:val="24"/>
        </w:rPr>
        <w:t>所在区</w:t>
      </w:r>
      <w:r w:rsidR="00073799">
        <w:rPr>
          <w:rFonts w:ascii="仿宋_GB2312" w:eastAsia="仿宋_GB2312" w:hint="eastAsia"/>
          <w:sz w:val="24"/>
        </w:rPr>
        <w:t>：</w:t>
      </w:r>
      <w:r w:rsidR="0081222E" w:rsidRPr="00073799">
        <w:rPr>
          <w:rFonts w:ascii="仿宋_GB2312" w:eastAsia="仿宋_GB2312" w:hint="eastAsia"/>
          <w:sz w:val="24"/>
          <w:u w:val="single"/>
        </w:rPr>
        <w:t xml:space="preserve">                </w:t>
      </w:r>
      <w:r w:rsidR="0081222E" w:rsidRPr="00A712C0">
        <w:rPr>
          <w:rFonts w:ascii="仿宋_GB2312" w:eastAsia="仿宋_GB2312" w:hint="eastAsia"/>
          <w:sz w:val="24"/>
        </w:rPr>
        <w:t>项目</w:t>
      </w:r>
      <w:r w:rsidR="0081222E" w:rsidRPr="00A712C0">
        <w:rPr>
          <w:rFonts w:ascii="仿宋_GB2312" w:eastAsia="仿宋_GB2312"/>
          <w:sz w:val="24"/>
        </w:rPr>
        <w:t>名称</w:t>
      </w:r>
      <w:r w:rsidR="00073799">
        <w:rPr>
          <w:rFonts w:ascii="仿宋_GB2312" w:eastAsia="仿宋_GB2312"/>
          <w:sz w:val="24"/>
        </w:rPr>
        <w:t>：</w:t>
      </w:r>
      <w:r w:rsidR="0081222E" w:rsidRPr="00073799">
        <w:rPr>
          <w:rFonts w:ascii="仿宋_GB2312" w:eastAsia="仿宋_GB2312"/>
          <w:sz w:val="24"/>
          <w:u w:val="single"/>
        </w:rPr>
        <w:t xml:space="preserve">                   </w:t>
      </w:r>
      <w:r w:rsidR="00073799">
        <w:rPr>
          <w:rFonts w:ascii="仿宋_GB2312" w:eastAsia="仿宋_GB2312" w:hint="eastAsia"/>
          <w:sz w:val="24"/>
          <w:u w:val="single"/>
        </w:rPr>
        <w:t xml:space="preserve">  </w:t>
      </w:r>
      <w:r w:rsidR="0081222E" w:rsidRPr="00073799">
        <w:rPr>
          <w:rFonts w:ascii="仿宋_GB2312" w:eastAsia="仿宋_GB2312"/>
          <w:sz w:val="24"/>
          <w:u w:val="single"/>
        </w:rPr>
        <w:t xml:space="preserve">   </w:t>
      </w:r>
      <w:r w:rsidR="0081222E" w:rsidRPr="00073799">
        <w:rPr>
          <w:rFonts w:ascii="仿宋_GB2312" w:eastAsia="仿宋_GB2312"/>
          <w:sz w:val="24"/>
        </w:rPr>
        <w:t xml:space="preserve">                </w:t>
      </w:r>
    </w:p>
    <w:tbl>
      <w:tblPr>
        <w:tblW w:w="10490" w:type="dxa"/>
        <w:jc w:val="center"/>
        <w:tblLook w:val="0000" w:firstRow="0" w:lastRow="0" w:firstColumn="0" w:lastColumn="0" w:noHBand="0" w:noVBand="0"/>
      </w:tblPr>
      <w:tblGrid>
        <w:gridCol w:w="423"/>
        <w:gridCol w:w="329"/>
        <w:gridCol w:w="103"/>
        <w:gridCol w:w="564"/>
        <w:gridCol w:w="366"/>
        <w:gridCol w:w="1193"/>
        <w:gridCol w:w="928"/>
        <w:gridCol w:w="1121"/>
        <w:gridCol w:w="1121"/>
        <w:gridCol w:w="311"/>
        <w:gridCol w:w="948"/>
        <w:gridCol w:w="302"/>
        <w:gridCol w:w="818"/>
        <w:gridCol w:w="515"/>
        <w:gridCol w:w="493"/>
        <w:gridCol w:w="955"/>
      </w:tblGrid>
      <w:tr w:rsidR="002E6C2E" w:rsidRPr="00C727B9" w:rsidTr="005C0361">
        <w:trPr>
          <w:trHeight w:val="929"/>
          <w:jc w:val="center"/>
        </w:trPr>
        <w:tc>
          <w:tcPr>
            <w:tcW w:w="2978" w:type="dxa"/>
            <w:gridSpan w:val="6"/>
            <w:tcBorders>
              <w:top w:val="single" w:sz="4" w:space="0" w:color="auto"/>
              <w:left w:val="single" w:sz="4" w:space="0" w:color="auto"/>
              <w:bottom w:val="single" w:sz="4" w:space="0" w:color="auto"/>
              <w:right w:val="single" w:sz="4" w:space="0" w:color="auto"/>
            </w:tcBorders>
            <w:vAlign w:val="center"/>
          </w:tcPr>
          <w:p w:rsidR="002E6C2E" w:rsidRPr="00030B3E" w:rsidRDefault="002E6C2E" w:rsidP="002E6C2E">
            <w:pPr>
              <w:rPr>
                <w:rFonts w:eastAsia="仿宋_GB2312"/>
                <w:bCs/>
                <w:kern w:val="0"/>
                <w:szCs w:val="21"/>
              </w:rPr>
            </w:pPr>
            <w:r w:rsidRPr="00030B3E">
              <w:rPr>
                <w:rFonts w:eastAsia="仿宋_GB2312" w:hint="eastAsia"/>
                <w:bCs/>
                <w:kern w:val="0"/>
                <w:szCs w:val="21"/>
              </w:rPr>
              <w:t>申报</w:t>
            </w:r>
            <w:r>
              <w:rPr>
                <w:rFonts w:eastAsia="仿宋_GB2312" w:hint="eastAsia"/>
                <w:bCs/>
                <w:kern w:val="0"/>
                <w:szCs w:val="21"/>
              </w:rPr>
              <w:t>等</w:t>
            </w:r>
            <w:r w:rsidRPr="00030B3E">
              <w:rPr>
                <w:rFonts w:eastAsia="仿宋_GB2312"/>
                <w:bCs/>
                <w:kern w:val="0"/>
                <w:szCs w:val="21"/>
              </w:rPr>
              <w:t>级</w:t>
            </w:r>
            <w:r w:rsidRPr="002E6C2E">
              <w:rPr>
                <w:rFonts w:eastAsia="仿宋_GB2312"/>
                <w:bCs/>
                <w:kern w:val="0"/>
                <w:szCs w:val="21"/>
              </w:rPr>
              <w:t>：</w:t>
            </w:r>
            <w:r w:rsidRPr="002E6C2E">
              <w:rPr>
                <w:rFonts w:eastAsia="仿宋_GB2312" w:hint="eastAsia"/>
                <w:bCs/>
                <w:kern w:val="0"/>
                <w:szCs w:val="21"/>
                <w:u w:val="single"/>
              </w:rPr>
              <w:t xml:space="preserve">       </w:t>
            </w:r>
            <w:r w:rsidR="005C0361">
              <w:rPr>
                <w:rFonts w:eastAsia="仿宋_GB2312"/>
                <w:bCs/>
                <w:kern w:val="0"/>
                <w:szCs w:val="21"/>
                <w:u w:val="single"/>
              </w:rPr>
              <w:t xml:space="preserve">  </w:t>
            </w:r>
            <w:r w:rsidRPr="002E6C2E">
              <w:rPr>
                <w:rFonts w:eastAsia="仿宋_GB2312" w:hint="eastAsia"/>
                <w:bCs/>
                <w:kern w:val="0"/>
                <w:szCs w:val="21"/>
                <w:u w:val="single"/>
              </w:rPr>
              <w:t xml:space="preserve"> </w:t>
            </w:r>
            <w:r>
              <w:rPr>
                <w:rFonts w:eastAsia="仿宋_GB2312"/>
                <w:bCs/>
                <w:kern w:val="0"/>
                <w:szCs w:val="21"/>
                <w:u w:val="single"/>
              </w:rPr>
              <w:t xml:space="preserve">  </w:t>
            </w:r>
            <w:r w:rsidRPr="002E6C2E">
              <w:rPr>
                <w:rFonts w:eastAsia="仿宋_GB2312" w:hint="eastAsia"/>
                <w:bCs/>
                <w:kern w:val="0"/>
                <w:szCs w:val="21"/>
                <w:u w:val="single"/>
              </w:rPr>
              <w:t xml:space="preserve">  </w:t>
            </w:r>
            <w:r w:rsidRPr="002E6C2E">
              <w:rPr>
                <w:rFonts w:eastAsia="仿宋_GB2312" w:hint="eastAsia"/>
                <w:bCs/>
                <w:kern w:val="0"/>
                <w:szCs w:val="21"/>
              </w:rPr>
              <w:t xml:space="preserve">  </w:t>
            </w:r>
          </w:p>
        </w:tc>
        <w:tc>
          <w:tcPr>
            <w:tcW w:w="928"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节地与室外环境</w:t>
            </w:r>
          </w:p>
        </w:tc>
        <w:tc>
          <w:tcPr>
            <w:tcW w:w="1121"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节能与能源利用</w:t>
            </w:r>
          </w:p>
        </w:tc>
        <w:tc>
          <w:tcPr>
            <w:tcW w:w="1121" w:type="dxa"/>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节水与水资源利用</w:t>
            </w:r>
          </w:p>
        </w:tc>
        <w:tc>
          <w:tcPr>
            <w:tcW w:w="1259"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节材与材料资源利用</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室内环境质量</w:t>
            </w:r>
          </w:p>
        </w:tc>
        <w:tc>
          <w:tcPr>
            <w:tcW w:w="1008" w:type="dxa"/>
            <w:gridSpan w:val="2"/>
            <w:tcBorders>
              <w:top w:val="single" w:sz="4" w:space="0" w:color="auto"/>
              <w:left w:val="nil"/>
              <w:bottom w:val="single" w:sz="4" w:space="0" w:color="auto"/>
              <w:right w:val="single" w:sz="4" w:space="0" w:color="auto"/>
            </w:tcBorders>
            <w:shd w:val="clear" w:color="auto" w:fill="auto"/>
            <w:vAlign w:val="center"/>
          </w:tcPr>
          <w:p w:rsidR="002E6C2E" w:rsidRPr="00030B3E" w:rsidRDefault="002E6C2E" w:rsidP="0038669A">
            <w:pPr>
              <w:jc w:val="center"/>
              <w:rPr>
                <w:rFonts w:eastAsia="仿宋_GB2312"/>
                <w:bCs/>
                <w:kern w:val="0"/>
                <w:szCs w:val="21"/>
              </w:rPr>
            </w:pPr>
            <w:r w:rsidRPr="00030B3E">
              <w:rPr>
                <w:rFonts w:eastAsia="仿宋_GB2312"/>
                <w:bCs/>
                <w:kern w:val="0"/>
                <w:szCs w:val="21"/>
              </w:rPr>
              <w:t>运营管理</w:t>
            </w:r>
          </w:p>
        </w:tc>
        <w:tc>
          <w:tcPr>
            <w:tcW w:w="955" w:type="dxa"/>
            <w:tcBorders>
              <w:top w:val="single" w:sz="4" w:space="0" w:color="auto"/>
              <w:left w:val="single" w:sz="4" w:space="0" w:color="auto"/>
              <w:bottom w:val="single" w:sz="4" w:space="0" w:color="auto"/>
              <w:right w:val="single" w:sz="4" w:space="0" w:color="auto"/>
            </w:tcBorders>
            <w:vAlign w:val="center"/>
          </w:tcPr>
          <w:p w:rsidR="002E6C2E" w:rsidRPr="00030B3E" w:rsidRDefault="002E6C2E" w:rsidP="0038669A">
            <w:pPr>
              <w:jc w:val="center"/>
              <w:rPr>
                <w:rFonts w:eastAsia="仿宋_GB2312"/>
                <w:bCs/>
                <w:kern w:val="0"/>
                <w:szCs w:val="21"/>
              </w:rPr>
            </w:pPr>
            <w:r>
              <w:rPr>
                <w:rFonts w:eastAsia="仿宋_GB2312" w:hint="eastAsia"/>
                <w:bCs/>
                <w:kern w:val="0"/>
                <w:szCs w:val="21"/>
              </w:rPr>
              <w:t>创新项</w:t>
            </w:r>
          </w:p>
        </w:tc>
      </w:tr>
      <w:tr w:rsidR="002E6C2E"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8"/>
          <w:jc w:val="center"/>
        </w:trPr>
        <w:tc>
          <w:tcPr>
            <w:tcW w:w="752" w:type="dxa"/>
            <w:gridSpan w:val="2"/>
            <w:vMerge w:val="restart"/>
            <w:tcBorders>
              <w:top w:val="single" w:sz="4" w:space="0" w:color="auto"/>
              <w:left w:val="single" w:sz="4" w:space="0" w:color="auto"/>
              <w:right w:val="single" w:sz="4" w:space="0" w:color="auto"/>
            </w:tcBorders>
            <w:shd w:val="clear" w:color="auto" w:fill="auto"/>
            <w:vAlign w:val="center"/>
          </w:tcPr>
          <w:p w:rsidR="002E6C2E" w:rsidRPr="009409EF" w:rsidRDefault="002E6C2E" w:rsidP="0038669A">
            <w:pPr>
              <w:jc w:val="center"/>
              <w:rPr>
                <w:rFonts w:eastAsia="仿宋_GB2312"/>
                <w:kern w:val="0"/>
                <w:szCs w:val="21"/>
              </w:rPr>
            </w:pPr>
            <w:r w:rsidRPr="0068361D">
              <w:rPr>
                <w:rFonts w:eastAsia="仿宋_GB2312" w:hint="eastAsia"/>
                <w:bCs/>
                <w:kern w:val="0"/>
                <w:szCs w:val="21"/>
              </w:rPr>
              <w:t>控制项</w:t>
            </w:r>
          </w:p>
        </w:tc>
        <w:tc>
          <w:tcPr>
            <w:tcW w:w="2226" w:type="dxa"/>
            <w:gridSpan w:val="4"/>
            <w:vMerge w:val="restart"/>
            <w:tcBorders>
              <w:top w:val="single" w:sz="4" w:space="0" w:color="auto"/>
              <w:left w:val="single" w:sz="4" w:space="0" w:color="auto"/>
              <w:right w:val="single" w:sz="4" w:space="0" w:color="auto"/>
            </w:tcBorders>
            <w:shd w:val="clear" w:color="auto" w:fill="auto"/>
            <w:vAlign w:val="center"/>
          </w:tcPr>
          <w:p w:rsidR="002E6C2E" w:rsidRPr="009409EF" w:rsidRDefault="002E6C2E" w:rsidP="0038669A">
            <w:pPr>
              <w:jc w:val="center"/>
              <w:rPr>
                <w:rFonts w:eastAsia="仿宋_GB2312"/>
                <w:kern w:val="0"/>
                <w:szCs w:val="21"/>
              </w:rPr>
            </w:pPr>
            <w:r>
              <w:rPr>
                <w:rFonts w:eastAsia="仿宋_GB2312" w:hint="eastAsia"/>
                <w:bCs/>
                <w:kern w:val="0"/>
                <w:szCs w:val="21"/>
              </w:rPr>
              <w:t>检查组评价</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C2E" w:rsidRPr="009409EF" w:rsidRDefault="002E6C2E" w:rsidP="0038669A">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2E6C2E"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9"/>
          <w:jc w:val="center"/>
        </w:trPr>
        <w:tc>
          <w:tcPr>
            <w:tcW w:w="752" w:type="dxa"/>
            <w:gridSpan w:val="2"/>
            <w:vMerge/>
            <w:tcBorders>
              <w:left w:val="single" w:sz="4" w:space="0" w:color="auto"/>
              <w:bottom w:val="single" w:sz="4" w:space="0" w:color="auto"/>
              <w:right w:val="single" w:sz="4" w:space="0" w:color="auto"/>
            </w:tcBorders>
            <w:shd w:val="clear" w:color="auto" w:fill="auto"/>
            <w:vAlign w:val="center"/>
          </w:tcPr>
          <w:p w:rsidR="002E6C2E" w:rsidRPr="0068361D" w:rsidRDefault="002E6C2E" w:rsidP="0038669A">
            <w:pPr>
              <w:jc w:val="center"/>
              <w:rPr>
                <w:rFonts w:eastAsia="仿宋_GB2312"/>
                <w:bCs/>
                <w:kern w:val="0"/>
                <w:szCs w:val="21"/>
              </w:rPr>
            </w:pPr>
          </w:p>
        </w:tc>
        <w:tc>
          <w:tcPr>
            <w:tcW w:w="2226" w:type="dxa"/>
            <w:gridSpan w:val="4"/>
            <w:vMerge/>
            <w:tcBorders>
              <w:left w:val="single" w:sz="4" w:space="0" w:color="auto"/>
              <w:bottom w:val="single" w:sz="4" w:space="0" w:color="auto"/>
              <w:right w:val="single" w:sz="4" w:space="0" w:color="auto"/>
            </w:tcBorders>
            <w:shd w:val="clear" w:color="auto" w:fill="auto"/>
            <w:vAlign w:val="center"/>
          </w:tcPr>
          <w:p w:rsidR="002E6C2E" w:rsidRPr="0068361D" w:rsidRDefault="002E6C2E" w:rsidP="0038669A">
            <w:pPr>
              <w:jc w:val="center"/>
              <w:rPr>
                <w:rFonts w:eastAsia="仿宋_GB2312"/>
                <w:bCs/>
                <w:kern w:val="0"/>
                <w:szCs w:val="21"/>
              </w:rPr>
            </w:pPr>
          </w:p>
        </w:tc>
        <w:tc>
          <w:tcPr>
            <w:tcW w:w="7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C2E" w:rsidRPr="00030B3E" w:rsidRDefault="002E6C2E" w:rsidP="0038669A">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5C0361"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4"/>
          <w:jc w:val="center"/>
        </w:trPr>
        <w:tc>
          <w:tcPr>
            <w:tcW w:w="752" w:type="dxa"/>
            <w:gridSpan w:val="2"/>
            <w:vMerge w:val="restart"/>
            <w:tcBorders>
              <w:top w:val="single" w:sz="4" w:space="0" w:color="auto"/>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得分</w:t>
            </w:r>
            <w:r w:rsidRPr="0068361D">
              <w:rPr>
                <w:rFonts w:eastAsia="仿宋_GB2312" w:hint="eastAsia"/>
                <w:bCs/>
                <w:kern w:val="0"/>
                <w:szCs w:val="21"/>
              </w:rPr>
              <w:t>项</w:t>
            </w:r>
            <w:r>
              <w:rPr>
                <w:rFonts w:eastAsia="仿宋_GB2312" w:hint="eastAsia"/>
                <w:bCs/>
                <w:kern w:val="0"/>
                <w:szCs w:val="21"/>
              </w:rPr>
              <w:t>+</w:t>
            </w:r>
            <w:r>
              <w:rPr>
                <w:rFonts w:eastAsia="仿宋_GB2312" w:hint="eastAsia"/>
                <w:bCs/>
                <w:kern w:val="0"/>
                <w:szCs w:val="21"/>
              </w:rPr>
              <w:t>创新</w:t>
            </w:r>
            <w:r>
              <w:rPr>
                <w:rFonts w:eastAsia="仿宋_GB2312"/>
                <w:bCs/>
                <w:kern w:val="0"/>
                <w:szCs w:val="21"/>
              </w:rPr>
              <w:t>项</w:t>
            </w:r>
          </w:p>
        </w:tc>
        <w:tc>
          <w:tcPr>
            <w:tcW w:w="667" w:type="dxa"/>
            <w:gridSpan w:val="2"/>
            <w:vMerge w:val="restart"/>
            <w:tcBorders>
              <w:top w:val="single" w:sz="4" w:space="0" w:color="auto"/>
              <w:left w:val="single" w:sz="4" w:space="0" w:color="auto"/>
              <w:right w:val="single" w:sz="4" w:space="0" w:color="auto"/>
            </w:tcBorders>
            <w:shd w:val="clear" w:color="auto" w:fill="auto"/>
            <w:vAlign w:val="center"/>
          </w:tcPr>
          <w:p w:rsidR="005C0361" w:rsidRPr="0068361D" w:rsidRDefault="005C0361" w:rsidP="005C0361">
            <w:pPr>
              <w:spacing w:line="240" w:lineRule="atLeast"/>
              <w:jc w:val="center"/>
              <w:rPr>
                <w:rFonts w:eastAsia="仿宋_GB2312"/>
                <w:bCs/>
                <w:kern w:val="0"/>
                <w:szCs w:val="21"/>
              </w:rPr>
            </w:pPr>
            <w:r>
              <w:rPr>
                <w:rFonts w:eastAsia="仿宋_GB2312" w:hint="eastAsia"/>
                <w:bCs/>
                <w:kern w:val="0"/>
                <w:szCs w:val="21"/>
              </w:rPr>
              <w:t>设计情况</w:t>
            </w:r>
          </w:p>
        </w:tc>
        <w:tc>
          <w:tcPr>
            <w:tcW w:w="1559" w:type="dxa"/>
            <w:gridSpan w:val="2"/>
            <w:tcBorders>
              <w:top w:val="single" w:sz="4" w:space="0" w:color="auto"/>
              <w:lef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规范要求</w:t>
            </w:r>
          </w:p>
        </w:tc>
        <w:tc>
          <w:tcPr>
            <w:tcW w:w="7512" w:type="dxa"/>
            <w:gridSpan w:val="10"/>
            <w:tcBorders>
              <w:top w:val="single" w:sz="4" w:space="0" w:color="auto"/>
              <w:bottom w:val="single" w:sz="6" w:space="0" w:color="auto"/>
              <w:right w:val="single" w:sz="4" w:space="0" w:color="auto"/>
            </w:tcBorders>
            <w:shd w:val="clear" w:color="auto" w:fill="auto"/>
            <w:vAlign w:val="center"/>
          </w:tcPr>
          <w:p w:rsidR="005C0361" w:rsidRPr="00397FB7" w:rsidRDefault="005C0361" w:rsidP="005C0361">
            <w:pPr>
              <w:jc w:val="right"/>
              <w:rPr>
                <w:b/>
              </w:rPr>
            </w:pPr>
            <w:r w:rsidRPr="00397FB7">
              <w:rPr>
                <w:rFonts w:hint="eastAsia"/>
                <w:b/>
              </w:rPr>
              <w:t>（每类</w:t>
            </w:r>
            <w:r w:rsidRPr="00397FB7">
              <w:rPr>
                <w:b/>
              </w:rPr>
              <w:t>指标得分之和不低于</w:t>
            </w:r>
            <w:r w:rsidRPr="00397FB7">
              <w:rPr>
                <w:rFonts w:hint="eastAsia"/>
                <w:b/>
              </w:rPr>
              <w:t>2</w:t>
            </w:r>
            <w:r w:rsidRPr="00397FB7">
              <w:rPr>
                <w:rFonts w:hint="eastAsia"/>
                <w:b/>
              </w:rPr>
              <w:t>分</w:t>
            </w:r>
            <w:r w:rsidRPr="00397FB7">
              <w:rPr>
                <w:b/>
              </w:rPr>
              <w:t>，创新项除外）</w:t>
            </w:r>
          </w:p>
        </w:tc>
      </w:tr>
      <w:tr w:rsidR="005C0361"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3"/>
          <w:jc w:val="center"/>
        </w:trPr>
        <w:tc>
          <w:tcPr>
            <w:tcW w:w="752"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667"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1559" w:type="dxa"/>
            <w:gridSpan w:val="2"/>
            <w:tcBorders>
              <w:top w:val="single" w:sz="6" w:space="0" w:color="auto"/>
              <w:left w:val="single" w:sz="4" w:space="0" w:color="auto"/>
              <w:bottom w:val="single" w:sz="6"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参评项得分</w:t>
            </w:r>
          </w:p>
        </w:tc>
        <w:tc>
          <w:tcPr>
            <w:tcW w:w="928" w:type="dxa"/>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121" w:type="dxa"/>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121" w:type="dxa"/>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259" w:type="dxa"/>
            <w:gridSpan w:val="2"/>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120" w:type="dxa"/>
            <w:gridSpan w:val="2"/>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1008" w:type="dxa"/>
            <w:gridSpan w:val="2"/>
            <w:tcBorders>
              <w:top w:val="single" w:sz="6" w:space="0" w:color="auto"/>
              <w:bottom w:val="single" w:sz="6" w:space="0" w:color="auto"/>
            </w:tcBorders>
            <w:shd w:val="clear" w:color="auto" w:fill="auto"/>
            <w:vAlign w:val="center"/>
          </w:tcPr>
          <w:p w:rsidR="005C0361" w:rsidRPr="00B02675" w:rsidRDefault="005C0361" w:rsidP="005C0361">
            <w:pPr>
              <w:jc w:val="center"/>
            </w:pPr>
          </w:p>
        </w:tc>
        <w:tc>
          <w:tcPr>
            <w:tcW w:w="955" w:type="dxa"/>
            <w:tcBorders>
              <w:top w:val="single" w:sz="6" w:space="0" w:color="auto"/>
              <w:bottom w:val="single" w:sz="6" w:space="0" w:color="auto"/>
              <w:right w:val="single" w:sz="4" w:space="0" w:color="auto"/>
            </w:tcBorders>
            <w:vAlign w:val="center"/>
          </w:tcPr>
          <w:p w:rsidR="005C0361" w:rsidRPr="00B02675" w:rsidRDefault="005C0361" w:rsidP="005C0361">
            <w:pPr>
              <w:jc w:val="center"/>
            </w:pPr>
          </w:p>
        </w:tc>
      </w:tr>
      <w:tr w:rsidR="005C0361"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59"/>
          <w:jc w:val="center"/>
        </w:trPr>
        <w:tc>
          <w:tcPr>
            <w:tcW w:w="752"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667"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1559" w:type="dxa"/>
            <w:gridSpan w:val="2"/>
            <w:tcBorders>
              <w:top w:val="single" w:sz="6" w:space="0" w:color="auto"/>
              <w:left w:val="single" w:sz="4" w:space="0" w:color="auto"/>
              <w:bottom w:val="single" w:sz="6" w:space="0" w:color="auto"/>
            </w:tcBorders>
            <w:shd w:val="clear" w:color="auto" w:fill="auto"/>
            <w:vAlign w:val="center"/>
          </w:tcPr>
          <w:p w:rsidR="005C0361" w:rsidRDefault="005C0361" w:rsidP="005C0361">
            <w:pPr>
              <w:widowControl/>
              <w:spacing w:line="240" w:lineRule="atLeast"/>
              <w:jc w:val="center"/>
              <w:rPr>
                <w:rFonts w:eastAsia="仿宋_GB2312"/>
                <w:bCs/>
                <w:kern w:val="0"/>
                <w:szCs w:val="21"/>
              </w:rPr>
            </w:pPr>
            <w:r>
              <w:rPr>
                <w:rFonts w:eastAsia="仿宋_GB2312" w:hint="eastAsia"/>
                <w:bCs/>
                <w:kern w:val="0"/>
                <w:szCs w:val="21"/>
              </w:rPr>
              <w:t>参评</w:t>
            </w:r>
            <w:r>
              <w:rPr>
                <w:rFonts w:eastAsia="仿宋_GB2312"/>
                <w:bCs/>
                <w:kern w:val="0"/>
                <w:szCs w:val="21"/>
              </w:rPr>
              <w:t>项总得分</w:t>
            </w:r>
          </w:p>
        </w:tc>
        <w:tc>
          <w:tcPr>
            <w:tcW w:w="7512" w:type="dxa"/>
            <w:gridSpan w:val="10"/>
            <w:tcBorders>
              <w:top w:val="single" w:sz="6" w:space="0" w:color="auto"/>
              <w:bottom w:val="single" w:sz="6" w:space="0" w:color="auto"/>
              <w:right w:val="single" w:sz="4" w:space="0" w:color="auto"/>
            </w:tcBorders>
            <w:shd w:val="clear" w:color="auto" w:fill="auto"/>
            <w:vAlign w:val="center"/>
          </w:tcPr>
          <w:p w:rsidR="005C0361" w:rsidRPr="00B02675" w:rsidRDefault="005C0361" w:rsidP="005C0361">
            <w:pPr>
              <w:jc w:val="center"/>
            </w:pPr>
          </w:p>
        </w:tc>
      </w:tr>
      <w:tr w:rsidR="005C0361"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52"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2226" w:type="dxa"/>
            <w:gridSpan w:val="4"/>
            <w:vMerge w:val="restart"/>
            <w:tcBorders>
              <w:top w:val="single" w:sz="6" w:space="0" w:color="auto"/>
              <w:left w:val="single" w:sz="4" w:space="0" w:color="auto"/>
            </w:tcBorders>
            <w:shd w:val="clear" w:color="auto" w:fill="auto"/>
            <w:noWrap/>
            <w:vAlign w:val="center"/>
          </w:tcPr>
          <w:p w:rsidR="005C0361" w:rsidRPr="0068361D" w:rsidRDefault="005C0361" w:rsidP="005C0361">
            <w:pPr>
              <w:widowControl/>
              <w:spacing w:line="240" w:lineRule="atLeast"/>
              <w:jc w:val="center"/>
              <w:rPr>
                <w:rFonts w:eastAsia="仿宋_GB2312"/>
                <w:bCs/>
                <w:kern w:val="0"/>
                <w:szCs w:val="21"/>
              </w:rPr>
            </w:pPr>
            <w:r>
              <w:rPr>
                <w:rFonts w:eastAsia="仿宋_GB2312" w:hint="eastAsia"/>
                <w:bCs/>
                <w:kern w:val="0"/>
                <w:szCs w:val="21"/>
              </w:rPr>
              <w:t>检查组评价</w:t>
            </w:r>
          </w:p>
        </w:tc>
        <w:tc>
          <w:tcPr>
            <w:tcW w:w="7512" w:type="dxa"/>
            <w:gridSpan w:val="10"/>
            <w:tcBorders>
              <w:top w:val="single" w:sz="6" w:space="0" w:color="auto"/>
              <w:bottom w:val="single" w:sz="6" w:space="0" w:color="auto"/>
              <w:right w:val="single" w:sz="4" w:space="0" w:color="auto"/>
            </w:tcBorders>
            <w:shd w:val="clear" w:color="auto" w:fill="auto"/>
            <w:vAlign w:val="center"/>
          </w:tcPr>
          <w:p w:rsidR="005C0361" w:rsidRPr="009409EF" w:rsidRDefault="005C0361" w:rsidP="005C0361">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5C0361" w:rsidTr="005C03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52" w:type="dxa"/>
            <w:gridSpan w:val="2"/>
            <w:vMerge/>
            <w:tcBorders>
              <w:left w:val="single" w:sz="4" w:space="0" w:color="auto"/>
              <w:right w:val="single" w:sz="4" w:space="0" w:color="auto"/>
            </w:tcBorders>
            <w:shd w:val="clear" w:color="auto" w:fill="auto"/>
            <w:vAlign w:val="center"/>
          </w:tcPr>
          <w:p w:rsidR="005C0361" w:rsidRPr="0068361D" w:rsidRDefault="005C0361" w:rsidP="005C0361">
            <w:pPr>
              <w:widowControl/>
              <w:spacing w:line="240" w:lineRule="atLeast"/>
              <w:jc w:val="center"/>
              <w:rPr>
                <w:rFonts w:eastAsia="仿宋_GB2312"/>
                <w:bCs/>
                <w:kern w:val="0"/>
                <w:szCs w:val="21"/>
              </w:rPr>
            </w:pPr>
          </w:p>
        </w:tc>
        <w:tc>
          <w:tcPr>
            <w:tcW w:w="2226" w:type="dxa"/>
            <w:gridSpan w:val="4"/>
            <w:vMerge/>
            <w:tcBorders>
              <w:left w:val="single" w:sz="4" w:space="0" w:color="auto"/>
            </w:tcBorders>
            <w:shd w:val="clear" w:color="auto" w:fill="auto"/>
            <w:noWrap/>
            <w:vAlign w:val="center"/>
          </w:tcPr>
          <w:p w:rsidR="005C0361" w:rsidRPr="0068361D" w:rsidRDefault="005C0361" w:rsidP="005C0361">
            <w:pPr>
              <w:widowControl/>
              <w:spacing w:line="240" w:lineRule="atLeast"/>
              <w:jc w:val="center"/>
              <w:rPr>
                <w:rFonts w:eastAsia="仿宋_GB2312"/>
                <w:bCs/>
                <w:kern w:val="0"/>
                <w:szCs w:val="21"/>
              </w:rPr>
            </w:pPr>
          </w:p>
        </w:tc>
        <w:tc>
          <w:tcPr>
            <w:tcW w:w="7512" w:type="dxa"/>
            <w:gridSpan w:val="10"/>
            <w:tcBorders>
              <w:top w:val="single" w:sz="6" w:space="0" w:color="auto"/>
              <w:bottom w:val="single" w:sz="6" w:space="0" w:color="auto"/>
              <w:right w:val="single" w:sz="4" w:space="0" w:color="auto"/>
            </w:tcBorders>
            <w:shd w:val="clear" w:color="auto" w:fill="auto"/>
            <w:vAlign w:val="center"/>
          </w:tcPr>
          <w:p w:rsidR="005C0361" w:rsidRPr="00030B3E" w:rsidRDefault="005C0361" w:rsidP="005C0361">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0"/>
          <w:jc w:val="center"/>
        </w:trPr>
        <w:tc>
          <w:tcPr>
            <w:tcW w:w="6459" w:type="dxa"/>
            <w:gridSpan w:val="10"/>
            <w:vAlign w:val="center"/>
          </w:tcPr>
          <w:p w:rsidR="005C0361" w:rsidRPr="00A712C0" w:rsidRDefault="005C0361" w:rsidP="005C0361">
            <w:pPr>
              <w:widowControl/>
              <w:jc w:val="center"/>
              <w:rPr>
                <w:rFonts w:ascii="宋体" w:hAnsi="宋体" w:cs="宋体"/>
                <w:b/>
                <w:bCs/>
                <w:kern w:val="0"/>
              </w:rPr>
            </w:pPr>
            <w:r w:rsidRPr="00A712C0">
              <w:rPr>
                <w:rFonts w:ascii="宋体" w:hAnsi="宋体" w:cs="宋体" w:hint="eastAsia"/>
                <w:b/>
                <w:bCs/>
                <w:kern w:val="0"/>
              </w:rPr>
              <w:t>检查</w:t>
            </w:r>
            <w:r w:rsidRPr="00A712C0">
              <w:rPr>
                <w:rFonts w:ascii="宋体" w:hAnsi="宋体" w:cs="宋体"/>
                <w:b/>
                <w:bCs/>
                <w:kern w:val="0"/>
              </w:rPr>
              <w:t>内容与依据</w:t>
            </w:r>
          </w:p>
        </w:tc>
        <w:tc>
          <w:tcPr>
            <w:tcW w:w="2583" w:type="dxa"/>
            <w:gridSpan w:val="4"/>
            <w:vAlign w:val="center"/>
          </w:tcPr>
          <w:p w:rsidR="005C0361" w:rsidRPr="00A712C0" w:rsidRDefault="005C0361" w:rsidP="005C0361">
            <w:pPr>
              <w:widowControl/>
              <w:jc w:val="center"/>
              <w:rPr>
                <w:rFonts w:ascii="宋体" w:hAnsi="宋体" w:cs="宋体"/>
                <w:b/>
                <w:bCs/>
                <w:kern w:val="0"/>
              </w:rPr>
            </w:pPr>
            <w:r w:rsidRPr="00A712C0">
              <w:rPr>
                <w:rFonts w:ascii="宋体" w:hAnsi="宋体" w:cs="宋体" w:hint="eastAsia"/>
                <w:b/>
                <w:bCs/>
                <w:kern w:val="0"/>
              </w:rPr>
              <w:t>评价</w:t>
            </w:r>
          </w:p>
        </w:tc>
        <w:tc>
          <w:tcPr>
            <w:tcW w:w="1448" w:type="dxa"/>
            <w:gridSpan w:val="2"/>
            <w:vMerge w:val="restart"/>
            <w:vAlign w:val="center"/>
          </w:tcPr>
          <w:p w:rsidR="005C0361" w:rsidRPr="00A712C0" w:rsidRDefault="005C0361" w:rsidP="005C0361">
            <w:pPr>
              <w:snapToGrid w:val="0"/>
              <w:spacing w:line="300" w:lineRule="auto"/>
              <w:jc w:val="center"/>
              <w:rPr>
                <w:rFonts w:ascii="宋体" w:hAnsi="宋体" w:cs="宋体"/>
                <w:b/>
                <w:bCs/>
                <w:kern w:val="0"/>
              </w:rPr>
            </w:pPr>
            <w:r w:rsidRPr="00A712C0">
              <w:rPr>
                <w:rFonts w:ascii="宋体" w:hAnsi="宋体" w:cs="宋体" w:hint="eastAsia"/>
                <w:b/>
                <w:bCs/>
                <w:kern w:val="0"/>
              </w:rPr>
              <w:t>备注</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名称</w:t>
            </w:r>
          </w:p>
        </w:tc>
        <w:tc>
          <w:tcPr>
            <w:tcW w:w="432" w:type="dxa"/>
            <w:gridSpan w:val="2"/>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类别</w:t>
            </w:r>
          </w:p>
        </w:tc>
        <w:tc>
          <w:tcPr>
            <w:tcW w:w="930" w:type="dxa"/>
            <w:gridSpan w:val="2"/>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编号</w:t>
            </w:r>
          </w:p>
        </w:tc>
        <w:tc>
          <w:tcPr>
            <w:tcW w:w="4674" w:type="dxa"/>
            <w:gridSpan w:val="5"/>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标准条文</w:t>
            </w:r>
          </w:p>
        </w:tc>
        <w:tc>
          <w:tcPr>
            <w:tcW w:w="1250" w:type="dxa"/>
            <w:gridSpan w:val="2"/>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设计文件</w:t>
            </w:r>
          </w:p>
        </w:tc>
        <w:tc>
          <w:tcPr>
            <w:tcW w:w="1333" w:type="dxa"/>
            <w:gridSpan w:val="2"/>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施工图</w:t>
            </w:r>
            <w:r w:rsidRPr="00A712C0">
              <w:rPr>
                <w:rFonts w:ascii="宋体" w:hAnsi="宋体" w:cs="宋体"/>
                <w:b/>
                <w:bCs/>
                <w:kern w:val="0"/>
              </w:rPr>
              <w:t>审查</w:t>
            </w:r>
          </w:p>
        </w:tc>
        <w:tc>
          <w:tcPr>
            <w:tcW w:w="1448"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节地与室外环境</w:t>
            </w: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控制项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.1.1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场地建设不破坏当地文物、自然水系、湿地、基本农田、森林和其他保护区。</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场地设计充分保留与利用场地内有环保价值和资源再利用价值的水域、地形地物、植被、道路、建筑物与构筑物等；</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根据国家及深圳相关规定保护</w:t>
            </w:r>
            <w:r w:rsidRPr="00A712C0">
              <w:rPr>
                <w:rFonts w:ascii="宋体" w:hAnsi="宋体"/>
              </w:rPr>
              <w:t>场地内有较高生态价值的树木、水塘、水系</w:t>
            </w:r>
            <w:r w:rsidRPr="00A712C0">
              <w:rPr>
                <w:rFonts w:ascii="宋体" w:hAnsi="宋体" w:hint="eastAsia"/>
              </w:rPr>
              <w:t>，确实需要改造的，工程结束后，须生态复原。</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.1.2</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建筑场地选址无洪灾、泥石流及含氡土壤的威胁。建筑场地安全范围内无电磁辐射危害和火、爆、有毒物质等危险源。建筑选址符合国家和深圳市的相关安全规定。</w:t>
            </w:r>
          </w:p>
          <w:p w:rsidR="005C0361" w:rsidRPr="00A712C0" w:rsidRDefault="005C0361" w:rsidP="005C0361">
            <w:pPr>
              <w:snapToGrid w:val="0"/>
              <w:spacing w:line="300" w:lineRule="auto"/>
              <w:rPr>
                <w:rFonts w:ascii="宋体" w:hAnsi="宋体"/>
              </w:rPr>
            </w:pPr>
            <w:r w:rsidRPr="00A712C0">
              <w:rPr>
                <w:rFonts w:ascii="宋体" w:hAnsi="宋体"/>
              </w:rPr>
              <w:t>1 对用地的选址与水文状况做出分析，用地位于洪水水位之上或有可靠的城市防洪设施，防汛能力达到《防洪标准》GB</w:t>
            </w:r>
            <w:r w:rsidRPr="00A712C0">
              <w:rPr>
                <w:rFonts w:ascii="宋体" w:hAnsi="宋体" w:hint="eastAsia"/>
              </w:rPr>
              <w:t xml:space="preserve"> </w:t>
            </w:r>
            <w:r w:rsidRPr="00A712C0">
              <w:rPr>
                <w:rFonts w:ascii="宋体" w:hAnsi="宋体"/>
              </w:rPr>
              <w:t>50201的要求，充分考虑到泥石流、滑坡等自然灾害的应对措施；</w:t>
            </w:r>
          </w:p>
          <w:p w:rsidR="005C0361" w:rsidRPr="00A712C0" w:rsidRDefault="005C0361" w:rsidP="005C0361">
            <w:pPr>
              <w:snapToGrid w:val="0"/>
              <w:spacing w:line="300" w:lineRule="auto"/>
              <w:rPr>
                <w:rFonts w:ascii="宋体" w:hAnsi="宋体"/>
              </w:rPr>
            </w:pPr>
            <w:r w:rsidRPr="00A712C0">
              <w:rPr>
                <w:rFonts w:ascii="宋体" w:hAnsi="宋体"/>
              </w:rPr>
              <w:t>2 用地符合《建筑抗震设计规范》GB 50011的要求；</w:t>
            </w:r>
          </w:p>
          <w:p w:rsidR="005C0361" w:rsidRPr="00A712C0" w:rsidRDefault="005C0361" w:rsidP="005C0361">
            <w:pPr>
              <w:snapToGrid w:val="0"/>
              <w:spacing w:line="300" w:lineRule="auto"/>
              <w:rPr>
                <w:rFonts w:ascii="宋体" w:hAnsi="宋体"/>
              </w:rPr>
            </w:pPr>
            <w:r w:rsidRPr="00A712C0">
              <w:rPr>
                <w:rFonts w:ascii="宋体" w:hAnsi="宋体"/>
              </w:rPr>
              <w:t>3 选址周围土壤氡浓度符合《民用建筑工程室内环境污染控制规范》GB</w:t>
            </w:r>
            <w:r w:rsidRPr="00A712C0">
              <w:rPr>
                <w:rFonts w:ascii="宋体" w:hAnsi="宋体" w:hint="eastAsia"/>
              </w:rPr>
              <w:t xml:space="preserve"> </w:t>
            </w:r>
            <w:r w:rsidRPr="00A712C0">
              <w:rPr>
                <w:rFonts w:ascii="宋体" w:hAnsi="宋体"/>
              </w:rPr>
              <w:t>50325的要求。如利用原有工业用地的，进行土壤化学污染检测和评估，并符合国家相关标准的要求；</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4 选址周围电磁辐射强度符合《电磁辐射防护规定》GB 8702与《环境电磁波卫生标准》GB 9175的要求，选址远离电视广播发射塔、雷达站、通信发射台、变电站、高压电线等；选址远离油库、煤气站、有毒物质车间等有可能发生火灾、爆炸和毒气泄漏等区域。</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.1.3 </w:t>
            </w:r>
          </w:p>
        </w:tc>
        <w:tc>
          <w:tcPr>
            <w:tcW w:w="4674" w:type="dxa"/>
            <w:gridSpan w:val="5"/>
            <w:vAlign w:val="center"/>
          </w:tcPr>
          <w:p w:rsidR="005C0361" w:rsidRPr="00A712C0" w:rsidRDefault="005C0361" w:rsidP="005C0361">
            <w:pPr>
              <w:pStyle w:val="afa"/>
              <w:snapToGrid w:val="0"/>
              <w:ind w:firstLineChars="0" w:firstLine="0"/>
              <w:rPr>
                <w:rFonts w:ascii="宋体" w:hAnsi="宋体"/>
                <w:sz w:val="21"/>
                <w:szCs w:val="21"/>
              </w:rPr>
            </w:pPr>
            <w:r w:rsidRPr="00A712C0">
              <w:rPr>
                <w:rFonts w:ascii="宋体" w:hAnsi="宋体"/>
                <w:sz w:val="21"/>
                <w:szCs w:val="21"/>
              </w:rPr>
              <w:t>不对周边建筑物带来光污染，不影响周围居住建筑的日照要求。</w:t>
            </w:r>
          </w:p>
          <w:p w:rsidR="005C0361" w:rsidRPr="00A712C0" w:rsidRDefault="005C0361" w:rsidP="005C0361">
            <w:pPr>
              <w:pStyle w:val="afa"/>
              <w:snapToGrid w:val="0"/>
              <w:ind w:firstLine="412"/>
              <w:rPr>
                <w:rFonts w:ascii="宋体" w:hAnsi="宋体"/>
                <w:sz w:val="21"/>
                <w:szCs w:val="21"/>
              </w:rPr>
            </w:pPr>
            <w:r w:rsidRPr="00A712C0">
              <w:rPr>
                <w:rFonts w:ascii="宋体" w:hAnsi="宋体"/>
                <w:sz w:val="21"/>
                <w:szCs w:val="21"/>
              </w:rPr>
              <w:t>1</w:t>
            </w:r>
            <w:r w:rsidRPr="00A712C0">
              <w:rPr>
                <w:rFonts w:ascii="宋体" w:hAnsi="宋体" w:hint="eastAsia"/>
                <w:sz w:val="21"/>
                <w:szCs w:val="21"/>
              </w:rPr>
              <w:t xml:space="preserve"> </w:t>
            </w:r>
            <w:r w:rsidRPr="00A712C0">
              <w:rPr>
                <w:rFonts w:ascii="宋体" w:hAnsi="宋体"/>
                <w:sz w:val="21"/>
                <w:szCs w:val="21"/>
              </w:rPr>
              <w:t>幕墙建筑的设计与选材合理，符合现行国家标准《玻璃幕墙光学性能》GB/T 18091的要求；</w:t>
            </w:r>
          </w:p>
          <w:p w:rsidR="005C0361" w:rsidRPr="00A712C0" w:rsidRDefault="005C0361" w:rsidP="005C0361">
            <w:pPr>
              <w:pStyle w:val="afa"/>
              <w:snapToGrid w:val="0"/>
              <w:ind w:firstLine="412"/>
              <w:rPr>
                <w:rFonts w:ascii="宋体" w:hAnsi="宋体"/>
                <w:sz w:val="21"/>
                <w:szCs w:val="21"/>
              </w:rPr>
            </w:pPr>
            <w:r w:rsidRPr="00A712C0">
              <w:rPr>
                <w:rFonts w:ascii="宋体" w:hAnsi="宋体"/>
                <w:sz w:val="21"/>
                <w:szCs w:val="21"/>
              </w:rPr>
              <w:t>2</w:t>
            </w:r>
            <w:r w:rsidRPr="00A712C0">
              <w:rPr>
                <w:rFonts w:ascii="宋体" w:hAnsi="宋体" w:hint="eastAsia"/>
                <w:sz w:val="21"/>
                <w:szCs w:val="21"/>
              </w:rPr>
              <w:t xml:space="preserve"> </w:t>
            </w:r>
            <w:r w:rsidRPr="00A712C0">
              <w:rPr>
                <w:rFonts w:ascii="宋体" w:hAnsi="宋体"/>
                <w:sz w:val="21"/>
                <w:szCs w:val="21"/>
              </w:rPr>
              <w:t>控制室外照明中射向夜空与住户外窗以及溢出场地边界的光束；</w:t>
            </w:r>
            <w:r w:rsidRPr="00A712C0" w:rsidDel="00075096">
              <w:rPr>
                <w:rFonts w:ascii="宋体" w:hAnsi="宋体"/>
                <w:sz w:val="21"/>
                <w:szCs w:val="21"/>
              </w:rPr>
              <w:t xml:space="preserve"> </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 xml:space="preserve">3 </w:t>
            </w:r>
            <w:r w:rsidRPr="00A712C0">
              <w:rPr>
                <w:rFonts w:ascii="宋体" w:hAnsi="宋体"/>
              </w:rPr>
              <w:t>日照分析证明不影响周边居住建筑的日照要求。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.1.4 </w:t>
            </w:r>
          </w:p>
        </w:tc>
        <w:tc>
          <w:tcPr>
            <w:tcW w:w="4674" w:type="dxa"/>
            <w:gridSpan w:val="5"/>
            <w:vAlign w:val="center"/>
          </w:tcPr>
          <w:p w:rsidR="005C0361" w:rsidRPr="00A712C0" w:rsidRDefault="005C0361" w:rsidP="005C0361">
            <w:pPr>
              <w:pStyle w:val="afa"/>
              <w:snapToGrid w:val="0"/>
              <w:ind w:firstLineChars="0" w:firstLine="0"/>
              <w:rPr>
                <w:rFonts w:ascii="宋体" w:hAnsi="宋体"/>
                <w:sz w:val="21"/>
                <w:szCs w:val="21"/>
              </w:rPr>
            </w:pPr>
            <w:r w:rsidRPr="00A712C0">
              <w:rPr>
                <w:rFonts w:ascii="宋体" w:hAnsi="宋体"/>
                <w:sz w:val="21"/>
                <w:szCs w:val="21"/>
              </w:rPr>
              <w:t>场地内无排放超标的污染源。</w:t>
            </w:r>
          </w:p>
          <w:p w:rsidR="005C0361" w:rsidRPr="00A712C0" w:rsidRDefault="005C0361" w:rsidP="005C0361">
            <w:pPr>
              <w:pStyle w:val="afa"/>
              <w:snapToGrid w:val="0"/>
              <w:ind w:firstLine="412"/>
              <w:rPr>
                <w:rFonts w:ascii="宋体" w:hAnsi="宋体"/>
                <w:sz w:val="21"/>
                <w:szCs w:val="21"/>
              </w:rPr>
            </w:pPr>
            <w:r w:rsidRPr="00A712C0">
              <w:rPr>
                <w:rFonts w:ascii="宋体" w:hAnsi="宋体"/>
                <w:sz w:val="21"/>
                <w:szCs w:val="21"/>
              </w:rPr>
              <w:t>1</w:t>
            </w:r>
            <w:r w:rsidRPr="00A712C0">
              <w:rPr>
                <w:rFonts w:ascii="宋体" w:hAnsi="宋体" w:hint="eastAsia"/>
                <w:sz w:val="21"/>
                <w:szCs w:val="21"/>
              </w:rPr>
              <w:t xml:space="preserve"> </w:t>
            </w:r>
            <w:r w:rsidRPr="00A712C0">
              <w:rPr>
                <w:rFonts w:ascii="宋体" w:hAnsi="宋体"/>
                <w:sz w:val="21"/>
                <w:szCs w:val="21"/>
              </w:rPr>
              <w:t>饮食店、锅炉房、发电机房、配套商业、厨房、垃圾站和垃圾处理场等排放的有害气体、粉尘等经净化处理后排放或高空排放。污废水经净化处理后排放</w:t>
            </w:r>
            <w:r w:rsidRPr="00A712C0">
              <w:rPr>
                <w:rFonts w:ascii="宋体" w:hAnsi="宋体" w:hint="eastAsia"/>
                <w:sz w:val="21"/>
                <w:szCs w:val="21"/>
              </w:rPr>
              <w:t>；</w:t>
            </w:r>
          </w:p>
          <w:p w:rsidR="005C0361" w:rsidRPr="00A712C0" w:rsidRDefault="005C0361" w:rsidP="005C0361">
            <w:pPr>
              <w:pStyle w:val="afa"/>
              <w:snapToGrid w:val="0"/>
              <w:ind w:firstLine="412"/>
              <w:rPr>
                <w:rFonts w:ascii="宋体" w:hAnsi="宋体"/>
                <w:sz w:val="21"/>
                <w:szCs w:val="21"/>
              </w:rPr>
            </w:pPr>
            <w:r w:rsidRPr="00A712C0">
              <w:rPr>
                <w:rFonts w:ascii="宋体" w:hAnsi="宋体" w:hint="eastAsia"/>
                <w:sz w:val="21"/>
                <w:szCs w:val="21"/>
              </w:rPr>
              <w:t xml:space="preserve">2 </w:t>
            </w:r>
            <w:r w:rsidRPr="00A712C0">
              <w:rPr>
                <w:rFonts w:ascii="宋体" w:hAnsi="宋体"/>
                <w:sz w:val="21"/>
                <w:szCs w:val="21"/>
              </w:rPr>
              <w:t>空调排热与排风</w:t>
            </w:r>
            <w:r w:rsidRPr="00A712C0">
              <w:rPr>
                <w:rFonts w:ascii="宋体" w:hAnsi="宋体" w:hint="eastAsia"/>
                <w:sz w:val="21"/>
                <w:szCs w:val="21"/>
              </w:rPr>
              <w:t>采取</w:t>
            </w:r>
            <w:r w:rsidRPr="00A712C0">
              <w:rPr>
                <w:rFonts w:ascii="宋体" w:hAnsi="宋体"/>
                <w:sz w:val="21"/>
                <w:szCs w:val="21"/>
              </w:rPr>
              <w:t>高位排放</w:t>
            </w:r>
            <w:r w:rsidRPr="00A712C0">
              <w:rPr>
                <w:rFonts w:ascii="宋体" w:hAnsi="宋体" w:hint="eastAsia"/>
                <w:sz w:val="21"/>
                <w:szCs w:val="21"/>
              </w:rPr>
              <w:t>措施</w:t>
            </w:r>
            <w:r w:rsidRPr="00A712C0">
              <w:rPr>
                <w:rFonts w:ascii="宋体" w:hAnsi="宋体"/>
                <w:sz w:val="21"/>
                <w:szCs w:val="21"/>
              </w:rPr>
              <w:t>，并不对行人产生影响；</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 xml:space="preserve">3 </w:t>
            </w:r>
            <w:r w:rsidRPr="00A712C0">
              <w:rPr>
                <w:rFonts w:ascii="宋体" w:hAnsi="宋体"/>
              </w:rPr>
              <w:t>空调制冷设备采用环保制冷剂，</w:t>
            </w:r>
            <w:r w:rsidRPr="00A712C0">
              <w:rPr>
                <w:rFonts w:ascii="宋体" w:hAnsi="宋体" w:hint="eastAsia"/>
              </w:rPr>
              <w:t>不</w:t>
            </w:r>
            <w:r w:rsidRPr="00A712C0">
              <w:rPr>
                <w:rFonts w:ascii="宋体" w:hAnsi="宋体"/>
              </w:rPr>
              <w:t>采用CFC制冷剂。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.1.5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项目建设过程中制定并实施保护环境的具体措施，防止大气污染、土壤污染、噪声污染、水土流失与水污染及光污染等。</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施工组织提出行之有效的控制扬尘的技术路线和方案；</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识别各种污染和破坏因素对土壤可能产生的影响，提出避免、消除、减轻土壤侵蚀和污染的对策与措施；</w:t>
            </w:r>
          </w:p>
          <w:p w:rsidR="005C0361" w:rsidRPr="00A712C0" w:rsidRDefault="005C0361" w:rsidP="005C0361">
            <w:pPr>
              <w:snapToGrid w:val="0"/>
              <w:spacing w:line="300" w:lineRule="auto"/>
              <w:rPr>
                <w:rFonts w:ascii="宋体" w:hAnsi="宋体"/>
              </w:rPr>
            </w:pPr>
            <w:r w:rsidRPr="00A712C0">
              <w:rPr>
                <w:rFonts w:ascii="宋体" w:hAnsi="宋体"/>
              </w:rPr>
              <w:t>3</w:t>
            </w:r>
            <w:r w:rsidRPr="00A712C0">
              <w:rPr>
                <w:rFonts w:ascii="宋体" w:hAnsi="宋体" w:hint="eastAsia"/>
              </w:rPr>
              <w:t xml:space="preserve"> </w:t>
            </w:r>
            <w:r w:rsidRPr="00A712C0">
              <w:rPr>
                <w:rFonts w:ascii="宋体" w:hAnsi="宋体"/>
              </w:rPr>
              <w:t>施工工程污水、食堂污水、厕所污水分别经处理达标后排放，符合《污水综合排放标准》GB 8978</w:t>
            </w:r>
            <w:r w:rsidRPr="00A712C0">
              <w:rPr>
                <w:rFonts w:ascii="宋体" w:hAnsi="宋体" w:hint="eastAsia"/>
              </w:rPr>
              <w:t>的要求</w:t>
            </w:r>
            <w:r w:rsidRPr="00A712C0">
              <w:rPr>
                <w:rFonts w:ascii="宋体" w:hAnsi="宋体"/>
              </w:rPr>
              <w:t>；</w:t>
            </w:r>
          </w:p>
          <w:p w:rsidR="005C0361" w:rsidRPr="00A712C0" w:rsidRDefault="005C0361" w:rsidP="005C0361">
            <w:pPr>
              <w:snapToGrid w:val="0"/>
              <w:spacing w:line="300" w:lineRule="auto"/>
              <w:rPr>
                <w:rFonts w:ascii="宋体" w:hAnsi="宋体"/>
              </w:rPr>
            </w:pPr>
            <w:r w:rsidRPr="00A712C0">
              <w:rPr>
                <w:rFonts w:ascii="宋体" w:hAnsi="宋体"/>
              </w:rPr>
              <w:t>4</w:t>
            </w:r>
            <w:r w:rsidRPr="00A712C0">
              <w:rPr>
                <w:rFonts w:ascii="宋体" w:hAnsi="宋体" w:hint="eastAsia"/>
              </w:rPr>
              <w:t xml:space="preserve"> </w:t>
            </w:r>
            <w:r w:rsidRPr="00A712C0">
              <w:rPr>
                <w:rFonts w:ascii="宋体" w:hAnsi="宋体"/>
              </w:rPr>
              <w:t>严格按照规定时段施工，采取有效降噪措施，建筑施工噪声符合《建筑施工场界噪声限值》GB 12523</w:t>
            </w:r>
            <w:r w:rsidRPr="00A712C0">
              <w:rPr>
                <w:rFonts w:ascii="宋体" w:hAnsi="宋体" w:hint="eastAsia"/>
              </w:rPr>
              <w:t>的</w:t>
            </w:r>
            <w:r w:rsidRPr="00A712C0">
              <w:rPr>
                <w:rFonts w:ascii="宋体" w:hAnsi="宋体"/>
              </w:rPr>
              <w:t>要求；</w:t>
            </w:r>
          </w:p>
          <w:p w:rsidR="005C0361" w:rsidRPr="00A712C0" w:rsidRDefault="005C0361" w:rsidP="005C0361">
            <w:pPr>
              <w:snapToGrid w:val="0"/>
              <w:spacing w:line="300" w:lineRule="auto"/>
              <w:rPr>
                <w:rFonts w:ascii="宋体" w:hAnsi="宋体"/>
              </w:rPr>
            </w:pPr>
            <w:r w:rsidRPr="00A712C0">
              <w:rPr>
                <w:rFonts w:ascii="宋体" w:hAnsi="宋体"/>
              </w:rPr>
              <w:t>5</w:t>
            </w:r>
            <w:r w:rsidRPr="00A712C0">
              <w:rPr>
                <w:rFonts w:ascii="宋体" w:hAnsi="宋体" w:hint="eastAsia"/>
              </w:rPr>
              <w:t xml:space="preserve"> </w:t>
            </w:r>
            <w:r w:rsidRPr="00A712C0">
              <w:rPr>
                <w:rFonts w:ascii="宋体" w:hAnsi="宋体"/>
              </w:rPr>
              <w:t>采用适当的照明方式和技术，避免电焊及夜间作业照明对周边环境造成光污染；</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6</w:t>
            </w:r>
            <w:r w:rsidRPr="00A712C0">
              <w:rPr>
                <w:rFonts w:ascii="宋体" w:hAnsi="宋体" w:hint="eastAsia"/>
              </w:rPr>
              <w:t xml:space="preserve"> </w:t>
            </w:r>
            <w:r w:rsidRPr="00A712C0">
              <w:rPr>
                <w:rFonts w:ascii="宋体" w:hAnsi="宋体"/>
              </w:rPr>
              <w:t>合理布置现场大型机械设施，避免对周围区域产生有害干扰；施工现场设置围挡，采取措施保障施工场地周边人群、设施的安全。</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得分项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.1.6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场地环境噪声符合</w:t>
            </w:r>
            <w:r w:rsidRPr="00A712C0">
              <w:rPr>
                <w:rFonts w:ascii="宋体" w:hAnsi="宋体" w:hint="eastAsia"/>
              </w:rPr>
              <w:t>《深圳市环境噪声标准适用区划分》</w:t>
            </w:r>
            <w:r w:rsidRPr="00A712C0">
              <w:rPr>
                <w:rFonts w:ascii="宋体" w:hAnsi="宋体"/>
                <w:bCs/>
              </w:rPr>
              <w:t>的规定。</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.1.7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对建筑室外风环境进行模拟分析，并在模拟分析的基础上采取相应措施改善室外风环境</w:t>
            </w:r>
            <w:r w:rsidRPr="00A712C0">
              <w:rPr>
                <w:rFonts w:ascii="宋体" w:hAnsi="宋体" w:hint="eastAsia"/>
              </w:rPr>
              <w:t>。</w:t>
            </w:r>
            <w:r w:rsidRPr="00A712C0">
              <w:rPr>
                <w:rFonts w:ascii="宋体" w:hAnsi="宋体"/>
              </w:rPr>
              <w:t>建筑物周围人行区域距地面</w:t>
            </w:r>
            <w:smartTag w:uri="urn:schemas-microsoft-com:office:smarttags" w:element="chmetcnv">
              <w:smartTagPr>
                <w:attr w:name="TCSC" w:val="0"/>
                <w:attr w:name="NumberType" w:val="1"/>
                <w:attr w:name="Negative" w:val="False"/>
                <w:attr w:name="HasSpace" w:val="False"/>
                <w:attr w:name="SourceValue" w:val="1.5"/>
                <w:attr w:name="UnitName" w:val="m"/>
              </w:smartTagPr>
              <w:r w:rsidRPr="00A712C0">
                <w:rPr>
                  <w:rFonts w:ascii="宋体" w:hAnsi="宋体"/>
                </w:rPr>
                <w:t>1.5m</w:t>
              </w:r>
            </w:smartTag>
            <w:r w:rsidRPr="00A712C0">
              <w:rPr>
                <w:rFonts w:ascii="宋体" w:hAnsi="宋体"/>
              </w:rPr>
              <w:t>高处的风速放大系数不大于2</w:t>
            </w:r>
            <w:r w:rsidRPr="00A712C0">
              <w:rPr>
                <w:rFonts w:ascii="宋体" w:hAnsi="宋体" w:hint="eastAsia"/>
              </w:rPr>
              <w:t>，</w:t>
            </w:r>
            <w:r w:rsidRPr="00A712C0">
              <w:rPr>
                <w:rFonts w:ascii="宋体" w:hAnsi="宋体"/>
              </w:rPr>
              <w:t>80%人行区域距地面</w:t>
            </w:r>
            <w:smartTag w:uri="urn:schemas-microsoft-com:office:smarttags" w:element="chmetcnv">
              <w:smartTagPr>
                <w:attr w:name="TCSC" w:val="0"/>
                <w:attr w:name="NumberType" w:val="1"/>
                <w:attr w:name="Negative" w:val="False"/>
                <w:attr w:name="HasSpace" w:val="False"/>
                <w:attr w:name="SourceValue" w:val="1.5"/>
                <w:attr w:name="UnitName" w:val="m"/>
              </w:smartTagPr>
              <w:r w:rsidRPr="00A712C0">
                <w:rPr>
                  <w:rFonts w:ascii="宋体" w:hAnsi="宋体"/>
                </w:rPr>
                <w:t>1.5m</w:t>
              </w:r>
            </w:smartTag>
            <w:r w:rsidRPr="00A712C0">
              <w:rPr>
                <w:rFonts w:ascii="宋体" w:hAnsi="宋体"/>
              </w:rPr>
              <w:t>高处的风速放大系数不</w:t>
            </w:r>
            <w:r w:rsidRPr="00A712C0">
              <w:rPr>
                <w:rFonts w:ascii="宋体" w:hAnsi="宋体" w:hint="eastAsia"/>
              </w:rPr>
              <w:t>小</w:t>
            </w:r>
            <w:r w:rsidRPr="00A712C0">
              <w:rPr>
                <w:rFonts w:ascii="宋体" w:hAnsi="宋体"/>
              </w:rPr>
              <w:t>于</w:t>
            </w:r>
            <w:r w:rsidRPr="00A712C0">
              <w:rPr>
                <w:rFonts w:ascii="宋体" w:hAnsi="宋体" w:hint="eastAsia"/>
              </w:rPr>
              <w:t>0.3</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.1.8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合理采用屋顶绿化</w:t>
            </w:r>
            <w:r w:rsidRPr="00A712C0">
              <w:rPr>
                <w:rFonts w:ascii="宋体" w:hAnsi="宋体" w:hint="eastAsia"/>
              </w:rPr>
              <w:t>和</w:t>
            </w:r>
            <w:r w:rsidRPr="00A712C0">
              <w:rPr>
                <w:rFonts w:ascii="宋体" w:hAnsi="宋体"/>
              </w:rPr>
              <w:t>垂直绿化。符合</w:t>
            </w:r>
            <w:r w:rsidRPr="00A712C0">
              <w:rPr>
                <w:rFonts w:ascii="宋体" w:hAnsi="宋体" w:hint="eastAsia"/>
              </w:rPr>
              <w:t>以下</w:t>
            </w:r>
            <w:r w:rsidRPr="00A712C0">
              <w:rPr>
                <w:rFonts w:ascii="宋体" w:hAnsi="宋体"/>
              </w:rPr>
              <w:t>任一项即为满足要求：</w:t>
            </w:r>
          </w:p>
          <w:p w:rsidR="005C0361" w:rsidRPr="00A712C0" w:rsidRDefault="005C0361" w:rsidP="005C0361">
            <w:pPr>
              <w:snapToGrid w:val="0"/>
              <w:spacing w:line="300" w:lineRule="auto"/>
              <w:rPr>
                <w:rFonts w:ascii="宋体" w:hAnsi="宋体"/>
              </w:rPr>
            </w:pPr>
            <w:r w:rsidRPr="00A712C0">
              <w:rPr>
                <w:rFonts w:ascii="宋体" w:hAnsi="宋体" w:hint="eastAsia"/>
              </w:rPr>
              <w:t xml:space="preserve">1 </w:t>
            </w:r>
            <w:r w:rsidRPr="00A712C0">
              <w:rPr>
                <w:rFonts w:ascii="宋体" w:hAnsi="宋体"/>
                <w:bCs/>
              </w:rPr>
              <w:t>屋面绿化面积占屋面可绿化</w:t>
            </w:r>
            <w:r w:rsidRPr="00A712C0">
              <w:rPr>
                <w:rFonts w:ascii="宋体" w:hAnsi="宋体" w:hint="eastAsia"/>
                <w:bCs/>
              </w:rPr>
              <w:t>总</w:t>
            </w:r>
            <w:r w:rsidRPr="00A712C0">
              <w:rPr>
                <w:rFonts w:ascii="宋体" w:hAnsi="宋体"/>
                <w:bCs/>
              </w:rPr>
              <w:t>面积</w:t>
            </w:r>
            <w:r w:rsidRPr="00A712C0">
              <w:rPr>
                <w:rFonts w:ascii="宋体" w:hAnsi="宋体" w:hint="eastAsia"/>
                <w:bCs/>
              </w:rPr>
              <w:t>的</w:t>
            </w:r>
            <w:r w:rsidRPr="00A712C0">
              <w:rPr>
                <w:rFonts w:ascii="宋体" w:hAnsi="宋体"/>
                <w:bCs/>
              </w:rPr>
              <w:t>比例</w:t>
            </w:r>
            <w:r w:rsidRPr="00A712C0">
              <w:rPr>
                <w:rFonts w:ascii="宋体" w:hAnsi="宋体" w:hint="eastAsia"/>
                <w:bCs/>
              </w:rPr>
              <w:t>不小于3</w:t>
            </w:r>
            <w:r w:rsidRPr="00A712C0">
              <w:rPr>
                <w:rFonts w:ascii="宋体" w:hAnsi="宋体"/>
                <w:bCs/>
              </w:rPr>
              <w:t>0%</w:t>
            </w:r>
            <w:r w:rsidRPr="00A712C0">
              <w:rPr>
                <w:rFonts w:ascii="宋体" w:hAnsi="宋体" w:hint="eastAsia"/>
              </w:rPr>
              <w:t>；</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 xml:space="preserve">2 </w:t>
            </w:r>
            <w:r w:rsidRPr="00A712C0">
              <w:rPr>
                <w:rFonts w:ascii="宋体" w:hAnsi="宋体"/>
              </w:rPr>
              <w:t>垂直绿化</w:t>
            </w:r>
            <w:r w:rsidRPr="00A712C0">
              <w:rPr>
                <w:rFonts w:ascii="宋体" w:hAnsi="宋体" w:hint="eastAsia"/>
              </w:rPr>
              <w:t>种植面积不少于2</w:t>
            </w:r>
            <w:r w:rsidRPr="00A712C0">
              <w:rPr>
                <w:rFonts w:ascii="宋体" w:hAnsi="宋体"/>
              </w:rPr>
              <w:t>%</w:t>
            </w:r>
            <w:r w:rsidRPr="00A712C0">
              <w:rPr>
                <w:rFonts w:ascii="宋体" w:hAnsi="宋体" w:hint="eastAsia"/>
              </w:rPr>
              <w:t>的</w:t>
            </w:r>
            <w:r w:rsidRPr="00A712C0">
              <w:rPr>
                <w:rFonts w:ascii="宋体" w:hAnsi="宋体"/>
              </w:rPr>
              <w:t>屋面</w:t>
            </w:r>
            <w:r w:rsidRPr="00A712C0">
              <w:rPr>
                <w:rFonts w:ascii="宋体" w:hAnsi="宋体" w:hint="eastAsia"/>
              </w:rPr>
              <w:t>面积或</w:t>
            </w:r>
            <w:r w:rsidRPr="00A712C0">
              <w:rPr>
                <w:rFonts w:ascii="宋体" w:hAnsi="宋体"/>
              </w:rPr>
              <w:t>垂直绿化</w:t>
            </w:r>
            <w:r w:rsidRPr="00A712C0">
              <w:rPr>
                <w:rFonts w:ascii="宋体" w:hAnsi="宋体" w:hint="eastAsia"/>
              </w:rPr>
              <w:t>种植长度不小于10%的屋面周长</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.1.9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屋面绿化面积占屋面可绿化</w:t>
            </w:r>
            <w:r w:rsidRPr="00A712C0">
              <w:rPr>
                <w:rFonts w:ascii="宋体" w:hAnsi="宋体" w:hint="eastAsia"/>
                <w:bCs/>
              </w:rPr>
              <w:t>总</w:t>
            </w:r>
            <w:r w:rsidRPr="00A712C0">
              <w:rPr>
                <w:rFonts w:ascii="宋体" w:hAnsi="宋体"/>
                <w:bCs/>
              </w:rPr>
              <w:t>面积</w:t>
            </w:r>
            <w:r w:rsidRPr="00A712C0">
              <w:rPr>
                <w:rFonts w:ascii="宋体" w:hAnsi="宋体" w:hint="eastAsia"/>
                <w:bCs/>
              </w:rPr>
              <w:t>的</w:t>
            </w:r>
            <w:r w:rsidRPr="00A712C0">
              <w:rPr>
                <w:rFonts w:ascii="宋体" w:hAnsi="宋体"/>
                <w:bCs/>
              </w:rPr>
              <w:t>比例</w:t>
            </w:r>
            <w:r w:rsidRPr="00A712C0">
              <w:rPr>
                <w:rFonts w:ascii="宋体" w:hAnsi="宋体" w:hint="eastAsia"/>
                <w:bCs/>
              </w:rPr>
              <w:t>不小于5</w:t>
            </w:r>
            <w:r w:rsidRPr="00A712C0">
              <w:rPr>
                <w:rFonts w:ascii="宋体" w:hAnsi="宋体"/>
                <w:bCs/>
              </w:rPr>
              <w:t>0%</w:t>
            </w:r>
            <w:r w:rsidRPr="00A712C0">
              <w:rPr>
                <w:rFonts w:ascii="宋体" w:hAnsi="宋体" w:hint="eastAsia"/>
                <w:bCs/>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.1.10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绿化物种选择适宜深圳气候和土壤条件的乡土植物，且采用包含乔、灌木的复层绿化。</w:t>
            </w:r>
          </w:p>
          <w:p w:rsidR="005C0361" w:rsidRPr="00A712C0" w:rsidRDefault="005C0361" w:rsidP="005C0361">
            <w:pPr>
              <w:snapToGrid w:val="0"/>
              <w:spacing w:line="300" w:lineRule="auto"/>
              <w:rPr>
                <w:rFonts w:ascii="宋体" w:hAnsi="宋体"/>
              </w:rPr>
            </w:pPr>
            <w:r w:rsidRPr="00A712C0">
              <w:rPr>
                <w:rFonts w:ascii="宋体" w:hAnsi="宋体"/>
              </w:rPr>
              <w:t>1 每</w:t>
            </w:r>
            <w:smartTag w:uri="urn:schemas-microsoft-com:office:smarttags" w:element="chmetcnv">
              <w:smartTagPr>
                <w:attr w:name="TCSC" w:val="0"/>
                <w:attr w:name="NumberType" w:val="1"/>
                <w:attr w:name="Negative" w:val="False"/>
                <w:attr w:name="HasSpace" w:val="False"/>
                <w:attr w:name="SourceValue" w:val="100"/>
                <w:attr w:name="UnitName" w:val="mﾲ"/>
              </w:smartTagPr>
              <w:r w:rsidRPr="00A712C0">
                <w:rPr>
                  <w:rFonts w:ascii="宋体" w:hAnsi="宋体"/>
                </w:rPr>
                <w:t>100m²</w:t>
              </w:r>
            </w:smartTag>
            <w:r w:rsidRPr="00A712C0">
              <w:rPr>
                <w:rFonts w:ascii="宋体" w:hAnsi="宋体"/>
              </w:rPr>
              <w:t>绿地上乔木量不少于3株，灌木量不少于10株；</w:t>
            </w:r>
          </w:p>
          <w:p w:rsidR="005C0361" w:rsidRPr="00A712C0" w:rsidRDefault="005C0361" w:rsidP="005C0361">
            <w:pPr>
              <w:snapToGrid w:val="0"/>
              <w:spacing w:line="300" w:lineRule="auto"/>
              <w:rPr>
                <w:rFonts w:ascii="宋体" w:hAnsi="宋体"/>
              </w:rPr>
            </w:pPr>
            <w:r w:rsidRPr="00A712C0">
              <w:rPr>
                <w:rFonts w:ascii="宋体" w:hAnsi="宋体"/>
              </w:rPr>
              <w:t>2 每</w:t>
            </w:r>
            <w:smartTag w:uri="urn:schemas-microsoft-com:office:smarttags" w:element="chmetcnv">
              <w:smartTagPr>
                <w:attr w:name="TCSC" w:val="0"/>
                <w:attr w:name="NumberType" w:val="1"/>
                <w:attr w:name="Negative" w:val="False"/>
                <w:attr w:name="HasSpace" w:val="False"/>
                <w:attr w:name="SourceValue" w:val="100"/>
                <w:attr w:name="UnitName" w:val="mﾲ"/>
              </w:smartTagPr>
              <w:r w:rsidRPr="00A712C0">
                <w:rPr>
                  <w:rFonts w:ascii="宋体" w:hAnsi="宋体"/>
                </w:rPr>
                <w:t>100m²</w:t>
              </w:r>
            </w:smartTag>
            <w:r w:rsidRPr="00A712C0">
              <w:rPr>
                <w:rFonts w:ascii="宋体" w:hAnsi="宋体"/>
              </w:rPr>
              <w:t>硬质铺地上乔木量不少于1株；</w:t>
            </w:r>
          </w:p>
          <w:p w:rsidR="005C0361" w:rsidRPr="00A712C0" w:rsidRDefault="005C0361" w:rsidP="005C0361">
            <w:pPr>
              <w:snapToGrid w:val="0"/>
              <w:spacing w:line="300" w:lineRule="auto"/>
              <w:rPr>
                <w:rFonts w:ascii="宋体" w:hAnsi="宋体"/>
              </w:rPr>
            </w:pPr>
            <w:r w:rsidRPr="00A712C0">
              <w:rPr>
                <w:rFonts w:ascii="宋体" w:hAnsi="宋体"/>
              </w:rPr>
              <w:t>3 场地内70%树种和植物数量的产地距场地的运输距离在</w:t>
            </w:r>
            <w:smartTag w:uri="urn:schemas-microsoft-com:office:smarttags" w:element="chmetcnv">
              <w:smartTagPr>
                <w:attr w:name="TCSC" w:val="0"/>
                <w:attr w:name="NumberType" w:val="1"/>
                <w:attr w:name="Negative" w:val="False"/>
                <w:attr w:name="HasSpace" w:val="False"/>
                <w:attr w:name="SourceValue" w:val="500"/>
                <w:attr w:name="UnitName" w:val="km"/>
              </w:smartTagPr>
              <w:smartTag w:uri="urn:schemas-microsoft-com:office:smarttags" w:element="chmetcnv">
                <w:smartTagPr>
                  <w:attr w:name="TCSC" w:val="0"/>
                  <w:attr w:name="NumberType" w:val="1"/>
                  <w:attr w:name="Negative" w:val="False"/>
                  <w:attr w:name="HasSpace" w:val="False"/>
                  <w:attr w:name="SourceValue" w:val="500"/>
                  <w:attr w:name="UnitName" w:val="km"/>
                </w:smartTagPr>
                <w:r w:rsidRPr="00A712C0">
                  <w:rPr>
                    <w:rFonts w:ascii="宋体" w:hAnsi="宋体"/>
                  </w:rPr>
                  <w:t>500km</w:t>
                </w:r>
              </w:smartTag>
              <w:r w:rsidRPr="00A712C0">
                <w:rPr>
                  <w:rFonts w:ascii="宋体" w:hAnsi="宋体" w:hint="eastAsia"/>
                </w:rPr>
                <w:t>以</w:t>
              </w:r>
            </w:smartTag>
            <w:r w:rsidRPr="00A712C0">
              <w:rPr>
                <w:rFonts w:ascii="宋体" w:hAnsi="宋体"/>
              </w:rPr>
              <w:t>内，保留利用场地内胸径大于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A712C0">
                <w:rPr>
                  <w:rFonts w:ascii="宋体" w:hAnsi="宋体"/>
                </w:rPr>
                <w:t>100mm</w:t>
              </w:r>
            </w:smartTag>
            <w:r w:rsidRPr="00A712C0">
              <w:rPr>
                <w:rFonts w:ascii="宋体" w:hAnsi="宋体"/>
              </w:rPr>
              <w:t>的成年树木；</w:t>
            </w:r>
          </w:p>
          <w:p w:rsidR="005C0361" w:rsidRPr="00A712C0" w:rsidRDefault="005C0361" w:rsidP="005C0361">
            <w:pPr>
              <w:snapToGrid w:val="0"/>
              <w:spacing w:line="300" w:lineRule="auto"/>
              <w:rPr>
                <w:rFonts w:ascii="宋体" w:hAnsi="宋体"/>
              </w:rPr>
            </w:pPr>
            <w:r w:rsidRPr="00A712C0">
              <w:rPr>
                <w:rFonts w:ascii="宋体" w:hAnsi="宋体"/>
              </w:rPr>
              <w:t>4</w:t>
            </w:r>
            <w:r w:rsidRPr="00A712C0">
              <w:rPr>
                <w:rFonts w:ascii="宋体" w:hAnsi="宋体" w:hint="eastAsia"/>
              </w:rPr>
              <w:t xml:space="preserve"> </w:t>
            </w:r>
            <w:r w:rsidRPr="00A712C0">
              <w:rPr>
                <w:rFonts w:ascii="宋体" w:hAnsi="宋体"/>
              </w:rPr>
              <w:t>按道路长度</w:t>
            </w:r>
            <w:r w:rsidRPr="00A712C0">
              <w:rPr>
                <w:rFonts w:ascii="宋体" w:hAnsi="宋体" w:hint="eastAsia"/>
              </w:rPr>
              <w:t>计</w:t>
            </w:r>
            <w:r w:rsidRPr="00A712C0">
              <w:rPr>
                <w:rFonts w:ascii="宋体" w:hAnsi="宋体"/>
              </w:rPr>
              <w:t>道路</w:t>
            </w:r>
            <w:r w:rsidRPr="00A712C0">
              <w:rPr>
                <w:rFonts w:ascii="宋体" w:hAnsi="宋体" w:hint="eastAsia"/>
              </w:rPr>
              <w:t>遮荫率不低于80％</w:t>
            </w:r>
            <w:r w:rsidRPr="00A712C0">
              <w:rPr>
                <w:rFonts w:ascii="宋体" w:hAnsi="宋体"/>
              </w:rPr>
              <w:t>；</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5 选用木本植物种类满足：场地面积≤</w:t>
            </w:r>
            <w:smartTag w:uri="urn:schemas-microsoft-com:office:smarttags" w:element="chmetcnv">
              <w:smartTagPr>
                <w:attr w:name="TCSC" w:val="1"/>
                <w:attr w:name="NumberType" w:val="1"/>
                <w:attr w:name="Negative" w:val="False"/>
                <w:attr w:name="HasSpace" w:val="False"/>
                <w:attr w:name="SourceValue" w:val="50000"/>
                <w:attr w:name="UnitName" w:val="mﾲ"/>
              </w:smartTagPr>
              <w:r w:rsidRPr="00A712C0">
                <w:rPr>
                  <w:rFonts w:ascii="宋体" w:hAnsi="宋体"/>
                </w:rPr>
                <w:t>5万m²</w:t>
              </w:r>
            </w:smartTag>
            <w:r w:rsidRPr="00A712C0">
              <w:rPr>
                <w:rFonts w:ascii="宋体" w:hAnsi="宋体"/>
              </w:rPr>
              <w:t>时不少于45种；场地面积5~10万m²时不少于55种；场地面积≥10万m²时不少于60种。</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.1.11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bCs/>
              </w:rPr>
              <w:t>场地交通组织</w:t>
            </w:r>
            <w:r w:rsidRPr="00A712C0">
              <w:rPr>
                <w:rFonts w:ascii="宋体" w:hAnsi="宋体" w:hint="eastAsia"/>
                <w:bCs/>
              </w:rPr>
              <w:t>及停车设计满足以下要求</w:t>
            </w:r>
            <w:r w:rsidRPr="00A712C0">
              <w:rPr>
                <w:rFonts w:ascii="宋体" w:hAnsi="宋体" w:hint="eastAsia"/>
              </w:rPr>
              <w:t>：</w:t>
            </w:r>
          </w:p>
          <w:p w:rsidR="005C0361" w:rsidRPr="00A712C0" w:rsidRDefault="005C0361" w:rsidP="005C0361">
            <w:pPr>
              <w:snapToGrid w:val="0"/>
              <w:spacing w:line="300" w:lineRule="auto"/>
              <w:rPr>
                <w:rFonts w:ascii="宋体" w:hAnsi="宋体"/>
                <w:b/>
              </w:rPr>
            </w:pPr>
            <w:r w:rsidRPr="00A712C0">
              <w:rPr>
                <w:rFonts w:ascii="宋体" w:hAnsi="宋体"/>
              </w:rPr>
              <w:t>1</w:t>
            </w:r>
            <w:r w:rsidRPr="00A712C0">
              <w:rPr>
                <w:rFonts w:ascii="宋体" w:hAnsi="宋体" w:hint="eastAsia"/>
              </w:rPr>
              <w:t xml:space="preserve"> </w:t>
            </w:r>
            <w:r w:rsidRPr="00A712C0">
              <w:rPr>
                <w:rFonts w:ascii="宋体" w:hAnsi="宋体"/>
              </w:rPr>
              <w:t>主要</w:t>
            </w:r>
            <w:r w:rsidRPr="00A712C0">
              <w:rPr>
                <w:rFonts w:ascii="宋体" w:hAnsi="宋体"/>
                <w:bCs/>
              </w:rPr>
              <w:t>出入口到达公共交通站点的步行距离不超过</w:t>
            </w:r>
            <w:smartTag w:uri="urn:schemas-microsoft-com:office:smarttags" w:element="chmetcnv">
              <w:smartTagPr>
                <w:attr w:name="TCSC" w:val="0"/>
                <w:attr w:name="NumberType" w:val="1"/>
                <w:attr w:name="Negative" w:val="False"/>
                <w:attr w:name="HasSpace" w:val="False"/>
                <w:attr w:name="SourceValue" w:val="500"/>
                <w:attr w:name="UnitName" w:val="m"/>
              </w:smartTagPr>
              <w:r w:rsidRPr="00A712C0">
                <w:rPr>
                  <w:rFonts w:ascii="宋体" w:hAnsi="宋体"/>
                  <w:bCs/>
                </w:rPr>
                <w:t>500m</w:t>
              </w:r>
            </w:smartTag>
            <w:r w:rsidRPr="00A712C0">
              <w:rPr>
                <w:rFonts w:ascii="宋体" w:hAnsi="宋体"/>
                <w:bCs/>
              </w:rPr>
              <w:t>，且有2条</w:t>
            </w:r>
            <w:r w:rsidRPr="00A712C0">
              <w:rPr>
                <w:rFonts w:ascii="宋体" w:hAnsi="宋体" w:hint="eastAsia"/>
                <w:bCs/>
              </w:rPr>
              <w:t>及</w:t>
            </w:r>
            <w:r w:rsidRPr="00A712C0">
              <w:rPr>
                <w:rFonts w:ascii="宋体" w:hAnsi="宋体"/>
                <w:bCs/>
              </w:rPr>
              <w:t>以上公交路线，或距</w:t>
            </w:r>
            <w:r w:rsidRPr="00A712C0">
              <w:rPr>
                <w:rFonts w:ascii="宋体" w:hAnsi="宋体" w:hint="eastAsia"/>
                <w:bCs/>
              </w:rPr>
              <w:t>场地出入口</w:t>
            </w:r>
            <w:smartTag w:uri="urn:schemas-microsoft-com:office:smarttags" w:element="chmetcnv">
              <w:smartTagPr>
                <w:attr w:name="TCSC" w:val="0"/>
                <w:attr w:name="NumberType" w:val="1"/>
                <w:attr w:name="Negative" w:val="False"/>
                <w:attr w:name="HasSpace" w:val="False"/>
                <w:attr w:name="SourceValue" w:val="800"/>
                <w:attr w:name="UnitName" w:val="m"/>
              </w:smartTagPr>
              <w:r w:rsidRPr="00A712C0">
                <w:rPr>
                  <w:rFonts w:ascii="宋体" w:hAnsi="宋体"/>
                  <w:bCs/>
                </w:rPr>
                <w:t>800m</w:t>
              </w:r>
            </w:smartTag>
            <w:r w:rsidRPr="00A712C0">
              <w:rPr>
                <w:rFonts w:ascii="宋体" w:hAnsi="宋体"/>
                <w:bCs/>
              </w:rPr>
              <w:t>内有地铁站；</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机动车停车泊位配置符合《深圳市城市规划标准与准则》</w:t>
            </w:r>
            <w:r w:rsidRPr="00A712C0">
              <w:rPr>
                <w:rFonts w:ascii="宋体" w:hAnsi="宋体" w:hint="eastAsia"/>
              </w:rPr>
              <w:t>的</w:t>
            </w:r>
            <w:r w:rsidRPr="00A712C0">
              <w:rPr>
                <w:rFonts w:ascii="宋体" w:hAnsi="宋体"/>
              </w:rPr>
              <w:t>相关规定，无遮荫地面停车比例不超过30%；</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3</w:t>
            </w:r>
            <w:r w:rsidRPr="00A712C0">
              <w:rPr>
                <w:rFonts w:ascii="宋体" w:hAnsi="宋体" w:hint="eastAsia"/>
              </w:rPr>
              <w:t xml:space="preserve"> 场地内配套有相应的自行车停车场（库）</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.1.12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场地内设置可遮荫避雨的步行连廊，其总长度不少于人行道总长度的2</w:t>
            </w:r>
            <w:r w:rsidRPr="00A712C0">
              <w:rPr>
                <w:rFonts w:ascii="宋体" w:hAnsi="宋体"/>
              </w:rPr>
              <w:t>0</w:t>
            </w:r>
            <w:r w:rsidRPr="00A712C0">
              <w:rPr>
                <w:rFonts w:ascii="宋体" w:hAnsi="宋体" w:hint="eastAsia"/>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.1.13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室外透水地面面积比不小于40%。</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6.1.14</w:t>
            </w:r>
          </w:p>
        </w:tc>
        <w:tc>
          <w:tcPr>
            <w:tcW w:w="4674" w:type="dxa"/>
            <w:gridSpan w:val="5"/>
            <w:vAlign w:val="center"/>
          </w:tcPr>
          <w:p w:rsidR="005C0361" w:rsidRPr="00A712C0" w:rsidRDefault="005C0361" w:rsidP="005C0361">
            <w:pPr>
              <w:autoSpaceDE w:val="0"/>
              <w:autoSpaceDN w:val="0"/>
              <w:adjustRightInd w:val="0"/>
              <w:snapToGrid w:val="0"/>
              <w:spacing w:line="300" w:lineRule="auto"/>
              <w:rPr>
                <w:rFonts w:ascii="宋体" w:hAnsi="宋体"/>
                <w:b/>
              </w:rPr>
            </w:pPr>
            <w:r w:rsidRPr="00A712C0">
              <w:rPr>
                <w:rFonts w:ascii="宋体" w:hAnsi="宋体" w:hint="eastAsia"/>
              </w:rPr>
              <w:t>场地下垫面遮荫与浅色饰面。</w:t>
            </w:r>
          </w:p>
          <w:p w:rsidR="005C0361" w:rsidRPr="00A712C0" w:rsidRDefault="005C0361" w:rsidP="005C0361">
            <w:pPr>
              <w:autoSpaceDE w:val="0"/>
              <w:autoSpaceDN w:val="0"/>
              <w:adjustRightInd w:val="0"/>
              <w:snapToGrid w:val="0"/>
              <w:spacing w:line="300" w:lineRule="auto"/>
              <w:rPr>
                <w:rFonts w:ascii="宋体" w:hAnsi="宋体"/>
              </w:rPr>
            </w:pPr>
            <w:r w:rsidRPr="00A712C0">
              <w:rPr>
                <w:rFonts w:ascii="宋体" w:hAnsi="宋体" w:hint="eastAsia"/>
              </w:rPr>
              <w:t>1 场地中不少于</w:t>
            </w:r>
            <w:r w:rsidRPr="00A712C0">
              <w:rPr>
                <w:rFonts w:ascii="宋体" w:hAnsi="宋体"/>
              </w:rPr>
              <w:t>50%的硬质地面</w:t>
            </w:r>
            <w:r w:rsidRPr="00A712C0">
              <w:rPr>
                <w:rFonts w:ascii="宋体" w:hAnsi="宋体" w:hint="eastAsia"/>
              </w:rPr>
              <w:t>有遮荫或铺设</w:t>
            </w:r>
            <w:r w:rsidRPr="00A712C0">
              <w:rPr>
                <w:rFonts w:ascii="宋体" w:hAnsi="宋体"/>
              </w:rPr>
              <w:t>太阳辐射吸收率</w:t>
            </w:r>
            <w:r w:rsidRPr="00A712C0">
              <w:rPr>
                <w:rFonts w:ascii="宋体" w:hAnsi="宋体" w:hint="eastAsia"/>
              </w:rPr>
              <w:t>为0.3～</w:t>
            </w:r>
            <w:r w:rsidRPr="00A712C0">
              <w:rPr>
                <w:rFonts w:ascii="宋体" w:hAnsi="宋体"/>
              </w:rPr>
              <w:t>0.7</w:t>
            </w:r>
            <w:r w:rsidRPr="00A712C0">
              <w:rPr>
                <w:rFonts w:ascii="宋体" w:hAnsi="宋体" w:hint="eastAsia"/>
              </w:rPr>
              <w:t>的浅色材料</w:t>
            </w:r>
            <w:r w:rsidRPr="00A712C0">
              <w:rPr>
                <w:rFonts w:ascii="宋体" w:hAnsi="宋体"/>
              </w:rPr>
              <w:t>；</w:t>
            </w:r>
          </w:p>
          <w:p w:rsidR="005C0361" w:rsidRPr="00A712C0" w:rsidRDefault="005C0361" w:rsidP="005C0361">
            <w:pPr>
              <w:autoSpaceDE w:val="0"/>
              <w:autoSpaceDN w:val="0"/>
              <w:adjustRightInd w:val="0"/>
              <w:snapToGrid w:val="0"/>
              <w:spacing w:line="300" w:lineRule="auto"/>
              <w:rPr>
                <w:rFonts w:ascii="宋体" w:hAnsi="宋体"/>
              </w:rPr>
            </w:pPr>
            <w:r w:rsidRPr="00A712C0">
              <w:rPr>
                <w:rFonts w:ascii="宋体" w:hAnsi="宋体" w:hint="eastAsia"/>
              </w:rPr>
              <w:t>2 不少于</w:t>
            </w:r>
            <w:r w:rsidRPr="00A712C0">
              <w:rPr>
                <w:rFonts w:ascii="宋体" w:hAnsi="宋体"/>
              </w:rPr>
              <w:t>75%</w:t>
            </w:r>
            <w:r w:rsidRPr="00A712C0">
              <w:rPr>
                <w:rFonts w:ascii="宋体" w:hAnsi="宋体" w:hint="eastAsia"/>
              </w:rPr>
              <w:t>的非绿化</w:t>
            </w:r>
            <w:r w:rsidRPr="00A712C0">
              <w:rPr>
                <w:rFonts w:ascii="宋体" w:hAnsi="宋体"/>
              </w:rPr>
              <w:t>屋面</w:t>
            </w:r>
            <w:r w:rsidRPr="00A712C0">
              <w:rPr>
                <w:rFonts w:ascii="宋体" w:hAnsi="宋体" w:hint="eastAsia"/>
              </w:rPr>
              <w:t>为</w:t>
            </w:r>
            <w:r w:rsidRPr="00A712C0">
              <w:rPr>
                <w:rFonts w:ascii="宋体" w:hAnsi="宋体"/>
              </w:rPr>
              <w:t>浅色饰面</w:t>
            </w:r>
            <w:r w:rsidRPr="00A712C0">
              <w:rPr>
                <w:rFonts w:ascii="宋体" w:hAnsi="宋体" w:hint="eastAsia"/>
              </w:rPr>
              <w:t>，坡屋顶</w:t>
            </w:r>
            <w:r w:rsidRPr="00A712C0">
              <w:rPr>
                <w:rFonts w:ascii="宋体" w:hAnsi="宋体"/>
              </w:rPr>
              <w:t>太阳辐射吸收率小于0.</w:t>
            </w:r>
            <w:r w:rsidRPr="00A712C0">
              <w:rPr>
                <w:rFonts w:ascii="宋体" w:hAnsi="宋体" w:hint="eastAsia"/>
              </w:rPr>
              <w:t>7，平屋顶太阳</w:t>
            </w:r>
            <w:r w:rsidRPr="00A712C0">
              <w:rPr>
                <w:rFonts w:ascii="宋体" w:hAnsi="宋体"/>
              </w:rPr>
              <w:t>辐射吸收率小于0.</w:t>
            </w:r>
            <w:r w:rsidRPr="00A712C0">
              <w:rPr>
                <w:rFonts w:ascii="宋体" w:hAnsi="宋体" w:hint="eastAsia"/>
              </w:rPr>
              <w:t>5</w:t>
            </w:r>
            <w:r w:rsidRPr="00A712C0">
              <w:rPr>
                <w:rFonts w:ascii="宋体" w:hAnsi="宋体"/>
              </w:rPr>
              <w:t>；</w:t>
            </w:r>
          </w:p>
          <w:p w:rsidR="005C0361" w:rsidRPr="00A712C0" w:rsidRDefault="005C0361" w:rsidP="005C0361">
            <w:pPr>
              <w:widowControl/>
              <w:snapToGrid w:val="0"/>
              <w:spacing w:line="300" w:lineRule="auto"/>
              <w:jc w:val="left"/>
              <w:rPr>
                <w:rFonts w:ascii="宋体" w:hAnsi="宋体"/>
              </w:rPr>
            </w:pPr>
            <w:r w:rsidRPr="00A712C0">
              <w:rPr>
                <w:rFonts w:ascii="宋体" w:hAnsi="宋体" w:hint="eastAsia"/>
              </w:rPr>
              <w:t xml:space="preserve">3 </w:t>
            </w:r>
            <w:r w:rsidRPr="00A712C0">
              <w:rPr>
                <w:rFonts w:ascii="宋体" w:hAnsi="宋体"/>
              </w:rPr>
              <w:t>建筑外墙浅色饰面，墙面太阳辐射吸收率小于0.</w:t>
            </w:r>
            <w:r w:rsidRPr="00A712C0">
              <w:rPr>
                <w:rFonts w:ascii="宋体" w:hAnsi="宋体" w:hint="eastAsia"/>
              </w:rPr>
              <w:t>6</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6.1.15</w:t>
            </w:r>
          </w:p>
        </w:tc>
        <w:tc>
          <w:tcPr>
            <w:tcW w:w="4674" w:type="dxa"/>
            <w:gridSpan w:val="5"/>
            <w:vAlign w:val="center"/>
          </w:tcPr>
          <w:p w:rsidR="005C0361" w:rsidRPr="00A712C0" w:rsidRDefault="005C0361" w:rsidP="005C0361">
            <w:pPr>
              <w:autoSpaceDE w:val="0"/>
              <w:autoSpaceDN w:val="0"/>
              <w:adjustRightInd w:val="0"/>
              <w:snapToGrid w:val="0"/>
              <w:spacing w:line="300" w:lineRule="auto"/>
              <w:rPr>
                <w:rFonts w:ascii="宋体" w:hAnsi="宋体"/>
              </w:rPr>
            </w:pPr>
            <w:r w:rsidRPr="00A712C0">
              <w:rPr>
                <w:rFonts w:ascii="宋体" w:hAnsi="宋体"/>
              </w:rPr>
              <w:t>合理开发利用地下空间。地下空间建筑面积与建筑占地面积之比不小于15%。</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6.1.16</w:t>
            </w:r>
          </w:p>
        </w:tc>
        <w:tc>
          <w:tcPr>
            <w:tcW w:w="4674" w:type="dxa"/>
            <w:gridSpan w:val="5"/>
            <w:vAlign w:val="center"/>
          </w:tcPr>
          <w:p w:rsidR="005C0361" w:rsidRPr="00A712C0" w:rsidRDefault="005C0361" w:rsidP="005C0361">
            <w:pPr>
              <w:autoSpaceDE w:val="0"/>
              <w:autoSpaceDN w:val="0"/>
              <w:adjustRightInd w:val="0"/>
              <w:snapToGrid w:val="0"/>
              <w:spacing w:line="300" w:lineRule="auto"/>
              <w:rPr>
                <w:rFonts w:ascii="宋体" w:hAnsi="宋体"/>
              </w:rPr>
            </w:pPr>
            <w:r w:rsidRPr="00A712C0">
              <w:rPr>
                <w:rFonts w:ascii="宋体" w:hAnsi="宋体"/>
              </w:rPr>
              <w:t>充分利用尚可使用的旧建筑，并纳入规划项目。</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6.1.17</w:t>
            </w:r>
          </w:p>
        </w:tc>
        <w:tc>
          <w:tcPr>
            <w:tcW w:w="4674" w:type="dxa"/>
            <w:gridSpan w:val="5"/>
            <w:vAlign w:val="center"/>
          </w:tcPr>
          <w:p w:rsidR="005C0361" w:rsidRPr="00A712C0" w:rsidRDefault="005C0361" w:rsidP="005C0361">
            <w:pPr>
              <w:autoSpaceDE w:val="0"/>
              <w:autoSpaceDN w:val="0"/>
              <w:adjustRightInd w:val="0"/>
              <w:snapToGrid w:val="0"/>
              <w:spacing w:line="300" w:lineRule="auto"/>
              <w:rPr>
                <w:rFonts w:ascii="宋体" w:hAnsi="宋体"/>
              </w:rPr>
            </w:pPr>
            <w:r w:rsidRPr="00A712C0">
              <w:rPr>
                <w:rFonts w:ascii="宋体" w:hAnsi="宋体"/>
              </w:rPr>
              <w:t>合理选用废弃场地进行建设。对已被污染的废弃地，进行处理并达到有关标准。</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6.1.18</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在</w:t>
            </w:r>
            <w:r w:rsidRPr="00A712C0">
              <w:rPr>
                <w:rFonts w:ascii="宋体" w:hAnsi="宋体" w:hint="eastAsia"/>
              </w:rPr>
              <w:t>场地</w:t>
            </w:r>
            <w:r w:rsidRPr="00A712C0">
              <w:rPr>
                <w:rFonts w:ascii="宋体" w:hAnsi="宋体"/>
              </w:rPr>
              <w:t>内开辟城市公共通道、城市公共开放空间或建筑楼层架空作</w:t>
            </w:r>
            <w:r w:rsidRPr="00A712C0">
              <w:rPr>
                <w:rFonts w:ascii="宋体" w:hAnsi="宋体" w:hint="eastAsia"/>
              </w:rPr>
              <w:t>为</w:t>
            </w:r>
            <w:r w:rsidRPr="00A712C0">
              <w:rPr>
                <w:rFonts w:ascii="宋体" w:hAnsi="宋体"/>
              </w:rPr>
              <w:t>绿化休闲等功能。</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节能与能源利用</w:t>
            </w: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控制项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围护结构热工性能指标符合《深圳市公共建筑节能设计标准实施细则》SZJG 29的规定。</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.2.2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空调系统冷热源机组能效比</w:t>
            </w:r>
            <w:r w:rsidRPr="00A712C0">
              <w:rPr>
                <w:rFonts w:ascii="宋体" w:hAnsi="宋体" w:hint="eastAsia"/>
              </w:rPr>
              <w:t>和</w:t>
            </w:r>
            <w:r w:rsidRPr="00A712C0">
              <w:rPr>
                <w:rFonts w:ascii="宋体" w:hAnsi="宋体"/>
              </w:rPr>
              <w:t>锅炉热效率符合《深圳市公共建筑节能设计标准实施细则》SZJG 29</w:t>
            </w:r>
            <w:r w:rsidRPr="00A712C0">
              <w:rPr>
                <w:rFonts w:ascii="宋体" w:hAnsi="宋体" w:hint="eastAsia"/>
              </w:rPr>
              <w:t>的</w:t>
            </w:r>
            <w:r w:rsidRPr="00A712C0">
              <w:rPr>
                <w:rFonts w:ascii="宋体" w:hAnsi="宋体"/>
              </w:rPr>
              <w:t>规定。</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.2.3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不采用电热锅炉、电热水器作为空气调节系统的热源。严格限制</w:t>
            </w:r>
            <w:r w:rsidRPr="00A712C0">
              <w:rPr>
                <w:rFonts w:ascii="宋体" w:hAnsi="宋体" w:hint="eastAsia"/>
              </w:rPr>
              <w:t>“</w:t>
            </w:r>
            <w:r w:rsidRPr="00A712C0">
              <w:rPr>
                <w:rFonts w:ascii="宋体" w:hAnsi="宋体"/>
              </w:rPr>
              <w:t>高质低用</w:t>
            </w:r>
            <w:r w:rsidRPr="00A712C0">
              <w:rPr>
                <w:rFonts w:ascii="宋体" w:hAnsi="宋体" w:hint="eastAsia"/>
              </w:rPr>
              <w:t>”</w:t>
            </w:r>
            <w:r w:rsidRPr="00A712C0">
              <w:rPr>
                <w:rFonts w:ascii="宋体" w:hAnsi="宋体"/>
              </w:rPr>
              <w:t>的能源转换利用方式，高品位的电能不可直接转换</w:t>
            </w:r>
            <w:r w:rsidRPr="00A712C0">
              <w:rPr>
                <w:rFonts w:ascii="宋体" w:hAnsi="宋体" w:hint="eastAsia"/>
              </w:rPr>
              <w:t>为</w:t>
            </w:r>
            <w:r w:rsidRPr="00A712C0">
              <w:rPr>
                <w:rFonts w:ascii="宋体" w:hAnsi="宋体"/>
              </w:rPr>
              <w:t>低品位的热能</w:t>
            </w:r>
            <w:r w:rsidRPr="00A712C0">
              <w:rPr>
                <w:rFonts w:ascii="宋体" w:hAnsi="宋体" w:hint="eastAsia"/>
              </w:rPr>
              <w:t>作为</w:t>
            </w:r>
            <w:r w:rsidRPr="00A712C0">
              <w:rPr>
                <w:rFonts w:ascii="宋体" w:hAnsi="宋体"/>
              </w:rPr>
              <w:t>空调</w:t>
            </w:r>
            <w:r w:rsidRPr="00A712C0">
              <w:rPr>
                <w:rFonts w:ascii="宋体" w:hAnsi="宋体" w:hint="eastAsia"/>
              </w:rPr>
              <w:t>系统的热源</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.2.4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各房间或场所的照明功率密度值不高于国家标准《建筑照明设计标准》GB 50034规定的现行值。</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.2.5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新建的公共建筑，冷热源、输配系统和照明</w:t>
            </w:r>
            <w:r w:rsidRPr="00A712C0">
              <w:rPr>
                <w:rFonts w:ascii="宋体" w:hAnsi="宋体" w:hint="eastAsia"/>
              </w:rPr>
              <w:t>系统</w:t>
            </w:r>
            <w:r w:rsidRPr="00A712C0">
              <w:rPr>
                <w:rFonts w:ascii="宋体" w:hAnsi="宋体"/>
              </w:rPr>
              <w:t>等各部分能耗进行独立分项计量。</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新建公共建筑安装分项计量装置</w:t>
            </w:r>
            <w:r w:rsidRPr="00A712C0">
              <w:rPr>
                <w:rFonts w:ascii="宋体" w:hAnsi="宋体" w:hint="eastAsia"/>
              </w:rPr>
              <w:t>，与城市</w:t>
            </w:r>
            <w:r w:rsidRPr="00A712C0">
              <w:rPr>
                <w:rFonts w:ascii="宋体" w:hAnsi="宋体"/>
              </w:rPr>
              <w:t>能耗统计数据中心联网；</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w:t>
            </w:r>
            <w:r w:rsidRPr="00A712C0">
              <w:rPr>
                <w:rFonts w:ascii="宋体" w:hAnsi="宋体"/>
              </w:rPr>
              <w:t>对建筑内各</w:t>
            </w:r>
            <w:r w:rsidRPr="00A712C0">
              <w:rPr>
                <w:rFonts w:ascii="宋体" w:hAnsi="宋体" w:hint="eastAsia"/>
              </w:rPr>
              <w:t>主要</w:t>
            </w:r>
            <w:r w:rsidRPr="00A712C0">
              <w:rPr>
                <w:rFonts w:ascii="宋体" w:hAnsi="宋体"/>
              </w:rPr>
              <w:t>耗能环节如冷热源、输配系统、照明、办公设备和热水能耗等</w:t>
            </w:r>
            <w:r w:rsidRPr="00A712C0">
              <w:rPr>
                <w:rFonts w:ascii="宋体" w:hAnsi="宋体" w:hint="eastAsia"/>
              </w:rPr>
              <w:t>进行</w:t>
            </w:r>
            <w:r w:rsidRPr="00A712C0">
              <w:rPr>
                <w:rFonts w:ascii="宋体" w:hAnsi="宋体"/>
              </w:rPr>
              <w:t>独立分项计量，物业定期记录。</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得分项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.2.6  </w:t>
            </w:r>
          </w:p>
        </w:tc>
        <w:tc>
          <w:tcPr>
            <w:tcW w:w="4674" w:type="dxa"/>
            <w:gridSpan w:val="5"/>
            <w:vAlign w:val="center"/>
          </w:tcPr>
          <w:p w:rsidR="005C0361" w:rsidRPr="00A712C0" w:rsidRDefault="005C0361" w:rsidP="005C0361">
            <w:pPr>
              <w:snapToGrid w:val="0"/>
              <w:spacing w:line="300" w:lineRule="auto"/>
              <w:rPr>
                <w:rFonts w:ascii="宋体" w:hAnsi="宋体"/>
                <w:bCs/>
                <w:iCs/>
              </w:rPr>
            </w:pPr>
            <w:r w:rsidRPr="00A712C0">
              <w:rPr>
                <w:rFonts w:ascii="宋体" w:hAnsi="宋体" w:hint="eastAsia"/>
                <w:bCs/>
              </w:rPr>
              <w:t>合理设计</w:t>
            </w:r>
            <w:r w:rsidRPr="00A712C0">
              <w:rPr>
                <w:rFonts w:ascii="宋体" w:hAnsi="宋体"/>
                <w:bCs/>
              </w:rPr>
              <w:t>建筑</w:t>
            </w:r>
            <w:r w:rsidRPr="00A712C0">
              <w:rPr>
                <w:rFonts w:ascii="宋体" w:hAnsi="宋体" w:hint="eastAsia"/>
                <w:bCs/>
              </w:rPr>
              <w:t>朝向与开窗面积</w:t>
            </w:r>
            <w:r w:rsidRPr="00A712C0">
              <w:rPr>
                <w:rFonts w:ascii="宋体" w:hAnsi="宋体"/>
                <w:bCs/>
              </w:rPr>
              <w:t>。</w:t>
            </w:r>
            <w:r w:rsidRPr="00A712C0">
              <w:rPr>
                <w:rFonts w:ascii="宋体" w:hAnsi="宋体"/>
                <w:bCs/>
                <w:iCs/>
              </w:rPr>
              <w:t>符合以下任两项即为满足要求：</w:t>
            </w:r>
            <w:r w:rsidRPr="00A712C0" w:rsidDel="00370FB1">
              <w:rPr>
                <w:rFonts w:ascii="宋体" w:hAnsi="宋体" w:hint="eastAsia"/>
              </w:rPr>
              <w:t xml:space="preserve"> </w:t>
            </w:r>
          </w:p>
          <w:p w:rsidR="005C0361" w:rsidRPr="00A712C0" w:rsidRDefault="005C0361" w:rsidP="005C0361">
            <w:pPr>
              <w:snapToGrid w:val="0"/>
              <w:spacing w:line="300" w:lineRule="auto"/>
              <w:rPr>
                <w:rFonts w:ascii="宋体" w:hAnsi="宋体"/>
                <w:bCs/>
                <w:iCs/>
              </w:rPr>
            </w:pPr>
            <w:r w:rsidRPr="00A712C0">
              <w:rPr>
                <w:rFonts w:ascii="宋体" w:hAnsi="宋体"/>
                <w:bCs/>
                <w:iCs/>
              </w:rPr>
              <w:t>1</w:t>
            </w:r>
            <w:r w:rsidRPr="00A712C0">
              <w:rPr>
                <w:rFonts w:ascii="宋体" w:hAnsi="宋体" w:hint="eastAsia"/>
                <w:bCs/>
                <w:iCs/>
              </w:rPr>
              <w:t xml:space="preserve"> </w:t>
            </w:r>
            <w:r w:rsidRPr="00A712C0">
              <w:rPr>
                <w:rFonts w:ascii="宋体" w:hAnsi="宋体" w:hint="eastAsia"/>
                <w:bCs/>
              </w:rPr>
              <w:t>建筑的主朝向为正南北朝向或在正南北朝向正负</w:t>
            </w:r>
            <w:r w:rsidRPr="00A712C0">
              <w:rPr>
                <w:rFonts w:ascii="宋体" w:hAnsi="宋体"/>
                <w:bCs/>
                <w:iCs/>
              </w:rPr>
              <w:t>15</w:t>
            </w:r>
            <w:r w:rsidRPr="00A712C0">
              <w:rPr>
                <w:rFonts w:ascii="宋体" w:hAnsi="宋体" w:hint="eastAsia"/>
                <w:bCs/>
                <w:iCs/>
              </w:rPr>
              <w:t>°以内</w:t>
            </w:r>
            <w:r w:rsidRPr="00A712C0">
              <w:rPr>
                <w:rFonts w:ascii="宋体" w:hAnsi="宋体" w:hint="eastAsia"/>
                <w:bCs/>
              </w:rPr>
              <w:t>，主要功能房间避开夏季最大日射朝向；</w:t>
            </w:r>
          </w:p>
          <w:p w:rsidR="005C0361" w:rsidRPr="00A712C0" w:rsidRDefault="005C0361" w:rsidP="005C0361">
            <w:pPr>
              <w:snapToGrid w:val="0"/>
              <w:spacing w:line="300" w:lineRule="auto"/>
              <w:rPr>
                <w:rFonts w:ascii="宋体" w:hAnsi="宋体"/>
                <w:bCs/>
                <w:iCs/>
              </w:rPr>
            </w:pPr>
            <w:r w:rsidRPr="00A712C0">
              <w:rPr>
                <w:rFonts w:ascii="宋体" w:hAnsi="宋体" w:hint="eastAsia"/>
                <w:bCs/>
                <w:iCs/>
              </w:rPr>
              <w:t xml:space="preserve">2 </w:t>
            </w:r>
            <w:r w:rsidRPr="00A712C0">
              <w:rPr>
                <w:rFonts w:ascii="宋体" w:hAnsi="宋体"/>
                <w:bCs/>
                <w:iCs/>
              </w:rPr>
              <w:t>建筑每个朝向的窗（包括透明幕墙）墙面积比均不大于0.70</w:t>
            </w:r>
            <w:r w:rsidRPr="00A712C0">
              <w:rPr>
                <w:rFonts w:ascii="宋体" w:hAnsi="宋体" w:hint="eastAsia"/>
                <w:bCs/>
                <w:iCs/>
              </w:rPr>
              <w:t>，屋顶透明部分的面积不大于屋顶总面积的20%；</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bCs/>
                <w:iCs/>
              </w:rPr>
              <w:t>3 建筑的正东、正西和西偏北、东偏北方向无大面积的玻璃门窗或玻璃幕墙，东西向</w:t>
            </w:r>
            <w:r w:rsidRPr="00A712C0">
              <w:rPr>
                <w:rFonts w:ascii="宋体" w:hAnsi="宋体"/>
                <w:bCs/>
                <w:iCs/>
              </w:rPr>
              <w:t>窗（包括透明幕墙）墙面积比不大于0.</w:t>
            </w:r>
            <w:r w:rsidRPr="00A712C0">
              <w:rPr>
                <w:rFonts w:ascii="宋体" w:hAnsi="宋体" w:hint="eastAsia"/>
                <w:bCs/>
                <w:iCs/>
              </w:rPr>
              <w:t>5</w:t>
            </w:r>
            <w:r w:rsidRPr="00A712C0">
              <w:rPr>
                <w:rFonts w:ascii="宋体" w:hAnsi="宋体"/>
                <w:bCs/>
                <w:iCs/>
              </w:rPr>
              <w:t>0</w:t>
            </w:r>
            <w:r w:rsidRPr="00A712C0">
              <w:rPr>
                <w:rFonts w:ascii="宋体" w:hAnsi="宋体" w:hint="eastAsia"/>
                <w:bCs/>
                <w:iCs/>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.2.7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iCs/>
              </w:rPr>
              <w:t>外窗</w:t>
            </w:r>
            <w:r w:rsidRPr="00A712C0">
              <w:rPr>
                <w:rFonts w:ascii="宋体" w:hAnsi="宋体"/>
                <w:bCs/>
              </w:rPr>
              <w:t>设置</w:t>
            </w:r>
            <w:r w:rsidRPr="00A712C0">
              <w:rPr>
                <w:rFonts w:ascii="宋体" w:hAnsi="宋体"/>
                <w:bCs/>
                <w:iCs/>
              </w:rPr>
              <w:t>外遮阳，建筑的</w:t>
            </w:r>
            <w:r w:rsidRPr="00A712C0">
              <w:rPr>
                <w:rFonts w:ascii="宋体" w:hAnsi="宋体" w:hint="eastAsia"/>
                <w:bCs/>
                <w:iCs/>
              </w:rPr>
              <w:t>外窗</w:t>
            </w:r>
            <w:r w:rsidRPr="00A712C0">
              <w:rPr>
                <w:rFonts w:ascii="宋体" w:hAnsi="宋体"/>
                <w:bCs/>
                <w:iCs/>
              </w:rPr>
              <w:t>综合</w:t>
            </w:r>
            <w:r w:rsidRPr="00A712C0">
              <w:rPr>
                <w:rFonts w:ascii="宋体" w:hAnsi="宋体" w:hint="eastAsia"/>
                <w:bCs/>
                <w:iCs/>
              </w:rPr>
              <w:t>外</w:t>
            </w:r>
            <w:r w:rsidRPr="00A712C0">
              <w:rPr>
                <w:rFonts w:ascii="宋体" w:hAnsi="宋体"/>
                <w:bCs/>
                <w:iCs/>
              </w:rPr>
              <w:t>遮阳系数不</w:t>
            </w:r>
            <w:r w:rsidRPr="00A712C0">
              <w:rPr>
                <w:rFonts w:ascii="宋体" w:hAnsi="宋体" w:hint="eastAsia"/>
                <w:bCs/>
                <w:iCs/>
              </w:rPr>
              <w:t>大</w:t>
            </w:r>
            <w:r w:rsidRPr="00A712C0">
              <w:rPr>
                <w:rFonts w:ascii="宋体" w:hAnsi="宋体"/>
                <w:bCs/>
                <w:iCs/>
              </w:rPr>
              <w:t>于0.8。</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.2.8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外窗设置可调节外遮阳</w:t>
            </w:r>
            <w:r w:rsidRPr="00A712C0">
              <w:rPr>
                <w:rFonts w:ascii="宋体" w:hAnsi="宋体" w:hint="eastAsia"/>
              </w:rPr>
              <w:t>，</w:t>
            </w:r>
            <w:r w:rsidRPr="00A712C0">
              <w:rPr>
                <w:rFonts w:ascii="宋体" w:hAnsi="宋体"/>
              </w:rPr>
              <w:t>建筑的</w:t>
            </w:r>
            <w:r w:rsidRPr="00A712C0">
              <w:rPr>
                <w:rFonts w:ascii="宋体" w:hAnsi="宋体" w:hint="eastAsia"/>
              </w:rPr>
              <w:t>外窗</w:t>
            </w:r>
            <w:r w:rsidRPr="00A712C0">
              <w:rPr>
                <w:rFonts w:ascii="宋体" w:hAnsi="宋体"/>
              </w:rPr>
              <w:t>综合</w:t>
            </w:r>
            <w:r w:rsidRPr="00A712C0">
              <w:rPr>
                <w:rFonts w:ascii="宋体" w:hAnsi="宋体" w:hint="eastAsia"/>
              </w:rPr>
              <w:t>外</w:t>
            </w:r>
            <w:r w:rsidRPr="00A712C0">
              <w:rPr>
                <w:rFonts w:ascii="宋体" w:hAnsi="宋体"/>
              </w:rPr>
              <w:t>遮阳系数不</w:t>
            </w:r>
            <w:r w:rsidRPr="00A712C0">
              <w:rPr>
                <w:rFonts w:ascii="宋体" w:hAnsi="宋体" w:hint="eastAsia"/>
              </w:rPr>
              <w:t>大</w:t>
            </w:r>
            <w:r w:rsidRPr="00A712C0">
              <w:rPr>
                <w:rFonts w:ascii="宋体" w:hAnsi="宋体"/>
              </w:rPr>
              <w:t>于0.</w:t>
            </w:r>
            <w:r w:rsidRPr="00A712C0">
              <w:rPr>
                <w:rFonts w:ascii="宋体" w:hAnsi="宋体" w:hint="eastAsia"/>
              </w:rPr>
              <w:t>6</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.2.9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iCs/>
              </w:rPr>
              <w:t>建筑外窗的气密性不低于国家标准《建筑外窗气密性能分级及其检测方法》GB 7107规定的4级要求，透明幕墙的气密性不低于《建筑幕墙物理性能分级》GB</w:t>
            </w:r>
            <w:r w:rsidRPr="00A712C0">
              <w:rPr>
                <w:rFonts w:ascii="宋体" w:hAnsi="宋体" w:hint="eastAsia"/>
                <w:bCs/>
                <w:iCs/>
              </w:rPr>
              <w:t>/</w:t>
            </w:r>
            <w:r w:rsidRPr="00A712C0">
              <w:rPr>
                <w:rFonts w:ascii="宋体" w:hAnsi="宋体"/>
                <w:bCs/>
                <w:iCs/>
              </w:rPr>
              <w:t>T 15225规定的3级要求。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.2.10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合理</w:t>
            </w:r>
            <w:r w:rsidRPr="00A712C0">
              <w:rPr>
                <w:rFonts w:ascii="宋体" w:hAnsi="宋体"/>
              </w:rPr>
              <w:t>利用蓄能材料和建筑构造，实现建筑本体蓄能</w:t>
            </w:r>
            <w:r w:rsidRPr="00A712C0">
              <w:rPr>
                <w:rFonts w:ascii="宋体" w:hAnsi="宋体" w:hint="eastAsia"/>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.2.11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合理</w:t>
            </w:r>
            <w:r w:rsidRPr="00A712C0">
              <w:rPr>
                <w:rFonts w:ascii="宋体" w:hAnsi="宋体"/>
              </w:rPr>
              <w:t>采用蓄能设备</w:t>
            </w:r>
            <w:r w:rsidRPr="00A712C0">
              <w:rPr>
                <w:rFonts w:ascii="宋体" w:hAnsi="宋体" w:hint="eastAsia"/>
              </w:rPr>
              <w:t>和系统</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.2.12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利用排风对新风进行预热（或预冷）处理，降低新风负荷。</w:t>
            </w:r>
            <w:r w:rsidRPr="00A712C0" w:rsidDel="00370FB1">
              <w:rPr>
                <w:rFonts w:ascii="宋体" w:hAnsi="宋体" w:hint="eastAsia"/>
              </w:rPr>
              <w:t xml:space="preserve"> </w:t>
            </w:r>
          </w:p>
          <w:p w:rsidR="005C0361" w:rsidRPr="00A712C0" w:rsidRDefault="005C0361" w:rsidP="005C0361">
            <w:pPr>
              <w:snapToGrid w:val="0"/>
              <w:spacing w:line="300" w:lineRule="auto"/>
              <w:rPr>
                <w:rFonts w:ascii="宋体" w:hAnsi="宋体"/>
                <w:bCs/>
              </w:rPr>
            </w:pPr>
            <w:r w:rsidRPr="00A712C0">
              <w:rPr>
                <w:rFonts w:ascii="宋体" w:hAnsi="宋体"/>
              </w:rPr>
              <w:t>1</w:t>
            </w:r>
            <w:r w:rsidRPr="00A712C0">
              <w:rPr>
                <w:rFonts w:ascii="宋体" w:hAnsi="宋体" w:hint="eastAsia"/>
              </w:rPr>
              <w:t xml:space="preserve"> </w:t>
            </w:r>
            <w:r w:rsidRPr="00A712C0">
              <w:rPr>
                <w:rFonts w:ascii="宋体" w:hAnsi="宋体"/>
                <w:bCs/>
              </w:rPr>
              <w:t>比较排风热回收的能量投入产出收益，合理采用排风热回收系统；</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w:t>
            </w:r>
            <w:r w:rsidRPr="00A712C0">
              <w:rPr>
                <w:rFonts w:ascii="宋体" w:hAnsi="宋体"/>
              </w:rPr>
              <w:t>运行可靠，实测的热回收效率达到设计要求。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.2.13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全空气空调系统采</w:t>
            </w:r>
            <w:r w:rsidRPr="00A712C0">
              <w:rPr>
                <w:rFonts w:ascii="宋体" w:hAnsi="宋体" w:hint="eastAsia"/>
              </w:rPr>
              <w:t>用</w:t>
            </w:r>
            <w:r w:rsidRPr="00A712C0">
              <w:rPr>
                <w:rFonts w:ascii="宋体" w:hAnsi="宋体"/>
              </w:rPr>
              <w:t>全新风运行或可调新风比的措施。符合以下任一项即为满足要求：</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新风取风口和新风管所需的截面积设计合理，</w:t>
            </w:r>
            <w:r w:rsidRPr="00A712C0">
              <w:rPr>
                <w:rFonts w:ascii="宋体" w:hAnsi="宋体" w:hint="eastAsia"/>
              </w:rPr>
              <w:t>实现</w:t>
            </w:r>
            <w:r w:rsidRPr="00A712C0">
              <w:rPr>
                <w:rFonts w:ascii="宋体" w:hAnsi="宋体"/>
              </w:rPr>
              <w:t>新风比</w:t>
            </w:r>
            <w:r w:rsidRPr="00A712C0">
              <w:rPr>
                <w:rFonts w:ascii="宋体" w:hAnsi="宋体" w:hint="eastAsia"/>
              </w:rPr>
              <w:t>可</w:t>
            </w:r>
            <w:r w:rsidRPr="00A712C0">
              <w:rPr>
                <w:rFonts w:ascii="宋体" w:hAnsi="宋体"/>
              </w:rPr>
              <w:t>调</w:t>
            </w:r>
            <w:r w:rsidRPr="00A712C0">
              <w:rPr>
                <w:rFonts w:ascii="宋体" w:hAnsi="宋体" w:hint="eastAsia"/>
              </w:rPr>
              <w:t>节</w:t>
            </w:r>
            <w:r w:rsidRPr="00A712C0">
              <w:rPr>
                <w:rFonts w:ascii="宋体" w:hAnsi="宋体"/>
              </w:rPr>
              <w:t>；</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w:t>
            </w:r>
            <w:r w:rsidRPr="00A712C0">
              <w:rPr>
                <w:rFonts w:ascii="宋体" w:hAnsi="宋体"/>
              </w:rPr>
              <w:t>实际运行中</w:t>
            </w:r>
            <w:r w:rsidRPr="00A712C0">
              <w:rPr>
                <w:rFonts w:ascii="宋体" w:hAnsi="宋体" w:hint="eastAsia"/>
              </w:rPr>
              <w:t>，</w:t>
            </w:r>
            <w:r w:rsidRPr="00A712C0">
              <w:rPr>
                <w:rFonts w:ascii="宋体" w:hAnsi="宋体"/>
              </w:rPr>
              <w:t>过渡季节</w:t>
            </w:r>
            <w:r w:rsidRPr="00A712C0">
              <w:rPr>
                <w:rFonts w:ascii="宋体" w:hAnsi="宋体" w:hint="eastAsia"/>
              </w:rPr>
              <w:t>合理采用</w:t>
            </w:r>
            <w:r w:rsidRPr="00A712C0">
              <w:rPr>
                <w:rFonts w:ascii="宋体" w:hAnsi="宋体"/>
              </w:rPr>
              <w:t>全新风运行或增大新风比</w:t>
            </w:r>
            <w:r w:rsidRPr="00A712C0">
              <w:rPr>
                <w:rFonts w:ascii="宋体" w:hAnsi="宋体" w:hint="eastAsia"/>
              </w:rPr>
              <w:t>的模式</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.2.14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建筑物处于部分冷热负荷时</w:t>
            </w:r>
            <w:r w:rsidRPr="00A712C0">
              <w:rPr>
                <w:rFonts w:ascii="宋体" w:hAnsi="宋体" w:hint="eastAsia"/>
              </w:rPr>
              <w:t>或</w:t>
            </w:r>
            <w:r w:rsidRPr="00A712C0">
              <w:rPr>
                <w:rFonts w:ascii="宋体" w:hAnsi="宋体"/>
              </w:rPr>
              <w:t>仅部分空间</w:t>
            </w:r>
            <w:r w:rsidRPr="00A712C0">
              <w:rPr>
                <w:rFonts w:ascii="宋体" w:hAnsi="宋体" w:hint="eastAsia"/>
              </w:rPr>
              <w:t>需要</w:t>
            </w:r>
            <w:r w:rsidRPr="00A712C0">
              <w:rPr>
                <w:rFonts w:ascii="宋体" w:hAnsi="宋体"/>
              </w:rPr>
              <w:t>使用</w:t>
            </w:r>
            <w:r w:rsidRPr="00A712C0">
              <w:rPr>
                <w:rFonts w:ascii="宋体" w:hAnsi="宋体" w:hint="eastAsia"/>
              </w:rPr>
              <w:t>空调</w:t>
            </w:r>
            <w:r w:rsidRPr="00A712C0">
              <w:rPr>
                <w:rFonts w:ascii="宋体" w:hAnsi="宋体"/>
              </w:rPr>
              <w:t>通风</w:t>
            </w:r>
            <w:r w:rsidRPr="00A712C0">
              <w:rPr>
                <w:rFonts w:ascii="宋体" w:hAnsi="宋体" w:hint="eastAsia"/>
              </w:rPr>
              <w:t>系统</w:t>
            </w:r>
            <w:r w:rsidRPr="00A712C0">
              <w:rPr>
                <w:rFonts w:ascii="宋体" w:hAnsi="宋体"/>
              </w:rPr>
              <w:t>时，采取有效措施节约空调通风系统能耗。符合以下任两项即为满足要求：</w:t>
            </w:r>
            <w:r w:rsidRPr="00A712C0" w:rsidDel="00370FB1">
              <w:rPr>
                <w:rFonts w:ascii="宋体" w:hAnsi="宋体" w:hint="eastAsia"/>
              </w:rPr>
              <w:t xml:space="preserve"> </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合理划分空调系统分区。根据</w:t>
            </w:r>
            <w:r w:rsidRPr="00A712C0">
              <w:rPr>
                <w:rFonts w:ascii="宋体" w:hAnsi="宋体"/>
              </w:rPr>
              <w:t>房间的朝向</w:t>
            </w:r>
            <w:r w:rsidRPr="00A712C0">
              <w:rPr>
                <w:rFonts w:ascii="宋体" w:hAnsi="宋体" w:hint="eastAsia"/>
              </w:rPr>
              <w:t>、使用特点等因素</w:t>
            </w:r>
            <w:r w:rsidRPr="00A712C0">
              <w:rPr>
                <w:rFonts w:ascii="宋体" w:hAnsi="宋体"/>
              </w:rPr>
              <w:t>，细分空调区域，实现空调系统分区控制；</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根据负荷变化实现制冷(热)量调节；</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3</w:t>
            </w:r>
            <w:r w:rsidRPr="00A712C0">
              <w:rPr>
                <w:rFonts w:ascii="宋体" w:hAnsi="宋体" w:hint="eastAsia"/>
              </w:rPr>
              <w:t xml:space="preserve"> </w:t>
            </w:r>
            <w:r w:rsidRPr="00A712C0">
              <w:rPr>
                <w:rFonts w:ascii="宋体" w:hAnsi="宋体"/>
              </w:rPr>
              <w:t>水系统采用</w:t>
            </w:r>
            <w:r w:rsidRPr="00A712C0">
              <w:rPr>
                <w:rFonts w:ascii="宋体" w:hAnsi="宋体" w:hint="eastAsia"/>
              </w:rPr>
              <w:t>变频</w:t>
            </w:r>
            <w:r w:rsidRPr="00A712C0">
              <w:rPr>
                <w:rFonts w:ascii="宋体" w:hAnsi="宋体"/>
              </w:rPr>
              <w:t>运行</w:t>
            </w:r>
            <w:r w:rsidRPr="00A712C0">
              <w:rPr>
                <w:rFonts w:ascii="宋体" w:hAnsi="宋体" w:hint="eastAsia"/>
              </w:rPr>
              <w:t>系统</w:t>
            </w:r>
            <w:r w:rsidRPr="00A712C0">
              <w:rPr>
                <w:rFonts w:ascii="宋体" w:hAnsi="宋体"/>
              </w:rPr>
              <w:t>或全空气系统采用变风量控制。</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.2.15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空调通风系统的风机单位风量耗功率和冷热水系统的输送能效比符合</w:t>
            </w:r>
            <w:r w:rsidRPr="00A712C0">
              <w:rPr>
                <w:rFonts w:ascii="宋体" w:hAnsi="宋体"/>
                <w:bCs/>
              </w:rPr>
              <w:t>《深圳市公共建筑节能设计标准实施细则》</w:t>
            </w:r>
            <w:r w:rsidRPr="00A712C0">
              <w:rPr>
                <w:rFonts w:ascii="宋体" w:hAnsi="宋体"/>
              </w:rPr>
              <w:t>SZJG 29第</w:t>
            </w:r>
            <w:r w:rsidRPr="00A712C0">
              <w:rPr>
                <w:rFonts w:ascii="宋体" w:hAnsi="宋体" w:hint="eastAsia"/>
              </w:rPr>
              <w:t>7</w:t>
            </w:r>
            <w:r w:rsidRPr="00A712C0">
              <w:rPr>
                <w:rFonts w:ascii="宋体" w:hAnsi="宋体"/>
              </w:rPr>
              <w:t>.2.26、</w:t>
            </w:r>
            <w:r w:rsidRPr="00A712C0">
              <w:rPr>
                <w:rFonts w:ascii="宋体" w:hAnsi="宋体" w:hint="eastAsia"/>
              </w:rPr>
              <w:t>7</w:t>
            </w:r>
            <w:r w:rsidRPr="00A712C0">
              <w:rPr>
                <w:rFonts w:ascii="宋体" w:hAnsi="宋体"/>
              </w:rPr>
              <w:t>.2.27条的规定。</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.2.16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建筑</w:t>
            </w:r>
            <w:r w:rsidRPr="00A712C0">
              <w:rPr>
                <w:rFonts w:ascii="宋体" w:hAnsi="宋体"/>
                <w:bCs/>
                <w:iCs/>
              </w:rPr>
              <w:t>空调能耗不高于深圳市建筑节能标准规定值的80%。</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.2.17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bCs/>
              </w:rPr>
              <w:t>建筑内所有电梯均使用</w:t>
            </w:r>
            <w:r w:rsidRPr="00A712C0">
              <w:rPr>
                <w:rFonts w:ascii="宋体" w:hAnsi="宋体"/>
                <w:bCs/>
              </w:rPr>
              <w:t>节能型电梯</w:t>
            </w:r>
            <w:r w:rsidRPr="00A712C0">
              <w:rPr>
                <w:rFonts w:ascii="宋体" w:hAnsi="宋体" w:hint="eastAsia"/>
                <w:bCs/>
              </w:rPr>
              <w:t>，并采用节能</w:t>
            </w:r>
            <w:r w:rsidRPr="00A712C0">
              <w:rPr>
                <w:rFonts w:ascii="宋体" w:hAnsi="宋体"/>
                <w:bCs/>
              </w:rPr>
              <w:t>控制</w:t>
            </w:r>
            <w:r w:rsidRPr="00A712C0">
              <w:rPr>
                <w:rFonts w:ascii="宋体" w:hAnsi="宋体" w:hint="eastAsia"/>
                <w:bCs/>
              </w:rPr>
              <w:t>方式</w:t>
            </w:r>
            <w:r w:rsidRPr="00A712C0">
              <w:rPr>
                <w:rFonts w:ascii="宋体" w:hAnsi="宋体"/>
                <w:bCs/>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.2.18</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选用余热或废热利用等方式提供建筑所需蒸汽、生活热水或其他热</w:t>
            </w:r>
            <w:r w:rsidRPr="00A712C0">
              <w:rPr>
                <w:rFonts w:ascii="宋体" w:hAnsi="宋体" w:hint="eastAsia"/>
              </w:rPr>
              <w:t>需求</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.2.19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各房间或场所的照明功率密度值不高于国家标准《建筑照明设计标准》GB 50034</w:t>
            </w:r>
            <w:r w:rsidRPr="00A712C0">
              <w:rPr>
                <w:rFonts w:ascii="宋体" w:hAnsi="宋体" w:hint="eastAsia"/>
              </w:rPr>
              <w:t>的目标</w:t>
            </w:r>
            <w:r w:rsidRPr="00A712C0">
              <w:rPr>
                <w:rFonts w:ascii="宋体" w:hAnsi="宋体"/>
              </w:rPr>
              <w:t>值。公共区域照明光源的平均发光效率不低于60 lm/W。无遮盖停车场照明功率密度不大于1.6W/ m</w:t>
            </w:r>
            <w:r w:rsidRPr="00A712C0">
              <w:rPr>
                <w:rFonts w:ascii="宋体" w:hAnsi="宋体"/>
                <w:vertAlign w:val="superscript"/>
              </w:rPr>
              <w:t>2</w:t>
            </w:r>
            <w:r w:rsidRPr="00A712C0">
              <w:rPr>
                <w:rFonts w:ascii="宋体" w:hAnsi="宋体"/>
              </w:rPr>
              <w:t>，人行道或广场照明功率密度不大于2 W/ m</w:t>
            </w:r>
            <w:r w:rsidRPr="00A712C0">
              <w:rPr>
                <w:rFonts w:ascii="宋体" w:hAnsi="宋体"/>
                <w:vertAlign w:val="superscript"/>
              </w:rPr>
              <w:t>2</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6.2.20</w:t>
            </w:r>
          </w:p>
        </w:tc>
        <w:tc>
          <w:tcPr>
            <w:tcW w:w="4674" w:type="dxa"/>
            <w:gridSpan w:val="5"/>
            <w:vAlign w:val="center"/>
          </w:tcPr>
          <w:p w:rsidR="005C0361" w:rsidRPr="00A712C0" w:rsidRDefault="005C0361" w:rsidP="005C0361">
            <w:pPr>
              <w:pStyle w:val="af2"/>
              <w:snapToGrid w:val="0"/>
              <w:rPr>
                <w:rFonts w:ascii="宋体" w:hAnsi="宋体"/>
                <w:sz w:val="21"/>
                <w:szCs w:val="21"/>
              </w:rPr>
            </w:pPr>
            <w:r w:rsidRPr="00A712C0">
              <w:rPr>
                <w:rFonts w:ascii="宋体" w:hAnsi="宋体"/>
                <w:sz w:val="21"/>
                <w:szCs w:val="21"/>
              </w:rPr>
              <w:t>公共建筑照明</w:t>
            </w:r>
            <w:r w:rsidRPr="00A712C0">
              <w:rPr>
                <w:rFonts w:ascii="宋体" w:hAnsi="宋体" w:hint="eastAsia"/>
                <w:sz w:val="21"/>
                <w:szCs w:val="21"/>
              </w:rPr>
              <w:t>采用节能控制方式，符合</w:t>
            </w:r>
            <w:r w:rsidRPr="00A712C0">
              <w:rPr>
                <w:rFonts w:ascii="宋体" w:hAnsi="宋体"/>
                <w:sz w:val="21"/>
                <w:szCs w:val="21"/>
              </w:rPr>
              <w:t>以下任</w:t>
            </w:r>
            <w:r w:rsidRPr="00A712C0">
              <w:rPr>
                <w:rFonts w:ascii="宋体" w:hAnsi="宋体" w:hint="eastAsia"/>
                <w:sz w:val="21"/>
                <w:szCs w:val="21"/>
              </w:rPr>
              <w:t>两</w:t>
            </w:r>
            <w:r w:rsidRPr="00A712C0">
              <w:rPr>
                <w:rFonts w:ascii="宋体" w:hAnsi="宋体"/>
                <w:sz w:val="21"/>
                <w:szCs w:val="21"/>
              </w:rPr>
              <w:t>项即为满足要求：</w:t>
            </w:r>
            <w:r w:rsidRPr="00A712C0">
              <w:rPr>
                <w:rFonts w:ascii="宋体" w:hAnsi="宋体" w:hint="eastAsia"/>
                <w:sz w:val="21"/>
                <w:szCs w:val="21"/>
              </w:rPr>
              <w:t xml:space="preserve"> </w:t>
            </w:r>
          </w:p>
          <w:p w:rsidR="005C0361" w:rsidRPr="00A712C0" w:rsidRDefault="005C0361" w:rsidP="005C0361">
            <w:pPr>
              <w:pStyle w:val="af2"/>
              <w:snapToGrid w:val="0"/>
              <w:rPr>
                <w:rFonts w:ascii="宋体" w:hAnsi="宋体"/>
                <w:sz w:val="21"/>
                <w:szCs w:val="21"/>
              </w:rPr>
            </w:pPr>
            <w:r w:rsidRPr="00A712C0">
              <w:rPr>
                <w:rFonts w:ascii="宋体" w:hAnsi="宋体" w:hint="eastAsia"/>
                <w:sz w:val="21"/>
                <w:szCs w:val="21"/>
              </w:rPr>
              <w:t>1</w:t>
            </w:r>
            <w:r w:rsidRPr="00A712C0">
              <w:rPr>
                <w:rFonts w:ascii="宋体" w:hAnsi="宋体"/>
                <w:sz w:val="21"/>
                <w:szCs w:val="21"/>
              </w:rPr>
              <w:t>分级设计一般照明和局部照明，满足低标准的一般照明与符合工作面照度要求的局部照明相结合，局部照明可调节</w:t>
            </w:r>
            <w:r w:rsidRPr="00A712C0">
              <w:rPr>
                <w:rFonts w:ascii="宋体" w:hAnsi="宋体" w:hint="eastAsia"/>
                <w:sz w:val="21"/>
                <w:szCs w:val="21"/>
              </w:rPr>
              <w:t>；</w:t>
            </w:r>
          </w:p>
          <w:p w:rsidR="005C0361" w:rsidRPr="00A712C0" w:rsidRDefault="005C0361" w:rsidP="005C0361">
            <w:pPr>
              <w:pStyle w:val="af2"/>
              <w:snapToGrid w:val="0"/>
              <w:rPr>
                <w:rFonts w:ascii="宋体" w:hAnsi="宋体"/>
                <w:sz w:val="21"/>
                <w:szCs w:val="21"/>
              </w:rPr>
            </w:pPr>
            <w:r w:rsidRPr="00A712C0">
              <w:rPr>
                <w:rFonts w:ascii="宋体" w:hAnsi="宋体" w:hint="eastAsia"/>
                <w:sz w:val="21"/>
                <w:szCs w:val="21"/>
              </w:rPr>
              <w:t>2自然</w:t>
            </w:r>
            <w:r w:rsidRPr="00A712C0">
              <w:rPr>
                <w:rFonts w:ascii="宋体" w:hAnsi="宋体"/>
                <w:sz w:val="21"/>
                <w:szCs w:val="21"/>
              </w:rPr>
              <w:t>采光良好的场所，按该场所照度</w:t>
            </w:r>
            <w:r w:rsidRPr="00A712C0">
              <w:rPr>
                <w:rFonts w:ascii="宋体" w:hAnsi="宋体" w:hint="eastAsia"/>
                <w:sz w:val="21"/>
                <w:szCs w:val="21"/>
              </w:rPr>
              <w:t>要求</w:t>
            </w:r>
            <w:r w:rsidRPr="00A712C0">
              <w:rPr>
                <w:rFonts w:ascii="宋体" w:hAnsi="宋体"/>
                <w:sz w:val="21"/>
                <w:szCs w:val="21"/>
              </w:rPr>
              <w:t>自动</w:t>
            </w:r>
            <w:r w:rsidRPr="00A712C0">
              <w:rPr>
                <w:rFonts w:ascii="宋体" w:hAnsi="宋体" w:hint="eastAsia"/>
                <w:sz w:val="21"/>
                <w:szCs w:val="21"/>
              </w:rPr>
              <w:t>控制</w:t>
            </w:r>
            <w:r w:rsidRPr="00A712C0">
              <w:rPr>
                <w:rFonts w:ascii="宋体" w:hAnsi="宋体"/>
                <w:sz w:val="21"/>
                <w:szCs w:val="21"/>
              </w:rPr>
              <w:t>开关或调光</w:t>
            </w:r>
            <w:r w:rsidRPr="00A712C0">
              <w:rPr>
                <w:rFonts w:ascii="宋体" w:hAnsi="宋体" w:hint="eastAsia"/>
                <w:sz w:val="21"/>
                <w:szCs w:val="21"/>
              </w:rPr>
              <w:t>；</w:t>
            </w:r>
          </w:p>
          <w:p w:rsidR="005C0361" w:rsidRPr="00A712C0" w:rsidRDefault="005C0361" w:rsidP="005C0361">
            <w:pPr>
              <w:pStyle w:val="af2"/>
              <w:snapToGrid w:val="0"/>
              <w:rPr>
                <w:rFonts w:ascii="宋体" w:hAnsi="宋体"/>
                <w:sz w:val="21"/>
                <w:szCs w:val="21"/>
              </w:rPr>
            </w:pPr>
            <w:r w:rsidRPr="00A712C0">
              <w:rPr>
                <w:rFonts w:ascii="宋体" w:hAnsi="宋体" w:hint="eastAsia"/>
                <w:sz w:val="21"/>
                <w:szCs w:val="21"/>
              </w:rPr>
              <w:t>3</w:t>
            </w:r>
            <w:r w:rsidRPr="00A712C0">
              <w:rPr>
                <w:rFonts w:ascii="宋体" w:hAnsi="宋体"/>
                <w:sz w:val="21"/>
                <w:szCs w:val="21"/>
              </w:rPr>
              <w:t>个人使用的办公室，采用人体感应或动静感应等</w:t>
            </w:r>
            <w:r w:rsidRPr="00A712C0">
              <w:rPr>
                <w:rFonts w:ascii="宋体" w:hAnsi="宋体" w:hint="eastAsia"/>
                <w:sz w:val="21"/>
                <w:szCs w:val="21"/>
              </w:rPr>
              <w:t>自动控制</w:t>
            </w:r>
            <w:r w:rsidRPr="00A712C0">
              <w:rPr>
                <w:rFonts w:ascii="宋体" w:hAnsi="宋体"/>
                <w:sz w:val="21"/>
                <w:szCs w:val="21"/>
              </w:rPr>
              <w:t>方式</w:t>
            </w:r>
            <w:r w:rsidRPr="00A712C0">
              <w:rPr>
                <w:rFonts w:ascii="宋体" w:hAnsi="宋体" w:hint="eastAsia"/>
                <w:sz w:val="21"/>
                <w:szCs w:val="21"/>
              </w:rPr>
              <w:t>；</w:t>
            </w:r>
          </w:p>
          <w:p w:rsidR="005C0361" w:rsidRPr="00A712C0" w:rsidRDefault="005C0361" w:rsidP="005C0361">
            <w:pPr>
              <w:widowControl/>
              <w:snapToGrid w:val="0"/>
              <w:spacing w:line="300" w:lineRule="auto"/>
              <w:jc w:val="left"/>
              <w:rPr>
                <w:rFonts w:ascii="宋体" w:hAnsi="宋体"/>
              </w:rPr>
            </w:pPr>
            <w:r w:rsidRPr="00A712C0">
              <w:rPr>
                <w:rFonts w:ascii="宋体" w:hAnsi="宋体" w:hint="eastAsia"/>
              </w:rPr>
              <w:t xml:space="preserve">4 </w:t>
            </w:r>
            <w:r w:rsidRPr="00A712C0">
              <w:rPr>
                <w:rFonts w:ascii="宋体" w:hAnsi="宋体"/>
              </w:rPr>
              <w:t>走廊、楼梯间、门厅等公共场所的照明，采用集中控制，并按建筑使用条件和天然采光状况采取分区、分组</w:t>
            </w:r>
            <w:r w:rsidRPr="00A712C0">
              <w:rPr>
                <w:rFonts w:ascii="宋体" w:hAnsi="宋体" w:hint="eastAsia"/>
              </w:rPr>
              <w:t>与</w:t>
            </w:r>
            <w:r w:rsidRPr="00A712C0">
              <w:rPr>
                <w:rFonts w:ascii="宋体" w:hAnsi="宋体"/>
              </w:rPr>
              <w:t>定时自动调光控制</w:t>
            </w:r>
            <w:r w:rsidRPr="00A712C0">
              <w:rPr>
                <w:rFonts w:ascii="宋体" w:hAnsi="宋体" w:hint="eastAsia"/>
              </w:rPr>
              <w:t>等</w:t>
            </w:r>
            <w:r w:rsidRPr="00A712C0">
              <w:rPr>
                <w:rFonts w:ascii="宋体" w:hAnsi="宋体"/>
              </w:rPr>
              <w:t>措施</w:t>
            </w:r>
            <w:r w:rsidRPr="00A712C0">
              <w:rPr>
                <w:rFonts w:ascii="宋体" w:hAnsi="宋体" w:hint="eastAsia"/>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6.2.21</w:t>
            </w:r>
          </w:p>
        </w:tc>
        <w:tc>
          <w:tcPr>
            <w:tcW w:w="4674" w:type="dxa"/>
            <w:gridSpan w:val="5"/>
            <w:vAlign w:val="center"/>
          </w:tcPr>
          <w:p w:rsidR="005C0361" w:rsidRPr="00A712C0" w:rsidRDefault="005C0361" w:rsidP="005C0361">
            <w:pPr>
              <w:widowControl/>
              <w:snapToGrid w:val="0"/>
              <w:spacing w:line="300" w:lineRule="auto"/>
              <w:jc w:val="left"/>
              <w:rPr>
                <w:rFonts w:ascii="宋体" w:hAnsi="宋体"/>
              </w:rPr>
            </w:pPr>
            <w:r w:rsidRPr="00A712C0">
              <w:rPr>
                <w:rFonts w:ascii="宋体" w:hAnsi="宋体"/>
              </w:rPr>
              <w:t>改建和扩建的公共建筑，冷热源、输配系统、照明、办公设备、电梯等各部分能耗进行独立分项计量。对非电能源实现按主要用途分项、定时计量。</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6.2.22</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充分利用太阳能、地热能等可再生能源。符合以下任一项即为满足要求：</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可再生能源产生的热水量不低于建筑生活热水消耗量的10％；</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可再生能源发电量不低于建筑用电量的2％；</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3</w:t>
            </w:r>
            <w:r w:rsidRPr="00A712C0">
              <w:rPr>
                <w:rFonts w:ascii="宋体" w:hAnsi="宋体" w:hint="eastAsia"/>
              </w:rPr>
              <w:t xml:space="preserve"> </w:t>
            </w:r>
            <w:r w:rsidRPr="00A712C0">
              <w:rPr>
                <w:rFonts w:ascii="宋体" w:hAnsi="宋体"/>
              </w:rPr>
              <w:t>合理采用地源、水源等新型热泵空调技术。</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lastRenderedPageBreak/>
              <w:t>节水与水资源利用</w:t>
            </w:r>
          </w:p>
        </w:tc>
        <w:tc>
          <w:tcPr>
            <w:tcW w:w="432" w:type="dxa"/>
            <w:gridSpan w:val="2"/>
            <w:vMerge w:val="restart"/>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控制项</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.3.1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rPr>
                <w:rFonts w:ascii="宋体" w:hAnsi="宋体"/>
              </w:rPr>
            </w:pPr>
            <w:r w:rsidRPr="00A712C0">
              <w:rPr>
                <w:rFonts w:ascii="宋体" w:hAnsi="宋体"/>
                <w:bCs/>
                <w:iCs/>
              </w:rPr>
              <w:t>在方案</w:t>
            </w:r>
            <w:r w:rsidRPr="00A712C0">
              <w:rPr>
                <w:rFonts w:ascii="宋体" w:hAnsi="宋体" w:hint="eastAsia"/>
                <w:bCs/>
                <w:iCs/>
              </w:rPr>
              <w:t>设计</w:t>
            </w:r>
            <w:r w:rsidRPr="00A712C0">
              <w:rPr>
                <w:rFonts w:ascii="宋体" w:hAnsi="宋体"/>
                <w:bCs/>
                <w:iCs/>
              </w:rPr>
              <w:t>阶段</w:t>
            </w:r>
            <w:r w:rsidRPr="00A712C0">
              <w:rPr>
                <w:rFonts w:ascii="宋体" w:hAnsi="宋体"/>
                <w:bCs/>
              </w:rPr>
              <w:t>制定水系统</w:t>
            </w:r>
            <w:r w:rsidRPr="00A712C0">
              <w:rPr>
                <w:rFonts w:ascii="宋体" w:hAnsi="宋体" w:hint="eastAsia"/>
                <w:bCs/>
              </w:rPr>
              <w:t>设计</w:t>
            </w:r>
            <w:r w:rsidRPr="00A712C0">
              <w:rPr>
                <w:rFonts w:ascii="宋体" w:hAnsi="宋体"/>
                <w:bCs/>
              </w:rPr>
              <w:t>方案，</w:t>
            </w:r>
            <w:r w:rsidRPr="00A712C0">
              <w:rPr>
                <w:rFonts w:ascii="宋体" w:hAnsi="宋体"/>
              </w:rPr>
              <w:t>统筹、综合利用各种水资源。</w:t>
            </w:r>
          </w:p>
          <w:p w:rsidR="005C0361" w:rsidRPr="00A712C0" w:rsidRDefault="005C0361" w:rsidP="005C0361">
            <w:pPr>
              <w:snapToGrid w:val="0"/>
              <w:spacing w:line="300" w:lineRule="auto"/>
              <w:rPr>
                <w:rFonts w:ascii="宋体" w:hAnsi="宋体"/>
              </w:rPr>
            </w:pPr>
            <w:r w:rsidRPr="00A712C0">
              <w:rPr>
                <w:rFonts w:ascii="宋体" w:hAnsi="宋体"/>
              </w:rPr>
              <w:t>1 根据深圳地区水资源状况、气候特征和不同的建筑类型，以及低质低用，高质高用的用水原则对用水水量和水质进行估算与评价，提出合理用水分配计划、水质和水量保证方案；</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 水系统设计方案包括用水定额的确定、用水量估算及水量平衡、给排水系统设计、节水器具与非传统水源利用等内容。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.3.2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rPr>
                <w:rFonts w:ascii="宋体" w:hAnsi="宋体"/>
              </w:rPr>
            </w:pPr>
            <w:r w:rsidRPr="00A712C0">
              <w:rPr>
                <w:rFonts w:ascii="宋体" w:hAnsi="宋体"/>
              </w:rPr>
              <w:t>设置合理、完善的</w:t>
            </w:r>
            <w:r w:rsidRPr="00A712C0">
              <w:rPr>
                <w:rFonts w:ascii="宋体" w:hAnsi="宋体"/>
                <w:bCs/>
              </w:rPr>
              <w:t>供水</w:t>
            </w:r>
            <w:r w:rsidRPr="00A712C0">
              <w:rPr>
                <w:rFonts w:ascii="宋体" w:hAnsi="宋体"/>
              </w:rPr>
              <w:t>、排水系统。</w:t>
            </w:r>
          </w:p>
          <w:p w:rsidR="005C0361" w:rsidRPr="00A712C0" w:rsidRDefault="005C0361" w:rsidP="005C0361">
            <w:pPr>
              <w:snapToGrid w:val="0"/>
              <w:spacing w:line="300" w:lineRule="auto"/>
              <w:rPr>
                <w:rFonts w:ascii="宋体" w:hAnsi="宋体"/>
              </w:rPr>
            </w:pPr>
            <w:r w:rsidRPr="00A712C0">
              <w:rPr>
                <w:rFonts w:ascii="宋体" w:hAnsi="宋体"/>
              </w:rPr>
              <w:t>1 公共建筑给水排水系统的设计符合《建筑给水排水设计规范》GB 50015等的规定；</w:t>
            </w:r>
          </w:p>
          <w:p w:rsidR="005C0361" w:rsidRPr="00A712C0" w:rsidRDefault="005C0361" w:rsidP="005C0361">
            <w:pPr>
              <w:snapToGrid w:val="0"/>
              <w:spacing w:line="300" w:lineRule="auto"/>
              <w:rPr>
                <w:rFonts w:ascii="宋体" w:hAnsi="宋体"/>
              </w:rPr>
            </w:pPr>
            <w:r w:rsidRPr="00A712C0">
              <w:rPr>
                <w:rFonts w:ascii="宋体" w:hAnsi="宋体"/>
              </w:rPr>
              <w:t>2 管材、管道附件及设备等供水设施的选取和运行不对供水造成二次污染，优先采用节能的供水设备；</w:t>
            </w:r>
          </w:p>
          <w:p w:rsidR="005C0361" w:rsidRPr="00A712C0" w:rsidRDefault="005C0361" w:rsidP="005C0361">
            <w:pPr>
              <w:snapToGrid w:val="0"/>
              <w:spacing w:line="300" w:lineRule="auto"/>
              <w:rPr>
                <w:rFonts w:ascii="宋体" w:hAnsi="宋体"/>
              </w:rPr>
            </w:pPr>
            <w:r w:rsidRPr="00A712C0">
              <w:rPr>
                <w:rFonts w:ascii="宋体" w:hAnsi="宋体"/>
              </w:rPr>
              <w:t>3 设有完善的污水收集和排放设施；</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4 根据地形、地貌等特点合理设计雨水排放渠道、渗透途径或收集回用途径，保证排水渠道畅通，</w:t>
            </w:r>
            <w:r w:rsidRPr="00A712C0">
              <w:rPr>
                <w:rFonts w:ascii="宋体" w:hAnsi="宋体" w:hint="eastAsia"/>
              </w:rPr>
              <w:t>实现</w:t>
            </w:r>
            <w:r w:rsidRPr="00A712C0">
              <w:rPr>
                <w:rFonts w:ascii="宋体" w:hAnsi="宋体"/>
              </w:rPr>
              <w:t>雨污分流。</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.3.3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rPr>
                <w:rFonts w:ascii="宋体" w:hAnsi="宋体"/>
              </w:rPr>
            </w:pPr>
            <w:r w:rsidRPr="00A712C0">
              <w:rPr>
                <w:rFonts w:ascii="宋体" w:hAnsi="宋体"/>
              </w:rPr>
              <w:t>采取有效措施避免管网漏损。</w:t>
            </w:r>
            <w:r w:rsidRPr="00A712C0">
              <w:rPr>
                <w:rFonts w:ascii="宋体" w:hAnsi="宋体" w:hint="eastAsia"/>
              </w:rPr>
              <w:t xml:space="preserve"> </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选用密闭性能好的阀门、设备，使用耐腐蚀、耐久性能好的管材、管件；</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给水系统无超压出流现象；</w:t>
            </w:r>
          </w:p>
          <w:p w:rsidR="005C0361" w:rsidRPr="00A712C0" w:rsidRDefault="005C0361" w:rsidP="005C0361">
            <w:pPr>
              <w:snapToGrid w:val="0"/>
              <w:spacing w:line="300" w:lineRule="auto"/>
              <w:rPr>
                <w:rFonts w:ascii="宋体" w:hAnsi="宋体"/>
              </w:rPr>
            </w:pPr>
            <w:r w:rsidRPr="00A712C0">
              <w:rPr>
                <w:rFonts w:ascii="宋体" w:hAnsi="宋体"/>
              </w:rPr>
              <w:t>3</w:t>
            </w:r>
            <w:r w:rsidRPr="00A712C0">
              <w:rPr>
                <w:rFonts w:ascii="宋体" w:hAnsi="宋体" w:hint="eastAsia"/>
              </w:rPr>
              <w:t xml:space="preserve"> </w:t>
            </w:r>
            <w:r w:rsidRPr="00A712C0">
              <w:rPr>
                <w:rFonts w:ascii="宋体" w:hAnsi="宋体"/>
              </w:rPr>
              <w:t>根据水平衡测试标准安装分级计量水表，安装率达100％；</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4</w:t>
            </w:r>
            <w:r w:rsidRPr="00A712C0">
              <w:rPr>
                <w:rFonts w:ascii="宋体" w:hAnsi="宋体" w:hint="eastAsia"/>
              </w:rPr>
              <w:t xml:space="preserve"> </w:t>
            </w:r>
            <w:r w:rsidRPr="00A712C0">
              <w:rPr>
                <w:rFonts w:ascii="宋体" w:hAnsi="宋体"/>
              </w:rPr>
              <w:t>合理设计供水系统，避免供水压力过高或压力骤变。</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.3.4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采用节水器具和设备，节水率不低于10%。</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.3.5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rPr>
                <w:rFonts w:ascii="宋体" w:hAnsi="宋体"/>
                <w:bCs/>
              </w:rPr>
            </w:pPr>
            <w:r w:rsidRPr="00A712C0">
              <w:rPr>
                <w:rFonts w:ascii="宋体" w:hAnsi="宋体"/>
              </w:rPr>
              <w:t>使用非传统水源时</w:t>
            </w:r>
            <w:r w:rsidRPr="00A712C0">
              <w:rPr>
                <w:rFonts w:ascii="宋体" w:hAnsi="宋体"/>
                <w:bCs/>
              </w:rPr>
              <w:t>，采取用水安全保障措施，且不对人体健康与周围环境产生不良影响。</w:t>
            </w:r>
          </w:p>
          <w:p w:rsidR="005C0361" w:rsidRPr="00A712C0" w:rsidRDefault="005C0361" w:rsidP="005C0361">
            <w:pPr>
              <w:snapToGrid w:val="0"/>
              <w:spacing w:line="300" w:lineRule="auto"/>
              <w:rPr>
                <w:rFonts w:ascii="宋体" w:hAnsi="宋体"/>
              </w:rPr>
            </w:pPr>
            <w:r w:rsidRPr="00A712C0">
              <w:rPr>
                <w:rFonts w:ascii="宋体" w:hAnsi="宋体"/>
              </w:rPr>
              <w:t>1 雨水、再生水等非传统水源在储存、输配等过程中有足够的消毒杀菌能力，且水质不会被污染，以保障水质安全，水质符合国家标准《城市污水再生利用景观环境用水水质》GB/T 18921和《城市污水再生利用城市杂用水水质》GB/T 18920的规定；</w:t>
            </w:r>
          </w:p>
          <w:p w:rsidR="005C0361" w:rsidRPr="00A712C0" w:rsidRDefault="005C0361" w:rsidP="005C0361">
            <w:pPr>
              <w:snapToGrid w:val="0"/>
              <w:spacing w:line="300" w:lineRule="auto"/>
              <w:rPr>
                <w:rFonts w:ascii="宋体" w:hAnsi="宋体"/>
              </w:rPr>
            </w:pPr>
            <w:r w:rsidRPr="00A712C0">
              <w:rPr>
                <w:rFonts w:ascii="宋体" w:hAnsi="宋体"/>
              </w:rPr>
              <w:t>2 雨水、中水等在处理、储存、输配等过程中符合《污水再生利用工程设计规范》GB 50335、《建筑中水设计规范》GB 50336及《建筑与小区雨水利用工程技术规范》GB 50400的相关要求；</w:t>
            </w:r>
          </w:p>
          <w:p w:rsidR="005C0361" w:rsidRPr="00A712C0" w:rsidRDefault="005C0361" w:rsidP="005C0361">
            <w:pPr>
              <w:snapToGrid w:val="0"/>
              <w:spacing w:line="300" w:lineRule="auto"/>
              <w:rPr>
                <w:rFonts w:ascii="宋体" w:hAnsi="宋体"/>
              </w:rPr>
            </w:pPr>
            <w:r w:rsidRPr="00A712C0">
              <w:rPr>
                <w:rFonts w:ascii="宋体" w:hAnsi="宋体"/>
              </w:rPr>
              <w:t>3 供水系统设有备用水源、溢流装置及相关切换设施等，以保障水量安全；</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4 景观水体采用雨水、再生水时，水景方案包括水景设计和水质安全保障措施等。</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restart"/>
            <w:tcBorders>
              <w:top w:val="single" w:sz="4" w:space="0" w:color="auto"/>
              <w:left w:val="single" w:sz="4" w:space="0" w:color="auto"/>
              <w:right w:val="single" w:sz="4" w:space="0" w:color="auto"/>
            </w:tcBorders>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得分项</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.3.6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合理规划</w:t>
            </w:r>
            <w:r w:rsidRPr="00A712C0">
              <w:rPr>
                <w:rFonts w:ascii="宋体" w:hAnsi="宋体" w:hint="eastAsia"/>
              </w:rPr>
              <w:t>地表</w:t>
            </w:r>
            <w:r w:rsidRPr="00A712C0">
              <w:rPr>
                <w:rFonts w:ascii="宋体" w:hAnsi="宋体"/>
              </w:rPr>
              <w:t>与屋面雨水径流途径，</w:t>
            </w:r>
            <w:r w:rsidRPr="00A712C0">
              <w:rPr>
                <w:rFonts w:ascii="宋体" w:hAnsi="宋体" w:hint="eastAsia"/>
              </w:rPr>
              <w:t>滞流截污，采用多种渗透措施增加雨水渗透量，</w:t>
            </w:r>
            <w:r w:rsidRPr="00A712C0">
              <w:rPr>
                <w:rFonts w:ascii="宋体" w:hAnsi="宋体"/>
              </w:rPr>
              <w:t>减少径流污染。建筑密度小于等于35％的建筑，其综合径流系数不高于0.60；建筑密度大于35％的建筑，其综合径流系数不高于0.65。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.3.7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rPr>
                <w:rFonts w:ascii="宋体" w:hAnsi="宋体"/>
              </w:rPr>
            </w:pPr>
            <w:r w:rsidRPr="00A712C0">
              <w:rPr>
                <w:rFonts w:ascii="宋体" w:hAnsi="宋体"/>
              </w:rPr>
              <w:t>通过技术经济比较，合理确定雨水积蓄、处理及利用方案。方案采用了雨水收集回用等技术设施，并符合以下任一项即为满足要求：</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采用雨水入渗措施；</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w:t>
            </w:r>
            <w:r w:rsidRPr="00A712C0">
              <w:rPr>
                <w:rFonts w:ascii="宋体" w:hAnsi="宋体"/>
              </w:rPr>
              <w:t>采用雨水调蓄排放系统。</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.3.8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绿化</w:t>
            </w:r>
            <w:r w:rsidRPr="00A712C0">
              <w:rPr>
                <w:rFonts w:ascii="宋体" w:hAnsi="宋体" w:hint="eastAsia"/>
              </w:rPr>
              <w:t>、</w:t>
            </w:r>
            <w:r w:rsidRPr="00A712C0">
              <w:rPr>
                <w:rFonts w:ascii="宋体" w:hAnsi="宋体"/>
              </w:rPr>
              <w:t>景观、洗车等</w:t>
            </w:r>
            <w:r w:rsidRPr="00A712C0">
              <w:rPr>
                <w:rFonts w:ascii="宋体" w:hAnsi="宋体" w:hint="eastAsia"/>
              </w:rPr>
              <w:t>非饮</w:t>
            </w:r>
            <w:r w:rsidRPr="00A712C0">
              <w:rPr>
                <w:rFonts w:ascii="宋体" w:hAnsi="宋体"/>
              </w:rPr>
              <w:t>用水</w:t>
            </w:r>
            <w:r w:rsidRPr="00A712C0">
              <w:rPr>
                <w:rFonts w:ascii="宋体" w:hAnsi="宋体" w:hint="eastAsia"/>
              </w:rPr>
              <w:t>采用</w:t>
            </w:r>
            <w:r w:rsidRPr="00A712C0">
              <w:rPr>
                <w:rFonts w:ascii="宋体" w:hAnsi="宋体"/>
              </w:rPr>
              <w:t>非传统水源</w:t>
            </w:r>
            <w:r w:rsidRPr="00A712C0">
              <w:rPr>
                <w:rFonts w:ascii="宋体" w:hAnsi="宋体" w:hint="eastAsia"/>
              </w:rPr>
              <w:t>。</w:t>
            </w:r>
            <w:r w:rsidRPr="00A712C0">
              <w:rPr>
                <w:rFonts w:ascii="宋体" w:hAnsi="宋体"/>
              </w:rPr>
              <w:t>非传统水源用于以下任两项即为满足要求：1绿化；2洗车</w:t>
            </w:r>
            <w:r w:rsidRPr="00A712C0">
              <w:rPr>
                <w:rFonts w:ascii="宋体" w:hAnsi="宋体" w:hint="eastAsia"/>
              </w:rPr>
              <w:t>或</w:t>
            </w:r>
            <w:r w:rsidRPr="00A712C0">
              <w:rPr>
                <w:rFonts w:ascii="宋体" w:hAnsi="宋体"/>
              </w:rPr>
              <w:t>冲洗道路；3景观。</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.3.9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绿化灌溉采用微灌、渗灌、低压管灌等高效节水灌溉方式。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.3.10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rPr>
                <w:rFonts w:ascii="宋体" w:hAnsi="宋体"/>
              </w:rPr>
            </w:pPr>
            <w:r w:rsidRPr="00A712C0">
              <w:rPr>
                <w:rFonts w:ascii="宋体" w:hAnsi="宋体"/>
              </w:rPr>
              <w:t>非饮用水采用再生水时，利用附近集中再生水厂的再生水，或通过技术经济比较，合理选择其他再生水水源和处理技术。满足以下任一项即为满足要求：</w:t>
            </w:r>
          </w:p>
          <w:p w:rsidR="005C0361" w:rsidRPr="00A712C0" w:rsidRDefault="005C0361" w:rsidP="005C0361">
            <w:pPr>
              <w:snapToGrid w:val="0"/>
              <w:spacing w:line="300" w:lineRule="auto"/>
              <w:rPr>
                <w:rFonts w:ascii="宋体" w:hAnsi="宋体"/>
              </w:rPr>
            </w:pPr>
            <w:r w:rsidRPr="00A712C0">
              <w:rPr>
                <w:rFonts w:ascii="宋体" w:hAnsi="宋体"/>
              </w:rPr>
              <w:t>1 选用市政再生水；</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 采用建筑中水，</w:t>
            </w:r>
            <w:r w:rsidRPr="00A712C0">
              <w:rPr>
                <w:rFonts w:ascii="宋体" w:hAnsi="宋体" w:hint="eastAsia"/>
              </w:rPr>
              <w:t>并</w:t>
            </w:r>
            <w:r w:rsidRPr="00A712C0">
              <w:rPr>
                <w:rFonts w:ascii="宋体" w:hAnsi="宋体"/>
              </w:rPr>
              <w:t>依次考虑优质杂排水、杂排水、生活排水等的再生利用。</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.3.11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按使用用途和水量平衡测试标准要求设置用水计量水表</w:t>
            </w:r>
            <w:r w:rsidRPr="00A712C0">
              <w:rPr>
                <w:rFonts w:ascii="宋体" w:hAnsi="宋体"/>
                <w:bCs/>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6.3.12</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cs="宋体"/>
                <w:kern w:val="0"/>
              </w:rPr>
            </w:pPr>
            <w:r w:rsidRPr="00A712C0">
              <w:rPr>
                <w:rFonts w:ascii="宋体" w:hAnsi="宋体"/>
                <w:bCs/>
              </w:rPr>
              <w:t>办公楼、商场类</w:t>
            </w:r>
            <w:r w:rsidRPr="00A712C0">
              <w:rPr>
                <w:rFonts w:ascii="宋体" w:hAnsi="宋体"/>
              </w:rPr>
              <w:t>建筑非传统水源利用率</w:t>
            </w:r>
            <w:r w:rsidRPr="00A712C0">
              <w:rPr>
                <w:rFonts w:ascii="宋体" w:hAnsi="宋体"/>
                <w:bCs/>
              </w:rPr>
              <w:t>不低于20％，旅馆类建筑不低于15％。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.3.1</w:t>
            </w:r>
            <w:r w:rsidRPr="00A712C0">
              <w:rPr>
                <w:rFonts w:ascii="宋体" w:hAnsi="宋体" w:hint="eastAsia"/>
                <w:kern w:val="0"/>
              </w:rPr>
              <w:t>3</w:t>
            </w:r>
            <w:r w:rsidRPr="00A712C0">
              <w:rPr>
                <w:rFonts w:ascii="宋体" w:hAnsi="宋体"/>
                <w:kern w:val="0"/>
              </w:rPr>
              <w:t xml:space="preserve">  </w:t>
            </w:r>
          </w:p>
        </w:tc>
        <w:tc>
          <w:tcPr>
            <w:tcW w:w="4674" w:type="dxa"/>
            <w:gridSpan w:val="5"/>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办公楼、商场类建筑非传统水源利用率不低于40％，旅馆类建筑不低于25％。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节材与材料资源利用</w:t>
            </w: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控制项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.4.1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建筑材料中有害物质含量符合国家标准GB</w:t>
            </w:r>
            <w:r w:rsidRPr="00A712C0">
              <w:rPr>
                <w:rFonts w:ascii="宋体" w:hAnsi="宋体" w:hint="eastAsia"/>
                <w:bCs/>
              </w:rPr>
              <w:t xml:space="preserve"> </w:t>
            </w:r>
            <w:r w:rsidRPr="00A712C0">
              <w:rPr>
                <w:rFonts w:ascii="宋体" w:hAnsi="宋体"/>
                <w:bCs/>
              </w:rPr>
              <w:t>18580～18588和《建筑材料放射性核素限量》GB</w:t>
            </w:r>
            <w:r w:rsidRPr="00A712C0">
              <w:rPr>
                <w:rFonts w:ascii="宋体" w:hAnsi="宋体" w:hint="eastAsia"/>
                <w:bCs/>
              </w:rPr>
              <w:t xml:space="preserve"> </w:t>
            </w:r>
            <w:r w:rsidRPr="00A712C0">
              <w:rPr>
                <w:rFonts w:ascii="宋体" w:hAnsi="宋体"/>
                <w:bCs/>
              </w:rPr>
              <w:t>6566的要求。不使用国家及深圳市建设行政主管部门公布的限制、禁止使用的建筑材料及制品。</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.4.2  </w:t>
            </w:r>
          </w:p>
        </w:tc>
        <w:tc>
          <w:tcPr>
            <w:tcW w:w="4674" w:type="dxa"/>
            <w:gridSpan w:val="5"/>
            <w:vAlign w:val="center"/>
          </w:tcPr>
          <w:p w:rsidR="005C0361" w:rsidRPr="00A712C0" w:rsidRDefault="005C0361" w:rsidP="005C0361">
            <w:pPr>
              <w:snapToGrid w:val="0"/>
              <w:spacing w:line="300" w:lineRule="auto"/>
              <w:rPr>
                <w:rFonts w:ascii="宋体" w:hAnsi="宋体"/>
                <w:bCs/>
              </w:rPr>
            </w:pPr>
            <w:r w:rsidRPr="00A712C0">
              <w:rPr>
                <w:rFonts w:ascii="宋体" w:hAnsi="宋体"/>
                <w:bCs/>
              </w:rPr>
              <w:t>建筑造型要素简约，无大量装饰性构件。</w:t>
            </w:r>
          </w:p>
          <w:p w:rsidR="005C0361" w:rsidRPr="00A712C0" w:rsidRDefault="005C0361" w:rsidP="005C0361">
            <w:pPr>
              <w:snapToGrid w:val="0"/>
              <w:spacing w:line="300" w:lineRule="auto"/>
              <w:rPr>
                <w:rFonts w:ascii="宋体" w:hAnsi="宋体"/>
                <w:bCs/>
              </w:rPr>
            </w:pPr>
            <w:r w:rsidRPr="00A712C0">
              <w:rPr>
                <w:rFonts w:ascii="宋体" w:hAnsi="宋体"/>
                <w:bCs/>
              </w:rPr>
              <w:t>1 不具备遮阳、导光、导风、载物、辅助绿化等作用的飘板、格栅和构架等不作为建筑构成要素在建筑中使用；</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2 屋顶等不设立单纯为追求标志性效果的塔、球、曲面等异形构件。</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.4.3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将建筑施工过程中产生的固体废弃物分类处理和回收利用，回收利用率不低于30%。新建工程的建筑垃圾控制在每万平方米建筑面积450吨以下。</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tcBorders>
              <w:bottom w:val="single" w:sz="6" w:space="0" w:color="auto"/>
            </w:tcBorders>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.4.4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bCs/>
              </w:rPr>
              <w:t>现浇混凝土采用预拌混凝土。</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restart"/>
            <w:tcBorders>
              <w:top w:val="single" w:sz="6" w:space="0" w:color="auto"/>
            </w:tcBorders>
            <w:vAlign w:val="center"/>
          </w:tcPr>
          <w:p w:rsidR="005C0361" w:rsidRPr="00A712C0" w:rsidRDefault="005C0361" w:rsidP="005C0361">
            <w:pPr>
              <w:snapToGrid w:val="0"/>
              <w:spacing w:line="300" w:lineRule="auto"/>
              <w:jc w:val="left"/>
              <w:rPr>
                <w:rFonts w:ascii="宋体" w:hAnsi="宋体"/>
                <w:b/>
                <w:bCs/>
                <w:kern w:val="0"/>
              </w:rPr>
            </w:pPr>
            <w:r w:rsidRPr="00A712C0">
              <w:rPr>
                <w:rFonts w:ascii="宋体" w:hAnsi="宋体" w:cs="宋体" w:hint="eastAsia"/>
                <w:b/>
                <w:bCs/>
                <w:kern w:val="0"/>
              </w:rPr>
              <w:t>得分项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.4.5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施工现场</w:t>
            </w:r>
            <w:smartTag w:uri="urn:schemas-microsoft-com:office:smarttags" w:element="chmetcnv">
              <w:smartTagPr>
                <w:attr w:name="TCSC" w:val="0"/>
                <w:attr w:name="NumberType" w:val="1"/>
                <w:attr w:name="Negative" w:val="False"/>
                <w:attr w:name="HasSpace" w:val="False"/>
                <w:attr w:name="SourceValue" w:val="500"/>
                <w:attr w:name="UnitName" w:val="km"/>
              </w:smartTagPr>
              <w:r w:rsidRPr="00A712C0">
                <w:rPr>
                  <w:rFonts w:ascii="宋体" w:hAnsi="宋体"/>
                </w:rPr>
                <w:t>500km</w:t>
              </w:r>
            </w:smartTag>
            <w:r w:rsidRPr="00A712C0">
              <w:rPr>
                <w:rFonts w:ascii="宋体" w:hAnsi="宋体"/>
              </w:rPr>
              <w:t>以内生产的建筑材料重量占建筑材料总重量的</w:t>
            </w:r>
            <w:r w:rsidRPr="00A712C0">
              <w:rPr>
                <w:rFonts w:ascii="宋体" w:hAnsi="宋体" w:hint="eastAsia"/>
              </w:rPr>
              <w:t>比例大于</w:t>
            </w:r>
            <w:r w:rsidRPr="00A712C0">
              <w:rPr>
                <w:rFonts w:ascii="宋体" w:hAnsi="宋体"/>
              </w:rPr>
              <w:t>70％。</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.4.6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采用预拌砂浆。</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.4.7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建筑结构材料合理采用高强度钢。6层以上的钢筋混凝土建筑，钢筋混凝土主体结构使用HRB400级（或以上）钢筋作为主筋占主筋总量的</w:t>
            </w:r>
            <w:r w:rsidRPr="00A712C0">
              <w:rPr>
                <w:rFonts w:ascii="宋体" w:hAnsi="宋体" w:hint="eastAsia"/>
              </w:rPr>
              <w:t>比例大于</w:t>
            </w:r>
            <w:r w:rsidRPr="00A712C0">
              <w:rPr>
                <w:rFonts w:ascii="宋体" w:hAnsi="宋体"/>
              </w:rPr>
              <w:t>70%</w:t>
            </w:r>
            <w:r w:rsidRPr="00A712C0">
              <w:rPr>
                <w:rFonts w:ascii="宋体" w:hAnsi="宋体" w:hint="eastAsia"/>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EE4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.4.8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建筑结构材料合理采用高强高性能混凝土。6层以上的钢筋混凝土建筑，符合以下任一</w:t>
            </w:r>
            <w:bookmarkStart w:id="0" w:name="_GoBack"/>
            <w:bookmarkEnd w:id="0"/>
            <w:r w:rsidRPr="00A712C0">
              <w:rPr>
                <w:rFonts w:ascii="宋体" w:hAnsi="宋体"/>
              </w:rPr>
              <w:t>项即为满足要求：</w:t>
            </w:r>
          </w:p>
          <w:p w:rsidR="005C0361" w:rsidRPr="00A712C0" w:rsidRDefault="005C0361" w:rsidP="005C0361">
            <w:pPr>
              <w:snapToGrid w:val="0"/>
              <w:spacing w:line="300" w:lineRule="auto"/>
              <w:rPr>
                <w:rFonts w:ascii="宋体" w:hAnsi="宋体"/>
              </w:rPr>
            </w:pPr>
            <w:r w:rsidRPr="00A712C0">
              <w:rPr>
                <w:rFonts w:ascii="宋体" w:hAnsi="宋体"/>
              </w:rPr>
              <w:t>1 高性能混凝土用量占混凝土总量的比例超过50%；</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 混凝土</w:t>
            </w:r>
            <w:r w:rsidRPr="00A712C0">
              <w:rPr>
                <w:rFonts w:ascii="宋体" w:hAnsi="宋体" w:hint="eastAsia"/>
              </w:rPr>
              <w:t>竖向</w:t>
            </w:r>
            <w:r w:rsidRPr="00A712C0">
              <w:rPr>
                <w:rFonts w:ascii="宋体" w:hAnsi="宋体"/>
              </w:rPr>
              <w:t>承重结构中采用强度等级</w:t>
            </w:r>
            <w:r w:rsidRPr="00A712C0">
              <w:rPr>
                <w:rFonts w:ascii="宋体" w:hAnsi="宋体" w:hint="eastAsia"/>
              </w:rPr>
              <w:t>为</w:t>
            </w:r>
            <w:r w:rsidRPr="00A712C0">
              <w:rPr>
                <w:rFonts w:ascii="宋体" w:hAnsi="宋体"/>
              </w:rPr>
              <w:t>C50（或以上）</w:t>
            </w:r>
            <w:r w:rsidRPr="00A712C0">
              <w:rPr>
                <w:rFonts w:ascii="宋体" w:hAnsi="宋体" w:hint="eastAsia"/>
              </w:rPr>
              <w:t>的</w:t>
            </w:r>
            <w:r w:rsidRPr="00A712C0">
              <w:rPr>
                <w:rFonts w:ascii="宋体" w:hAnsi="宋体"/>
              </w:rPr>
              <w:t>混凝土用量占</w:t>
            </w:r>
            <w:r w:rsidRPr="00A712C0">
              <w:rPr>
                <w:rFonts w:ascii="宋体" w:hAnsi="宋体" w:hint="eastAsia"/>
              </w:rPr>
              <w:t>竖向</w:t>
            </w:r>
            <w:r w:rsidRPr="00A712C0">
              <w:rPr>
                <w:rFonts w:ascii="宋体" w:hAnsi="宋体"/>
              </w:rPr>
              <w:t>承重结构中混凝土总量的比例超过70%。</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.4.9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土建与装修工程进行一体化设计施工。</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.4.10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办公、商场类建筑</w:t>
            </w:r>
            <w:r w:rsidRPr="00A712C0">
              <w:rPr>
                <w:rFonts w:ascii="宋体" w:hAnsi="宋体"/>
              </w:rPr>
              <w:t>可变换功能</w:t>
            </w:r>
            <w:r w:rsidRPr="00A712C0">
              <w:rPr>
                <w:rFonts w:ascii="宋体" w:hAnsi="宋体" w:hint="eastAsia"/>
              </w:rPr>
              <w:t>或布局</w:t>
            </w:r>
            <w:r w:rsidRPr="00A712C0">
              <w:rPr>
                <w:rFonts w:ascii="宋体" w:hAnsi="宋体"/>
              </w:rPr>
              <w:t>的</w:t>
            </w:r>
            <w:r w:rsidRPr="00A712C0">
              <w:rPr>
                <w:rFonts w:ascii="宋体" w:hAnsi="宋体"/>
                <w:bCs/>
              </w:rPr>
              <w:t>室内</w:t>
            </w:r>
            <w:r w:rsidRPr="00A712C0">
              <w:rPr>
                <w:rFonts w:ascii="宋体" w:hAnsi="宋体"/>
              </w:rPr>
              <w:t>空间</w:t>
            </w:r>
            <w:r w:rsidRPr="00A712C0">
              <w:rPr>
                <w:rFonts w:ascii="宋体" w:hAnsi="宋体" w:hint="eastAsia"/>
              </w:rPr>
              <w:t>中</w:t>
            </w:r>
            <w:r w:rsidRPr="00A712C0">
              <w:rPr>
                <w:rFonts w:ascii="宋体" w:hAnsi="宋体"/>
              </w:rPr>
              <w:t>，</w:t>
            </w:r>
            <w:r w:rsidRPr="00A712C0">
              <w:rPr>
                <w:rFonts w:ascii="宋体" w:hAnsi="宋体" w:hint="eastAsia"/>
                <w:bCs/>
              </w:rPr>
              <w:t>不少于</w:t>
            </w:r>
            <w:r w:rsidRPr="00A712C0">
              <w:rPr>
                <w:rFonts w:ascii="宋体" w:hAnsi="宋体"/>
                <w:bCs/>
              </w:rPr>
              <w:t>30%</w:t>
            </w:r>
            <w:r w:rsidRPr="00A712C0">
              <w:rPr>
                <w:rFonts w:ascii="宋体" w:hAnsi="宋体" w:hint="eastAsia"/>
                <w:bCs/>
              </w:rPr>
              <w:t>的</w:t>
            </w:r>
            <w:r w:rsidRPr="00A712C0">
              <w:rPr>
                <w:rFonts w:ascii="宋体" w:hAnsi="宋体"/>
                <w:bCs/>
              </w:rPr>
              <w:t>室内</w:t>
            </w:r>
            <w:r w:rsidRPr="00A712C0">
              <w:rPr>
                <w:rFonts w:ascii="宋体" w:hAnsi="宋体" w:hint="eastAsia"/>
                <w:bCs/>
              </w:rPr>
              <w:t>空间</w:t>
            </w:r>
            <w:r w:rsidRPr="00A712C0">
              <w:rPr>
                <w:rFonts w:ascii="宋体" w:hAnsi="宋体"/>
                <w:bCs/>
              </w:rPr>
              <w:t>采用灵活隔断</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.4.11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在建筑设计选材时考虑</w:t>
            </w:r>
            <w:r w:rsidRPr="00A712C0">
              <w:rPr>
                <w:rFonts w:ascii="宋体" w:hAnsi="宋体" w:hint="eastAsia"/>
              </w:rPr>
              <w:t>使用</w:t>
            </w:r>
            <w:r w:rsidRPr="00A712C0">
              <w:rPr>
                <w:rFonts w:ascii="宋体" w:hAnsi="宋体"/>
              </w:rPr>
              <w:t>可</w:t>
            </w:r>
            <w:r w:rsidRPr="00A712C0">
              <w:rPr>
                <w:rFonts w:ascii="宋体" w:hAnsi="宋体" w:hint="eastAsia"/>
              </w:rPr>
              <w:t>再</w:t>
            </w:r>
            <w:r w:rsidRPr="00A712C0">
              <w:rPr>
                <w:rFonts w:ascii="宋体" w:hAnsi="宋体"/>
              </w:rPr>
              <w:t>循环</w:t>
            </w:r>
            <w:r w:rsidRPr="00A712C0">
              <w:rPr>
                <w:rFonts w:ascii="宋体" w:hAnsi="宋体" w:hint="eastAsia"/>
              </w:rPr>
              <w:t>材料</w:t>
            </w:r>
            <w:r w:rsidRPr="00A712C0">
              <w:rPr>
                <w:rFonts w:ascii="宋体" w:hAnsi="宋体"/>
              </w:rPr>
              <w:t>。在保证安全和不污染环境的情况下，可再循环材料</w:t>
            </w:r>
            <w:r w:rsidRPr="00A712C0">
              <w:rPr>
                <w:rFonts w:ascii="宋体" w:hAnsi="宋体" w:hint="eastAsia"/>
              </w:rPr>
              <w:t>的</w:t>
            </w:r>
            <w:r w:rsidRPr="00A712C0">
              <w:rPr>
                <w:rFonts w:ascii="宋体" w:hAnsi="宋体"/>
              </w:rPr>
              <w:t>使用重量占所用建筑材料总重量的</w:t>
            </w:r>
            <w:r w:rsidRPr="00A712C0">
              <w:rPr>
                <w:rFonts w:ascii="宋体" w:hAnsi="宋体" w:hint="eastAsia"/>
              </w:rPr>
              <w:t>比例大于</w:t>
            </w:r>
            <w:r w:rsidRPr="00A712C0">
              <w:rPr>
                <w:rFonts w:ascii="宋体" w:hAnsi="宋体"/>
              </w:rPr>
              <w:t>10％。</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6.4.12</w:t>
            </w:r>
          </w:p>
        </w:tc>
        <w:tc>
          <w:tcPr>
            <w:tcW w:w="4674" w:type="dxa"/>
            <w:gridSpan w:val="5"/>
            <w:vAlign w:val="center"/>
          </w:tcPr>
          <w:p w:rsidR="005C0361" w:rsidRPr="00A712C0" w:rsidRDefault="005C0361" w:rsidP="005C0361">
            <w:pPr>
              <w:widowControl/>
              <w:snapToGrid w:val="0"/>
              <w:spacing w:line="300" w:lineRule="auto"/>
              <w:jc w:val="left"/>
              <w:rPr>
                <w:rFonts w:ascii="宋体" w:hAnsi="宋体" w:cs="宋体"/>
                <w:kern w:val="0"/>
              </w:rPr>
            </w:pPr>
            <w:r w:rsidRPr="00A712C0">
              <w:rPr>
                <w:rFonts w:ascii="宋体" w:hAnsi="宋体"/>
              </w:rPr>
              <w:t>在保证性能的前提下，以废弃物为原料生产的建筑材料</w:t>
            </w:r>
            <w:r w:rsidRPr="00A712C0">
              <w:rPr>
                <w:rFonts w:ascii="宋体" w:hAnsi="宋体" w:hint="eastAsia"/>
              </w:rPr>
              <w:t>的使用</w:t>
            </w:r>
            <w:r w:rsidRPr="00A712C0">
              <w:rPr>
                <w:rFonts w:ascii="宋体" w:hAnsi="宋体"/>
              </w:rPr>
              <w:t>重量占同类建筑材料总重量</w:t>
            </w:r>
            <w:r w:rsidRPr="00A712C0">
              <w:rPr>
                <w:rFonts w:ascii="宋体" w:hAnsi="宋体" w:hint="eastAsia"/>
              </w:rPr>
              <w:t>的</w:t>
            </w:r>
            <w:r w:rsidRPr="00A712C0">
              <w:rPr>
                <w:rFonts w:ascii="宋体" w:hAnsi="宋体"/>
              </w:rPr>
              <w:t>比例不低于30％。以废弃物为原料生产的建筑材料</w:t>
            </w:r>
            <w:r w:rsidRPr="00A712C0">
              <w:rPr>
                <w:rFonts w:ascii="宋体" w:hAnsi="宋体" w:hint="eastAsia"/>
              </w:rPr>
              <w:t>中</w:t>
            </w:r>
            <w:r w:rsidRPr="00A712C0">
              <w:rPr>
                <w:rFonts w:ascii="宋体" w:hAnsi="宋体"/>
              </w:rPr>
              <w:t>废弃物取代原有同类产品中天然或人造原材料的比例不低于20%。</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6.4.13</w:t>
            </w:r>
          </w:p>
        </w:tc>
        <w:tc>
          <w:tcPr>
            <w:tcW w:w="4674" w:type="dxa"/>
            <w:gridSpan w:val="5"/>
            <w:vAlign w:val="center"/>
          </w:tcPr>
          <w:p w:rsidR="005C0361" w:rsidRPr="00A712C0" w:rsidRDefault="005C0361" w:rsidP="005C0361">
            <w:pPr>
              <w:widowControl/>
              <w:snapToGrid w:val="0"/>
              <w:spacing w:line="300" w:lineRule="auto"/>
              <w:jc w:val="left"/>
              <w:rPr>
                <w:rFonts w:ascii="宋体" w:hAnsi="宋体" w:cs="宋体"/>
                <w:kern w:val="0"/>
              </w:rPr>
            </w:pPr>
            <w:r w:rsidRPr="00A712C0">
              <w:rPr>
                <w:rFonts w:ascii="宋体" w:hAnsi="宋体"/>
              </w:rPr>
              <w:t>再利用建筑材料的使用重量占所用建筑材料总重量</w:t>
            </w:r>
            <w:r w:rsidRPr="00A712C0">
              <w:rPr>
                <w:rFonts w:ascii="宋体" w:hAnsi="宋体" w:hint="eastAsia"/>
              </w:rPr>
              <w:t>的比例</w:t>
            </w:r>
            <w:r w:rsidRPr="00A712C0">
              <w:rPr>
                <w:rFonts w:ascii="宋体" w:hAnsi="宋体"/>
              </w:rPr>
              <w:t>大于5％</w:t>
            </w:r>
            <w:r w:rsidRPr="00A712C0">
              <w:rPr>
                <w:rFonts w:ascii="宋体" w:hAnsi="宋体" w:hint="eastAsia"/>
              </w:rPr>
              <w:t>。</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.4.1</w:t>
            </w:r>
            <w:r w:rsidRPr="00A712C0">
              <w:rPr>
                <w:rFonts w:ascii="宋体" w:hAnsi="宋体" w:hint="eastAsia"/>
                <w:kern w:val="0"/>
              </w:rPr>
              <w:t>4</w:t>
            </w:r>
            <w:r w:rsidRPr="00A712C0">
              <w:rPr>
                <w:rFonts w:ascii="宋体" w:hAnsi="宋体"/>
                <w:kern w:val="0"/>
              </w:rPr>
              <w:t xml:space="preserve">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采用</w:t>
            </w:r>
            <w:r w:rsidRPr="00A712C0">
              <w:rPr>
                <w:rFonts w:ascii="宋体" w:hAnsi="宋体" w:hint="eastAsia"/>
              </w:rPr>
              <w:t>钢结构、砌体结构或木结构等</w:t>
            </w:r>
            <w:r w:rsidRPr="00A712C0">
              <w:rPr>
                <w:rFonts w:ascii="宋体" w:hAnsi="宋体"/>
              </w:rPr>
              <w:t>资源消耗和环境影响小的建筑结构体系。</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室内环境质量</w:t>
            </w: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控制项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采用集中空调</w:t>
            </w:r>
            <w:r w:rsidRPr="00A712C0">
              <w:rPr>
                <w:rFonts w:ascii="宋体" w:hAnsi="宋体" w:hint="eastAsia"/>
              </w:rPr>
              <w:t>系统</w:t>
            </w:r>
            <w:r w:rsidRPr="00A712C0">
              <w:rPr>
                <w:rFonts w:ascii="宋体" w:hAnsi="宋体"/>
              </w:rPr>
              <w:t>的建筑，房间内的温度、湿度、风速等参数符合《深圳市公共建筑节能设计标准实施细则》SZJG 29的规定。</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.5.2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采用集中空调</w:t>
            </w:r>
            <w:r w:rsidRPr="00A712C0">
              <w:rPr>
                <w:rFonts w:ascii="宋体" w:hAnsi="宋体" w:hint="eastAsia"/>
              </w:rPr>
              <w:t>系统</w:t>
            </w:r>
            <w:r w:rsidRPr="00A712C0">
              <w:rPr>
                <w:rFonts w:ascii="宋体" w:hAnsi="宋体"/>
              </w:rPr>
              <w:t>的建筑，新风量符合《深圳市公共建筑节能设计标准实施细则》SZJG 29的规定。</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.5.3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建筑围护结构内部和表面无结露、发霉现象。</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采取合理的保温隔热措施，减少围护结构热桥部位的传热损失，防止外墙和外窗等外围护结构内表面温度低于室内空气露点温度，避免表面结露、发霉；</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w:t>
            </w:r>
            <w:r w:rsidRPr="00A712C0">
              <w:rPr>
                <w:rFonts w:ascii="宋体" w:hAnsi="宋体"/>
              </w:rPr>
              <w:t>在室内使用辐射型空调末端时，需注意水温的控制，送入室内的新风具有消除室内湿负荷的能力，或配有除湿机，避免表面结露。</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.5.4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rPr>
              <w:t>建筑</w:t>
            </w:r>
            <w:r w:rsidRPr="00A712C0">
              <w:rPr>
                <w:rFonts w:ascii="宋体" w:hAnsi="宋体" w:hint="eastAsia"/>
                <w:bCs/>
              </w:rPr>
              <w:t>每个房间的外窗可开启面积不小于该房间外窗面积的30%。透明幕墙具有不小于房间透明面积10％的可开启部分。</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.5.5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室内游离甲醛、苯、氨、氡和TVOC等空气污染物浓度符合现行国家标准《民用建筑工程室内环境污染控制规范》GB 50325中的有关规定。</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.5.6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宾馆和办公建筑室内背景噪声符合现行国家标准《民用建筑隔声设计规范》GBJ 118中室内允许噪声标准中的二级要求；商场类建筑室内背景噪声水平满足现行国家标准《商场（店）、书店卫生标准》GB 9670的相关要求。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.5.7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cs="宋体"/>
                <w:kern w:val="0"/>
              </w:rPr>
            </w:pPr>
            <w:r w:rsidRPr="00A712C0">
              <w:rPr>
                <w:rFonts w:ascii="宋体" w:hAnsi="宋体"/>
                <w:bCs/>
              </w:rPr>
              <w:t>建筑室内照度、统一眩光值、一般显色指数等指标满足现行国家标准《建筑照明设计标准》GB 50034中的有关要求。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一般项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.5.8 </w:t>
            </w:r>
          </w:p>
        </w:tc>
        <w:tc>
          <w:tcPr>
            <w:tcW w:w="4674" w:type="dxa"/>
            <w:gridSpan w:val="5"/>
            <w:vAlign w:val="center"/>
          </w:tcPr>
          <w:p w:rsidR="005C0361" w:rsidRPr="00A712C0" w:rsidRDefault="005C0361" w:rsidP="005C0361">
            <w:pPr>
              <w:snapToGrid w:val="0"/>
              <w:spacing w:line="300" w:lineRule="auto"/>
              <w:rPr>
                <w:rFonts w:ascii="宋体" w:hAnsi="宋体"/>
                <w:bCs/>
              </w:rPr>
            </w:pPr>
            <w:r w:rsidRPr="00A712C0">
              <w:rPr>
                <w:rFonts w:ascii="宋体" w:hAnsi="宋体"/>
                <w:bCs/>
              </w:rPr>
              <w:t>建筑设计和构造设计有促进自然通风的措施。在自然通风条件下，保证主要功能房间换气次数不低于2次/</w:t>
            </w:r>
            <w:r w:rsidRPr="00A712C0">
              <w:rPr>
                <w:rFonts w:ascii="宋体" w:hAnsi="宋体" w:hint="eastAsia"/>
                <w:bCs/>
              </w:rPr>
              <w:t>h</w:t>
            </w:r>
            <w:r w:rsidRPr="00A712C0">
              <w:rPr>
                <w:rFonts w:ascii="宋体" w:hAnsi="宋体"/>
                <w:bCs/>
              </w:rPr>
              <w:t>，并符合以下任两项即为满足要求：</w:t>
            </w:r>
          </w:p>
          <w:p w:rsidR="005C0361" w:rsidRPr="00A712C0" w:rsidRDefault="005C0361" w:rsidP="005C0361">
            <w:pPr>
              <w:snapToGrid w:val="0"/>
              <w:spacing w:line="300" w:lineRule="auto"/>
              <w:rPr>
                <w:rFonts w:ascii="宋体" w:hAnsi="宋体"/>
                <w:bCs/>
              </w:rPr>
            </w:pPr>
            <w:r w:rsidRPr="00A712C0">
              <w:rPr>
                <w:rFonts w:ascii="宋体" w:hAnsi="宋体"/>
                <w:bCs/>
              </w:rPr>
              <w:t>1</w:t>
            </w:r>
            <w:r w:rsidRPr="00A712C0">
              <w:rPr>
                <w:rFonts w:ascii="宋体" w:hAnsi="宋体" w:hint="eastAsia"/>
                <w:bCs/>
              </w:rPr>
              <w:t xml:space="preserve"> </w:t>
            </w:r>
            <w:r w:rsidRPr="00A712C0">
              <w:rPr>
                <w:rFonts w:ascii="宋体" w:hAnsi="宋体"/>
                <w:bCs/>
              </w:rPr>
              <w:t>建筑总平面布局和建筑朝向有利于自然通风；</w:t>
            </w:r>
          </w:p>
          <w:p w:rsidR="005C0361" w:rsidRPr="00A712C0" w:rsidRDefault="005C0361" w:rsidP="005C0361">
            <w:pPr>
              <w:snapToGrid w:val="0"/>
              <w:spacing w:line="300" w:lineRule="auto"/>
              <w:rPr>
                <w:rFonts w:ascii="宋体" w:hAnsi="宋体"/>
                <w:bCs/>
              </w:rPr>
            </w:pPr>
            <w:r w:rsidRPr="00A712C0">
              <w:rPr>
                <w:rFonts w:ascii="宋体" w:hAnsi="宋体"/>
                <w:bCs/>
              </w:rPr>
              <w:t>2</w:t>
            </w:r>
            <w:r w:rsidRPr="00A712C0">
              <w:rPr>
                <w:rFonts w:ascii="宋体" w:hAnsi="宋体" w:hint="eastAsia"/>
                <w:bCs/>
              </w:rPr>
              <w:t xml:space="preserve"> </w:t>
            </w:r>
            <w:r w:rsidRPr="00A712C0">
              <w:rPr>
                <w:rFonts w:ascii="宋体" w:hAnsi="宋体"/>
                <w:bCs/>
              </w:rPr>
              <w:t>建筑单体采用诱导气流方式，如导风墙和拔风井等，促进建筑内自然通风；</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3</w:t>
            </w:r>
            <w:r w:rsidRPr="00A712C0">
              <w:rPr>
                <w:rFonts w:ascii="宋体" w:hAnsi="宋体" w:hint="eastAsia"/>
                <w:bCs/>
              </w:rPr>
              <w:t xml:space="preserve"> </w:t>
            </w:r>
            <w:r w:rsidRPr="00A712C0">
              <w:rPr>
                <w:rFonts w:ascii="宋体" w:hAnsi="宋体"/>
                <w:bCs/>
              </w:rPr>
              <w:t>采用数值模拟技术定量分析</w:t>
            </w:r>
            <w:r w:rsidRPr="00A712C0">
              <w:rPr>
                <w:rFonts w:ascii="宋体" w:hAnsi="宋体" w:hint="eastAsia"/>
                <w:bCs/>
              </w:rPr>
              <w:t>与优化</w:t>
            </w:r>
            <w:r w:rsidRPr="00A712C0">
              <w:rPr>
                <w:rFonts w:ascii="宋体" w:hAnsi="宋体"/>
                <w:bCs/>
              </w:rPr>
              <w:t>自然通风设计方案。</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.5.9 </w:t>
            </w:r>
          </w:p>
        </w:tc>
        <w:tc>
          <w:tcPr>
            <w:tcW w:w="4674" w:type="dxa"/>
            <w:gridSpan w:val="5"/>
            <w:vAlign w:val="center"/>
          </w:tcPr>
          <w:p w:rsidR="005C0361" w:rsidRPr="00A712C0" w:rsidRDefault="005C0361" w:rsidP="005C0361">
            <w:pPr>
              <w:snapToGrid w:val="0"/>
              <w:spacing w:line="300" w:lineRule="auto"/>
              <w:rPr>
                <w:rFonts w:ascii="宋体" w:hAnsi="宋体"/>
                <w:bCs/>
              </w:rPr>
            </w:pPr>
            <w:r w:rsidRPr="00A712C0">
              <w:rPr>
                <w:rFonts w:ascii="宋体" w:hAnsi="宋体"/>
                <w:bCs/>
              </w:rPr>
              <w:t>室内采用调节方便、可提高人员舒适性的空调末端。符合以下任两项即为满足要求：</w:t>
            </w:r>
          </w:p>
          <w:p w:rsidR="005C0361" w:rsidRPr="00A712C0" w:rsidRDefault="005C0361" w:rsidP="005C0361">
            <w:pPr>
              <w:snapToGrid w:val="0"/>
              <w:spacing w:line="300" w:lineRule="auto"/>
              <w:rPr>
                <w:rFonts w:ascii="宋体" w:hAnsi="宋体"/>
                <w:bCs/>
              </w:rPr>
            </w:pPr>
            <w:r w:rsidRPr="00A712C0">
              <w:rPr>
                <w:rFonts w:ascii="宋体" w:hAnsi="宋体"/>
                <w:bCs/>
              </w:rPr>
              <w:t>1</w:t>
            </w:r>
            <w:r w:rsidRPr="00A712C0">
              <w:rPr>
                <w:rFonts w:ascii="宋体" w:hAnsi="宋体" w:hint="eastAsia"/>
                <w:bCs/>
              </w:rPr>
              <w:t xml:space="preserve"> </w:t>
            </w:r>
            <w:r w:rsidRPr="00A712C0">
              <w:rPr>
                <w:rFonts w:ascii="宋体" w:hAnsi="宋体"/>
                <w:bCs/>
              </w:rPr>
              <w:t>主要功能房间采用能独立开启的空调末端；</w:t>
            </w:r>
          </w:p>
          <w:p w:rsidR="005C0361" w:rsidRPr="00A712C0" w:rsidRDefault="005C0361" w:rsidP="005C0361">
            <w:pPr>
              <w:snapToGrid w:val="0"/>
              <w:spacing w:line="300" w:lineRule="auto"/>
              <w:rPr>
                <w:rFonts w:ascii="宋体" w:hAnsi="宋体"/>
                <w:bCs/>
              </w:rPr>
            </w:pPr>
            <w:r w:rsidRPr="00A712C0">
              <w:rPr>
                <w:rFonts w:ascii="宋体" w:hAnsi="宋体"/>
                <w:bCs/>
              </w:rPr>
              <w:t>2</w:t>
            </w:r>
            <w:r w:rsidRPr="00A712C0">
              <w:rPr>
                <w:rFonts w:ascii="宋体" w:hAnsi="宋体" w:hint="eastAsia"/>
                <w:bCs/>
              </w:rPr>
              <w:t xml:space="preserve"> </w:t>
            </w:r>
            <w:r w:rsidRPr="00A712C0">
              <w:rPr>
                <w:rFonts w:ascii="宋体" w:hAnsi="宋体"/>
                <w:bCs/>
              </w:rPr>
              <w:t>主要功能房间采用能进行温湿度调节的空调末端；</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3</w:t>
            </w:r>
            <w:r w:rsidRPr="00A712C0">
              <w:rPr>
                <w:rFonts w:ascii="宋体" w:hAnsi="宋体" w:hint="eastAsia"/>
                <w:bCs/>
              </w:rPr>
              <w:t xml:space="preserve"> </w:t>
            </w:r>
            <w:r w:rsidRPr="00A712C0">
              <w:rPr>
                <w:rFonts w:ascii="宋体" w:hAnsi="宋体"/>
                <w:bCs/>
              </w:rPr>
              <w:t>主要功能房间采用能独立湿度调节的空调末端。</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.5.10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宾馆类建筑围护结构构件隔声性能满足现行国家标准《民用建筑隔声设计规范》GBJ 118中的一级要求。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.5.11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建筑平面布局和空间功能安排合理，减少相邻空间的噪声干扰以及外界噪声对室内的影响。</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合理布置可能引起振动和噪声的设备，并采取有效的减振和隔声措施；</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对</w:t>
            </w:r>
            <w:r w:rsidRPr="00A712C0">
              <w:rPr>
                <w:rFonts w:ascii="宋体" w:hAnsi="宋体"/>
              </w:rPr>
              <w:t>噪声敏感的房间远离室内外噪声源。</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.5.12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bCs/>
              </w:rPr>
              <w:t>办公、宾馆类建筑75％以上的主要功能空间室内采光系数满足现行国家标准《建筑采光设计标准》GB 50033的要求。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.5.13  </w:t>
            </w:r>
          </w:p>
        </w:tc>
        <w:tc>
          <w:tcPr>
            <w:tcW w:w="4674" w:type="dxa"/>
            <w:gridSpan w:val="5"/>
            <w:vAlign w:val="center"/>
          </w:tcPr>
          <w:p w:rsidR="005C0361" w:rsidRPr="00A712C0" w:rsidRDefault="005C0361" w:rsidP="005C0361">
            <w:pPr>
              <w:pStyle w:val="af2"/>
              <w:snapToGrid w:val="0"/>
              <w:rPr>
                <w:rFonts w:ascii="宋体" w:hAnsi="宋体"/>
                <w:sz w:val="21"/>
                <w:szCs w:val="21"/>
              </w:rPr>
            </w:pPr>
            <w:r w:rsidRPr="00A712C0">
              <w:rPr>
                <w:rFonts w:ascii="宋体" w:hAnsi="宋体"/>
                <w:sz w:val="21"/>
                <w:szCs w:val="21"/>
              </w:rPr>
              <w:t>采用合理措施改善室内或地下空间的自然采光效果。</w:t>
            </w:r>
          </w:p>
          <w:p w:rsidR="005C0361" w:rsidRPr="00A712C0" w:rsidRDefault="005C0361" w:rsidP="005C0361">
            <w:pPr>
              <w:pStyle w:val="af2"/>
              <w:snapToGrid w:val="0"/>
              <w:rPr>
                <w:rFonts w:ascii="宋体" w:hAnsi="宋体"/>
                <w:sz w:val="21"/>
                <w:szCs w:val="21"/>
              </w:rPr>
            </w:pPr>
            <w:r w:rsidRPr="00A712C0">
              <w:rPr>
                <w:rFonts w:ascii="宋体" w:hAnsi="宋体"/>
                <w:sz w:val="21"/>
                <w:szCs w:val="21"/>
              </w:rPr>
              <w:t>1</w:t>
            </w:r>
            <w:r w:rsidRPr="00A712C0">
              <w:rPr>
                <w:rFonts w:ascii="宋体" w:hAnsi="宋体" w:hint="eastAsia"/>
                <w:sz w:val="21"/>
                <w:szCs w:val="21"/>
              </w:rPr>
              <w:t xml:space="preserve"> </w:t>
            </w:r>
            <w:r w:rsidRPr="00A712C0">
              <w:rPr>
                <w:rFonts w:ascii="宋体" w:hAnsi="宋体"/>
                <w:sz w:val="21"/>
                <w:szCs w:val="21"/>
              </w:rPr>
              <w:t>采用反光板、散光板、集光导光设备等措施改善室内空间采光效果，</w:t>
            </w:r>
            <w:r w:rsidRPr="00A712C0">
              <w:rPr>
                <w:rFonts w:ascii="宋体" w:hAnsi="宋体" w:hint="eastAsia"/>
                <w:sz w:val="21"/>
                <w:szCs w:val="21"/>
              </w:rPr>
              <w:t>并</w:t>
            </w:r>
            <w:r w:rsidRPr="00A712C0">
              <w:rPr>
                <w:rFonts w:ascii="宋体" w:hAnsi="宋体"/>
                <w:sz w:val="21"/>
                <w:szCs w:val="21"/>
              </w:rPr>
              <w:t>有防眩光措施，不少于75%的室内空间采光系数不低于2%；</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2</w:t>
            </w:r>
            <w:r w:rsidRPr="00A712C0">
              <w:rPr>
                <w:rFonts w:ascii="宋体" w:hAnsi="宋体" w:hint="eastAsia"/>
              </w:rPr>
              <w:t xml:space="preserve"> </w:t>
            </w:r>
            <w:r w:rsidRPr="00A712C0">
              <w:rPr>
                <w:rFonts w:ascii="宋体" w:hAnsi="宋体"/>
              </w:rPr>
              <w:t>采用采光井、集光导光设备等措施改善地下空间自然采光，不少于5%的地下一层空间采光系数不低于0.5%。</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center"/>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.5.14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办公、宾馆类建筑</w:t>
            </w:r>
            <w:r w:rsidRPr="00A712C0">
              <w:rPr>
                <w:rFonts w:ascii="宋体" w:hAnsi="宋体" w:hint="eastAsia"/>
              </w:rPr>
              <w:t>90</w:t>
            </w:r>
            <w:r w:rsidRPr="00A712C0">
              <w:rPr>
                <w:rFonts w:ascii="宋体" w:hAnsi="宋体"/>
              </w:rPr>
              <w:t>％以上的主要功能空间</w:t>
            </w:r>
            <w:r w:rsidRPr="00A712C0">
              <w:rPr>
                <w:rFonts w:ascii="宋体" w:hAnsi="宋体" w:hint="eastAsia"/>
              </w:rPr>
              <w:t>距楼地面垂直距离</w:t>
            </w:r>
            <w:smartTag w:uri="urn:schemas-microsoft-com:office:smarttags" w:element="chmetcnv">
              <w:smartTagPr>
                <w:attr w:name="UnitName" w:val="m"/>
                <w:attr w:name="SourceValue" w:val="1.2"/>
                <w:attr w:name="HasSpace" w:val="True"/>
                <w:attr w:name="Negative" w:val="False"/>
                <w:attr w:name="NumberType" w:val="1"/>
                <w:attr w:name="TCSC" w:val="0"/>
              </w:smartTagPr>
              <w:r w:rsidRPr="00A712C0">
                <w:rPr>
                  <w:rFonts w:ascii="宋体" w:hAnsi="宋体" w:hint="eastAsia"/>
                </w:rPr>
                <w:t>1.2</w:t>
              </w:r>
              <w:r w:rsidRPr="00A712C0">
                <w:rPr>
                  <w:rFonts w:ascii="宋体" w:hAnsi="宋体"/>
                </w:rPr>
                <w:t xml:space="preserve"> m</w:t>
              </w:r>
            </w:smartTag>
            <w:r w:rsidRPr="00A712C0">
              <w:rPr>
                <w:rFonts w:ascii="宋体" w:hAnsi="宋体" w:hint="eastAsia"/>
              </w:rPr>
              <w:t>处的视线可及室外</w:t>
            </w:r>
            <w:r w:rsidRPr="00A712C0">
              <w:rPr>
                <w:rFonts w:ascii="宋体" w:hAnsi="宋体"/>
              </w:rPr>
              <w:t>。</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.5.15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建筑入口和主要活动空间设有无障碍设施。</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6.5.16</w:t>
            </w:r>
          </w:p>
        </w:tc>
        <w:tc>
          <w:tcPr>
            <w:tcW w:w="4674" w:type="dxa"/>
            <w:gridSpan w:val="5"/>
            <w:vAlign w:val="center"/>
          </w:tcPr>
          <w:p w:rsidR="005C0361" w:rsidRPr="00A712C0" w:rsidRDefault="005C0361" w:rsidP="005C0361">
            <w:pPr>
              <w:pStyle w:val="af2"/>
              <w:snapToGrid w:val="0"/>
              <w:rPr>
                <w:rFonts w:ascii="宋体" w:hAnsi="宋体"/>
                <w:sz w:val="21"/>
                <w:szCs w:val="21"/>
              </w:rPr>
            </w:pPr>
            <w:r w:rsidRPr="00A712C0">
              <w:rPr>
                <w:rFonts w:ascii="宋体" w:hAnsi="宋体"/>
                <w:sz w:val="21"/>
                <w:szCs w:val="21"/>
              </w:rPr>
              <w:t>设置室内空气质量监控系统，保证健康舒适的室内环境。</w:t>
            </w:r>
          </w:p>
          <w:p w:rsidR="005C0361" w:rsidRPr="00A712C0" w:rsidRDefault="005C0361" w:rsidP="005C0361">
            <w:pPr>
              <w:pStyle w:val="af2"/>
              <w:snapToGrid w:val="0"/>
              <w:rPr>
                <w:rFonts w:ascii="宋体" w:hAnsi="宋体"/>
                <w:sz w:val="21"/>
                <w:szCs w:val="21"/>
              </w:rPr>
            </w:pPr>
            <w:r w:rsidRPr="00A712C0">
              <w:rPr>
                <w:rFonts w:ascii="宋体" w:hAnsi="宋体"/>
                <w:sz w:val="21"/>
                <w:szCs w:val="21"/>
              </w:rPr>
              <w:t>1</w:t>
            </w:r>
            <w:r w:rsidRPr="00A712C0">
              <w:rPr>
                <w:rFonts w:ascii="宋体" w:hAnsi="宋体" w:hint="eastAsia"/>
                <w:sz w:val="21"/>
                <w:szCs w:val="21"/>
              </w:rPr>
              <w:t>检测进、排风设备的工作状态，并与室内空气污染监测系统关联，实现自动通风调节；</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 xml:space="preserve">2 </w:t>
            </w:r>
            <w:r w:rsidRPr="00A712C0">
              <w:rPr>
                <w:rFonts w:ascii="宋体" w:hAnsi="宋体" w:hint="eastAsia"/>
              </w:rPr>
              <w:t>对室内主要功能空间的二氧化碳、空气污染物浓度进行数据采集和分析或能够实现污染物浓度超标实时报警。</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运营管理</w:t>
            </w: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控制项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.6.1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制定并实施节能、节水等资源节约与绿化管理制度。</w:t>
            </w:r>
          </w:p>
          <w:p w:rsidR="005C0361" w:rsidRPr="00A712C0" w:rsidRDefault="005C0361" w:rsidP="005C0361">
            <w:pPr>
              <w:snapToGrid w:val="0"/>
              <w:spacing w:line="300" w:lineRule="auto"/>
              <w:rPr>
                <w:rFonts w:ascii="宋体" w:hAnsi="宋体"/>
              </w:rPr>
            </w:pPr>
            <w:r w:rsidRPr="00A712C0">
              <w:rPr>
                <w:rFonts w:ascii="宋体" w:hAnsi="宋体"/>
              </w:rPr>
              <w:t>1 制订并实施节能管理模式、收费模式等节能管理制度；</w:t>
            </w:r>
          </w:p>
          <w:p w:rsidR="005C0361" w:rsidRPr="00A712C0" w:rsidRDefault="005C0361" w:rsidP="005C0361">
            <w:pPr>
              <w:snapToGrid w:val="0"/>
              <w:spacing w:line="300" w:lineRule="auto"/>
              <w:rPr>
                <w:rFonts w:ascii="宋体" w:hAnsi="宋体"/>
              </w:rPr>
            </w:pPr>
            <w:r w:rsidRPr="00A712C0">
              <w:rPr>
                <w:rFonts w:ascii="宋体" w:hAnsi="宋体"/>
              </w:rPr>
              <w:t>2 制订并实施梯级用水原则和节水方案等节水管理制度；</w:t>
            </w:r>
          </w:p>
          <w:p w:rsidR="005C0361" w:rsidRPr="00A712C0" w:rsidRDefault="005C0361" w:rsidP="005C0361">
            <w:pPr>
              <w:snapToGrid w:val="0"/>
              <w:spacing w:line="300" w:lineRule="auto"/>
              <w:rPr>
                <w:rFonts w:ascii="宋体" w:hAnsi="宋体"/>
              </w:rPr>
            </w:pPr>
            <w:r w:rsidRPr="00A712C0">
              <w:rPr>
                <w:rFonts w:ascii="宋体" w:hAnsi="宋体"/>
              </w:rPr>
              <w:t>3 制订并实施建筑、设备、系统的维护制度和耗材管理制度；</w:t>
            </w:r>
          </w:p>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4 制订并实施绿化用水的使用及计量、各种杀虫剂、除草剂、化肥、农药等化学药品的规范使用等绿化管理制度。</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.6.2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建筑运行过程中无不达标废气、废水排放。</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.6.3  </w:t>
            </w:r>
          </w:p>
        </w:tc>
        <w:tc>
          <w:tcPr>
            <w:tcW w:w="4674" w:type="dxa"/>
            <w:gridSpan w:val="5"/>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rPr>
              <w:t>设置分类收集的垃圾站和垃圾收集点，并根据建筑垃圾的来源、可否回用性质、处理难易度等进行分类，将其中</w:t>
            </w:r>
            <w:r w:rsidRPr="00A712C0">
              <w:rPr>
                <w:rFonts w:ascii="宋体" w:hAnsi="宋体" w:hint="eastAsia"/>
              </w:rPr>
              <w:t>可</w:t>
            </w:r>
            <w:r w:rsidRPr="00A712C0">
              <w:rPr>
                <w:rFonts w:ascii="宋体" w:hAnsi="宋体"/>
              </w:rPr>
              <w:t>再利用或可再生的材料进行有效回收处理，收集和处理过程中无二次污染。单独设置废电池、纸张</w:t>
            </w:r>
            <w:r w:rsidRPr="00A712C0">
              <w:rPr>
                <w:rFonts w:ascii="宋体" w:hAnsi="宋体" w:hint="eastAsia"/>
              </w:rPr>
              <w:t>、玻璃、塑料和金属</w:t>
            </w:r>
            <w:r w:rsidRPr="00A712C0">
              <w:rPr>
                <w:rFonts w:ascii="宋体" w:hAnsi="宋体"/>
              </w:rPr>
              <w:t>的回收点。</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restart"/>
            <w:vAlign w:val="center"/>
          </w:tcPr>
          <w:p w:rsidR="005C0361" w:rsidRPr="00A712C0" w:rsidRDefault="005C0361" w:rsidP="005C0361">
            <w:pPr>
              <w:widowControl/>
              <w:snapToGrid w:val="0"/>
              <w:spacing w:line="300" w:lineRule="auto"/>
              <w:jc w:val="center"/>
              <w:rPr>
                <w:rFonts w:ascii="宋体" w:hAnsi="宋体"/>
                <w:b/>
                <w:bCs/>
                <w:kern w:val="0"/>
              </w:rPr>
            </w:pPr>
            <w:r w:rsidRPr="00A712C0">
              <w:rPr>
                <w:rFonts w:ascii="宋体" w:hAnsi="宋体" w:cs="宋体" w:hint="eastAsia"/>
                <w:b/>
                <w:bCs/>
                <w:kern w:val="0"/>
              </w:rPr>
              <w:t>得分项</w:t>
            </w: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.6.4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建筑施工兼顾土方平衡和施工道路等设施在运营过程中的使用。符合以下任两项即为满足要求：</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施工</w:t>
            </w:r>
            <w:r w:rsidRPr="00A712C0">
              <w:rPr>
                <w:rFonts w:ascii="宋体" w:hAnsi="宋体" w:hint="eastAsia"/>
              </w:rPr>
              <w:t>过程</w:t>
            </w:r>
            <w:r w:rsidRPr="00A712C0">
              <w:rPr>
                <w:rFonts w:ascii="宋体" w:hAnsi="宋体"/>
              </w:rPr>
              <w:t>中挖出的弃土回填利用，基本满足土方量挖填平衡，或对邻近施工场地间的土方资源进行合理调配；</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收集和利用施工场地内土质良好的表面耕植土；</w:t>
            </w:r>
          </w:p>
          <w:p w:rsidR="005C0361" w:rsidRPr="00A712C0" w:rsidRDefault="005C0361" w:rsidP="005C0361">
            <w:pPr>
              <w:widowControl/>
              <w:snapToGrid w:val="0"/>
              <w:spacing w:line="300" w:lineRule="auto"/>
              <w:rPr>
                <w:rFonts w:ascii="宋体" w:hAnsi="宋体"/>
                <w:kern w:val="0"/>
              </w:rPr>
            </w:pPr>
            <w:r w:rsidRPr="00A712C0">
              <w:rPr>
                <w:rFonts w:ascii="宋体" w:hAnsi="宋体"/>
              </w:rPr>
              <w:t>3</w:t>
            </w:r>
            <w:r w:rsidRPr="00A712C0">
              <w:rPr>
                <w:rFonts w:ascii="宋体" w:hAnsi="宋体" w:hint="eastAsia"/>
              </w:rPr>
              <w:t xml:space="preserve"> </w:t>
            </w:r>
            <w:r w:rsidRPr="00A712C0">
              <w:rPr>
                <w:rFonts w:ascii="宋体" w:hAnsi="宋体"/>
              </w:rPr>
              <w:t>施工道路和建成后运营道路保持延续性，考虑临时设施在建筑运营中的应用。</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.6.5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设备、管道的设置便于维修、改造和更换。符合以下任两项即为满足要求：</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管井设置在公共部位；</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具有公共使用功能的设备、管道设置在公共部位；</w:t>
            </w:r>
          </w:p>
          <w:p w:rsidR="005C0361" w:rsidRPr="00A712C0" w:rsidRDefault="005C0361" w:rsidP="005C0361">
            <w:pPr>
              <w:widowControl/>
              <w:snapToGrid w:val="0"/>
              <w:spacing w:line="300" w:lineRule="auto"/>
              <w:rPr>
                <w:rFonts w:ascii="宋体" w:hAnsi="宋体"/>
                <w:kern w:val="0"/>
              </w:rPr>
            </w:pPr>
            <w:r w:rsidRPr="00A712C0">
              <w:rPr>
                <w:rFonts w:ascii="宋体" w:hAnsi="宋体"/>
              </w:rPr>
              <w:t>3</w:t>
            </w:r>
            <w:r w:rsidRPr="00A712C0">
              <w:rPr>
                <w:rFonts w:ascii="宋体" w:hAnsi="宋体" w:hint="eastAsia"/>
              </w:rPr>
              <w:t xml:space="preserve"> </w:t>
            </w:r>
            <w:r w:rsidRPr="00A712C0">
              <w:rPr>
                <w:rFonts w:ascii="宋体" w:hAnsi="宋体"/>
              </w:rPr>
              <w:t>采用其他便于维修和改造的措施。</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.6.6 </w:t>
            </w:r>
          </w:p>
        </w:tc>
        <w:tc>
          <w:tcPr>
            <w:tcW w:w="4674" w:type="dxa"/>
            <w:gridSpan w:val="5"/>
            <w:vAlign w:val="center"/>
          </w:tcPr>
          <w:p w:rsidR="005C0361" w:rsidRPr="00A712C0" w:rsidRDefault="005C0361" w:rsidP="005C0361">
            <w:pPr>
              <w:widowControl/>
              <w:snapToGrid w:val="0"/>
              <w:spacing w:line="300" w:lineRule="auto"/>
              <w:rPr>
                <w:rFonts w:ascii="宋体" w:hAnsi="宋体"/>
                <w:kern w:val="0"/>
              </w:rPr>
            </w:pPr>
            <w:r w:rsidRPr="00A712C0">
              <w:rPr>
                <w:rFonts w:ascii="宋体" w:hAnsi="宋体"/>
              </w:rPr>
              <w:t>对空调通风系统按照国家标准《空调通风系统清洗规范》GB 19210规定进行定期检查和清洗。</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.6.7 </w:t>
            </w:r>
          </w:p>
        </w:tc>
        <w:tc>
          <w:tcPr>
            <w:tcW w:w="4674" w:type="dxa"/>
            <w:gridSpan w:val="5"/>
            <w:vAlign w:val="center"/>
          </w:tcPr>
          <w:p w:rsidR="005C0361" w:rsidRPr="00A712C0" w:rsidRDefault="005C0361" w:rsidP="005C0361">
            <w:pPr>
              <w:widowControl/>
              <w:snapToGrid w:val="0"/>
              <w:spacing w:line="300" w:lineRule="auto"/>
              <w:rPr>
                <w:rFonts w:ascii="宋体" w:hAnsi="宋体"/>
                <w:kern w:val="0"/>
              </w:rPr>
            </w:pPr>
            <w:r w:rsidRPr="00A712C0">
              <w:rPr>
                <w:rFonts w:ascii="宋体" w:hAnsi="宋体"/>
              </w:rPr>
              <w:t>建筑智能化系统定位合理，信息网络系统功能完善</w:t>
            </w:r>
            <w:r w:rsidRPr="00A712C0">
              <w:rPr>
                <w:rFonts w:ascii="宋体" w:hAnsi="宋体" w:hint="eastAsia"/>
              </w:rPr>
              <w:t>，</w:t>
            </w:r>
            <w:r w:rsidRPr="00A712C0">
              <w:rPr>
                <w:rFonts w:ascii="宋体" w:hAnsi="宋体"/>
              </w:rPr>
              <w:t>且满足国家标准《智能建筑设计标准》GB/T 50314的基本配置要求和国家标准《智能建筑工程质量验收规范》GB 50339的要求。</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.6.8 </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建筑通风、空调、照明等设备自动监控系统技术合理，系统高效运营。符合以下任两项即为满足要求：</w:t>
            </w:r>
          </w:p>
          <w:p w:rsidR="005C0361" w:rsidRPr="00A712C0" w:rsidRDefault="005C0361" w:rsidP="005C0361">
            <w:pPr>
              <w:snapToGrid w:val="0"/>
              <w:spacing w:line="300" w:lineRule="auto"/>
              <w:rPr>
                <w:rFonts w:ascii="宋体" w:hAnsi="宋体"/>
              </w:rPr>
            </w:pPr>
            <w:r w:rsidRPr="00A712C0">
              <w:rPr>
                <w:rFonts w:ascii="宋体" w:hAnsi="宋体"/>
              </w:rPr>
              <w:t>1</w:t>
            </w:r>
            <w:r w:rsidRPr="00A712C0">
              <w:rPr>
                <w:rFonts w:ascii="宋体" w:hAnsi="宋体" w:hint="eastAsia"/>
              </w:rPr>
              <w:t xml:space="preserve"> </w:t>
            </w:r>
            <w:r w:rsidRPr="00A712C0">
              <w:rPr>
                <w:rFonts w:ascii="宋体" w:hAnsi="宋体"/>
              </w:rPr>
              <w:t>设置对空调、通风系统</w:t>
            </w:r>
            <w:r w:rsidRPr="00A712C0">
              <w:rPr>
                <w:rFonts w:ascii="宋体" w:hAnsi="宋体" w:hint="eastAsia"/>
              </w:rPr>
              <w:t>和</w:t>
            </w:r>
            <w:r w:rsidRPr="00A712C0">
              <w:rPr>
                <w:rFonts w:ascii="宋体" w:hAnsi="宋体"/>
              </w:rPr>
              <w:t>设备及环境参数的定期自动检测和记录系统；</w:t>
            </w:r>
          </w:p>
          <w:p w:rsidR="005C0361" w:rsidRPr="00A712C0" w:rsidRDefault="005C0361" w:rsidP="005C0361">
            <w:pPr>
              <w:snapToGrid w:val="0"/>
              <w:spacing w:line="300" w:lineRule="auto"/>
              <w:rPr>
                <w:rFonts w:ascii="宋体" w:hAnsi="宋体"/>
              </w:rPr>
            </w:pPr>
            <w:r w:rsidRPr="00A712C0">
              <w:rPr>
                <w:rFonts w:ascii="宋体" w:hAnsi="宋体"/>
              </w:rPr>
              <w:t>2</w:t>
            </w:r>
            <w:r w:rsidRPr="00A712C0">
              <w:rPr>
                <w:rFonts w:ascii="宋体" w:hAnsi="宋体" w:hint="eastAsia"/>
              </w:rPr>
              <w:t xml:space="preserve"> </w:t>
            </w:r>
            <w:r w:rsidRPr="00A712C0">
              <w:rPr>
                <w:rFonts w:ascii="宋体" w:hAnsi="宋体"/>
              </w:rPr>
              <w:t>空调通风系统设置根据负荷变化而调节的自动控制系统，且运行正常；</w:t>
            </w:r>
          </w:p>
          <w:p w:rsidR="005C0361" w:rsidRPr="00A712C0" w:rsidRDefault="005C0361" w:rsidP="005C0361">
            <w:pPr>
              <w:widowControl/>
              <w:snapToGrid w:val="0"/>
              <w:spacing w:line="300" w:lineRule="auto"/>
              <w:rPr>
                <w:rFonts w:ascii="宋体" w:hAnsi="宋体"/>
                <w:kern w:val="0"/>
              </w:rPr>
            </w:pPr>
            <w:r w:rsidRPr="00A712C0">
              <w:rPr>
                <w:rFonts w:ascii="宋体" w:hAnsi="宋体"/>
              </w:rPr>
              <w:t>3</w:t>
            </w:r>
            <w:r w:rsidRPr="00A712C0">
              <w:rPr>
                <w:rFonts w:ascii="宋体" w:hAnsi="宋体" w:hint="eastAsia"/>
              </w:rPr>
              <w:t xml:space="preserve"> </w:t>
            </w:r>
            <w:r w:rsidRPr="00A712C0">
              <w:rPr>
                <w:rFonts w:ascii="宋体" w:hAnsi="宋体"/>
              </w:rPr>
              <w:t>公共区域照明系统设置自动调节系统，且运行正常。</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.6.9 </w:t>
            </w:r>
          </w:p>
        </w:tc>
        <w:tc>
          <w:tcPr>
            <w:tcW w:w="4674" w:type="dxa"/>
            <w:gridSpan w:val="5"/>
            <w:vAlign w:val="center"/>
          </w:tcPr>
          <w:p w:rsidR="005C0361" w:rsidRPr="00A712C0" w:rsidRDefault="005C0361" w:rsidP="005C0361">
            <w:pPr>
              <w:widowControl/>
              <w:snapToGrid w:val="0"/>
              <w:spacing w:line="300" w:lineRule="auto"/>
              <w:rPr>
                <w:rFonts w:ascii="宋体" w:hAnsi="宋体"/>
                <w:kern w:val="0"/>
              </w:rPr>
            </w:pPr>
            <w:r w:rsidRPr="00A712C0">
              <w:rPr>
                <w:rFonts w:ascii="宋体" w:hAnsi="宋体"/>
              </w:rPr>
              <w:t>建筑耗电、冷热量等实行分项计量，并安装能源管理系统。办公、商场类建筑</w:t>
            </w:r>
            <w:r w:rsidRPr="00A712C0">
              <w:rPr>
                <w:rFonts w:ascii="宋体" w:hAnsi="宋体" w:hint="eastAsia"/>
              </w:rPr>
              <w:t>根据计量结果进行收费。</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snapToGrid w:val="0"/>
              <w:spacing w:line="300" w:lineRule="auto"/>
              <w:jc w:val="center"/>
              <w:rPr>
                <w:rFonts w:ascii="宋体" w:hAnsi="宋体"/>
              </w:rPr>
            </w:pP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w:t>
            </w:r>
            <w:r w:rsidRPr="00A712C0">
              <w:rPr>
                <w:rFonts w:ascii="宋体" w:hAnsi="宋体"/>
                <w:kern w:val="0"/>
              </w:rPr>
              <w:t xml:space="preserve">.6.10 </w:t>
            </w:r>
          </w:p>
        </w:tc>
        <w:tc>
          <w:tcPr>
            <w:tcW w:w="4674" w:type="dxa"/>
            <w:gridSpan w:val="5"/>
            <w:vAlign w:val="center"/>
          </w:tcPr>
          <w:p w:rsidR="005C0361" w:rsidRPr="00A712C0" w:rsidRDefault="005C0361" w:rsidP="005C0361">
            <w:pPr>
              <w:widowControl/>
              <w:snapToGrid w:val="0"/>
              <w:spacing w:line="300" w:lineRule="auto"/>
              <w:rPr>
                <w:rFonts w:ascii="宋体" w:hAnsi="宋体"/>
                <w:kern w:val="0"/>
              </w:rPr>
            </w:pPr>
            <w:r w:rsidRPr="00A712C0">
              <w:rPr>
                <w:rFonts w:ascii="宋体" w:hAnsi="宋体"/>
              </w:rPr>
              <w:t>物业管理部门通过ISO</w:t>
            </w:r>
            <w:r w:rsidRPr="00A712C0">
              <w:rPr>
                <w:rFonts w:ascii="宋体" w:hAnsi="宋体" w:hint="eastAsia"/>
              </w:rPr>
              <w:t xml:space="preserve"> </w:t>
            </w:r>
            <w:r w:rsidRPr="00A712C0">
              <w:rPr>
                <w:rFonts w:ascii="宋体" w:hAnsi="宋体"/>
              </w:rPr>
              <w:t>14001环境管理体系认证。</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23" w:type="dxa"/>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432" w:type="dxa"/>
            <w:gridSpan w:val="2"/>
            <w:vMerge/>
            <w:vAlign w:val="center"/>
          </w:tcPr>
          <w:p w:rsidR="005C0361" w:rsidRPr="00A712C0" w:rsidRDefault="005C0361" w:rsidP="005C0361">
            <w:pPr>
              <w:widowControl/>
              <w:snapToGrid w:val="0"/>
              <w:spacing w:line="300" w:lineRule="auto"/>
              <w:jc w:val="left"/>
              <w:rPr>
                <w:rFonts w:ascii="宋体" w:hAnsi="宋体"/>
                <w:b/>
                <w:bCs/>
                <w:kern w:val="0"/>
              </w:rPr>
            </w:pPr>
          </w:p>
        </w:tc>
        <w:tc>
          <w:tcPr>
            <w:tcW w:w="930" w:type="dxa"/>
            <w:gridSpan w:val="2"/>
            <w:vAlign w:val="center"/>
          </w:tcPr>
          <w:p w:rsidR="005C0361" w:rsidRPr="00A712C0" w:rsidRDefault="005C0361" w:rsidP="005C0361">
            <w:pPr>
              <w:widowControl/>
              <w:snapToGrid w:val="0"/>
              <w:spacing w:line="300" w:lineRule="auto"/>
              <w:jc w:val="left"/>
              <w:rPr>
                <w:rFonts w:ascii="宋体" w:hAnsi="宋体"/>
                <w:kern w:val="0"/>
              </w:rPr>
            </w:pPr>
            <w:r w:rsidRPr="00A712C0">
              <w:rPr>
                <w:rFonts w:ascii="宋体" w:hAnsi="宋体" w:hint="eastAsia"/>
                <w:kern w:val="0"/>
              </w:rPr>
              <w:t>6.6.11</w:t>
            </w:r>
          </w:p>
        </w:tc>
        <w:tc>
          <w:tcPr>
            <w:tcW w:w="4674" w:type="dxa"/>
            <w:gridSpan w:val="5"/>
            <w:vAlign w:val="center"/>
          </w:tcPr>
          <w:p w:rsidR="005C0361" w:rsidRPr="00A712C0" w:rsidRDefault="005C0361" w:rsidP="005C0361">
            <w:pPr>
              <w:widowControl/>
              <w:snapToGrid w:val="0"/>
              <w:spacing w:line="300" w:lineRule="auto"/>
              <w:rPr>
                <w:rFonts w:ascii="宋体" w:hAnsi="宋体"/>
                <w:kern w:val="0"/>
              </w:rPr>
            </w:pPr>
            <w:r w:rsidRPr="00A712C0">
              <w:rPr>
                <w:rFonts w:ascii="宋体" w:hAnsi="宋体" w:hint="eastAsia"/>
                <w:kern w:val="0"/>
              </w:rPr>
              <w:t>具有并实施资源管理激励机制，管理业绩与节约资源、提高经济效益挂钩。</w:t>
            </w:r>
          </w:p>
        </w:tc>
        <w:tc>
          <w:tcPr>
            <w:tcW w:w="1250"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333" w:type="dxa"/>
            <w:gridSpan w:val="2"/>
            <w:vAlign w:val="center"/>
          </w:tcPr>
          <w:p w:rsidR="005C0361" w:rsidRPr="00A712C0" w:rsidRDefault="005C0361" w:rsidP="005C0361">
            <w:pPr>
              <w:widowControl/>
              <w:spacing w:line="288" w:lineRule="auto"/>
              <w:jc w:val="center"/>
              <w:rPr>
                <w:rFonts w:ascii="宋体" w:hAnsi="宋体"/>
                <w:kern w:val="0"/>
              </w:rPr>
            </w:pPr>
            <w:r w:rsidRPr="00A712C0">
              <w:rPr>
                <w:rFonts w:ascii="宋体" w:hAnsi="宋体"/>
              </w:rPr>
              <w:t>—</w:t>
            </w:r>
          </w:p>
        </w:tc>
        <w:tc>
          <w:tcPr>
            <w:tcW w:w="1448" w:type="dxa"/>
            <w:gridSpan w:val="2"/>
            <w:vAlign w:val="center"/>
          </w:tcPr>
          <w:p w:rsidR="005C0361" w:rsidRPr="00A712C0" w:rsidRDefault="005C0361" w:rsidP="005C0361">
            <w:pPr>
              <w:widowControl/>
              <w:spacing w:line="288" w:lineRule="auto"/>
              <w:jc w:val="left"/>
              <w:rPr>
                <w:rFonts w:ascii="宋体" w:hAnsi="宋体"/>
                <w:kern w:val="0"/>
              </w:rPr>
            </w:pPr>
            <w:r w:rsidRPr="00A712C0">
              <w:rPr>
                <w:rFonts w:ascii="宋体" w:hAnsi="宋体" w:hint="eastAsia"/>
                <w:kern w:val="0"/>
              </w:rPr>
              <w:t>设计阶段不参评。</w:t>
            </w:r>
          </w:p>
        </w:tc>
      </w:tr>
      <w:tr w:rsidR="005C0361" w:rsidRPr="00A712C0" w:rsidTr="00397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855" w:type="dxa"/>
            <w:gridSpan w:val="3"/>
            <w:textDirection w:val="tbRlV"/>
            <w:vAlign w:val="center"/>
          </w:tcPr>
          <w:p w:rsidR="005C0361" w:rsidRPr="00A712C0" w:rsidRDefault="005C0361" w:rsidP="005C0361">
            <w:pPr>
              <w:widowControl/>
              <w:snapToGrid w:val="0"/>
              <w:spacing w:line="300" w:lineRule="auto"/>
              <w:jc w:val="center"/>
              <w:rPr>
                <w:rFonts w:ascii="宋体" w:hAnsi="宋体" w:cs="宋体"/>
                <w:b/>
                <w:kern w:val="0"/>
              </w:rPr>
            </w:pPr>
            <w:r w:rsidRPr="0046141D">
              <w:rPr>
                <w:rFonts w:ascii="宋体" w:hAnsi="宋体" w:cs="宋体" w:hint="eastAsia"/>
                <w:b/>
                <w:bCs/>
                <w:kern w:val="0"/>
              </w:rPr>
              <w:t>创</w:t>
            </w:r>
            <w:r>
              <w:rPr>
                <w:rFonts w:ascii="宋体" w:hAnsi="宋体" w:cs="宋体" w:hint="eastAsia"/>
                <w:b/>
                <w:bCs/>
                <w:kern w:val="0"/>
              </w:rPr>
              <w:t xml:space="preserve"> </w:t>
            </w:r>
            <w:r w:rsidRPr="0046141D">
              <w:rPr>
                <w:rFonts w:ascii="宋体" w:hAnsi="宋体" w:cs="宋体" w:hint="eastAsia"/>
                <w:b/>
                <w:bCs/>
                <w:kern w:val="0"/>
              </w:rPr>
              <w:t>新</w:t>
            </w:r>
            <w:r>
              <w:rPr>
                <w:rFonts w:ascii="宋体" w:hAnsi="宋体" w:cs="宋体" w:hint="eastAsia"/>
                <w:b/>
                <w:bCs/>
                <w:kern w:val="0"/>
              </w:rPr>
              <w:t xml:space="preserve"> </w:t>
            </w:r>
            <w:r w:rsidRPr="0046141D">
              <w:rPr>
                <w:rFonts w:ascii="宋体" w:hAnsi="宋体" w:cs="宋体" w:hint="eastAsia"/>
                <w:b/>
                <w:bCs/>
                <w:kern w:val="0"/>
              </w:rPr>
              <w:t>项</w:t>
            </w:r>
          </w:p>
        </w:tc>
        <w:tc>
          <w:tcPr>
            <w:tcW w:w="930" w:type="dxa"/>
            <w:gridSpan w:val="2"/>
            <w:vAlign w:val="center"/>
          </w:tcPr>
          <w:p w:rsidR="005C0361" w:rsidRPr="00A712C0" w:rsidRDefault="005C0361" w:rsidP="005C0361">
            <w:pPr>
              <w:widowControl/>
              <w:snapToGrid w:val="0"/>
              <w:spacing w:line="300" w:lineRule="auto"/>
              <w:jc w:val="center"/>
              <w:rPr>
                <w:rFonts w:ascii="宋体" w:hAnsi="宋体" w:cs="宋体"/>
                <w:b/>
                <w:kern w:val="0"/>
              </w:rPr>
            </w:pPr>
            <w:r w:rsidRPr="00A712C0">
              <w:rPr>
                <w:rFonts w:ascii="宋体" w:hAnsi="宋体" w:hint="eastAsia"/>
                <w:kern w:val="0"/>
              </w:rPr>
              <w:t>6</w:t>
            </w:r>
            <w:r w:rsidRPr="00A712C0">
              <w:rPr>
                <w:rFonts w:ascii="宋体" w:hAnsi="宋体"/>
                <w:kern w:val="0"/>
              </w:rPr>
              <w:t>.</w:t>
            </w:r>
            <w:r w:rsidRPr="00A712C0">
              <w:rPr>
                <w:rFonts w:ascii="宋体" w:hAnsi="宋体" w:hint="eastAsia"/>
                <w:kern w:val="0"/>
              </w:rPr>
              <w:t>7</w:t>
            </w:r>
            <w:r w:rsidRPr="00A712C0">
              <w:rPr>
                <w:rFonts w:ascii="宋体" w:hAnsi="宋体"/>
                <w:kern w:val="0"/>
              </w:rPr>
              <w:t>.1</w:t>
            </w:r>
          </w:p>
        </w:tc>
        <w:tc>
          <w:tcPr>
            <w:tcW w:w="4674" w:type="dxa"/>
            <w:gridSpan w:val="5"/>
            <w:vAlign w:val="center"/>
          </w:tcPr>
          <w:p w:rsidR="005C0361" w:rsidRPr="00A712C0" w:rsidRDefault="005C0361" w:rsidP="005C0361">
            <w:pPr>
              <w:snapToGrid w:val="0"/>
              <w:spacing w:line="300" w:lineRule="auto"/>
              <w:rPr>
                <w:rFonts w:ascii="宋体" w:hAnsi="宋体"/>
              </w:rPr>
            </w:pPr>
            <w:r w:rsidRPr="00A712C0">
              <w:rPr>
                <w:rFonts w:ascii="宋体" w:hAnsi="宋体"/>
              </w:rPr>
              <w:t>创新项包括但不限于以下内容：</w:t>
            </w:r>
          </w:p>
          <w:p w:rsidR="005C0361" w:rsidRPr="00A712C0" w:rsidRDefault="005C0361" w:rsidP="005C0361">
            <w:pPr>
              <w:snapToGrid w:val="0"/>
              <w:spacing w:line="300" w:lineRule="auto"/>
              <w:ind w:firstLineChars="200" w:firstLine="412"/>
              <w:rPr>
                <w:rFonts w:ascii="宋体" w:hAnsi="宋体"/>
              </w:rPr>
            </w:pPr>
            <w:r w:rsidRPr="00A712C0">
              <w:rPr>
                <w:rFonts w:ascii="宋体" w:hAnsi="宋体"/>
              </w:rPr>
              <w:t>1 空调能耗不高于国家和深圳市建筑节能标准规定值的70%；</w:t>
            </w:r>
          </w:p>
          <w:p w:rsidR="005C0361" w:rsidRPr="00A712C0" w:rsidRDefault="005C0361" w:rsidP="005C0361">
            <w:pPr>
              <w:snapToGrid w:val="0"/>
              <w:spacing w:line="300" w:lineRule="auto"/>
              <w:ind w:firstLineChars="200" w:firstLine="412"/>
              <w:rPr>
                <w:rFonts w:ascii="宋体" w:hAnsi="宋体"/>
              </w:rPr>
            </w:pPr>
            <w:r w:rsidRPr="00A712C0">
              <w:rPr>
                <w:rFonts w:ascii="宋体" w:hAnsi="宋体"/>
              </w:rPr>
              <w:t>2</w:t>
            </w:r>
            <w:r w:rsidRPr="00A712C0">
              <w:rPr>
                <w:rFonts w:ascii="宋体" w:hAnsi="宋体"/>
                <w:b/>
              </w:rPr>
              <w:t xml:space="preserve"> </w:t>
            </w:r>
            <w:r w:rsidRPr="00A712C0">
              <w:rPr>
                <w:rFonts w:ascii="宋体" w:hAnsi="宋体"/>
              </w:rPr>
              <w:t>办公楼、商场类建筑非传统水源利用率不低于50％，旅馆类建筑不低于35％；</w:t>
            </w:r>
          </w:p>
          <w:p w:rsidR="005C0361" w:rsidRPr="00A712C0" w:rsidRDefault="005C0361" w:rsidP="005C0361">
            <w:pPr>
              <w:snapToGrid w:val="0"/>
              <w:spacing w:line="300" w:lineRule="auto"/>
              <w:ind w:firstLineChars="200" w:firstLine="412"/>
              <w:rPr>
                <w:rFonts w:ascii="宋体" w:hAnsi="宋体"/>
                <w:bCs/>
              </w:rPr>
            </w:pPr>
            <w:r w:rsidRPr="00A712C0">
              <w:rPr>
                <w:rFonts w:ascii="宋体" w:hAnsi="宋体"/>
              </w:rPr>
              <w:t xml:space="preserve">3 </w:t>
            </w:r>
            <w:r w:rsidRPr="00A712C0">
              <w:rPr>
                <w:rFonts w:ascii="宋体" w:hAnsi="宋体"/>
                <w:bCs/>
              </w:rPr>
              <w:t>在不污染海水的情况下，合理利用海水作为非传统水源或空调冷热源；</w:t>
            </w:r>
          </w:p>
          <w:p w:rsidR="005C0361" w:rsidRPr="00A712C0" w:rsidRDefault="005C0361" w:rsidP="005C0361">
            <w:pPr>
              <w:widowControl/>
              <w:snapToGrid w:val="0"/>
              <w:spacing w:line="300" w:lineRule="auto"/>
              <w:jc w:val="left"/>
              <w:rPr>
                <w:rFonts w:ascii="宋体" w:hAnsi="宋体" w:cs="宋体"/>
                <w:b/>
                <w:kern w:val="0"/>
              </w:rPr>
            </w:pPr>
            <w:r>
              <w:rPr>
                <w:rFonts w:ascii="宋体" w:hAnsi="宋体"/>
                <w:bCs/>
              </w:rPr>
              <w:t xml:space="preserve">    </w:t>
            </w:r>
            <w:r w:rsidRPr="00A712C0">
              <w:rPr>
                <w:rFonts w:ascii="宋体" w:hAnsi="宋体"/>
                <w:bCs/>
              </w:rPr>
              <w:t>4 设置可调节外遮阳，建筑的外窗综合外遮阳系数不大于0.4。</w:t>
            </w:r>
          </w:p>
        </w:tc>
        <w:tc>
          <w:tcPr>
            <w:tcW w:w="1250"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333" w:type="dxa"/>
            <w:gridSpan w:val="2"/>
            <w:vAlign w:val="center"/>
          </w:tcPr>
          <w:p w:rsidR="005C0361" w:rsidRPr="00A712C0" w:rsidRDefault="005C0361" w:rsidP="005C0361">
            <w:pPr>
              <w:rPr>
                <w:rFonts w:ascii="宋体" w:hAnsi="宋体" w:cs="仿宋_GB2312"/>
              </w:rPr>
            </w:pPr>
            <w:r w:rsidRPr="00A712C0">
              <w:rPr>
                <w:rFonts w:ascii="宋体" w:hAnsi="宋体" w:cs="仿宋_GB2312" w:hint="eastAsia"/>
              </w:rPr>
              <w:t>□ 符合</w:t>
            </w:r>
          </w:p>
          <w:p w:rsidR="005C0361" w:rsidRPr="00A712C0" w:rsidRDefault="005C0361" w:rsidP="005C0361">
            <w:pPr>
              <w:rPr>
                <w:rFonts w:ascii="宋体" w:hAnsi="宋体"/>
              </w:rPr>
            </w:pPr>
            <w:r w:rsidRPr="00A712C0">
              <w:rPr>
                <w:rFonts w:ascii="宋体" w:hAnsi="宋体" w:cs="仿宋_GB2312" w:hint="eastAsia"/>
              </w:rPr>
              <w:t>□ 不符合</w:t>
            </w:r>
          </w:p>
        </w:tc>
        <w:tc>
          <w:tcPr>
            <w:tcW w:w="1448" w:type="dxa"/>
            <w:gridSpan w:val="2"/>
            <w:vAlign w:val="center"/>
          </w:tcPr>
          <w:p w:rsidR="005C0361" w:rsidRPr="00A712C0" w:rsidRDefault="005C0361" w:rsidP="005C0361">
            <w:pPr>
              <w:widowControl/>
              <w:snapToGrid w:val="0"/>
              <w:spacing w:line="300" w:lineRule="auto"/>
              <w:jc w:val="center"/>
              <w:rPr>
                <w:rFonts w:ascii="宋体" w:hAnsi="宋体" w:cs="宋体"/>
                <w:b/>
                <w:kern w:val="0"/>
              </w:rPr>
            </w:pPr>
          </w:p>
        </w:tc>
      </w:tr>
    </w:tbl>
    <w:p w:rsidR="003D2F66" w:rsidRDefault="003D2F66" w:rsidP="00073799">
      <w:pPr>
        <w:jc w:val="left"/>
        <w:rPr>
          <w:rFonts w:ascii="仿宋_GB2312" w:eastAsia="仿宋_GB2312"/>
          <w:sz w:val="24"/>
        </w:rPr>
      </w:pPr>
    </w:p>
    <w:p w:rsidR="00B50566" w:rsidRPr="00B50566" w:rsidRDefault="0081222E" w:rsidP="00CB6E05">
      <w:pPr>
        <w:jc w:val="left"/>
        <w:rPr>
          <w:rFonts w:ascii="仿宋_GB2312" w:eastAsia="仿宋_GB2312"/>
          <w:sz w:val="30"/>
          <w:szCs w:val="30"/>
        </w:rPr>
      </w:pPr>
      <w:r w:rsidRPr="00073799">
        <w:rPr>
          <w:rFonts w:ascii="仿宋_GB2312" w:eastAsia="仿宋_GB2312" w:hint="eastAsia"/>
          <w:sz w:val="24"/>
        </w:rPr>
        <w:t xml:space="preserve">检查组成员签字：                               </w:t>
      </w:r>
      <w:r w:rsidRPr="00073799">
        <w:rPr>
          <w:rFonts w:ascii="仿宋_GB2312" w:eastAsia="仿宋_GB2312"/>
          <w:sz w:val="24"/>
        </w:rPr>
        <w:t xml:space="preserve">   </w:t>
      </w:r>
      <w:r w:rsidRPr="00073799">
        <w:rPr>
          <w:rFonts w:ascii="仿宋_GB2312" w:eastAsia="仿宋_GB2312" w:hint="eastAsia"/>
          <w:sz w:val="24"/>
        </w:rPr>
        <w:t>日期：</w:t>
      </w:r>
    </w:p>
    <w:sectPr w:rsidR="00B50566" w:rsidRPr="00B50566" w:rsidSect="00776F79">
      <w:headerReference w:type="even" r:id="rId7"/>
      <w:headerReference w:type="default" r:id="rId8"/>
      <w:footerReference w:type="even" r:id="rId9"/>
      <w:footerReference w:type="default" r:id="rId10"/>
      <w:pgSz w:w="11906" w:h="16838"/>
      <w:pgMar w:top="1134" w:right="1134" w:bottom="1021" w:left="1134" w:header="851" w:footer="992"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00" w:rsidRDefault="00202D00" w:rsidP="00692A32">
      <w:r>
        <w:separator/>
      </w:r>
    </w:p>
  </w:endnote>
  <w:endnote w:type="continuationSeparator" w:id="0">
    <w:p w:rsidR="00202D00" w:rsidRDefault="00202D00" w:rsidP="006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CA37C0" w:rsidP="00B50566">
    <w:pPr>
      <w:pStyle w:val="a6"/>
      <w:framePr w:wrap="around" w:vAnchor="text" w:hAnchor="margin" w:xAlign="center" w:y="1"/>
      <w:rPr>
        <w:rStyle w:val="a7"/>
      </w:rPr>
    </w:pPr>
    <w:r>
      <w:rPr>
        <w:rStyle w:val="a7"/>
      </w:rPr>
      <w:fldChar w:fldCharType="begin"/>
    </w:r>
    <w:r w:rsidR="0081222E">
      <w:rPr>
        <w:rStyle w:val="a7"/>
      </w:rPr>
      <w:instrText xml:space="preserve">PAGE  </w:instrText>
    </w:r>
    <w:r>
      <w:rPr>
        <w:rStyle w:val="a7"/>
      </w:rPr>
      <w:fldChar w:fldCharType="end"/>
    </w:r>
  </w:p>
  <w:p w:rsidR="0081222E" w:rsidRDefault="008122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202D00">
    <w:pPr>
      <w:pStyle w:val="a6"/>
      <w:jc w:val="center"/>
    </w:pPr>
    <w:r>
      <w:fldChar w:fldCharType="begin"/>
    </w:r>
    <w:r>
      <w:instrText xml:space="preserve"> PAGE   \* MERGEFORMAT </w:instrText>
    </w:r>
    <w:r>
      <w:fldChar w:fldCharType="separate"/>
    </w:r>
    <w:r w:rsidR="00EE4C30" w:rsidRPr="00EE4C30">
      <w:rPr>
        <w:noProof/>
        <w:lang w:val="zh-CN"/>
      </w:rPr>
      <w:t>15</w:t>
    </w:r>
    <w:r>
      <w:rPr>
        <w:noProof/>
        <w:lang w:val="zh-CN"/>
      </w:rPr>
      <w:fldChar w:fldCharType="end"/>
    </w:r>
  </w:p>
  <w:p w:rsidR="0081222E" w:rsidRDefault="00812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00" w:rsidRDefault="00202D00" w:rsidP="00692A32">
      <w:r>
        <w:separator/>
      </w:r>
    </w:p>
  </w:footnote>
  <w:footnote w:type="continuationSeparator" w:id="0">
    <w:p w:rsidR="00202D00" w:rsidRDefault="00202D00" w:rsidP="0069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0000007"/>
    <w:multiLevelType w:val="multilevel"/>
    <w:tmpl w:val="00000007"/>
    <w:lvl w:ilvl="0">
      <w:start w:val="1"/>
      <w:numFmt w:val="bullet"/>
      <w:lvlText w:val=""/>
      <w:lvlPicBulletId w:val="0"/>
      <w:lvlJc w:val="left"/>
      <w:pPr>
        <w:tabs>
          <w:tab w:val="num" w:pos="840"/>
        </w:tabs>
        <w:ind w:left="840" w:hanging="420"/>
      </w:pPr>
      <w:rPr>
        <w:rFonts w:ascii="Symbol" w:hAnsi="Symbol" w:cs="Symbol" w:hint="default"/>
        <w:color w:val="auto"/>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00000008"/>
    <w:multiLevelType w:val="multilevel"/>
    <w:tmpl w:val="00000008"/>
    <w:lvl w:ilvl="0">
      <w:start w:val="5"/>
      <w:numFmt w:val="decimal"/>
      <w:lvlText w:val="%1"/>
      <w:lvlJc w:val="left"/>
      <w:pPr>
        <w:ind w:left="405" w:hanging="405"/>
      </w:pPr>
      <w:rPr>
        <w:rFonts w:cs="宋体" w:hint="default"/>
      </w:rPr>
    </w:lvl>
    <w:lvl w:ilvl="1">
      <w:start w:val="3"/>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5640" w:hanging="1440"/>
      </w:pPr>
      <w:rPr>
        <w:rFonts w:cs="宋体" w:hint="default"/>
      </w:rPr>
    </w:lvl>
    <w:lvl w:ilvl="6">
      <w:start w:val="1"/>
      <w:numFmt w:val="decimal"/>
      <w:lvlText w:val="%1.%2.%3.%4.%5.%6.%7"/>
      <w:lvlJc w:val="left"/>
      <w:pPr>
        <w:ind w:left="6840" w:hanging="180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8880" w:hanging="2160"/>
      </w:pPr>
      <w:rPr>
        <w:rFonts w:cs="宋体" w:hint="default"/>
      </w:rPr>
    </w:lvl>
  </w:abstractNum>
  <w:abstractNum w:abstractNumId="2">
    <w:nsid w:val="0E9F17C7"/>
    <w:multiLevelType w:val="hybridMultilevel"/>
    <w:tmpl w:val="33F6B9BA"/>
    <w:lvl w:ilvl="0" w:tplc="958CC2D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3B0981"/>
    <w:multiLevelType w:val="hybridMultilevel"/>
    <w:tmpl w:val="805820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5714D2"/>
    <w:multiLevelType w:val="hybridMultilevel"/>
    <w:tmpl w:val="F12CCFD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5">
    <w:nsid w:val="12DC4637"/>
    <w:multiLevelType w:val="hybridMultilevel"/>
    <w:tmpl w:val="DDCEA1DC"/>
    <w:lvl w:ilvl="0" w:tplc="0409000F">
      <w:start w:val="1"/>
      <w:numFmt w:val="decimal"/>
      <w:lvlText w:val="%1."/>
      <w:lvlJc w:val="left"/>
      <w:pPr>
        <w:ind w:left="1472" w:hanging="420"/>
      </w:pPr>
    </w:lvl>
    <w:lvl w:ilvl="1" w:tplc="04090019" w:tentative="1">
      <w:start w:val="1"/>
      <w:numFmt w:val="lowerLetter"/>
      <w:lvlText w:val="%2)"/>
      <w:lvlJc w:val="left"/>
      <w:pPr>
        <w:ind w:left="1892" w:hanging="420"/>
      </w:pPr>
    </w:lvl>
    <w:lvl w:ilvl="2" w:tplc="0409001B" w:tentative="1">
      <w:start w:val="1"/>
      <w:numFmt w:val="lowerRoman"/>
      <w:lvlText w:val="%3."/>
      <w:lvlJc w:val="right"/>
      <w:pPr>
        <w:ind w:left="2312" w:hanging="420"/>
      </w:pPr>
    </w:lvl>
    <w:lvl w:ilvl="3" w:tplc="0409000F" w:tentative="1">
      <w:start w:val="1"/>
      <w:numFmt w:val="decimal"/>
      <w:lvlText w:val="%4."/>
      <w:lvlJc w:val="left"/>
      <w:pPr>
        <w:ind w:left="2732" w:hanging="420"/>
      </w:pPr>
    </w:lvl>
    <w:lvl w:ilvl="4" w:tplc="04090019" w:tentative="1">
      <w:start w:val="1"/>
      <w:numFmt w:val="lowerLetter"/>
      <w:lvlText w:val="%5)"/>
      <w:lvlJc w:val="left"/>
      <w:pPr>
        <w:ind w:left="3152" w:hanging="420"/>
      </w:pPr>
    </w:lvl>
    <w:lvl w:ilvl="5" w:tplc="0409001B" w:tentative="1">
      <w:start w:val="1"/>
      <w:numFmt w:val="lowerRoman"/>
      <w:lvlText w:val="%6."/>
      <w:lvlJc w:val="right"/>
      <w:pPr>
        <w:ind w:left="3572" w:hanging="420"/>
      </w:pPr>
    </w:lvl>
    <w:lvl w:ilvl="6" w:tplc="0409000F" w:tentative="1">
      <w:start w:val="1"/>
      <w:numFmt w:val="decimal"/>
      <w:lvlText w:val="%7."/>
      <w:lvlJc w:val="left"/>
      <w:pPr>
        <w:ind w:left="3992" w:hanging="420"/>
      </w:pPr>
    </w:lvl>
    <w:lvl w:ilvl="7" w:tplc="04090019" w:tentative="1">
      <w:start w:val="1"/>
      <w:numFmt w:val="lowerLetter"/>
      <w:lvlText w:val="%8)"/>
      <w:lvlJc w:val="left"/>
      <w:pPr>
        <w:ind w:left="4412" w:hanging="420"/>
      </w:pPr>
    </w:lvl>
    <w:lvl w:ilvl="8" w:tplc="0409001B" w:tentative="1">
      <w:start w:val="1"/>
      <w:numFmt w:val="lowerRoman"/>
      <w:lvlText w:val="%9."/>
      <w:lvlJc w:val="right"/>
      <w:pPr>
        <w:ind w:left="4832" w:hanging="420"/>
      </w:pPr>
    </w:lvl>
  </w:abstractNum>
  <w:abstractNum w:abstractNumId="6">
    <w:nsid w:val="24FA4941"/>
    <w:multiLevelType w:val="hybridMultilevel"/>
    <w:tmpl w:val="FF60C37C"/>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264010FD"/>
    <w:multiLevelType w:val="hybridMultilevel"/>
    <w:tmpl w:val="AD563A5A"/>
    <w:lvl w:ilvl="0" w:tplc="6DC80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9956F2"/>
    <w:multiLevelType w:val="hybridMultilevel"/>
    <w:tmpl w:val="09CC54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5106813"/>
    <w:multiLevelType w:val="hybridMultilevel"/>
    <w:tmpl w:val="75DC069E"/>
    <w:lvl w:ilvl="0" w:tplc="285839F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E14075"/>
    <w:multiLevelType w:val="hybridMultilevel"/>
    <w:tmpl w:val="0964B13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nsid w:val="5FFD4267"/>
    <w:multiLevelType w:val="hybridMultilevel"/>
    <w:tmpl w:val="B900AA56"/>
    <w:lvl w:ilvl="0" w:tplc="04090017">
      <w:start w:val="1"/>
      <w:numFmt w:val="chineseCountingThousand"/>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2">
    <w:nsid w:val="6FC477D0"/>
    <w:multiLevelType w:val="hybridMultilevel"/>
    <w:tmpl w:val="5F9078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725159E"/>
    <w:multiLevelType w:val="hybridMultilevel"/>
    <w:tmpl w:val="7196038C"/>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780A6E9E"/>
    <w:multiLevelType w:val="hybridMultilevel"/>
    <w:tmpl w:val="E48EBAF2"/>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5">
    <w:nsid w:val="7C5765F7"/>
    <w:multiLevelType w:val="hybridMultilevel"/>
    <w:tmpl w:val="3A1A7D3A"/>
    <w:lvl w:ilvl="0" w:tplc="E2C2C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15"/>
  </w:num>
  <w:num w:numId="4">
    <w:abstractNumId w:val="13"/>
  </w:num>
  <w:num w:numId="5">
    <w:abstractNumId w:val="8"/>
  </w:num>
  <w:num w:numId="6">
    <w:abstractNumId w:val="3"/>
  </w:num>
  <w:num w:numId="7">
    <w:abstractNumId w:val="12"/>
  </w:num>
  <w:num w:numId="8">
    <w:abstractNumId w:val="6"/>
  </w:num>
  <w:num w:numId="9">
    <w:abstractNumId w:val="14"/>
  </w:num>
  <w:num w:numId="10">
    <w:abstractNumId w:val="10"/>
  </w:num>
  <w:num w:numId="11">
    <w:abstractNumId w:val="4"/>
  </w:num>
  <w:num w:numId="12">
    <w:abstractNumId w:val="5"/>
  </w:num>
  <w:num w:numId="13">
    <w:abstractNumId w:val="11"/>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074"/>
    <w:rsid w:val="00011ACC"/>
    <w:rsid w:val="000160C1"/>
    <w:rsid w:val="00024FED"/>
    <w:rsid w:val="0002677C"/>
    <w:rsid w:val="00030B3E"/>
    <w:rsid w:val="00033517"/>
    <w:rsid w:val="00064443"/>
    <w:rsid w:val="00073799"/>
    <w:rsid w:val="00073873"/>
    <w:rsid w:val="0009218F"/>
    <w:rsid w:val="000A1A3C"/>
    <w:rsid w:val="000A7C9A"/>
    <w:rsid w:val="000B68FC"/>
    <w:rsid w:val="000D15C5"/>
    <w:rsid w:val="00104D64"/>
    <w:rsid w:val="00122588"/>
    <w:rsid w:val="00130F02"/>
    <w:rsid w:val="00172144"/>
    <w:rsid w:val="00176778"/>
    <w:rsid w:val="001A00F8"/>
    <w:rsid w:val="001A4D26"/>
    <w:rsid w:val="001A6C56"/>
    <w:rsid w:val="001D6D69"/>
    <w:rsid w:val="001E20CC"/>
    <w:rsid w:val="001F5A61"/>
    <w:rsid w:val="002019DC"/>
    <w:rsid w:val="00202C52"/>
    <w:rsid w:val="00202D00"/>
    <w:rsid w:val="00212A55"/>
    <w:rsid w:val="002152DF"/>
    <w:rsid w:val="00220D4A"/>
    <w:rsid w:val="00223892"/>
    <w:rsid w:val="00227FEA"/>
    <w:rsid w:val="00240773"/>
    <w:rsid w:val="00266DDD"/>
    <w:rsid w:val="00272F13"/>
    <w:rsid w:val="0029027B"/>
    <w:rsid w:val="002A7062"/>
    <w:rsid w:val="002C3D99"/>
    <w:rsid w:val="002C69CB"/>
    <w:rsid w:val="002E6C2E"/>
    <w:rsid w:val="003000FD"/>
    <w:rsid w:val="00316E47"/>
    <w:rsid w:val="0033742F"/>
    <w:rsid w:val="003450B9"/>
    <w:rsid w:val="00351A1A"/>
    <w:rsid w:val="0035682F"/>
    <w:rsid w:val="00356D1E"/>
    <w:rsid w:val="00372E3E"/>
    <w:rsid w:val="00375DF3"/>
    <w:rsid w:val="003838D9"/>
    <w:rsid w:val="00384094"/>
    <w:rsid w:val="0038669A"/>
    <w:rsid w:val="00397FB7"/>
    <w:rsid w:val="003A2C5B"/>
    <w:rsid w:val="003A3FC9"/>
    <w:rsid w:val="003B1F63"/>
    <w:rsid w:val="003B53B7"/>
    <w:rsid w:val="003D2F66"/>
    <w:rsid w:val="003D4C75"/>
    <w:rsid w:val="003D53A7"/>
    <w:rsid w:val="0040040D"/>
    <w:rsid w:val="00406380"/>
    <w:rsid w:val="00421DE3"/>
    <w:rsid w:val="00440035"/>
    <w:rsid w:val="004441B8"/>
    <w:rsid w:val="00465004"/>
    <w:rsid w:val="004A62C6"/>
    <w:rsid w:val="004A7411"/>
    <w:rsid w:val="004A7836"/>
    <w:rsid w:val="004C5FC8"/>
    <w:rsid w:val="004F1AF7"/>
    <w:rsid w:val="00526E22"/>
    <w:rsid w:val="005312CE"/>
    <w:rsid w:val="00564DB6"/>
    <w:rsid w:val="0057771F"/>
    <w:rsid w:val="005A7AF4"/>
    <w:rsid w:val="005B2B1B"/>
    <w:rsid w:val="005C0361"/>
    <w:rsid w:val="005C6A17"/>
    <w:rsid w:val="005E7060"/>
    <w:rsid w:val="00607BC4"/>
    <w:rsid w:val="006164AC"/>
    <w:rsid w:val="0062244D"/>
    <w:rsid w:val="00627909"/>
    <w:rsid w:val="00650AF8"/>
    <w:rsid w:val="006662FF"/>
    <w:rsid w:val="00667D29"/>
    <w:rsid w:val="00676716"/>
    <w:rsid w:val="00683C68"/>
    <w:rsid w:val="00692A32"/>
    <w:rsid w:val="00696998"/>
    <w:rsid w:val="006A10D2"/>
    <w:rsid w:val="006A15FE"/>
    <w:rsid w:val="006A7E39"/>
    <w:rsid w:val="006B44D0"/>
    <w:rsid w:val="006C6C3A"/>
    <w:rsid w:val="006D20E7"/>
    <w:rsid w:val="006E04DB"/>
    <w:rsid w:val="006E577A"/>
    <w:rsid w:val="006E7161"/>
    <w:rsid w:val="00743013"/>
    <w:rsid w:val="00744002"/>
    <w:rsid w:val="00751D3C"/>
    <w:rsid w:val="00776F79"/>
    <w:rsid w:val="0077727B"/>
    <w:rsid w:val="00785403"/>
    <w:rsid w:val="00787A6E"/>
    <w:rsid w:val="007A1398"/>
    <w:rsid w:val="007A672B"/>
    <w:rsid w:val="007C17F7"/>
    <w:rsid w:val="007E1CE1"/>
    <w:rsid w:val="007F758C"/>
    <w:rsid w:val="007F786B"/>
    <w:rsid w:val="007F7E3A"/>
    <w:rsid w:val="00802764"/>
    <w:rsid w:val="00810950"/>
    <w:rsid w:val="0081222E"/>
    <w:rsid w:val="008206A1"/>
    <w:rsid w:val="00826A67"/>
    <w:rsid w:val="00836503"/>
    <w:rsid w:val="008433BF"/>
    <w:rsid w:val="00866A73"/>
    <w:rsid w:val="00867700"/>
    <w:rsid w:val="0088341A"/>
    <w:rsid w:val="00885B6A"/>
    <w:rsid w:val="008A137C"/>
    <w:rsid w:val="008A310D"/>
    <w:rsid w:val="008A76D2"/>
    <w:rsid w:val="008B5944"/>
    <w:rsid w:val="008B770F"/>
    <w:rsid w:val="008C5017"/>
    <w:rsid w:val="008F505E"/>
    <w:rsid w:val="009073F3"/>
    <w:rsid w:val="00912C9B"/>
    <w:rsid w:val="00920AF8"/>
    <w:rsid w:val="00921C19"/>
    <w:rsid w:val="00931B39"/>
    <w:rsid w:val="00936809"/>
    <w:rsid w:val="009409EF"/>
    <w:rsid w:val="00943309"/>
    <w:rsid w:val="00963B39"/>
    <w:rsid w:val="0098601C"/>
    <w:rsid w:val="009A0485"/>
    <w:rsid w:val="009D681B"/>
    <w:rsid w:val="009E6FEE"/>
    <w:rsid w:val="009F0FE2"/>
    <w:rsid w:val="009F1779"/>
    <w:rsid w:val="009F545B"/>
    <w:rsid w:val="009F6037"/>
    <w:rsid w:val="00A062F2"/>
    <w:rsid w:val="00A11D27"/>
    <w:rsid w:val="00A246AB"/>
    <w:rsid w:val="00A426CE"/>
    <w:rsid w:val="00A442B4"/>
    <w:rsid w:val="00A57161"/>
    <w:rsid w:val="00A8346D"/>
    <w:rsid w:val="00A86B88"/>
    <w:rsid w:val="00AA1865"/>
    <w:rsid w:val="00AC40BF"/>
    <w:rsid w:val="00AF7EB8"/>
    <w:rsid w:val="00B02C4D"/>
    <w:rsid w:val="00B054A2"/>
    <w:rsid w:val="00B11191"/>
    <w:rsid w:val="00B119F6"/>
    <w:rsid w:val="00B4679A"/>
    <w:rsid w:val="00B50566"/>
    <w:rsid w:val="00B70E2C"/>
    <w:rsid w:val="00B7316C"/>
    <w:rsid w:val="00B86D9A"/>
    <w:rsid w:val="00BA6FB3"/>
    <w:rsid w:val="00BB2BA5"/>
    <w:rsid w:val="00BC4558"/>
    <w:rsid w:val="00BF07A2"/>
    <w:rsid w:val="00BF53E5"/>
    <w:rsid w:val="00C00804"/>
    <w:rsid w:val="00C155A9"/>
    <w:rsid w:val="00C36780"/>
    <w:rsid w:val="00C43775"/>
    <w:rsid w:val="00C53B1F"/>
    <w:rsid w:val="00C57B66"/>
    <w:rsid w:val="00C62F4B"/>
    <w:rsid w:val="00C64B24"/>
    <w:rsid w:val="00C670ED"/>
    <w:rsid w:val="00CA2BD3"/>
    <w:rsid w:val="00CA37C0"/>
    <w:rsid w:val="00CA4A76"/>
    <w:rsid w:val="00CB6E05"/>
    <w:rsid w:val="00CB7FF6"/>
    <w:rsid w:val="00CC2DDB"/>
    <w:rsid w:val="00CD4074"/>
    <w:rsid w:val="00CE713B"/>
    <w:rsid w:val="00D00674"/>
    <w:rsid w:val="00D534B6"/>
    <w:rsid w:val="00D70964"/>
    <w:rsid w:val="00D74B0E"/>
    <w:rsid w:val="00D81E77"/>
    <w:rsid w:val="00D84C55"/>
    <w:rsid w:val="00DD51C5"/>
    <w:rsid w:val="00DE601C"/>
    <w:rsid w:val="00DE78DA"/>
    <w:rsid w:val="00DF5982"/>
    <w:rsid w:val="00E06A80"/>
    <w:rsid w:val="00E07D9B"/>
    <w:rsid w:val="00E13ACD"/>
    <w:rsid w:val="00E27018"/>
    <w:rsid w:val="00E30A4B"/>
    <w:rsid w:val="00E330D6"/>
    <w:rsid w:val="00E33E01"/>
    <w:rsid w:val="00E469D2"/>
    <w:rsid w:val="00E8752B"/>
    <w:rsid w:val="00EA115F"/>
    <w:rsid w:val="00EB25AA"/>
    <w:rsid w:val="00EB51BA"/>
    <w:rsid w:val="00ED5DFB"/>
    <w:rsid w:val="00EE4C30"/>
    <w:rsid w:val="00F10DCC"/>
    <w:rsid w:val="00F320F5"/>
    <w:rsid w:val="00F33C6A"/>
    <w:rsid w:val="00F540D2"/>
    <w:rsid w:val="00F637CD"/>
    <w:rsid w:val="00F76957"/>
    <w:rsid w:val="00F84F0C"/>
    <w:rsid w:val="00FB4DC5"/>
    <w:rsid w:val="00FD78EE"/>
    <w:rsid w:val="00FE7052"/>
    <w:rsid w:val="00FF302F"/>
    <w:rsid w:val="00FF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7EB89C9E-8AFA-4AFB-814B-ECA2D91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074"/>
    <w:pPr>
      <w:widowControl w:val="0"/>
      <w:jc w:val="both"/>
    </w:pPr>
    <w:rPr>
      <w:kern w:val="2"/>
      <w:sz w:val="21"/>
      <w:szCs w:val="24"/>
    </w:rPr>
  </w:style>
  <w:style w:type="paragraph" w:styleId="1">
    <w:name w:val="heading 1"/>
    <w:basedOn w:val="a"/>
    <w:next w:val="a"/>
    <w:link w:val="1Char"/>
    <w:qFormat/>
    <w:rsid w:val="008122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1222E"/>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1222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1222E"/>
    <w:rPr>
      <w:b/>
      <w:bCs/>
      <w:kern w:val="44"/>
      <w:sz w:val="44"/>
      <w:szCs w:val="44"/>
    </w:rPr>
  </w:style>
  <w:style w:type="character" w:customStyle="1" w:styleId="2Char">
    <w:name w:val="标题 2 Char"/>
    <w:link w:val="2"/>
    <w:rsid w:val="0081222E"/>
    <w:rPr>
      <w:rFonts w:ascii="Arial" w:eastAsia="黑体" w:hAnsi="Arial" w:cs="Arial"/>
      <w:b/>
      <w:bCs/>
      <w:kern w:val="2"/>
      <w:sz w:val="32"/>
      <w:szCs w:val="32"/>
    </w:rPr>
  </w:style>
  <w:style w:type="character" w:customStyle="1" w:styleId="3Char">
    <w:name w:val="标题 3 Char"/>
    <w:link w:val="3"/>
    <w:rsid w:val="0081222E"/>
    <w:rPr>
      <w:b/>
      <w:bCs/>
      <w:kern w:val="2"/>
      <w:sz w:val="32"/>
      <w:szCs w:val="32"/>
    </w:rPr>
  </w:style>
  <w:style w:type="paragraph" w:styleId="a3">
    <w:name w:val="Balloon Text"/>
    <w:basedOn w:val="a"/>
    <w:rsid w:val="00CD4074"/>
    <w:rPr>
      <w:sz w:val="18"/>
      <w:szCs w:val="18"/>
    </w:rPr>
  </w:style>
  <w:style w:type="paragraph" w:styleId="a4">
    <w:name w:val="Body Text Indent"/>
    <w:basedOn w:val="a"/>
    <w:rsid w:val="00CD4074"/>
    <w:pPr>
      <w:spacing w:line="480" w:lineRule="auto"/>
      <w:ind w:firstLine="480"/>
      <w:jc w:val="left"/>
    </w:pPr>
    <w:rPr>
      <w:rFonts w:ascii="宋体" w:hAnsi="宋体"/>
      <w:color w:val="000000"/>
      <w:sz w:val="28"/>
      <w:szCs w:val="28"/>
    </w:rPr>
  </w:style>
  <w:style w:type="paragraph" w:styleId="a5">
    <w:name w:val="Body Text"/>
    <w:basedOn w:val="a"/>
    <w:link w:val="Char"/>
    <w:rsid w:val="0040040D"/>
    <w:pPr>
      <w:spacing w:after="120"/>
    </w:pPr>
  </w:style>
  <w:style w:type="character" w:customStyle="1" w:styleId="Char">
    <w:name w:val="正文文本 Char"/>
    <w:link w:val="a5"/>
    <w:rsid w:val="0040040D"/>
    <w:rPr>
      <w:rFonts w:eastAsia="宋体"/>
      <w:kern w:val="2"/>
      <w:sz w:val="21"/>
      <w:szCs w:val="24"/>
      <w:lang w:val="en-US" w:eastAsia="zh-CN" w:bidi="ar-SA"/>
    </w:rPr>
  </w:style>
  <w:style w:type="paragraph" w:styleId="a6">
    <w:name w:val="footer"/>
    <w:basedOn w:val="a"/>
    <w:link w:val="Char0"/>
    <w:rsid w:val="00B50566"/>
    <w:pPr>
      <w:tabs>
        <w:tab w:val="center" w:pos="4153"/>
        <w:tab w:val="right" w:pos="8306"/>
      </w:tabs>
      <w:snapToGrid w:val="0"/>
      <w:jc w:val="left"/>
    </w:pPr>
    <w:rPr>
      <w:sz w:val="18"/>
      <w:szCs w:val="18"/>
    </w:rPr>
  </w:style>
  <w:style w:type="character" w:customStyle="1" w:styleId="Char0">
    <w:name w:val="页脚 Char"/>
    <w:link w:val="a6"/>
    <w:rsid w:val="00B50566"/>
    <w:rPr>
      <w:rFonts w:eastAsia="宋体"/>
      <w:kern w:val="2"/>
      <w:sz w:val="18"/>
      <w:szCs w:val="18"/>
      <w:lang w:val="en-US" w:eastAsia="zh-CN" w:bidi="ar-SA"/>
    </w:rPr>
  </w:style>
  <w:style w:type="character" w:styleId="a7">
    <w:name w:val="page number"/>
    <w:basedOn w:val="a0"/>
    <w:rsid w:val="00B50566"/>
  </w:style>
  <w:style w:type="paragraph" w:styleId="a8">
    <w:name w:val="Normal (Web)"/>
    <w:basedOn w:val="a"/>
    <w:rsid w:val="00B50566"/>
    <w:pPr>
      <w:widowControl/>
      <w:spacing w:before="100" w:beforeAutospacing="1" w:after="100" w:afterAutospacing="1" w:line="400" w:lineRule="atLeast"/>
      <w:jc w:val="left"/>
    </w:pPr>
    <w:rPr>
      <w:rFonts w:ascii="宋体" w:hAnsi="宋体"/>
      <w:color w:val="000000"/>
      <w:kern w:val="0"/>
      <w:szCs w:val="21"/>
    </w:rPr>
  </w:style>
  <w:style w:type="paragraph" w:styleId="a9">
    <w:name w:val="header"/>
    <w:basedOn w:val="a"/>
    <w:link w:val="Char1"/>
    <w:uiPriority w:val="99"/>
    <w:rsid w:val="00B5056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81222E"/>
    <w:rPr>
      <w:kern w:val="2"/>
      <w:sz w:val="18"/>
      <w:szCs w:val="18"/>
    </w:rPr>
  </w:style>
  <w:style w:type="character" w:styleId="aa">
    <w:name w:val="Hyperlink"/>
    <w:rsid w:val="00C36780"/>
    <w:rPr>
      <w:color w:val="0000FF"/>
      <w:u w:val="single"/>
    </w:rPr>
  </w:style>
  <w:style w:type="table" w:styleId="ab">
    <w:name w:val="Table Grid"/>
    <w:basedOn w:val="a1"/>
    <w:rsid w:val="0093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
    <w:name w:val="Char"/>
    <w:basedOn w:val="a"/>
    <w:autoRedefine/>
    <w:rsid w:val="0029027B"/>
    <w:pPr>
      <w:widowControl/>
      <w:spacing w:after="160" w:line="240" w:lineRule="exact"/>
      <w:jc w:val="left"/>
    </w:pPr>
    <w:rPr>
      <w:rFonts w:ascii="Verdana" w:eastAsia="仿宋_GB2312" w:hAnsi="Verdana"/>
      <w:spacing w:val="-4"/>
      <w:kern w:val="0"/>
      <w:sz w:val="24"/>
      <w:szCs w:val="20"/>
      <w:lang w:eastAsia="en-US"/>
    </w:rPr>
  </w:style>
  <w:style w:type="paragraph" w:styleId="ac">
    <w:name w:val="Date"/>
    <w:basedOn w:val="a"/>
    <w:next w:val="a"/>
    <w:link w:val="Char3"/>
    <w:rsid w:val="00212A55"/>
    <w:pPr>
      <w:ind w:leftChars="2500" w:left="100"/>
    </w:pPr>
  </w:style>
  <w:style w:type="character" w:customStyle="1" w:styleId="Char3">
    <w:name w:val="日期 Char"/>
    <w:link w:val="ac"/>
    <w:rsid w:val="0081222E"/>
    <w:rPr>
      <w:kern w:val="2"/>
      <w:sz w:val="21"/>
      <w:szCs w:val="24"/>
    </w:rPr>
  </w:style>
  <w:style w:type="paragraph" w:styleId="ad">
    <w:name w:val="List Paragraph"/>
    <w:basedOn w:val="a"/>
    <w:qFormat/>
    <w:rsid w:val="00E07D9B"/>
    <w:pPr>
      <w:ind w:firstLineChars="200" w:firstLine="420"/>
    </w:pPr>
    <w:rPr>
      <w:rFonts w:ascii="Calibri" w:hAnsi="Calibri"/>
      <w:szCs w:val="22"/>
    </w:rPr>
  </w:style>
  <w:style w:type="paragraph" w:customStyle="1" w:styleId="ae">
    <w:name w:val="节"/>
    <w:basedOn w:val="a"/>
    <w:rsid w:val="0081222E"/>
    <w:pPr>
      <w:spacing w:beforeLines="100" w:afterLines="100" w:line="300" w:lineRule="auto"/>
      <w:jc w:val="center"/>
      <w:outlineLvl w:val="1"/>
    </w:pPr>
    <w:rPr>
      <w:b/>
      <w:bCs/>
      <w:sz w:val="24"/>
    </w:rPr>
  </w:style>
  <w:style w:type="character" w:customStyle="1" w:styleId="CharChar">
    <w:name w:val="文本内容 Char Char"/>
    <w:link w:val="af"/>
    <w:rsid w:val="0081222E"/>
    <w:rPr>
      <w:rFonts w:eastAsia="新宋体"/>
      <w:kern w:val="2"/>
      <w:sz w:val="24"/>
      <w:szCs w:val="24"/>
    </w:rPr>
  </w:style>
  <w:style w:type="paragraph" w:customStyle="1" w:styleId="af">
    <w:name w:val="文本内容"/>
    <w:basedOn w:val="a"/>
    <w:next w:val="a"/>
    <w:link w:val="CharChar"/>
    <w:rsid w:val="0081222E"/>
    <w:pPr>
      <w:tabs>
        <w:tab w:val="num" w:pos="360"/>
      </w:tabs>
      <w:spacing w:line="360" w:lineRule="auto"/>
      <w:ind w:firstLineChars="200" w:firstLine="480"/>
    </w:pPr>
    <w:rPr>
      <w:rFonts w:eastAsia="新宋体"/>
      <w:sz w:val="24"/>
    </w:rPr>
  </w:style>
  <w:style w:type="character" w:styleId="af0">
    <w:name w:val="annotation reference"/>
    <w:rsid w:val="0081222E"/>
    <w:rPr>
      <w:sz w:val="21"/>
      <w:szCs w:val="21"/>
    </w:rPr>
  </w:style>
  <w:style w:type="character" w:styleId="af1">
    <w:name w:val="footnote reference"/>
    <w:rsid w:val="0081222E"/>
    <w:rPr>
      <w:vertAlign w:val="superscript"/>
    </w:rPr>
  </w:style>
  <w:style w:type="paragraph" w:customStyle="1" w:styleId="CharChar1CharCharCharCharCharCharCharChar1">
    <w:name w:val="Char Char1 Char Char Char Char Char Char Char Char1"/>
    <w:basedOn w:val="a"/>
    <w:rsid w:val="0081222E"/>
    <w:pPr>
      <w:widowControl/>
      <w:spacing w:after="160" w:line="240" w:lineRule="exact"/>
      <w:jc w:val="left"/>
    </w:pPr>
    <w:rPr>
      <w:rFonts w:ascii="Verdana" w:hAnsi="Verdana" w:cs="Verdana"/>
      <w:kern w:val="0"/>
      <w:sz w:val="20"/>
      <w:szCs w:val="20"/>
      <w:lang w:eastAsia="en-US"/>
    </w:rPr>
  </w:style>
  <w:style w:type="paragraph" w:styleId="8">
    <w:name w:val="toc 8"/>
    <w:basedOn w:val="a"/>
    <w:next w:val="a"/>
    <w:rsid w:val="0081222E"/>
    <w:pPr>
      <w:ind w:left="1470"/>
      <w:jc w:val="left"/>
    </w:pPr>
    <w:rPr>
      <w:sz w:val="18"/>
      <w:szCs w:val="18"/>
    </w:rPr>
  </w:style>
  <w:style w:type="paragraph" w:customStyle="1" w:styleId="10">
    <w:name w:val="样式1"/>
    <w:basedOn w:val="a"/>
    <w:rsid w:val="0081222E"/>
    <w:pPr>
      <w:widowControl/>
      <w:spacing w:line="288" w:lineRule="auto"/>
      <w:jc w:val="left"/>
    </w:pPr>
    <w:rPr>
      <w:rFonts w:hAnsi="宋体" w:cs="宋体"/>
      <w:kern w:val="0"/>
      <w:sz w:val="18"/>
      <w:szCs w:val="18"/>
    </w:rPr>
  </w:style>
  <w:style w:type="paragraph" w:customStyle="1" w:styleId="af2">
    <w:name w:val="条文"/>
    <w:basedOn w:val="a"/>
    <w:rsid w:val="0081222E"/>
    <w:pPr>
      <w:spacing w:line="300" w:lineRule="auto"/>
      <w:outlineLvl w:val="2"/>
    </w:pPr>
    <w:rPr>
      <w:sz w:val="24"/>
    </w:rPr>
  </w:style>
  <w:style w:type="paragraph" w:styleId="af3">
    <w:name w:val="annotation text"/>
    <w:basedOn w:val="a"/>
    <w:link w:val="Char4"/>
    <w:rsid w:val="0081222E"/>
    <w:pPr>
      <w:jc w:val="left"/>
    </w:pPr>
    <w:rPr>
      <w:szCs w:val="21"/>
    </w:rPr>
  </w:style>
  <w:style w:type="character" w:customStyle="1" w:styleId="Char4">
    <w:name w:val="批注文字 Char"/>
    <w:link w:val="af3"/>
    <w:rsid w:val="0081222E"/>
    <w:rPr>
      <w:kern w:val="2"/>
      <w:sz w:val="21"/>
      <w:szCs w:val="21"/>
    </w:rPr>
  </w:style>
  <w:style w:type="paragraph" w:customStyle="1" w:styleId="CharCharCharChar">
    <w:name w:val="Char Char Char Char"/>
    <w:basedOn w:val="a"/>
    <w:rsid w:val="0081222E"/>
    <w:rPr>
      <w:rFonts w:ascii="Tahoma" w:hAnsi="Tahoma" w:cs="Tahoma"/>
      <w:sz w:val="24"/>
    </w:rPr>
  </w:style>
  <w:style w:type="paragraph" w:styleId="af4">
    <w:name w:val="caption"/>
    <w:basedOn w:val="a"/>
    <w:next w:val="a"/>
    <w:qFormat/>
    <w:rsid w:val="0081222E"/>
    <w:rPr>
      <w:rFonts w:ascii="Arial" w:eastAsia="黑体" w:hAnsi="Arial" w:cs="Arial"/>
      <w:sz w:val="20"/>
      <w:szCs w:val="20"/>
    </w:rPr>
  </w:style>
  <w:style w:type="paragraph" w:styleId="4">
    <w:name w:val="toc 4"/>
    <w:basedOn w:val="a"/>
    <w:next w:val="a"/>
    <w:rsid w:val="0081222E"/>
    <w:pPr>
      <w:ind w:left="630"/>
      <w:jc w:val="left"/>
    </w:pPr>
    <w:rPr>
      <w:sz w:val="18"/>
      <w:szCs w:val="18"/>
    </w:rPr>
  </w:style>
  <w:style w:type="paragraph" w:styleId="6">
    <w:name w:val="toc 6"/>
    <w:basedOn w:val="a"/>
    <w:next w:val="a"/>
    <w:rsid w:val="0081222E"/>
    <w:pPr>
      <w:ind w:left="1050"/>
      <w:jc w:val="left"/>
    </w:pPr>
    <w:rPr>
      <w:sz w:val="18"/>
      <w:szCs w:val="18"/>
    </w:rPr>
  </w:style>
  <w:style w:type="paragraph" w:styleId="9">
    <w:name w:val="toc 9"/>
    <w:basedOn w:val="a"/>
    <w:next w:val="a"/>
    <w:rsid w:val="0081222E"/>
    <w:pPr>
      <w:ind w:left="1680"/>
      <w:jc w:val="left"/>
    </w:pPr>
    <w:rPr>
      <w:sz w:val="18"/>
      <w:szCs w:val="18"/>
    </w:rPr>
  </w:style>
  <w:style w:type="paragraph" w:customStyle="1" w:styleId="Af5">
    <w:name w:val="编号样式A"/>
    <w:basedOn w:val="a"/>
    <w:next w:val="a"/>
    <w:rsid w:val="0081222E"/>
    <w:pPr>
      <w:tabs>
        <w:tab w:val="left" w:pos="210"/>
      </w:tabs>
      <w:spacing w:line="360" w:lineRule="auto"/>
      <w:ind w:left="210" w:hanging="210"/>
    </w:pPr>
    <w:rPr>
      <w:rFonts w:eastAsia="新宋体"/>
      <w:sz w:val="24"/>
    </w:rPr>
  </w:style>
  <w:style w:type="paragraph" w:styleId="af6">
    <w:name w:val="Document Map"/>
    <w:basedOn w:val="a"/>
    <w:link w:val="Char5"/>
    <w:rsid w:val="0081222E"/>
    <w:pPr>
      <w:shd w:val="clear" w:color="auto" w:fill="000080"/>
    </w:pPr>
    <w:rPr>
      <w:szCs w:val="21"/>
    </w:rPr>
  </w:style>
  <w:style w:type="character" w:customStyle="1" w:styleId="Char5">
    <w:name w:val="文档结构图 Char"/>
    <w:link w:val="af6"/>
    <w:rsid w:val="0081222E"/>
    <w:rPr>
      <w:kern w:val="2"/>
      <w:sz w:val="21"/>
      <w:szCs w:val="21"/>
      <w:shd w:val="clear" w:color="auto" w:fill="000080"/>
    </w:rPr>
  </w:style>
  <w:style w:type="paragraph" w:customStyle="1" w:styleId="CharChar1CharCharCharCharCharCharCharChar">
    <w:name w:val="Char Char1 Char Char Char Char Char Char Char Char"/>
    <w:basedOn w:val="a"/>
    <w:rsid w:val="0081222E"/>
    <w:pPr>
      <w:widowControl/>
      <w:spacing w:after="160" w:line="240" w:lineRule="exact"/>
      <w:jc w:val="left"/>
    </w:pPr>
    <w:rPr>
      <w:rFonts w:ascii="Verdana" w:hAnsi="Verdana" w:cs="Verdana"/>
      <w:kern w:val="0"/>
      <w:sz w:val="20"/>
      <w:szCs w:val="20"/>
      <w:lang w:eastAsia="en-US"/>
    </w:rPr>
  </w:style>
  <w:style w:type="paragraph" w:customStyle="1" w:styleId="CharCharCharCharCharCharChar">
    <w:name w:val="Char Char Char Char Char Char Char"/>
    <w:basedOn w:val="a"/>
    <w:rsid w:val="0081222E"/>
    <w:pPr>
      <w:widowControl/>
      <w:spacing w:after="160" w:line="240" w:lineRule="exact"/>
      <w:jc w:val="left"/>
    </w:pPr>
    <w:rPr>
      <w:rFonts w:ascii="Arial" w:eastAsia="Times New Roman" w:hAnsi="Arial" w:cs="Verdana"/>
      <w:b/>
      <w:kern w:val="0"/>
      <w:sz w:val="24"/>
      <w:lang w:eastAsia="en-US"/>
    </w:rPr>
  </w:style>
  <w:style w:type="paragraph" w:customStyle="1" w:styleId="af7">
    <w:name w:val="文本"/>
    <w:basedOn w:val="a"/>
    <w:rsid w:val="0081222E"/>
    <w:pPr>
      <w:widowControl/>
      <w:spacing w:line="300" w:lineRule="auto"/>
      <w:ind w:firstLineChars="209" w:firstLine="439"/>
    </w:pPr>
    <w:rPr>
      <w:color w:val="000000"/>
      <w:szCs w:val="21"/>
    </w:rPr>
  </w:style>
  <w:style w:type="paragraph" w:styleId="20">
    <w:name w:val="toc 2"/>
    <w:basedOn w:val="a"/>
    <w:next w:val="a"/>
    <w:rsid w:val="0081222E"/>
    <w:pPr>
      <w:tabs>
        <w:tab w:val="right" w:leader="dot" w:pos="9436"/>
      </w:tabs>
      <w:spacing w:line="480" w:lineRule="auto"/>
      <w:ind w:left="210"/>
      <w:jc w:val="left"/>
    </w:pPr>
    <w:rPr>
      <w:smallCaps/>
      <w:szCs w:val="21"/>
    </w:rPr>
  </w:style>
  <w:style w:type="paragraph" w:styleId="5">
    <w:name w:val="toc 5"/>
    <w:basedOn w:val="a"/>
    <w:next w:val="a"/>
    <w:rsid w:val="0081222E"/>
    <w:pPr>
      <w:ind w:left="840"/>
      <w:jc w:val="left"/>
    </w:pPr>
    <w:rPr>
      <w:sz w:val="18"/>
      <w:szCs w:val="18"/>
    </w:rPr>
  </w:style>
  <w:style w:type="paragraph" w:styleId="11">
    <w:name w:val="toc 1"/>
    <w:basedOn w:val="a"/>
    <w:next w:val="a"/>
    <w:rsid w:val="0081222E"/>
    <w:pPr>
      <w:tabs>
        <w:tab w:val="left" w:pos="630"/>
        <w:tab w:val="right" w:leader="dot" w:pos="9436"/>
      </w:tabs>
      <w:spacing w:before="120" w:after="120" w:line="480" w:lineRule="auto"/>
      <w:jc w:val="center"/>
    </w:pPr>
    <w:rPr>
      <w:b/>
      <w:bCs/>
      <w:caps/>
      <w:sz w:val="24"/>
    </w:rPr>
  </w:style>
  <w:style w:type="paragraph" w:styleId="30">
    <w:name w:val="toc 3"/>
    <w:basedOn w:val="a"/>
    <w:next w:val="a"/>
    <w:rsid w:val="0081222E"/>
    <w:pPr>
      <w:ind w:left="420"/>
      <w:jc w:val="left"/>
    </w:pPr>
    <w:rPr>
      <w:i/>
      <w:iCs/>
      <w:sz w:val="20"/>
      <w:szCs w:val="20"/>
    </w:rPr>
  </w:style>
  <w:style w:type="paragraph" w:styleId="af8">
    <w:name w:val="footnote text"/>
    <w:basedOn w:val="a"/>
    <w:link w:val="Char6"/>
    <w:rsid w:val="0081222E"/>
    <w:pPr>
      <w:snapToGrid w:val="0"/>
      <w:jc w:val="left"/>
    </w:pPr>
    <w:rPr>
      <w:sz w:val="18"/>
      <w:szCs w:val="18"/>
    </w:rPr>
  </w:style>
  <w:style w:type="character" w:customStyle="1" w:styleId="Char6">
    <w:name w:val="脚注文本 Char"/>
    <w:link w:val="af8"/>
    <w:rsid w:val="0081222E"/>
    <w:rPr>
      <w:kern w:val="2"/>
      <w:sz w:val="18"/>
      <w:szCs w:val="18"/>
    </w:rPr>
  </w:style>
  <w:style w:type="paragraph" w:styleId="7">
    <w:name w:val="toc 7"/>
    <w:basedOn w:val="a"/>
    <w:next w:val="a"/>
    <w:rsid w:val="0081222E"/>
    <w:pPr>
      <w:ind w:left="1260"/>
      <w:jc w:val="left"/>
    </w:pPr>
    <w:rPr>
      <w:sz w:val="18"/>
      <w:szCs w:val="18"/>
    </w:rPr>
  </w:style>
  <w:style w:type="paragraph" w:styleId="af9">
    <w:name w:val="annotation subject"/>
    <w:basedOn w:val="af3"/>
    <w:next w:val="af3"/>
    <w:link w:val="Char7"/>
    <w:rsid w:val="0081222E"/>
    <w:rPr>
      <w:b/>
      <w:bCs/>
    </w:rPr>
  </w:style>
  <w:style w:type="character" w:customStyle="1" w:styleId="Char7">
    <w:name w:val="批注主题 Char"/>
    <w:link w:val="af9"/>
    <w:rsid w:val="0081222E"/>
    <w:rPr>
      <w:b/>
      <w:bCs/>
      <w:kern w:val="2"/>
      <w:sz w:val="21"/>
      <w:szCs w:val="21"/>
    </w:rPr>
  </w:style>
  <w:style w:type="paragraph" w:customStyle="1" w:styleId="afa">
    <w:name w:val="段落正文"/>
    <w:basedOn w:val="a"/>
    <w:rsid w:val="0081222E"/>
    <w:pPr>
      <w:spacing w:line="300" w:lineRule="auto"/>
      <w:ind w:firstLineChars="200" w:firstLine="482"/>
    </w:pPr>
    <w:rPr>
      <w:sz w:val="24"/>
    </w:rPr>
  </w:style>
  <w:style w:type="paragraph" w:customStyle="1" w:styleId="CharChar0">
    <w:name w:val="Char Char"/>
    <w:basedOn w:val="a"/>
    <w:autoRedefine/>
    <w:rsid w:val="0081222E"/>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90981">
      <w:bodyDiv w:val="1"/>
      <w:marLeft w:val="0"/>
      <w:marRight w:val="0"/>
      <w:marTop w:val="0"/>
      <w:marBottom w:val="0"/>
      <w:divBdr>
        <w:top w:val="none" w:sz="0" w:space="0" w:color="auto"/>
        <w:left w:val="none" w:sz="0" w:space="0" w:color="auto"/>
        <w:bottom w:val="none" w:sz="0" w:space="0" w:color="auto"/>
        <w:right w:val="none" w:sz="0" w:space="0" w:color="auto"/>
      </w:divBdr>
    </w:div>
    <w:div w:id="1882278573">
      <w:bodyDiv w:val="1"/>
      <w:marLeft w:val="0"/>
      <w:marRight w:val="0"/>
      <w:marTop w:val="0"/>
      <w:marBottom w:val="0"/>
      <w:divBdr>
        <w:top w:val="none" w:sz="0" w:space="0" w:color="auto"/>
        <w:left w:val="none" w:sz="0" w:space="0" w:color="auto"/>
        <w:bottom w:val="none" w:sz="0" w:space="0" w:color="auto"/>
        <w:right w:val="none" w:sz="0" w:space="0" w:color="auto"/>
      </w:divBdr>
    </w:div>
    <w:div w:id="1887449015">
      <w:bodyDiv w:val="1"/>
      <w:marLeft w:val="0"/>
      <w:marRight w:val="0"/>
      <w:marTop w:val="0"/>
      <w:marBottom w:val="0"/>
      <w:divBdr>
        <w:top w:val="none" w:sz="0" w:space="0" w:color="auto"/>
        <w:left w:val="none" w:sz="0" w:space="0" w:color="auto"/>
        <w:bottom w:val="none" w:sz="0" w:space="0" w:color="auto"/>
        <w:right w:val="none" w:sz="0" w:space="0" w:color="auto"/>
      </w:divBdr>
    </w:div>
    <w:div w:id="2119834871">
      <w:bodyDiv w:val="1"/>
      <w:marLeft w:val="0"/>
      <w:marRight w:val="0"/>
      <w:marTop w:val="0"/>
      <w:marBottom w:val="0"/>
      <w:divBdr>
        <w:top w:val="none" w:sz="0" w:space="0" w:color="auto"/>
        <w:left w:val="none" w:sz="0" w:space="0" w:color="auto"/>
        <w:bottom w:val="none" w:sz="0" w:space="0" w:color="auto"/>
        <w:right w:val="none" w:sz="0" w:space="0" w:color="auto"/>
      </w:divBdr>
    </w:div>
    <w:div w:id="21248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1787</Words>
  <Characters>10190</Characters>
  <Application>Microsoft Office Word</Application>
  <DocSecurity>0</DocSecurity>
  <Lines>84</Lines>
  <Paragraphs>23</Paragraphs>
  <ScaleCrop>false</ScaleCrop>
  <Company>szzjzz</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creator>办公室 李海鹰</dc:creator>
  <cp:lastModifiedBy>Meo</cp:lastModifiedBy>
  <cp:revision>5</cp:revision>
  <cp:lastPrinted>2014-09-15T02:18:00Z</cp:lastPrinted>
  <dcterms:created xsi:type="dcterms:W3CDTF">2014-09-17T07:09:00Z</dcterms:created>
  <dcterms:modified xsi:type="dcterms:W3CDTF">2014-09-22T03:25:00Z</dcterms:modified>
</cp:coreProperties>
</file>