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FF" w:rsidRDefault="00493BFF" w:rsidP="00493BFF">
      <w:pPr>
        <w:rPr>
          <w:rFonts w:ascii="仿宋_GB2312" w:eastAsia="仿宋_GB2312"/>
          <w:sz w:val="32"/>
          <w:szCs w:val="32"/>
        </w:rPr>
      </w:pPr>
      <w:r w:rsidRPr="00493BFF">
        <w:rPr>
          <w:rFonts w:ascii="仿宋_GB2312" w:eastAsia="仿宋_GB2312" w:hint="eastAsia"/>
          <w:sz w:val="32"/>
          <w:szCs w:val="32"/>
        </w:rPr>
        <w:t>附表7（2014年深圳市民用建筑绿色建筑设计文件检查表）</w:t>
      </w:r>
    </w:p>
    <w:p w:rsidR="00493BFF" w:rsidRPr="00493BFF" w:rsidRDefault="00493BFF" w:rsidP="00493BFF">
      <w:pPr>
        <w:rPr>
          <w:rFonts w:ascii="仿宋_GB2312" w:eastAsia="仿宋_GB2312"/>
          <w:sz w:val="32"/>
          <w:szCs w:val="32"/>
        </w:rPr>
      </w:pPr>
    </w:p>
    <w:p w:rsidR="0081222E" w:rsidRPr="00493BFF" w:rsidRDefault="00372E3E" w:rsidP="00493BFF">
      <w:pPr>
        <w:rPr>
          <w:rFonts w:ascii="仿宋_GB2312" w:eastAsia="仿宋_GB2312" w:hAnsi="黑体"/>
          <w:sz w:val="32"/>
          <w:szCs w:val="32"/>
        </w:rPr>
      </w:pPr>
      <w:r w:rsidRPr="00493BFF">
        <w:rPr>
          <w:rFonts w:ascii="仿宋_GB2312" w:eastAsia="仿宋_GB2312" w:hint="eastAsia"/>
          <w:sz w:val="32"/>
          <w:szCs w:val="32"/>
        </w:rPr>
        <w:t>7-4</w:t>
      </w:r>
      <w:r w:rsidR="00493BFF" w:rsidRPr="00493BFF">
        <w:rPr>
          <w:rFonts w:ascii="仿宋_GB2312" w:eastAsia="仿宋_GB2312" w:hint="eastAsia"/>
          <w:sz w:val="32"/>
          <w:szCs w:val="32"/>
        </w:rPr>
        <w:t xml:space="preserve">  </w:t>
      </w:r>
      <w:r w:rsidR="00493BFF">
        <w:rPr>
          <w:rFonts w:ascii="仿宋_GB2312" w:eastAsia="仿宋_GB2312" w:hint="eastAsia"/>
          <w:sz w:val="32"/>
          <w:szCs w:val="32"/>
        </w:rPr>
        <w:t xml:space="preserve"> </w:t>
      </w:r>
      <w:r w:rsidR="0081222E" w:rsidRPr="00493BFF">
        <w:rPr>
          <w:rFonts w:ascii="仿宋_GB2312" w:eastAsia="仿宋_GB2312" w:hAnsi="黑体" w:hint="eastAsia"/>
          <w:sz w:val="32"/>
          <w:szCs w:val="32"/>
        </w:rPr>
        <w:t>2014年</w:t>
      </w:r>
      <w:r w:rsidR="007F786B" w:rsidRPr="00493BFF">
        <w:rPr>
          <w:rFonts w:ascii="仿宋_GB2312" w:eastAsia="仿宋_GB2312" w:hAnsi="黑体" w:hint="eastAsia"/>
          <w:sz w:val="32"/>
          <w:szCs w:val="32"/>
        </w:rPr>
        <w:t>深圳市</w:t>
      </w:r>
      <w:r w:rsidR="0081222E" w:rsidRPr="00493BFF">
        <w:rPr>
          <w:rFonts w:ascii="仿宋_GB2312" w:eastAsia="仿宋_GB2312" w:hAnsi="黑体" w:hint="eastAsia"/>
          <w:sz w:val="32"/>
          <w:szCs w:val="32"/>
        </w:rPr>
        <w:t>居住建筑</w:t>
      </w:r>
      <w:r w:rsidR="007F786B" w:rsidRPr="00493BFF">
        <w:rPr>
          <w:rFonts w:ascii="仿宋_GB2312" w:eastAsia="仿宋_GB2312" w:hAnsi="黑体" w:hint="eastAsia"/>
          <w:sz w:val="32"/>
          <w:szCs w:val="32"/>
        </w:rPr>
        <w:t>深圳市级</w:t>
      </w:r>
      <w:r w:rsidR="0081222E" w:rsidRPr="00493BFF">
        <w:rPr>
          <w:rFonts w:ascii="仿宋_GB2312" w:eastAsia="仿宋_GB2312" w:hAnsi="黑体" w:hint="eastAsia"/>
          <w:sz w:val="32"/>
          <w:szCs w:val="32"/>
        </w:rPr>
        <w:t>绿色建筑设计文件检查表</w:t>
      </w:r>
    </w:p>
    <w:p w:rsidR="007F786B" w:rsidRPr="007F786B" w:rsidRDefault="007F786B" w:rsidP="007F786B">
      <w:pPr>
        <w:jc w:val="center"/>
        <w:rPr>
          <w:rFonts w:ascii="仿宋_GB2312" w:eastAsia="仿宋_GB2312"/>
          <w:sz w:val="30"/>
          <w:szCs w:val="30"/>
        </w:rPr>
      </w:pPr>
      <w:r>
        <w:rPr>
          <w:rFonts w:ascii="仿宋_GB2312" w:eastAsia="仿宋_GB2312" w:hint="eastAsia"/>
          <w:sz w:val="30"/>
          <w:szCs w:val="30"/>
        </w:rPr>
        <w:t>（</w:t>
      </w:r>
      <w:r w:rsidR="00372E3E">
        <w:rPr>
          <w:rFonts w:ascii="仿宋_GB2312" w:eastAsia="仿宋_GB2312" w:hint="eastAsia"/>
          <w:sz w:val="32"/>
          <w:szCs w:val="32"/>
        </w:rPr>
        <w:t>检查组填写</w:t>
      </w:r>
      <w:r>
        <w:rPr>
          <w:rFonts w:ascii="仿宋_GB2312" w:eastAsia="仿宋_GB2312" w:hint="eastAsia"/>
          <w:sz w:val="30"/>
          <w:szCs w:val="30"/>
        </w:rPr>
        <w:t>）</w:t>
      </w:r>
    </w:p>
    <w:p w:rsidR="006D20E7" w:rsidRDefault="009501F4" w:rsidP="00240773">
      <w:pPr>
        <w:ind w:firstLineChars="300" w:firstLine="708"/>
        <w:jc w:val="left"/>
        <w:rPr>
          <w:rFonts w:ascii="仿宋_GB2312" w:eastAsia="仿宋_GB2312"/>
          <w:sz w:val="24"/>
        </w:rPr>
      </w:pPr>
      <w:r>
        <w:rPr>
          <w:rFonts w:ascii="仿宋_GB2312" w:eastAsia="仿宋_GB2312" w:hint="eastAsia"/>
          <w:sz w:val="24"/>
        </w:rPr>
        <w:t>所在区</w:t>
      </w:r>
      <w:r w:rsidR="007F786B">
        <w:rPr>
          <w:rFonts w:ascii="仿宋_GB2312" w:eastAsia="仿宋_GB2312" w:hint="eastAsia"/>
          <w:sz w:val="24"/>
        </w:rPr>
        <w:t>：</w:t>
      </w:r>
      <w:r w:rsidR="0081222E" w:rsidRPr="007F786B">
        <w:rPr>
          <w:rFonts w:ascii="仿宋_GB2312" w:eastAsia="仿宋_GB2312" w:hint="eastAsia"/>
          <w:sz w:val="24"/>
          <w:u w:val="single"/>
        </w:rPr>
        <w:t xml:space="preserve">                </w:t>
      </w:r>
      <w:r w:rsidR="0081222E" w:rsidRPr="007F786B">
        <w:rPr>
          <w:rFonts w:ascii="仿宋_GB2312" w:eastAsia="仿宋_GB2312"/>
          <w:sz w:val="24"/>
          <w:u w:val="single"/>
        </w:rPr>
        <w:t xml:space="preserve">  </w:t>
      </w:r>
      <w:r w:rsidR="0081222E" w:rsidRPr="007F786B">
        <w:rPr>
          <w:rFonts w:ascii="仿宋_GB2312" w:eastAsia="仿宋_GB2312"/>
          <w:sz w:val="24"/>
        </w:rPr>
        <w:t xml:space="preserve"> </w:t>
      </w:r>
      <w:r w:rsidR="0081222E" w:rsidRPr="00A712C0">
        <w:rPr>
          <w:rFonts w:ascii="仿宋_GB2312" w:eastAsia="仿宋_GB2312" w:hint="eastAsia"/>
          <w:sz w:val="24"/>
        </w:rPr>
        <w:t>项目</w:t>
      </w:r>
      <w:r w:rsidR="0081222E" w:rsidRPr="00A712C0">
        <w:rPr>
          <w:rFonts w:ascii="仿宋_GB2312" w:eastAsia="仿宋_GB2312"/>
          <w:sz w:val="24"/>
        </w:rPr>
        <w:t>名称</w:t>
      </w:r>
      <w:r w:rsidR="007F786B">
        <w:rPr>
          <w:rFonts w:ascii="仿宋_GB2312" w:eastAsia="仿宋_GB2312"/>
          <w:sz w:val="24"/>
        </w:rPr>
        <w:t>：</w:t>
      </w:r>
      <w:r w:rsidR="0081222E" w:rsidRPr="007F786B">
        <w:rPr>
          <w:rFonts w:ascii="仿宋_GB2312" w:eastAsia="仿宋_GB2312"/>
          <w:sz w:val="24"/>
          <w:u w:val="single"/>
        </w:rPr>
        <w:t xml:space="preserve">                                  </w:t>
      </w:r>
      <w:r w:rsidR="0081222E" w:rsidRPr="007F786B">
        <w:rPr>
          <w:rFonts w:ascii="仿宋_GB2312" w:eastAsia="仿宋_GB2312"/>
          <w:sz w:val="24"/>
        </w:rPr>
        <w:t xml:space="preserve">  </w:t>
      </w:r>
    </w:p>
    <w:tbl>
      <w:tblPr>
        <w:tblW w:w="10597" w:type="dxa"/>
        <w:jc w:val="center"/>
        <w:tblLook w:val="0000"/>
      </w:tblPr>
      <w:tblGrid>
        <w:gridCol w:w="423"/>
        <w:gridCol w:w="9"/>
        <w:gridCol w:w="294"/>
        <w:gridCol w:w="161"/>
        <w:gridCol w:w="615"/>
        <w:gridCol w:w="236"/>
        <w:gridCol w:w="1421"/>
        <w:gridCol w:w="1361"/>
        <w:gridCol w:w="1345"/>
        <w:gridCol w:w="1103"/>
        <w:gridCol w:w="156"/>
        <w:gridCol w:w="951"/>
        <w:gridCol w:w="60"/>
        <w:gridCol w:w="804"/>
        <w:gridCol w:w="472"/>
        <w:gridCol w:w="320"/>
        <w:gridCol w:w="866"/>
      </w:tblGrid>
      <w:tr w:rsidR="002E6C2E" w:rsidRPr="00C727B9" w:rsidTr="00240773">
        <w:trPr>
          <w:trHeight w:val="929"/>
          <w:jc w:val="center"/>
        </w:trPr>
        <w:tc>
          <w:tcPr>
            <w:tcW w:w="3159" w:type="dxa"/>
            <w:gridSpan w:val="7"/>
            <w:tcBorders>
              <w:top w:val="single" w:sz="4" w:space="0" w:color="auto"/>
              <w:left w:val="single" w:sz="4" w:space="0" w:color="auto"/>
              <w:bottom w:val="single" w:sz="4" w:space="0" w:color="auto"/>
              <w:right w:val="single" w:sz="4" w:space="0" w:color="auto"/>
            </w:tcBorders>
            <w:vAlign w:val="center"/>
          </w:tcPr>
          <w:p w:rsidR="002E6C2E" w:rsidRPr="00030B3E" w:rsidRDefault="002E6C2E" w:rsidP="002E6C2E">
            <w:pPr>
              <w:rPr>
                <w:rFonts w:eastAsia="仿宋_GB2312"/>
                <w:bCs/>
                <w:kern w:val="0"/>
                <w:szCs w:val="21"/>
              </w:rPr>
            </w:pPr>
            <w:r w:rsidRPr="00030B3E">
              <w:rPr>
                <w:rFonts w:eastAsia="仿宋_GB2312" w:hint="eastAsia"/>
                <w:bCs/>
                <w:kern w:val="0"/>
                <w:szCs w:val="21"/>
              </w:rPr>
              <w:t>申报</w:t>
            </w:r>
            <w:r>
              <w:rPr>
                <w:rFonts w:eastAsia="仿宋_GB2312" w:hint="eastAsia"/>
                <w:bCs/>
                <w:kern w:val="0"/>
                <w:szCs w:val="21"/>
              </w:rPr>
              <w:t>等</w:t>
            </w:r>
            <w:r w:rsidRPr="00030B3E">
              <w:rPr>
                <w:rFonts w:eastAsia="仿宋_GB2312"/>
                <w:bCs/>
                <w:kern w:val="0"/>
                <w:szCs w:val="21"/>
              </w:rPr>
              <w:t>级</w:t>
            </w:r>
            <w:r w:rsidRPr="002E6C2E">
              <w:rPr>
                <w:rFonts w:eastAsia="仿宋_GB2312"/>
                <w:bCs/>
                <w:kern w:val="0"/>
                <w:szCs w:val="21"/>
              </w:rPr>
              <w:t>：</w:t>
            </w:r>
            <w:r w:rsidRPr="002E6C2E">
              <w:rPr>
                <w:rFonts w:eastAsia="仿宋_GB2312" w:hint="eastAsia"/>
                <w:bCs/>
                <w:kern w:val="0"/>
                <w:szCs w:val="21"/>
                <w:u w:val="single"/>
              </w:rPr>
              <w:t xml:space="preserve">        </w:t>
            </w:r>
            <w:r>
              <w:rPr>
                <w:rFonts w:eastAsia="仿宋_GB2312"/>
                <w:bCs/>
                <w:kern w:val="0"/>
                <w:szCs w:val="21"/>
                <w:u w:val="single"/>
              </w:rPr>
              <w:t xml:space="preserve">  </w:t>
            </w:r>
            <w:r w:rsidR="005C0361">
              <w:rPr>
                <w:rFonts w:eastAsia="仿宋_GB2312"/>
                <w:bCs/>
                <w:kern w:val="0"/>
                <w:szCs w:val="21"/>
                <w:u w:val="single"/>
              </w:rPr>
              <w:t xml:space="preserve">  </w:t>
            </w:r>
            <w:r w:rsidRPr="002E6C2E">
              <w:rPr>
                <w:rFonts w:eastAsia="仿宋_GB2312" w:hint="eastAsia"/>
                <w:bCs/>
                <w:kern w:val="0"/>
                <w:szCs w:val="21"/>
                <w:u w:val="single"/>
              </w:rPr>
              <w:t xml:space="preserve">  </w:t>
            </w:r>
            <w:r w:rsidRPr="002E6C2E">
              <w:rPr>
                <w:rFonts w:eastAsia="仿宋_GB2312" w:hint="eastAsia"/>
                <w:bCs/>
                <w:kern w:val="0"/>
                <w:szCs w:val="21"/>
              </w:rPr>
              <w:t xml:space="preserve">  </w:t>
            </w:r>
          </w:p>
        </w:tc>
        <w:tc>
          <w:tcPr>
            <w:tcW w:w="1361"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节地与室外环境</w:t>
            </w:r>
          </w:p>
        </w:tc>
        <w:tc>
          <w:tcPr>
            <w:tcW w:w="1345"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节能与能源利用</w:t>
            </w:r>
          </w:p>
        </w:tc>
        <w:tc>
          <w:tcPr>
            <w:tcW w:w="1259"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节水与水资源利用</w:t>
            </w:r>
          </w:p>
        </w:tc>
        <w:tc>
          <w:tcPr>
            <w:tcW w:w="951"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节材与材料资源利用</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室内环境质量</w:t>
            </w:r>
          </w:p>
        </w:tc>
        <w:tc>
          <w:tcPr>
            <w:tcW w:w="792"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运营管理</w:t>
            </w:r>
          </w:p>
        </w:tc>
        <w:tc>
          <w:tcPr>
            <w:tcW w:w="866" w:type="dxa"/>
            <w:tcBorders>
              <w:top w:val="single" w:sz="4" w:space="0" w:color="auto"/>
              <w:left w:val="single" w:sz="4" w:space="0" w:color="auto"/>
              <w:bottom w:val="single" w:sz="4" w:space="0" w:color="auto"/>
              <w:right w:val="single" w:sz="4" w:space="0" w:color="auto"/>
            </w:tcBorders>
            <w:vAlign w:val="center"/>
          </w:tcPr>
          <w:p w:rsidR="002E6C2E" w:rsidRPr="00030B3E" w:rsidRDefault="002E6C2E" w:rsidP="0038669A">
            <w:pPr>
              <w:jc w:val="center"/>
              <w:rPr>
                <w:rFonts w:eastAsia="仿宋_GB2312"/>
                <w:bCs/>
                <w:kern w:val="0"/>
                <w:szCs w:val="21"/>
              </w:rPr>
            </w:pPr>
            <w:r>
              <w:rPr>
                <w:rFonts w:eastAsia="仿宋_GB2312" w:hint="eastAsia"/>
                <w:bCs/>
                <w:kern w:val="0"/>
                <w:szCs w:val="21"/>
              </w:rPr>
              <w:t>创新项</w:t>
            </w:r>
          </w:p>
        </w:tc>
      </w:tr>
      <w:tr w:rsidR="002E6C2E" w:rsidTr="002407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8"/>
          <w:jc w:val="center"/>
        </w:trPr>
        <w:tc>
          <w:tcPr>
            <w:tcW w:w="726" w:type="dxa"/>
            <w:gridSpan w:val="3"/>
            <w:vMerge w:val="restart"/>
            <w:tcBorders>
              <w:top w:val="single" w:sz="4" w:space="0" w:color="auto"/>
              <w:left w:val="single" w:sz="4" w:space="0" w:color="auto"/>
              <w:right w:val="single" w:sz="4" w:space="0" w:color="auto"/>
            </w:tcBorders>
            <w:shd w:val="clear" w:color="auto" w:fill="auto"/>
            <w:vAlign w:val="center"/>
          </w:tcPr>
          <w:p w:rsidR="002E6C2E" w:rsidRPr="009409EF" w:rsidRDefault="002E6C2E" w:rsidP="0038669A">
            <w:pPr>
              <w:jc w:val="center"/>
              <w:rPr>
                <w:rFonts w:eastAsia="仿宋_GB2312"/>
                <w:kern w:val="0"/>
                <w:szCs w:val="21"/>
              </w:rPr>
            </w:pPr>
            <w:r w:rsidRPr="0068361D">
              <w:rPr>
                <w:rFonts w:eastAsia="仿宋_GB2312" w:hint="eastAsia"/>
                <w:bCs/>
                <w:kern w:val="0"/>
                <w:szCs w:val="21"/>
              </w:rPr>
              <w:t>控制项</w:t>
            </w:r>
          </w:p>
        </w:tc>
        <w:tc>
          <w:tcPr>
            <w:tcW w:w="2433" w:type="dxa"/>
            <w:gridSpan w:val="4"/>
            <w:vMerge w:val="restart"/>
            <w:tcBorders>
              <w:top w:val="single" w:sz="4" w:space="0" w:color="auto"/>
              <w:left w:val="single" w:sz="4" w:space="0" w:color="auto"/>
              <w:right w:val="single" w:sz="4" w:space="0" w:color="auto"/>
            </w:tcBorders>
            <w:shd w:val="clear" w:color="auto" w:fill="auto"/>
            <w:vAlign w:val="center"/>
          </w:tcPr>
          <w:p w:rsidR="002E6C2E" w:rsidRPr="009409EF" w:rsidRDefault="002E6C2E" w:rsidP="0038669A">
            <w:pPr>
              <w:jc w:val="center"/>
              <w:rPr>
                <w:rFonts w:eastAsia="仿宋_GB2312"/>
                <w:kern w:val="0"/>
                <w:szCs w:val="21"/>
              </w:rPr>
            </w:pPr>
            <w:r>
              <w:rPr>
                <w:rFonts w:eastAsia="仿宋_GB2312" w:hint="eastAsia"/>
                <w:bCs/>
                <w:kern w:val="0"/>
                <w:szCs w:val="21"/>
              </w:rPr>
              <w:t>检查组评价</w:t>
            </w:r>
          </w:p>
        </w:tc>
        <w:tc>
          <w:tcPr>
            <w:tcW w:w="74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C2E" w:rsidRPr="009409EF" w:rsidRDefault="002E6C2E" w:rsidP="0038669A">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2E6C2E" w:rsidTr="002407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9"/>
          <w:jc w:val="center"/>
        </w:trPr>
        <w:tc>
          <w:tcPr>
            <w:tcW w:w="726" w:type="dxa"/>
            <w:gridSpan w:val="3"/>
            <w:vMerge/>
            <w:tcBorders>
              <w:left w:val="single" w:sz="4" w:space="0" w:color="auto"/>
              <w:bottom w:val="single" w:sz="4" w:space="0" w:color="auto"/>
              <w:right w:val="single" w:sz="4" w:space="0" w:color="auto"/>
            </w:tcBorders>
            <w:shd w:val="clear" w:color="auto" w:fill="auto"/>
            <w:vAlign w:val="center"/>
          </w:tcPr>
          <w:p w:rsidR="002E6C2E" w:rsidRPr="0068361D" w:rsidRDefault="002E6C2E" w:rsidP="0038669A">
            <w:pPr>
              <w:jc w:val="center"/>
              <w:rPr>
                <w:rFonts w:eastAsia="仿宋_GB2312"/>
                <w:bCs/>
                <w:kern w:val="0"/>
                <w:szCs w:val="21"/>
              </w:rPr>
            </w:pPr>
          </w:p>
        </w:tc>
        <w:tc>
          <w:tcPr>
            <w:tcW w:w="2433" w:type="dxa"/>
            <w:gridSpan w:val="4"/>
            <w:vMerge/>
            <w:tcBorders>
              <w:left w:val="single" w:sz="4" w:space="0" w:color="auto"/>
              <w:bottom w:val="single" w:sz="4" w:space="0" w:color="auto"/>
              <w:right w:val="single" w:sz="4" w:space="0" w:color="auto"/>
            </w:tcBorders>
            <w:shd w:val="clear" w:color="auto" w:fill="auto"/>
            <w:vAlign w:val="center"/>
          </w:tcPr>
          <w:p w:rsidR="002E6C2E" w:rsidRPr="0068361D" w:rsidRDefault="002E6C2E" w:rsidP="0038669A">
            <w:pPr>
              <w:jc w:val="center"/>
              <w:rPr>
                <w:rFonts w:eastAsia="仿宋_GB2312"/>
                <w:bCs/>
                <w:kern w:val="0"/>
                <w:szCs w:val="21"/>
              </w:rPr>
            </w:pPr>
          </w:p>
        </w:tc>
        <w:tc>
          <w:tcPr>
            <w:tcW w:w="74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C2E" w:rsidRPr="00030B3E" w:rsidRDefault="002E6C2E" w:rsidP="0038669A">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5C0361" w:rsidTr="001225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5"/>
          <w:jc w:val="center"/>
        </w:trPr>
        <w:tc>
          <w:tcPr>
            <w:tcW w:w="726" w:type="dxa"/>
            <w:gridSpan w:val="3"/>
            <w:vMerge w:val="restart"/>
            <w:tcBorders>
              <w:top w:val="single" w:sz="4" w:space="0" w:color="auto"/>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得分</w:t>
            </w:r>
            <w:r w:rsidRPr="0068361D">
              <w:rPr>
                <w:rFonts w:eastAsia="仿宋_GB2312" w:hint="eastAsia"/>
                <w:bCs/>
                <w:kern w:val="0"/>
                <w:szCs w:val="21"/>
              </w:rPr>
              <w:t>项</w:t>
            </w:r>
            <w:r>
              <w:rPr>
                <w:rFonts w:eastAsia="仿宋_GB2312" w:hint="eastAsia"/>
                <w:bCs/>
                <w:kern w:val="0"/>
                <w:szCs w:val="21"/>
              </w:rPr>
              <w:t>+</w:t>
            </w:r>
            <w:r>
              <w:rPr>
                <w:rFonts w:eastAsia="仿宋_GB2312" w:hint="eastAsia"/>
                <w:bCs/>
                <w:kern w:val="0"/>
                <w:szCs w:val="21"/>
              </w:rPr>
              <w:t>创新</w:t>
            </w:r>
            <w:r>
              <w:rPr>
                <w:rFonts w:eastAsia="仿宋_GB2312"/>
                <w:bCs/>
                <w:kern w:val="0"/>
                <w:szCs w:val="21"/>
              </w:rPr>
              <w:t>项</w:t>
            </w:r>
          </w:p>
        </w:tc>
        <w:tc>
          <w:tcPr>
            <w:tcW w:w="776" w:type="dxa"/>
            <w:gridSpan w:val="2"/>
            <w:vMerge w:val="restart"/>
            <w:tcBorders>
              <w:top w:val="single" w:sz="4" w:space="0" w:color="auto"/>
              <w:left w:val="single" w:sz="4" w:space="0" w:color="auto"/>
              <w:right w:val="single" w:sz="4" w:space="0" w:color="auto"/>
            </w:tcBorders>
            <w:shd w:val="clear" w:color="auto" w:fill="auto"/>
            <w:vAlign w:val="center"/>
          </w:tcPr>
          <w:p w:rsidR="005C0361" w:rsidRPr="0068361D" w:rsidRDefault="005C0361" w:rsidP="005C0361">
            <w:pPr>
              <w:spacing w:line="240" w:lineRule="atLeast"/>
              <w:jc w:val="center"/>
              <w:rPr>
                <w:rFonts w:eastAsia="仿宋_GB2312"/>
                <w:bCs/>
                <w:kern w:val="0"/>
                <w:szCs w:val="21"/>
              </w:rPr>
            </w:pPr>
            <w:r>
              <w:rPr>
                <w:rFonts w:eastAsia="仿宋_GB2312" w:hint="eastAsia"/>
                <w:bCs/>
                <w:kern w:val="0"/>
                <w:szCs w:val="21"/>
              </w:rPr>
              <w:t>设计情况</w:t>
            </w:r>
          </w:p>
        </w:tc>
        <w:tc>
          <w:tcPr>
            <w:tcW w:w="1657" w:type="dxa"/>
            <w:gridSpan w:val="2"/>
            <w:tcBorders>
              <w:top w:val="single" w:sz="4" w:space="0" w:color="auto"/>
              <w:lef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规范要求</w:t>
            </w:r>
          </w:p>
        </w:tc>
        <w:tc>
          <w:tcPr>
            <w:tcW w:w="7438" w:type="dxa"/>
            <w:gridSpan w:val="10"/>
            <w:tcBorders>
              <w:top w:val="single" w:sz="4" w:space="0" w:color="auto"/>
              <w:bottom w:val="single" w:sz="6" w:space="0" w:color="auto"/>
              <w:right w:val="single" w:sz="4" w:space="0" w:color="auto"/>
            </w:tcBorders>
            <w:shd w:val="clear" w:color="auto" w:fill="auto"/>
            <w:vAlign w:val="center"/>
          </w:tcPr>
          <w:p w:rsidR="005C0361" w:rsidRPr="00397FB7" w:rsidRDefault="005C0361" w:rsidP="005C0361">
            <w:pPr>
              <w:jc w:val="right"/>
              <w:rPr>
                <w:b/>
              </w:rPr>
            </w:pPr>
            <w:r w:rsidRPr="00397FB7">
              <w:rPr>
                <w:b/>
              </w:rPr>
              <w:t>(</w:t>
            </w:r>
            <w:r w:rsidRPr="00397FB7">
              <w:rPr>
                <w:rFonts w:hint="eastAsia"/>
                <w:b/>
              </w:rPr>
              <w:t>每类</w:t>
            </w:r>
            <w:r w:rsidRPr="00397FB7">
              <w:rPr>
                <w:b/>
              </w:rPr>
              <w:t>指标得分之和不低于</w:t>
            </w:r>
            <w:r w:rsidRPr="00397FB7">
              <w:rPr>
                <w:rFonts w:hint="eastAsia"/>
                <w:b/>
              </w:rPr>
              <w:t>2</w:t>
            </w:r>
            <w:r w:rsidRPr="00397FB7">
              <w:rPr>
                <w:rFonts w:hint="eastAsia"/>
                <w:b/>
              </w:rPr>
              <w:t>分</w:t>
            </w:r>
            <w:r w:rsidRPr="00397FB7">
              <w:rPr>
                <w:b/>
              </w:rPr>
              <w:t>，创新项除外</w:t>
            </w:r>
            <w:r w:rsidRPr="00397FB7">
              <w:rPr>
                <w:rFonts w:hint="eastAsia"/>
                <w:b/>
              </w:rPr>
              <w:t>)</w:t>
            </w:r>
          </w:p>
        </w:tc>
      </w:tr>
      <w:tr w:rsidR="005C0361" w:rsidTr="002407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26" w:type="dxa"/>
            <w:gridSpan w:val="3"/>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776"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1657" w:type="dxa"/>
            <w:gridSpan w:val="2"/>
            <w:tcBorders>
              <w:top w:val="single" w:sz="6" w:space="0" w:color="auto"/>
              <w:left w:val="single" w:sz="4" w:space="0" w:color="auto"/>
              <w:bottom w:val="single" w:sz="6"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参评项得分</w:t>
            </w:r>
          </w:p>
        </w:tc>
        <w:tc>
          <w:tcPr>
            <w:tcW w:w="1361" w:type="dxa"/>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1345" w:type="dxa"/>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1259" w:type="dxa"/>
            <w:gridSpan w:val="2"/>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951" w:type="dxa"/>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864" w:type="dxa"/>
            <w:gridSpan w:val="2"/>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792" w:type="dxa"/>
            <w:gridSpan w:val="2"/>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866" w:type="dxa"/>
            <w:tcBorders>
              <w:top w:val="single" w:sz="6" w:space="0" w:color="auto"/>
              <w:bottom w:val="single" w:sz="6" w:space="0" w:color="auto"/>
              <w:right w:val="single" w:sz="4" w:space="0" w:color="auto"/>
            </w:tcBorders>
            <w:vAlign w:val="center"/>
          </w:tcPr>
          <w:p w:rsidR="005C0361" w:rsidRPr="00B02675" w:rsidRDefault="005C0361" w:rsidP="005C0361">
            <w:pPr>
              <w:jc w:val="center"/>
            </w:pPr>
          </w:p>
        </w:tc>
      </w:tr>
      <w:tr w:rsidR="005C0361" w:rsidTr="001225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26" w:type="dxa"/>
            <w:gridSpan w:val="3"/>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776"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1657" w:type="dxa"/>
            <w:gridSpan w:val="2"/>
            <w:tcBorders>
              <w:top w:val="single" w:sz="6" w:space="0" w:color="auto"/>
              <w:left w:val="single" w:sz="4" w:space="0" w:color="auto"/>
              <w:bottom w:val="single" w:sz="6" w:space="0" w:color="auto"/>
            </w:tcBorders>
            <w:shd w:val="clear" w:color="auto" w:fill="auto"/>
            <w:vAlign w:val="center"/>
          </w:tcPr>
          <w:p w:rsidR="005C0361" w:rsidRDefault="005C0361" w:rsidP="005C0361">
            <w:pPr>
              <w:widowControl/>
              <w:spacing w:line="240" w:lineRule="atLeast"/>
              <w:jc w:val="center"/>
              <w:rPr>
                <w:rFonts w:eastAsia="仿宋_GB2312"/>
                <w:bCs/>
                <w:kern w:val="0"/>
                <w:szCs w:val="21"/>
              </w:rPr>
            </w:pPr>
            <w:r>
              <w:rPr>
                <w:rFonts w:eastAsia="仿宋_GB2312" w:hint="eastAsia"/>
                <w:bCs/>
                <w:kern w:val="0"/>
                <w:szCs w:val="21"/>
              </w:rPr>
              <w:t>参评项</w:t>
            </w:r>
            <w:r>
              <w:rPr>
                <w:rFonts w:eastAsia="仿宋_GB2312"/>
                <w:bCs/>
                <w:kern w:val="0"/>
                <w:szCs w:val="21"/>
              </w:rPr>
              <w:t>总得分</w:t>
            </w:r>
          </w:p>
        </w:tc>
        <w:tc>
          <w:tcPr>
            <w:tcW w:w="7438" w:type="dxa"/>
            <w:gridSpan w:val="10"/>
            <w:tcBorders>
              <w:top w:val="single" w:sz="6" w:space="0" w:color="auto"/>
              <w:bottom w:val="single" w:sz="6" w:space="0" w:color="auto"/>
              <w:right w:val="single" w:sz="4" w:space="0" w:color="auto"/>
            </w:tcBorders>
            <w:shd w:val="clear" w:color="auto" w:fill="auto"/>
            <w:vAlign w:val="center"/>
          </w:tcPr>
          <w:p w:rsidR="005C0361" w:rsidRPr="00B02675" w:rsidRDefault="005C0361" w:rsidP="005C0361">
            <w:pPr>
              <w:jc w:val="center"/>
            </w:pPr>
          </w:p>
        </w:tc>
      </w:tr>
      <w:tr w:rsidR="005C0361" w:rsidTr="002407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26" w:type="dxa"/>
            <w:gridSpan w:val="3"/>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2433" w:type="dxa"/>
            <w:gridSpan w:val="4"/>
            <w:vMerge w:val="restart"/>
            <w:tcBorders>
              <w:top w:val="single" w:sz="6" w:space="0" w:color="auto"/>
              <w:left w:val="single" w:sz="4" w:space="0" w:color="auto"/>
            </w:tcBorders>
            <w:shd w:val="clear" w:color="auto" w:fill="auto"/>
            <w:noWrap/>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检查组评价</w:t>
            </w:r>
          </w:p>
        </w:tc>
        <w:tc>
          <w:tcPr>
            <w:tcW w:w="7438" w:type="dxa"/>
            <w:gridSpan w:val="10"/>
            <w:tcBorders>
              <w:top w:val="single" w:sz="6" w:space="0" w:color="auto"/>
              <w:bottom w:val="single" w:sz="6" w:space="0" w:color="auto"/>
              <w:right w:val="single" w:sz="4" w:space="0" w:color="auto"/>
            </w:tcBorders>
            <w:shd w:val="clear" w:color="auto" w:fill="auto"/>
            <w:vAlign w:val="center"/>
          </w:tcPr>
          <w:p w:rsidR="005C0361" w:rsidRPr="009409EF" w:rsidRDefault="005C0361" w:rsidP="005C0361">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5C0361" w:rsidRPr="00240773" w:rsidTr="002407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26" w:type="dxa"/>
            <w:gridSpan w:val="3"/>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2433" w:type="dxa"/>
            <w:gridSpan w:val="4"/>
            <w:vMerge/>
            <w:tcBorders>
              <w:left w:val="single" w:sz="4" w:space="0" w:color="auto"/>
            </w:tcBorders>
            <w:shd w:val="clear" w:color="auto" w:fill="auto"/>
            <w:noWrap/>
            <w:vAlign w:val="center"/>
          </w:tcPr>
          <w:p w:rsidR="005C0361" w:rsidRPr="0068361D" w:rsidRDefault="005C0361" w:rsidP="005C0361">
            <w:pPr>
              <w:widowControl/>
              <w:spacing w:line="240" w:lineRule="atLeast"/>
              <w:jc w:val="center"/>
              <w:rPr>
                <w:rFonts w:eastAsia="仿宋_GB2312"/>
                <w:bCs/>
                <w:kern w:val="0"/>
                <w:szCs w:val="21"/>
              </w:rPr>
            </w:pPr>
          </w:p>
        </w:tc>
        <w:tc>
          <w:tcPr>
            <w:tcW w:w="7438" w:type="dxa"/>
            <w:gridSpan w:val="10"/>
            <w:tcBorders>
              <w:top w:val="single" w:sz="6" w:space="0" w:color="auto"/>
              <w:bottom w:val="single" w:sz="6" w:space="0" w:color="auto"/>
              <w:right w:val="single" w:sz="4" w:space="0" w:color="auto"/>
            </w:tcBorders>
            <w:shd w:val="clear" w:color="auto" w:fill="auto"/>
            <w:vAlign w:val="center"/>
          </w:tcPr>
          <w:p w:rsidR="005C0361" w:rsidRPr="00030B3E" w:rsidRDefault="005C0361" w:rsidP="005C0361">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4"/>
          <w:jc w:val="center"/>
        </w:trPr>
        <w:tc>
          <w:tcPr>
            <w:tcW w:w="6968" w:type="dxa"/>
            <w:gridSpan w:val="10"/>
            <w:vAlign w:val="center"/>
          </w:tcPr>
          <w:p w:rsidR="005C0361" w:rsidRPr="00915776" w:rsidRDefault="005C0361" w:rsidP="005C0361">
            <w:pPr>
              <w:widowControl/>
              <w:snapToGrid w:val="0"/>
              <w:spacing w:line="300" w:lineRule="auto"/>
              <w:jc w:val="center"/>
              <w:rPr>
                <w:rFonts w:ascii="宋体" w:hAnsi="宋体" w:cs="宋体"/>
                <w:b/>
                <w:kern w:val="0"/>
                <w:szCs w:val="21"/>
              </w:rPr>
            </w:pPr>
            <w:r>
              <w:rPr>
                <w:rFonts w:ascii="宋体" w:hAnsi="宋体" w:cs="宋体" w:hint="eastAsia"/>
                <w:b/>
                <w:kern w:val="0"/>
                <w:szCs w:val="21"/>
              </w:rPr>
              <w:t>检查</w:t>
            </w:r>
            <w:r>
              <w:rPr>
                <w:rFonts w:ascii="宋体" w:hAnsi="宋体" w:cs="宋体"/>
                <w:b/>
                <w:kern w:val="0"/>
                <w:szCs w:val="21"/>
              </w:rPr>
              <w:t>内容与依据</w:t>
            </w:r>
          </w:p>
        </w:tc>
        <w:tc>
          <w:tcPr>
            <w:tcW w:w="2443" w:type="dxa"/>
            <w:gridSpan w:val="5"/>
            <w:vAlign w:val="center"/>
          </w:tcPr>
          <w:p w:rsidR="005C0361" w:rsidRPr="00915776" w:rsidRDefault="005C0361" w:rsidP="005C0361">
            <w:pPr>
              <w:widowControl/>
              <w:snapToGrid w:val="0"/>
              <w:spacing w:line="300" w:lineRule="auto"/>
              <w:jc w:val="center"/>
              <w:rPr>
                <w:rFonts w:ascii="宋体" w:hAnsi="宋体" w:cs="宋体"/>
                <w:b/>
                <w:kern w:val="0"/>
                <w:szCs w:val="21"/>
              </w:rPr>
            </w:pPr>
            <w:r>
              <w:rPr>
                <w:rFonts w:ascii="宋体" w:hAnsi="宋体" w:cs="宋体" w:hint="eastAsia"/>
                <w:b/>
                <w:kern w:val="0"/>
                <w:szCs w:val="21"/>
              </w:rPr>
              <w:t>评价</w:t>
            </w:r>
          </w:p>
        </w:tc>
        <w:tc>
          <w:tcPr>
            <w:tcW w:w="1186" w:type="dxa"/>
            <w:gridSpan w:val="2"/>
            <w:vMerge w:val="restart"/>
            <w:vAlign w:val="center"/>
          </w:tcPr>
          <w:p w:rsidR="005C0361" w:rsidRPr="00915776" w:rsidRDefault="005C0361" w:rsidP="005C0361">
            <w:pPr>
              <w:snapToGrid w:val="0"/>
              <w:spacing w:line="300" w:lineRule="auto"/>
              <w:jc w:val="center"/>
              <w:rPr>
                <w:rFonts w:ascii="宋体" w:hAnsi="宋体" w:cs="宋体"/>
                <w:b/>
                <w:kern w:val="0"/>
                <w:szCs w:val="21"/>
              </w:rPr>
            </w:pPr>
            <w:r w:rsidRPr="00915776">
              <w:rPr>
                <w:rFonts w:ascii="宋体" w:hAnsi="宋体" w:cs="宋体" w:hint="eastAsia"/>
                <w:b/>
                <w:kern w:val="0"/>
                <w:szCs w:val="21"/>
              </w:rPr>
              <w:t>备注</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423" w:type="dxa"/>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名称</w:t>
            </w:r>
          </w:p>
        </w:tc>
        <w:tc>
          <w:tcPr>
            <w:tcW w:w="464" w:type="dxa"/>
            <w:gridSpan w:val="3"/>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类别</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编号</w:t>
            </w:r>
          </w:p>
        </w:tc>
        <w:tc>
          <w:tcPr>
            <w:tcW w:w="5230" w:type="dxa"/>
            <w:gridSpan w:val="4"/>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标准条文</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cs="宋体"/>
                <w:b/>
                <w:kern w:val="0"/>
                <w:szCs w:val="21"/>
              </w:rPr>
            </w:pPr>
            <w:r>
              <w:rPr>
                <w:rFonts w:ascii="宋体" w:hAnsi="宋体" w:cs="宋体" w:hint="eastAsia"/>
                <w:b/>
                <w:kern w:val="0"/>
                <w:szCs w:val="21"/>
              </w:rPr>
              <w:t>设计</w:t>
            </w:r>
            <w:r>
              <w:rPr>
                <w:rFonts w:ascii="宋体" w:hAnsi="宋体" w:cs="宋体"/>
                <w:b/>
                <w:kern w:val="0"/>
                <w:szCs w:val="21"/>
              </w:rPr>
              <w:t>文件</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cs="宋体"/>
                <w:b/>
                <w:kern w:val="0"/>
                <w:szCs w:val="21"/>
              </w:rPr>
            </w:pPr>
            <w:r>
              <w:rPr>
                <w:rFonts w:ascii="宋体" w:hAnsi="宋体" w:cs="宋体" w:hint="eastAsia"/>
                <w:b/>
                <w:kern w:val="0"/>
                <w:szCs w:val="21"/>
              </w:rPr>
              <w:t>施工图审查</w:t>
            </w:r>
          </w:p>
        </w:tc>
        <w:tc>
          <w:tcPr>
            <w:tcW w:w="1186"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restart"/>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节地与室外环境</w:t>
            </w:r>
          </w:p>
        </w:tc>
        <w:tc>
          <w:tcPr>
            <w:tcW w:w="464" w:type="dxa"/>
            <w:gridSpan w:val="3"/>
            <w:vMerge w:val="restart"/>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控制项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场地建设不破坏当地文物、自然水系、湿地、基本农田、森林和其他保护区。</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场地设计充分保留与利用场地内有环保价值和资源再利用价值的水域、地形地物、植被、道路、建筑物与构筑物等；</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2</w:t>
            </w:r>
            <w:r w:rsidRPr="00915776">
              <w:rPr>
                <w:rFonts w:ascii="宋体" w:hAnsi="宋体" w:hint="eastAsia"/>
                <w:szCs w:val="21"/>
              </w:rPr>
              <w:t>根据国家及深圳相关规定保护</w:t>
            </w:r>
            <w:r w:rsidRPr="00915776">
              <w:rPr>
                <w:rFonts w:ascii="宋体" w:hAnsi="宋体"/>
                <w:szCs w:val="21"/>
              </w:rPr>
              <w:t>场地内有较高生态价值的树木、水塘、水系</w:t>
            </w:r>
            <w:r w:rsidRPr="00915776">
              <w:rPr>
                <w:rFonts w:ascii="宋体" w:hAnsi="宋体" w:hint="eastAsia"/>
                <w:szCs w:val="21"/>
              </w:rPr>
              <w:t>，确实需要改造的，工程结束后，须生态复原。</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.1.2</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建筑场地选址无洪灾、泥石流及含氡土壤的威胁。建筑场地安全范围内无电磁辐射危害和火、爆、有毒物质等危险源。建筑选址符合国家和深圳市的相关安全规定。</w:t>
            </w:r>
          </w:p>
          <w:p w:rsidR="005C0361" w:rsidRPr="00915776" w:rsidRDefault="005C0361" w:rsidP="005C0361">
            <w:pPr>
              <w:snapToGrid w:val="0"/>
              <w:spacing w:line="300" w:lineRule="auto"/>
              <w:rPr>
                <w:rFonts w:ascii="宋体" w:hAnsi="宋体"/>
                <w:szCs w:val="21"/>
              </w:rPr>
            </w:pPr>
            <w:r w:rsidRPr="00915776">
              <w:rPr>
                <w:rFonts w:ascii="宋体" w:hAnsi="宋体"/>
                <w:szCs w:val="21"/>
              </w:rPr>
              <w:t>1 对用地的选址与水文状况做出分析，用地位于洪水水位之上或有可靠的城市防洪设施，防汛能力达到《防洪标准》GB</w:t>
            </w:r>
            <w:r w:rsidRPr="00915776">
              <w:rPr>
                <w:rFonts w:ascii="宋体" w:hAnsi="宋体" w:hint="eastAsia"/>
                <w:szCs w:val="21"/>
              </w:rPr>
              <w:t xml:space="preserve"> </w:t>
            </w:r>
            <w:r w:rsidRPr="00915776">
              <w:rPr>
                <w:rFonts w:ascii="宋体" w:hAnsi="宋体"/>
                <w:szCs w:val="21"/>
              </w:rPr>
              <w:t>50201的要求，充分考虑到泥石流、滑坡等自然灾害的应对措施；</w:t>
            </w:r>
          </w:p>
          <w:p w:rsidR="005C0361" w:rsidRPr="00915776" w:rsidRDefault="005C0361" w:rsidP="005C0361">
            <w:pPr>
              <w:snapToGrid w:val="0"/>
              <w:spacing w:line="300" w:lineRule="auto"/>
              <w:rPr>
                <w:rFonts w:ascii="宋体" w:hAnsi="宋体"/>
                <w:szCs w:val="21"/>
              </w:rPr>
            </w:pPr>
            <w:r w:rsidRPr="00915776">
              <w:rPr>
                <w:rFonts w:ascii="宋体" w:hAnsi="宋体"/>
                <w:szCs w:val="21"/>
              </w:rPr>
              <w:t>2 用地符合《建筑抗震设计规范》GB 50011的要求；</w:t>
            </w:r>
          </w:p>
          <w:p w:rsidR="005C0361" w:rsidRPr="00915776" w:rsidRDefault="005C0361" w:rsidP="005C0361">
            <w:pPr>
              <w:snapToGrid w:val="0"/>
              <w:spacing w:line="300" w:lineRule="auto"/>
              <w:rPr>
                <w:rFonts w:ascii="宋体" w:hAnsi="宋体"/>
                <w:szCs w:val="21"/>
              </w:rPr>
            </w:pPr>
            <w:r w:rsidRPr="00915776">
              <w:rPr>
                <w:rFonts w:ascii="宋体" w:hAnsi="宋体"/>
                <w:szCs w:val="21"/>
              </w:rPr>
              <w:t>3 选址周围土壤氡浓度符合《民用建筑工程室内环境污染控制规范》GB</w:t>
            </w:r>
            <w:r w:rsidRPr="00915776">
              <w:rPr>
                <w:rFonts w:ascii="宋体" w:hAnsi="宋体" w:hint="eastAsia"/>
                <w:szCs w:val="21"/>
              </w:rPr>
              <w:t xml:space="preserve"> </w:t>
            </w:r>
            <w:r w:rsidRPr="00915776">
              <w:rPr>
                <w:rFonts w:ascii="宋体" w:hAnsi="宋体"/>
                <w:szCs w:val="21"/>
              </w:rPr>
              <w:t>50325的要求。如利用原有工业用地的，进行土壤化学污染检测和评估，并符合国家相关标准的要求；</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4 选址周围电磁辐射强度符合《电磁辐射防护规定》GB 8702与《环境电磁波卫生标准》GB 9175的要求，选址远离电视广播发射塔、雷达站、通信发射台、变电站、高压电线等；选址远离油库、煤气站、有毒物质车间等有可能发生火灾、爆炸和毒气泄漏等区域。</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.1.3</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居住用地人均控制指标符合《深圳市城市规划标准与准则》要求</w:t>
            </w:r>
            <w:r w:rsidRPr="00915776">
              <w:rPr>
                <w:rFonts w:ascii="宋体" w:hAnsi="宋体" w:hint="eastAsia"/>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0"/>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.1.4</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住区建筑布局保证室内外的日照环境、采光和通风的要求，满足《城市居住区规划设计规范》GB 50180中有关居住建筑日照标准的要求。</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.1.5</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绿化物种选择适应深圳气候特征和土壤条件的乡土植物，选用少维护、耐候性强、病虫害少、对人体无害的植物，并不得裸露土壤。场地内</w:t>
            </w:r>
            <w:r w:rsidRPr="00915776">
              <w:rPr>
                <w:rFonts w:ascii="宋体" w:hAnsi="宋体" w:hint="eastAsia"/>
                <w:szCs w:val="21"/>
              </w:rPr>
              <w:t>不少于</w:t>
            </w:r>
            <w:r w:rsidRPr="00915776">
              <w:rPr>
                <w:rFonts w:ascii="宋体" w:hAnsi="宋体"/>
                <w:szCs w:val="21"/>
              </w:rPr>
              <w:t>70%树种和植物数量的产地距场地的运输距离在</w:t>
            </w:r>
            <w:smartTag w:uri="urn:schemas-microsoft-com:office:smarttags" w:element="chmetcnv">
              <w:smartTagPr>
                <w:attr w:name="UnitName" w:val="km"/>
                <w:attr w:name="SourceValue" w:val="500"/>
                <w:attr w:name="HasSpace" w:val="False"/>
                <w:attr w:name="Negative" w:val="False"/>
                <w:attr w:name="NumberType" w:val="1"/>
                <w:attr w:name="TCSC" w:val="0"/>
              </w:smartTagPr>
              <w:smartTag w:uri="urn:schemas-microsoft-com:office:smarttags" w:element="chmetcnv">
                <w:smartTagPr>
                  <w:attr w:name="UnitName" w:val="km"/>
                  <w:attr w:name="SourceValue" w:val="500"/>
                  <w:attr w:name="HasSpace" w:val="False"/>
                  <w:attr w:name="Negative" w:val="False"/>
                  <w:attr w:name="NumberType" w:val="1"/>
                  <w:attr w:name="TCSC" w:val="0"/>
                </w:smartTagPr>
                <w:r w:rsidRPr="00915776">
                  <w:rPr>
                    <w:rFonts w:ascii="宋体" w:hAnsi="宋体"/>
                    <w:szCs w:val="21"/>
                  </w:rPr>
                  <w:t>500km</w:t>
                </w:r>
              </w:smartTag>
              <w:r w:rsidRPr="00915776">
                <w:rPr>
                  <w:rFonts w:ascii="宋体" w:hAnsi="宋体" w:hint="eastAsia"/>
                  <w:szCs w:val="21"/>
                </w:rPr>
                <w:t>以</w:t>
              </w:r>
            </w:smartTag>
            <w:r w:rsidRPr="00915776">
              <w:rPr>
                <w:rFonts w:ascii="宋体" w:hAnsi="宋体"/>
                <w:szCs w:val="21"/>
              </w:rPr>
              <w:t>内。</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.1.6</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住区绿地要求：</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住区的绿地率不低于30%；</w:t>
            </w:r>
          </w:p>
          <w:p w:rsidR="005C0361" w:rsidRPr="00915776" w:rsidRDefault="005C0361" w:rsidP="005C0361">
            <w:pPr>
              <w:snapToGrid w:val="0"/>
              <w:spacing w:line="300" w:lineRule="auto"/>
              <w:rPr>
                <w:rFonts w:ascii="宋体" w:hAnsi="宋体"/>
                <w:szCs w:val="21"/>
              </w:rPr>
            </w:pPr>
            <w:r w:rsidRPr="00915776">
              <w:rPr>
                <w:rFonts w:ascii="宋体" w:hAnsi="宋体"/>
                <w:szCs w:val="21"/>
              </w:rPr>
              <w:t>2</w:t>
            </w:r>
            <w:r w:rsidRPr="00915776">
              <w:rPr>
                <w:rFonts w:ascii="宋体" w:hAnsi="宋体" w:hint="eastAsia"/>
                <w:szCs w:val="21"/>
              </w:rPr>
              <w:t xml:space="preserve"> </w:t>
            </w:r>
            <w:r w:rsidRPr="00915776">
              <w:rPr>
                <w:rFonts w:ascii="宋体" w:hAnsi="宋体"/>
                <w:szCs w:val="21"/>
              </w:rPr>
              <w:t>公共绿地满足集中绿地的基本要求，面积不小于</w:t>
            </w:r>
            <w:smartTag w:uri="urn:schemas-microsoft-com:office:smarttags" w:element="chmetcnv">
              <w:smartTagPr>
                <w:attr w:name="TCSC" w:val="0"/>
                <w:attr w:name="NumberType" w:val="1"/>
                <w:attr w:name="Negative" w:val="False"/>
                <w:attr w:name="HasSpace" w:val="True"/>
                <w:attr w:name="SourceValue" w:val="400"/>
                <w:attr w:name="UnitName" w:val="m2"/>
              </w:smartTagPr>
              <w:r w:rsidRPr="00915776">
                <w:rPr>
                  <w:rFonts w:ascii="宋体" w:hAnsi="宋体"/>
                  <w:szCs w:val="21"/>
                </w:rPr>
                <w:t>400 m</w:t>
              </w:r>
              <w:r w:rsidRPr="00915776">
                <w:rPr>
                  <w:rFonts w:ascii="宋体" w:hAnsi="宋体"/>
                  <w:szCs w:val="21"/>
                  <w:vertAlign w:val="superscript"/>
                </w:rPr>
                <w:t>2</w:t>
              </w:r>
            </w:smartTag>
            <w:r w:rsidRPr="00915776">
              <w:rPr>
                <w:rFonts w:ascii="宋体" w:hAnsi="宋体"/>
                <w:szCs w:val="21"/>
              </w:rPr>
              <w:t>；</w:t>
            </w:r>
          </w:p>
          <w:p w:rsidR="005C0361" w:rsidRPr="00915776" w:rsidRDefault="005C0361" w:rsidP="005C0361">
            <w:pPr>
              <w:widowControl/>
              <w:snapToGrid w:val="0"/>
              <w:spacing w:line="300" w:lineRule="auto"/>
              <w:rPr>
                <w:rFonts w:ascii="宋体" w:hAnsi="宋体"/>
                <w:kern w:val="0"/>
                <w:szCs w:val="21"/>
              </w:rPr>
            </w:pPr>
            <w:r w:rsidRPr="00915776">
              <w:rPr>
                <w:rFonts w:ascii="宋体" w:hAnsi="宋体"/>
                <w:szCs w:val="21"/>
              </w:rPr>
              <w:t>3</w:t>
            </w:r>
            <w:r w:rsidRPr="00915776">
              <w:rPr>
                <w:rFonts w:ascii="宋体" w:hAnsi="宋体" w:hint="eastAsia"/>
                <w:szCs w:val="21"/>
              </w:rPr>
              <w:t xml:space="preserve"> </w:t>
            </w:r>
            <w:r w:rsidRPr="00915776">
              <w:rPr>
                <w:rFonts w:ascii="宋体" w:hAnsi="宋体"/>
                <w:szCs w:val="21"/>
              </w:rPr>
              <w:t>人均公共绿地面积不低于</w:t>
            </w:r>
            <w:smartTag w:uri="urn:schemas-microsoft-com:office:smarttags" w:element="chmetcnv">
              <w:smartTagPr>
                <w:attr w:name="TCSC" w:val="0"/>
                <w:attr w:name="NumberType" w:val="1"/>
                <w:attr w:name="Negative" w:val="False"/>
                <w:attr w:name="HasSpace" w:val="False"/>
                <w:attr w:name="SourceValue" w:val="1.5"/>
                <w:attr w:name="UnitName" w:val="m2"/>
              </w:smartTagPr>
              <w:r w:rsidRPr="00915776">
                <w:rPr>
                  <w:rFonts w:ascii="宋体" w:hAnsi="宋体"/>
                  <w:szCs w:val="21"/>
                </w:rPr>
                <w:t>1.5m</w:t>
              </w:r>
              <w:r w:rsidRPr="00915776">
                <w:rPr>
                  <w:rFonts w:ascii="宋体" w:hAnsi="宋体"/>
                  <w:szCs w:val="21"/>
                  <w:vertAlign w:val="superscript"/>
                </w:rPr>
                <w:t>2</w:t>
              </w:r>
            </w:smartTag>
            <w:r w:rsidRPr="00915776">
              <w:rPr>
                <w:rFonts w:ascii="宋体" w:hAnsi="宋体"/>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.1.7</w:t>
            </w:r>
          </w:p>
        </w:tc>
        <w:tc>
          <w:tcPr>
            <w:tcW w:w="5230" w:type="dxa"/>
            <w:gridSpan w:val="4"/>
            <w:vAlign w:val="center"/>
          </w:tcPr>
          <w:p w:rsidR="005C0361" w:rsidRPr="00915776" w:rsidRDefault="005C0361" w:rsidP="005C0361">
            <w:pPr>
              <w:snapToGrid w:val="0"/>
              <w:spacing w:line="300" w:lineRule="auto"/>
              <w:rPr>
                <w:rFonts w:ascii="宋体" w:hAnsi="宋体"/>
                <w:bCs/>
                <w:szCs w:val="21"/>
              </w:rPr>
            </w:pPr>
            <w:r w:rsidRPr="00915776">
              <w:rPr>
                <w:rFonts w:ascii="宋体" w:hAnsi="宋体"/>
                <w:bCs/>
                <w:szCs w:val="21"/>
              </w:rPr>
              <w:t>住区内部无排放超标的污染源。</w:t>
            </w:r>
          </w:p>
          <w:p w:rsidR="005C0361" w:rsidRPr="00915776" w:rsidRDefault="005C0361" w:rsidP="005C0361">
            <w:pPr>
              <w:snapToGrid w:val="0"/>
              <w:spacing w:line="300" w:lineRule="auto"/>
              <w:rPr>
                <w:rFonts w:ascii="宋体" w:hAnsi="宋体"/>
                <w:szCs w:val="21"/>
              </w:rPr>
            </w:pPr>
            <w:r w:rsidRPr="00915776">
              <w:rPr>
                <w:rFonts w:ascii="宋体" w:hAnsi="宋体"/>
                <w:szCs w:val="21"/>
              </w:rPr>
              <w:t>1饮食店、发电机房、配套商业、厨房、垃圾站和垃圾处理场等排放的有害气体、粉尘等经净化处理后排放或高空排放。污废水经净化处理后排放</w:t>
            </w:r>
            <w:r w:rsidRPr="00915776">
              <w:rPr>
                <w:rFonts w:ascii="宋体" w:hAnsi="宋体" w:hint="eastAsia"/>
                <w:szCs w:val="21"/>
              </w:rPr>
              <w:t>；</w:t>
            </w:r>
          </w:p>
          <w:p w:rsidR="005C0361" w:rsidRPr="00915776" w:rsidRDefault="005C0361" w:rsidP="005C0361">
            <w:pPr>
              <w:snapToGrid w:val="0"/>
              <w:spacing w:line="300" w:lineRule="auto"/>
              <w:rPr>
                <w:rFonts w:ascii="宋体" w:hAnsi="宋体"/>
                <w:szCs w:val="21"/>
              </w:rPr>
            </w:pPr>
            <w:r w:rsidRPr="00915776">
              <w:rPr>
                <w:rFonts w:ascii="宋体" w:hAnsi="宋体" w:hint="eastAsia"/>
                <w:szCs w:val="21"/>
              </w:rPr>
              <w:t xml:space="preserve">2 </w:t>
            </w:r>
            <w:r w:rsidRPr="00915776">
              <w:rPr>
                <w:rFonts w:ascii="宋体" w:hAnsi="宋体"/>
                <w:szCs w:val="21"/>
              </w:rPr>
              <w:t>空调的排热与排风采取高位排放的措施，并不对行人产生影响；</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 xml:space="preserve">3 </w:t>
            </w:r>
            <w:r w:rsidRPr="00915776">
              <w:rPr>
                <w:rFonts w:ascii="宋体" w:hAnsi="宋体"/>
                <w:szCs w:val="21"/>
              </w:rPr>
              <w:t>空调制冷设备采用环保制冷剂，</w:t>
            </w:r>
            <w:r w:rsidRPr="00915776">
              <w:rPr>
                <w:rFonts w:ascii="宋体" w:hAnsi="宋体" w:hint="eastAsia"/>
                <w:szCs w:val="21"/>
              </w:rPr>
              <w:t>不</w:t>
            </w:r>
            <w:r w:rsidRPr="00915776">
              <w:rPr>
                <w:rFonts w:ascii="宋体" w:hAnsi="宋体"/>
                <w:szCs w:val="21"/>
              </w:rPr>
              <w:t>采用CFC制冷剂。</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.1.8</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项目建设过程中制定</w:t>
            </w:r>
            <w:r w:rsidRPr="00915776">
              <w:rPr>
                <w:rFonts w:ascii="宋体" w:hAnsi="宋体"/>
                <w:bCs/>
                <w:szCs w:val="21"/>
              </w:rPr>
              <w:t>并实施</w:t>
            </w:r>
            <w:r w:rsidRPr="00915776">
              <w:rPr>
                <w:rFonts w:ascii="宋体" w:hAnsi="宋体"/>
                <w:szCs w:val="21"/>
              </w:rPr>
              <w:t>保护环境的具体措施，防止大气污染、土壤污染、噪声污染、水土流失与水污染及光污染等。</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施工组织设计时提出控制扬尘、水土流失和污染的技术路线和方案；</w:t>
            </w:r>
          </w:p>
          <w:p w:rsidR="005C0361" w:rsidRPr="00915776" w:rsidRDefault="005C0361" w:rsidP="005C0361">
            <w:pPr>
              <w:snapToGrid w:val="0"/>
              <w:spacing w:line="300" w:lineRule="auto"/>
              <w:rPr>
                <w:rFonts w:ascii="宋体" w:hAnsi="宋体"/>
                <w:szCs w:val="21"/>
              </w:rPr>
            </w:pPr>
            <w:r w:rsidRPr="00915776">
              <w:rPr>
                <w:rFonts w:ascii="宋体" w:hAnsi="宋体"/>
                <w:szCs w:val="21"/>
              </w:rPr>
              <w:t>2</w:t>
            </w:r>
            <w:r w:rsidRPr="00915776">
              <w:rPr>
                <w:rFonts w:ascii="宋体" w:hAnsi="宋体" w:hint="eastAsia"/>
                <w:szCs w:val="21"/>
              </w:rPr>
              <w:t xml:space="preserve"> </w:t>
            </w:r>
            <w:r w:rsidRPr="00915776">
              <w:rPr>
                <w:rFonts w:ascii="宋体" w:hAnsi="宋体"/>
                <w:szCs w:val="21"/>
              </w:rPr>
              <w:t>施工过程污水、食堂污水、厕所污水分别经处理达标后排放，并符合《污水综合排放标准》GB 8978</w:t>
            </w:r>
            <w:r w:rsidRPr="00915776">
              <w:rPr>
                <w:rFonts w:ascii="宋体" w:hAnsi="宋体" w:hint="eastAsia"/>
                <w:szCs w:val="21"/>
              </w:rPr>
              <w:t>的要求</w:t>
            </w:r>
            <w:r w:rsidRPr="00915776">
              <w:rPr>
                <w:rFonts w:ascii="宋体" w:hAnsi="宋体"/>
                <w:szCs w:val="21"/>
              </w:rPr>
              <w:t>；</w:t>
            </w:r>
          </w:p>
          <w:p w:rsidR="005C0361" w:rsidRPr="00915776" w:rsidRDefault="005C0361" w:rsidP="005C0361">
            <w:pPr>
              <w:snapToGrid w:val="0"/>
              <w:spacing w:line="300" w:lineRule="auto"/>
              <w:rPr>
                <w:rFonts w:ascii="宋体" w:hAnsi="宋体"/>
                <w:szCs w:val="21"/>
              </w:rPr>
            </w:pPr>
            <w:r w:rsidRPr="00915776">
              <w:rPr>
                <w:rFonts w:ascii="宋体" w:hAnsi="宋体"/>
                <w:szCs w:val="21"/>
              </w:rPr>
              <w:t>3</w:t>
            </w:r>
            <w:r w:rsidRPr="00915776">
              <w:rPr>
                <w:rFonts w:ascii="宋体" w:hAnsi="宋体" w:hint="eastAsia"/>
                <w:szCs w:val="21"/>
              </w:rPr>
              <w:t xml:space="preserve"> </w:t>
            </w:r>
            <w:r w:rsidRPr="00915776">
              <w:rPr>
                <w:rFonts w:ascii="宋体" w:hAnsi="宋体"/>
                <w:szCs w:val="21"/>
              </w:rPr>
              <w:t>严格按照规定时段施工，采取有效降噪措施，建筑施工噪声符合《建筑施工场界噪声限值》GB 12523</w:t>
            </w:r>
            <w:r w:rsidRPr="00915776">
              <w:rPr>
                <w:rFonts w:ascii="宋体" w:hAnsi="宋体" w:hint="eastAsia"/>
                <w:szCs w:val="21"/>
              </w:rPr>
              <w:t>的</w:t>
            </w:r>
            <w:r w:rsidRPr="00915776">
              <w:rPr>
                <w:rFonts w:ascii="宋体" w:hAnsi="宋体"/>
                <w:szCs w:val="21"/>
              </w:rPr>
              <w:t>要求；</w:t>
            </w:r>
          </w:p>
          <w:p w:rsidR="005C0361" w:rsidRPr="00915776" w:rsidRDefault="005C0361" w:rsidP="005C0361">
            <w:pPr>
              <w:snapToGrid w:val="0"/>
              <w:spacing w:line="300" w:lineRule="auto"/>
              <w:rPr>
                <w:rFonts w:ascii="宋体" w:hAnsi="宋体"/>
                <w:szCs w:val="21"/>
              </w:rPr>
            </w:pPr>
            <w:r w:rsidRPr="00915776">
              <w:rPr>
                <w:rFonts w:ascii="宋体" w:hAnsi="宋体"/>
                <w:szCs w:val="21"/>
              </w:rPr>
              <w:t>4</w:t>
            </w:r>
            <w:r w:rsidRPr="00915776">
              <w:rPr>
                <w:rFonts w:ascii="宋体" w:hAnsi="宋体" w:hint="eastAsia"/>
                <w:szCs w:val="21"/>
              </w:rPr>
              <w:t xml:space="preserve"> </w:t>
            </w:r>
            <w:r w:rsidRPr="00915776">
              <w:rPr>
                <w:rFonts w:ascii="宋体" w:hAnsi="宋体"/>
                <w:szCs w:val="21"/>
              </w:rPr>
              <w:t>采用适当的照明方式和技术，避免电焊及夜间作业照明对周边环境造成光污染；</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5</w:t>
            </w:r>
            <w:r w:rsidRPr="00915776">
              <w:rPr>
                <w:rFonts w:ascii="宋体" w:hAnsi="宋体" w:hint="eastAsia"/>
                <w:szCs w:val="21"/>
              </w:rPr>
              <w:t xml:space="preserve"> </w:t>
            </w:r>
            <w:r w:rsidRPr="00915776">
              <w:rPr>
                <w:rFonts w:ascii="宋体" w:hAnsi="宋体"/>
                <w:szCs w:val="21"/>
              </w:rPr>
              <w:t>合理布置现场大型机械设施，避免对周围区域产生有害干扰，施工现场设置围挡，采取措施保障施工场地周边人群、设施的安全。</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restart"/>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得分项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.1.9</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公共服务设施满足以下要求：</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住区公共服务设施按规划配建；</w:t>
            </w:r>
          </w:p>
          <w:p w:rsidR="005C0361" w:rsidRPr="00915776" w:rsidRDefault="005C0361" w:rsidP="005C0361">
            <w:pPr>
              <w:snapToGrid w:val="0"/>
              <w:spacing w:line="300" w:lineRule="auto"/>
              <w:rPr>
                <w:rFonts w:ascii="宋体" w:hAnsi="宋体"/>
                <w:szCs w:val="21"/>
              </w:rPr>
            </w:pPr>
            <w:r w:rsidRPr="00915776">
              <w:rPr>
                <w:rFonts w:ascii="宋体" w:hAnsi="宋体"/>
                <w:szCs w:val="21"/>
              </w:rPr>
              <w:t>2</w:t>
            </w:r>
            <w:r w:rsidRPr="00915776">
              <w:rPr>
                <w:rFonts w:ascii="宋体" w:hAnsi="宋体" w:hint="eastAsia"/>
                <w:szCs w:val="21"/>
              </w:rPr>
              <w:t xml:space="preserve"> </w:t>
            </w:r>
            <w:r w:rsidRPr="00915776">
              <w:rPr>
                <w:rFonts w:ascii="宋体" w:hAnsi="宋体"/>
                <w:szCs w:val="21"/>
              </w:rPr>
              <w:t>与周边相关城市设施协调互补</w:t>
            </w:r>
            <w:r w:rsidRPr="00915776">
              <w:rPr>
                <w:rFonts w:ascii="宋体" w:hAnsi="宋体" w:hint="eastAsia"/>
                <w:szCs w:val="21"/>
              </w:rPr>
              <w:t>，并</w:t>
            </w:r>
            <w:r w:rsidRPr="00915776">
              <w:rPr>
                <w:rFonts w:ascii="宋体" w:hAnsi="宋体"/>
                <w:szCs w:val="21"/>
              </w:rPr>
              <w:t>合理集中设置</w:t>
            </w:r>
            <w:r w:rsidRPr="00915776">
              <w:rPr>
                <w:rFonts w:ascii="宋体" w:hAnsi="宋体" w:hint="eastAsia"/>
                <w:szCs w:val="21"/>
              </w:rPr>
              <w:t>；</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 xml:space="preserve">3 </w:t>
            </w:r>
            <w:r w:rsidRPr="00915776">
              <w:rPr>
                <w:rFonts w:ascii="宋体" w:hAnsi="宋体"/>
                <w:szCs w:val="21"/>
              </w:rPr>
              <w:t>住区及周边服务半径内可共享的公共服务设施</w:t>
            </w:r>
            <w:r w:rsidRPr="00915776">
              <w:rPr>
                <w:rFonts w:ascii="宋体" w:hAnsi="宋体" w:hint="eastAsia"/>
                <w:szCs w:val="21"/>
              </w:rPr>
              <w:t>不少于</w:t>
            </w:r>
            <w:r w:rsidRPr="00915776">
              <w:rPr>
                <w:rFonts w:ascii="宋体" w:hAnsi="宋体"/>
                <w:szCs w:val="21"/>
              </w:rPr>
              <w:t>五类。</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.1.10</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cs="宋体" w:hint="eastAsia"/>
                <w:kern w:val="0"/>
                <w:szCs w:val="21"/>
              </w:rPr>
              <w:t>充分利用尚可使用的旧建筑。</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.1.11</w:t>
            </w:r>
          </w:p>
        </w:tc>
        <w:tc>
          <w:tcPr>
            <w:tcW w:w="5230" w:type="dxa"/>
            <w:gridSpan w:val="4"/>
            <w:vAlign w:val="center"/>
          </w:tcPr>
          <w:p w:rsidR="005C0361" w:rsidRPr="00915776" w:rsidRDefault="005C0361" w:rsidP="005C0361">
            <w:pPr>
              <w:snapToGrid w:val="0"/>
              <w:spacing w:line="300" w:lineRule="auto"/>
              <w:rPr>
                <w:rFonts w:ascii="宋体" w:hAnsi="宋体"/>
                <w:bCs/>
                <w:szCs w:val="21"/>
              </w:rPr>
            </w:pPr>
            <w:r w:rsidRPr="00915776">
              <w:rPr>
                <w:rFonts w:ascii="宋体" w:hAnsi="宋体"/>
                <w:bCs/>
                <w:szCs w:val="21"/>
              </w:rPr>
              <w:t>住区环境噪声符合《深圳市环境噪声标准适用区划分》的规定。具体限值如表5.1.11所示：</w:t>
            </w:r>
          </w:p>
          <w:p w:rsidR="005C0361" w:rsidRPr="00915776" w:rsidRDefault="005C0361" w:rsidP="005C0361">
            <w:pPr>
              <w:pStyle w:val="afa"/>
              <w:snapToGrid w:val="0"/>
              <w:ind w:firstLineChars="1400" w:firstLine="2882"/>
              <w:rPr>
                <w:rFonts w:ascii="宋体" w:hAnsi="宋体"/>
                <w:sz w:val="21"/>
                <w:szCs w:val="21"/>
              </w:rPr>
            </w:pPr>
          </w:p>
          <w:p w:rsidR="005C0361" w:rsidRPr="00915776" w:rsidRDefault="005C0361" w:rsidP="005C0361">
            <w:pPr>
              <w:pStyle w:val="afa"/>
              <w:snapToGrid w:val="0"/>
              <w:ind w:firstLineChars="0" w:firstLine="0"/>
              <w:rPr>
                <w:rFonts w:ascii="宋体" w:hAnsi="宋体"/>
                <w:sz w:val="21"/>
                <w:szCs w:val="21"/>
              </w:rPr>
            </w:pPr>
            <w:r w:rsidRPr="00915776">
              <w:rPr>
                <w:rFonts w:ascii="宋体" w:hAnsi="宋体"/>
                <w:sz w:val="21"/>
                <w:szCs w:val="21"/>
              </w:rPr>
              <w:t>表</w:t>
            </w:r>
            <w:smartTag w:uri="urn:schemas-microsoft-com:office:smarttags" w:element="chsdate">
              <w:smartTagPr>
                <w:attr w:name="IsROCDate" w:val="False"/>
                <w:attr w:name="IsLunarDate" w:val="False"/>
                <w:attr w:name="Day" w:val="30"/>
                <w:attr w:name="Month" w:val="12"/>
                <w:attr w:name="Year" w:val="1899"/>
              </w:smartTagPr>
              <w:r w:rsidRPr="00915776">
                <w:rPr>
                  <w:rFonts w:ascii="宋体" w:hAnsi="宋体"/>
                  <w:sz w:val="21"/>
                  <w:szCs w:val="21"/>
                </w:rPr>
                <w:t>5.1.11</w:t>
              </w:r>
            </w:smartTag>
            <w:r w:rsidRPr="00915776">
              <w:rPr>
                <w:rFonts w:ascii="宋体" w:hAnsi="宋体" w:hint="eastAsia"/>
                <w:sz w:val="21"/>
                <w:szCs w:val="21"/>
              </w:rPr>
              <w:t xml:space="preserve"> </w:t>
            </w:r>
            <w:r w:rsidRPr="00915776">
              <w:rPr>
                <w:rFonts w:ascii="宋体" w:hAnsi="宋体"/>
                <w:sz w:val="21"/>
                <w:szCs w:val="21"/>
              </w:rPr>
              <w:t>5类环境噪声标准值（等效声级L</w:t>
            </w:r>
            <w:r w:rsidRPr="00915776">
              <w:rPr>
                <w:rFonts w:ascii="宋体" w:hAnsi="宋体"/>
                <w:sz w:val="21"/>
                <w:szCs w:val="21"/>
                <w:vertAlign w:val="subscript"/>
              </w:rPr>
              <w:t>Aeq</w:t>
            </w:r>
            <w:r w:rsidRPr="00915776">
              <w:rPr>
                <w:rFonts w:ascii="宋体" w:hAnsi="宋体"/>
                <w:sz w:val="21"/>
                <w:szCs w:val="21"/>
              </w:rPr>
              <w:t>：dB）</w:t>
            </w:r>
          </w:p>
          <w:tbl>
            <w:tblPr>
              <w:tblW w:w="3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1164"/>
              <w:gridCol w:w="1149"/>
            </w:tblGrid>
            <w:tr w:rsidR="005C0361" w:rsidRPr="00915776" w:rsidTr="008C5017">
              <w:trPr>
                <w:trHeight w:val="284"/>
                <w:jc w:val="center"/>
              </w:trPr>
              <w:tc>
                <w:tcPr>
                  <w:tcW w:w="1060"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类  别</w:t>
                  </w:r>
                </w:p>
              </w:tc>
              <w:tc>
                <w:tcPr>
                  <w:tcW w:w="1164"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昼  间</w:t>
                  </w:r>
                </w:p>
              </w:tc>
              <w:tc>
                <w:tcPr>
                  <w:tcW w:w="1149"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夜  间</w:t>
                  </w:r>
                </w:p>
              </w:tc>
            </w:tr>
            <w:tr w:rsidR="005C0361" w:rsidRPr="00915776" w:rsidTr="008C5017">
              <w:trPr>
                <w:trHeight w:val="284"/>
                <w:jc w:val="center"/>
              </w:trPr>
              <w:tc>
                <w:tcPr>
                  <w:tcW w:w="1060"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1</w:t>
                  </w:r>
                </w:p>
              </w:tc>
              <w:tc>
                <w:tcPr>
                  <w:tcW w:w="1164"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55</w:t>
                  </w:r>
                </w:p>
              </w:tc>
              <w:tc>
                <w:tcPr>
                  <w:tcW w:w="1149"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45</w:t>
                  </w:r>
                </w:p>
              </w:tc>
            </w:tr>
            <w:tr w:rsidR="005C0361" w:rsidRPr="00915776" w:rsidTr="008C5017">
              <w:trPr>
                <w:trHeight w:val="284"/>
                <w:jc w:val="center"/>
              </w:trPr>
              <w:tc>
                <w:tcPr>
                  <w:tcW w:w="1060"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2</w:t>
                  </w:r>
                </w:p>
              </w:tc>
              <w:tc>
                <w:tcPr>
                  <w:tcW w:w="1164"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60</w:t>
                  </w:r>
                </w:p>
              </w:tc>
              <w:tc>
                <w:tcPr>
                  <w:tcW w:w="1149"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50</w:t>
                  </w:r>
                </w:p>
              </w:tc>
            </w:tr>
            <w:tr w:rsidR="005C0361" w:rsidRPr="00915776" w:rsidTr="008C5017">
              <w:trPr>
                <w:trHeight w:val="284"/>
                <w:jc w:val="center"/>
              </w:trPr>
              <w:tc>
                <w:tcPr>
                  <w:tcW w:w="1060"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3</w:t>
                  </w:r>
                </w:p>
              </w:tc>
              <w:tc>
                <w:tcPr>
                  <w:tcW w:w="1164"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65</w:t>
                  </w:r>
                </w:p>
              </w:tc>
              <w:tc>
                <w:tcPr>
                  <w:tcW w:w="1149"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55</w:t>
                  </w:r>
                </w:p>
              </w:tc>
            </w:tr>
            <w:tr w:rsidR="005C0361" w:rsidRPr="00915776" w:rsidTr="008C5017">
              <w:trPr>
                <w:trHeight w:val="284"/>
                <w:jc w:val="center"/>
              </w:trPr>
              <w:tc>
                <w:tcPr>
                  <w:tcW w:w="1060"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4</w:t>
                  </w:r>
                </w:p>
              </w:tc>
              <w:tc>
                <w:tcPr>
                  <w:tcW w:w="1164"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70</w:t>
                  </w:r>
                </w:p>
              </w:tc>
              <w:tc>
                <w:tcPr>
                  <w:tcW w:w="1149" w:type="dxa"/>
                  <w:vAlign w:val="center"/>
                </w:tcPr>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55</w:t>
                  </w:r>
                </w:p>
              </w:tc>
            </w:tr>
          </w:tbl>
          <w:p w:rsidR="005C0361" w:rsidRPr="00915776" w:rsidRDefault="005C0361" w:rsidP="005C0361">
            <w:pPr>
              <w:pStyle w:val="afa"/>
              <w:snapToGrid w:val="0"/>
              <w:ind w:firstLine="412"/>
              <w:rPr>
                <w:rFonts w:ascii="宋体" w:hAnsi="宋体"/>
                <w:sz w:val="21"/>
                <w:szCs w:val="21"/>
              </w:rPr>
            </w:pPr>
            <w:r w:rsidRPr="00915776">
              <w:rPr>
                <w:rFonts w:ascii="宋体" w:hAnsi="宋体"/>
                <w:sz w:val="21"/>
                <w:szCs w:val="21"/>
              </w:rPr>
              <w:t>注：各类标准的适用区域：</w:t>
            </w:r>
          </w:p>
          <w:p w:rsidR="005C0361" w:rsidRPr="00915776" w:rsidRDefault="005C0361" w:rsidP="005C0361">
            <w:pPr>
              <w:autoSpaceDE w:val="0"/>
              <w:autoSpaceDN w:val="0"/>
              <w:adjustRightInd w:val="0"/>
              <w:snapToGrid w:val="0"/>
              <w:spacing w:line="300" w:lineRule="auto"/>
              <w:ind w:firstLineChars="200" w:firstLine="412"/>
              <w:rPr>
                <w:rFonts w:ascii="宋体" w:hAnsi="宋体"/>
                <w:szCs w:val="21"/>
              </w:rPr>
            </w:pPr>
            <w:r w:rsidRPr="00915776">
              <w:rPr>
                <w:rFonts w:ascii="宋体" w:hAnsi="宋体"/>
                <w:szCs w:val="21"/>
              </w:rPr>
              <w:t xml:space="preserve">1类标准适用于居民区、文教区、居民集中区以及机关、事业单位集中区； </w:t>
            </w:r>
          </w:p>
          <w:p w:rsidR="005C0361" w:rsidRPr="00915776" w:rsidRDefault="005C0361" w:rsidP="005C0361">
            <w:pPr>
              <w:autoSpaceDE w:val="0"/>
              <w:autoSpaceDN w:val="0"/>
              <w:adjustRightInd w:val="0"/>
              <w:snapToGrid w:val="0"/>
              <w:spacing w:line="300" w:lineRule="auto"/>
              <w:ind w:firstLineChars="200" w:firstLine="412"/>
              <w:rPr>
                <w:rFonts w:ascii="宋体" w:hAnsi="宋体"/>
                <w:szCs w:val="21"/>
              </w:rPr>
            </w:pPr>
            <w:r w:rsidRPr="00915776">
              <w:rPr>
                <w:rFonts w:ascii="宋体" w:hAnsi="宋体"/>
                <w:szCs w:val="21"/>
              </w:rPr>
              <w:t xml:space="preserve">2类标准适用于居住、商业与工业混合区规划商业区； </w:t>
            </w:r>
          </w:p>
          <w:p w:rsidR="005C0361" w:rsidRPr="00915776" w:rsidRDefault="005C0361" w:rsidP="005C0361">
            <w:pPr>
              <w:autoSpaceDE w:val="0"/>
              <w:autoSpaceDN w:val="0"/>
              <w:adjustRightInd w:val="0"/>
              <w:snapToGrid w:val="0"/>
              <w:spacing w:line="300" w:lineRule="auto"/>
              <w:ind w:firstLineChars="200" w:firstLine="412"/>
              <w:rPr>
                <w:rFonts w:ascii="宋体" w:hAnsi="宋体"/>
                <w:szCs w:val="21"/>
              </w:rPr>
            </w:pPr>
            <w:r w:rsidRPr="00915776">
              <w:rPr>
                <w:rFonts w:ascii="宋体" w:hAnsi="宋体"/>
                <w:szCs w:val="21"/>
              </w:rPr>
              <w:t xml:space="preserve">3类标准适用于规划工业区和已形成的工业集中区； </w:t>
            </w:r>
          </w:p>
          <w:p w:rsidR="005C0361" w:rsidRPr="00915776" w:rsidRDefault="005C0361" w:rsidP="005C0361">
            <w:pPr>
              <w:autoSpaceDE w:val="0"/>
              <w:autoSpaceDN w:val="0"/>
              <w:adjustRightInd w:val="0"/>
              <w:snapToGrid w:val="0"/>
              <w:spacing w:line="300" w:lineRule="auto"/>
              <w:ind w:firstLineChars="200" w:firstLine="412"/>
              <w:rPr>
                <w:rFonts w:ascii="宋体" w:hAnsi="宋体"/>
                <w:szCs w:val="21"/>
              </w:rPr>
            </w:pPr>
            <w:r w:rsidRPr="00915776">
              <w:rPr>
                <w:rFonts w:ascii="宋体" w:hAnsi="宋体"/>
                <w:szCs w:val="21"/>
              </w:rPr>
              <w:t xml:space="preserve">4类标准适用于城市主要道路两侧区域，穿越城区的内河航道两侧区域，穿越城区的铁路主、次干线两侧区域和轻轨交通道路两侧区域。 </w:t>
            </w:r>
          </w:p>
          <w:p w:rsidR="005C0361" w:rsidRPr="00915776" w:rsidRDefault="005C0361" w:rsidP="005C0361">
            <w:pPr>
              <w:autoSpaceDE w:val="0"/>
              <w:autoSpaceDN w:val="0"/>
              <w:adjustRightInd w:val="0"/>
              <w:snapToGrid w:val="0"/>
              <w:spacing w:line="300" w:lineRule="auto"/>
              <w:ind w:firstLineChars="200" w:firstLine="412"/>
              <w:rPr>
                <w:rFonts w:ascii="宋体" w:hAnsi="宋体"/>
                <w:szCs w:val="21"/>
              </w:rPr>
            </w:pPr>
            <w:r w:rsidRPr="00915776">
              <w:rPr>
                <w:rFonts w:ascii="宋体" w:hAnsi="宋体"/>
                <w:szCs w:val="21"/>
              </w:rPr>
              <w:t>夜间突发的噪声其最大值不准超过标准值15dB。</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各适用区域的范围详见《深圳市环境噪声标准适用区划分》。</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.1.12</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合理规划布局，位于</w:t>
            </w:r>
            <w:r w:rsidRPr="00915776">
              <w:rPr>
                <w:rFonts w:ascii="宋体" w:hAnsi="宋体"/>
                <w:bCs/>
                <w:szCs w:val="21"/>
              </w:rPr>
              <w:t>《深圳市环境噪声标准适用区划分》</w:t>
            </w:r>
            <w:r w:rsidRPr="00915776">
              <w:rPr>
                <w:rFonts w:ascii="宋体" w:hAnsi="宋体"/>
                <w:szCs w:val="21"/>
              </w:rPr>
              <w:t>3类、4类标准适用区域的住区，不少于70%住户的卧室、起居室可开启外窗处室外的等效声级白天不大于60dB（A），夜间不大于50 dB（A）；位于2类标准适用区域的住区，不少于70%住户的卧室、起居室可开启外窗处室外的等效声级白天不大于55dB（A），夜间不大于45 dB（A）。</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.1.13</w:t>
            </w:r>
          </w:p>
        </w:tc>
        <w:tc>
          <w:tcPr>
            <w:tcW w:w="5230" w:type="dxa"/>
            <w:gridSpan w:val="4"/>
            <w:vAlign w:val="center"/>
          </w:tcPr>
          <w:p w:rsidR="005C0361" w:rsidRPr="00915776" w:rsidRDefault="005C0361" w:rsidP="005C0361">
            <w:pPr>
              <w:pStyle w:val="afa"/>
              <w:snapToGrid w:val="0"/>
              <w:ind w:firstLineChars="0" w:firstLine="0"/>
              <w:rPr>
                <w:rFonts w:ascii="宋体" w:hAnsi="宋体"/>
                <w:sz w:val="21"/>
                <w:szCs w:val="21"/>
              </w:rPr>
            </w:pPr>
            <w:r w:rsidRPr="00915776">
              <w:rPr>
                <w:rFonts w:ascii="宋体" w:hAnsi="宋体"/>
                <w:sz w:val="21"/>
                <w:szCs w:val="21"/>
              </w:rPr>
              <w:t>实测或模拟计算证明住区室外日平均热岛强度不大于</w:t>
            </w:r>
            <w:smartTag w:uri="urn:schemas-microsoft-com:office:smarttags" w:element="chmetcnv">
              <w:smartTagPr>
                <w:attr w:name="TCSC" w:val="0"/>
                <w:attr w:name="NumberType" w:val="1"/>
                <w:attr w:name="Negative" w:val="False"/>
                <w:attr w:name="HasSpace" w:val="True"/>
                <w:attr w:name="SourceValue" w:val="1.5"/>
                <w:attr w:name="UnitName" w:val="℃"/>
              </w:smartTagPr>
              <w:r w:rsidRPr="00915776">
                <w:rPr>
                  <w:rFonts w:ascii="宋体" w:hAnsi="宋体"/>
                  <w:sz w:val="21"/>
                  <w:szCs w:val="21"/>
                </w:rPr>
                <w:t xml:space="preserve">1.5 </w:t>
              </w:r>
              <w:r w:rsidRPr="00915776">
                <w:rPr>
                  <w:rFonts w:ascii="宋体" w:hAnsi="宋体" w:hint="eastAsia"/>
                  <w:sz w:val="21"/>
                  <w:szCs w:val="21"/>
                </w:rPr>
                <w:t>℃</w:t>
              </w:r>
            </w:smartTag>
            <w:r w:rsidRPr="00915776">
              <w:rPr>
                <w:rFonts w:ascii="宋体" w:hAnsi="宋体"/>
                <w:sz w:val="21"/>
                <w:szCs w:val="21"/>
              </w:rPr>
              <w:t>，或满足以下任三项</w:t>
            </w:r>
            <w:r w:rsidRPr="00915776">
              <w:rPr>
                <w:rFonts w:ascii="宋体" w:hAnsi="宋体" w:hint="eastAsia"/>
                <w:sz w:val="21"/>
                <w:szCs w:val="21"/>
              </w:rPr>
              <w:t>即为满足</w:t>
            </w:r>
            <w:r w:rsidRPr="00915776">
              <w:rPr>
                <w:rFonts w:ascii="宋体" w:hAnsi="宋体"/>
                <w:sz w:val="21"/>
                <w:szCs w:val="21"/>
              </w:rPr>
              <w:t>要求：</w:t>
            </w:r>
          </w:p>
          <w:p w:rsidR="005C0361" w:rsidRPr="00915776" w:rsidRDefault="005C0361" w:rsidP="005C0361">
            <w:pPr>
              <w:pStyle w:val="afa"/>
              <w:snapToGrid w:val="0"/>
              <w:ind w:firstLineChars="0" w:firstLine="0"/>
              <w:rPr>
                <w:rFonts w:ascii="宋体" w:hAnsi="宋体"/>
                <w:sz w:val="21"/>
                <w:szCs w:val="21"/>
              </w:rPr>
            </w:pPr>
            <w:r w:rsidRPr="00915776">
              <w:rPr>
                <w:rFonts w:ascii="宋体" w:hAnsi="宋体"/>
                <w:sz w:val="21"/>
                <w:szCs w:val="21"/>
              </w:rPr>
              <w:t>1</w:t>
            </w:r>
            <w:r w:rsidRPr="00915776">
              <w:rPr>
                <w:rFonts w:ascii="宋体" w:hAnsi="宋体" w:hint="eastAsia"/>
                <w:sz w:val="21"/>
                <w:szCs w:val="21"/>
              </w:rPr>
              <w:t xml:space="preserve"> </w:t>
            </w:r>
            <w:r w:rsidRPr="00915776">
              <w:rPr>
                <w:rFonts w:ascii="宋体" w:hAnsi="宋体"/>
                <w:sz w:val="21"/>
                <w:szCs w:val="21"/>
              </w:rPr>
              <w:t>住区绿地率不</w:t>
            </w:r>
            <w:r w:rsidRPr="00915776">
              <w:rPr>
                <w:rFonts w:ascii="宋体" w:hAnsi="宋体" w:hint="eastAsia"/>
                <w:sz w:val="21"/>
                <w:szCs w:val="21"/>
              </w:rPr>
              <w:t>小</w:t>
            </w:r>
            <w:r w:rsidRPr="00915776">
              <w:rPr>
                <w:rFonts w:ascii="宋体" w:hAnsi="宋体"/>
                <w:sz w:val="21"/>
                <w:szCs w:val="21"/>
              </w:rPr>
              <w:t>于3</w:t>
            </w:r>
            <w:r w:rsidRPr="00915776">
              <w:rPr>
                <w:rFonts w:ascii="宋体" w:hAnsi="宋体" w:hint="eastAsia"/>
                <w:sz w:val="21"/>
                <w:szCs w:val="21"/>
              </w:rPr>
              <w:t>5</w:t>
            </w:r>
            <w:r w:rsidRPr="00915776">
              <w:rPr>
                <w:rFonts w:ascii="宋体" w:hAnsi="宋体"/>
                <w:sz w:val="21"/>
                <w:szCs w:val="21"/>
              </w:rPr>
              <w:t>%；</w:t>
            </w:r>
          </w:p>
          <w:p w:rsidR="005C0361" w:rsidRPr="00915776" w:rsidRDefault="005C0361" w:rsidP="005C0361">
            <w:pPr>
              <w:pStyle w:val="afa"/>
              <w:snapToGrid w:val="0"/>
              <w:ind w:firstLineChars="0" w:firstLine="0"/>
              <w:rPr>
                <w:rFonts w:ascii="宋体" w:hAnsi="宋体"/>
                <w:sz w:val="21"/>
                <w:szCs w:val="21"/>
              </w:rPr>
            </w:pPr>
            <w:r w:rsidRPr="00915776">
              <w:rPr>
                <w:rFonts w:ascii="宋体" w:hAnsi="宋体" w:hint="eastAsia"/>
                <w:sz w:val="21"/>
                <w:szCs w:val="21"/>
              </w:rPr>
              <w:t>2 住区中不少于</w:t>
            </w:r>
            <w:r w:rsidRPr="00915776">
              <w:rPr>
                <w:rFonts w:ascii="宋体" w:hAnsi="宋体"/>
                <w:sz w:val="21"/>
                <w:szCs w:val="21"/>
              </w:rPr>
              <w:t>50%的硬质地面</w:t>
            </w:r>
            <w:r w:rsidRPr="00915776">
              <w:rPr>
                <w:rFonts w:ascii="宋体" w:hAnsi="宋体" w:hint="eastAsia"/>
                <w:sz w:val="21"/>
                <w:szCs w:val="21"/>
              </w:rPr>
              <w:t>有遮荫或铺设</w:t>
            </w:r>
            <w:r w:rsidRPr="00915776">
              <w:rPr>
                <w:rFonts w:ascii="宋体" w:hAnsi="宋体"/>
                <w:sz w:val="21"/>
                <w:szCs w:val="21"/>
              </w:rPr>
              <w:t>太阳辐射吸收率</w:t>
            </w:r>
            <w:r w:rsidRPr="00915776">
              <w:rPr>
                <w:rFonts w:ascii="宋体" w:hAnsi="宋体" w:hint="eastAsia"/>
                <w:sz w:val="21"/>
                <w:szCs w:val="21"/>
              </w:rPr>
              <w:t>为0.3~</w:t>
            </w:r>
            <w:r w:rsidRPr="00915776">
              <w:rPr>
                <w:rFonts w:ascii="宋体" w:hAnsi="宋体"/>
                <w:sz w:val="21"/>
                <w:szCs w:val="21"/>
              </w:rPr>
              <w:t>0.7</w:t>
            </w:r>
            <w:r w:rsidRPr="00915776">
              <w:rPr>
                <w:rFonts w:ascii="宋体" w:hAnsi="宋体" w:hint="eastAsia"/>
                <w:sz w:val="21"/>
                <w:szCs w:val="21"/>
              </w:rPr>
              <w:t>的浅色材料</w:t>
            </w:r>
            <w:r w:rsidRPr="00915776">
              <w:rPr>
                <w:rFonts w:ascii="宋体" w:hAnsi="宋体"/>
                <w:sz w:val="21"/>
                <w:szCs w:val="21"/>
              </w:rPr>
              <w:t>；</w:t>
            </w:r>
          </w:p>
          <w:p w:rsidR="005C0361" w:rsidRPr="00915776" w:rsidRDefault="005C0361" w:rsidP="005C0361">
            <w:pPr>
              <w:pStyle w:val="afa"/>
              <w:snapToGrid w:val="0"/>
              <w:ind w:firstLineChars="0" w:firstLine="0"/>
              <w:rPr>
                <w:rFonts w:ascii="宋体" w:hAnsi="宋体"/>
                <w:sz w:val="21"/>
                <w:szCs w:val="21"/>
              </w:rPr>
            </w:pPr>
            <w:r w:rsidRPr="00915776">
              <w:rPr>
                <w:rFonts w:ascii="宋体" w:hAnsi="宋体" w:hint="eastAsia"/>
                <w:sz w:val="21"/>
                <w:szCs w:val="21"/>
              </w:rPr>
              <w:t xml:space="preserve">3 </w:t>
            </w:r>
            <w:r w:rsidRPr="00915776">
              <w:rPr>
                <w:rFonts w:ascii="宋体" w:hAnsi="宋体"/>
                <w:sz w:val="21"/>
                <w:szCs w:val="21"/>
              </w:rPr>
              <w:t>无遮荫的地面停车</w:t>
            </w:r>
            <w:r w:rsidRPr="00915776">
              <w:rPr>
                <w:rFonts w:ascii="宋体" w:hAnsi="宋体" w:hint="eastAsia"/>
                <w:sz w:val="21"/>
                <w:szCs w:val="21"/>
              </w:rPr>
              <w:t>位占地面总停车位的比</w:t>
            </w:r>
            <w:r w:rsidRPr="00915776">
              <w:rPr>
                <w:rFonts w:ascii="宋体" w:hAnsi="宋体"/>
                <w:sz w:val="21"/>
                <w:szCs w:val="21"/>
              </w:rPr>
              <w:t>率不超过10％；</w:t>
            </w:r>
          </w:p>
          <w:p w:rsidR="005C0361" w:rsidRPr="00915776" w:rsidRDefault="005C0361" w:rsidP="005C0361">
            <w:pPr>
              <w:pStyle w:val="afa"/>
              <w:snapToGrid w:val="0"/>
              <w:ind w:firstLineChars="0" w:firstLine="0"/>
              <w:rPr>
                <w:rFonts w:ascii="宋体" w:hAnsi="宋体"/>
                <w:sz w:val="21"/>
                <w:szCs w:val="21"/>
              </w:rPr>
            </w:pPr>
            <w:r w:rsidRPr="00915776">
              <w:rPr>
                <w:rFonts w:ascii="宋体" w:hAnsi="宋体" w:hint="eastAsia"/>
                <w:sz w:val="21"/>
                <w:szCs w:val="21"/>
              </w:rPr>
              <w:t>4 不少于30</w:t>
            </w:r>
            <w:r w:rsidRPr="00915776">
              <w:rPr>
                <w:rFonts w:ascii="宋体" w:hAnsi="宋体"/>
                <w:sz w:val="21"/>
                <w:szCs w:val="21"/>
              </w:rPr>
              <w:t>%</w:t>
            </w:r>
            <w:r w:rsidRPr="00915776">
              <w:rPr>
                <w:rFonts w:ascii="宋体" w:hAnsi="宋体" w:hint="eastAsia"/>
                <w:sz w:val="21"/>
                <w:szCs w:val="21"/>
              </w:rPr>
              <w:t>的</w:t>
            </w:r>
            <w:r w:rsidRPr="00915776">
              <w:rPr>
                <w:rFonts w:ascii="宋体" w:hAnsi="宋体"/>
                <w:sz w:val="21"/>
                <w:szCs w:val="21"/>
              </w:rPr>
              <w:t>可绿化屋面实施绿化或</w:t>
            </w:r>
            <w:r w:rsidRPr="00915776">
              <w:rPr>
                <w:rFonts w:ascii="宋体" w:hAnsi="宋体" w:hint="eastAsia"/>
                <w:sz w:val="21"/>
                <w:szCs w:val="21"/>
              </w:rPr>
              <w:t>不少于</w:t>
            </w:r>
            <w:r w:rsidRPr="00915776">
              <w:rPr>
                <w:rFonts w:ascii="宋体" w:hAnsi="宋体"/>
                <w:sz w:val="21"/>
                <w:szCs w:val="21"/>
              </w:rPr>
              <w:t>75%</w:t>
            </w:r>
            <w:r w:rsidRPr="00915776">
              <w:rPr>
                <w:rFonts w:ascii="宋体" w:hAnsi="宋体" w:hint="eastAsia"/>
                <w:sz w:val="21"/>
                <w:szCs w:val="21"/>
              </w:rPr>
              <w:t>的非绿化</w:t>
            </w:r>
            <w:r w:rsidRPr="00915776">
              <w:rPr>
                <w:rFonts w:ascii="宋体" w:hAnsi="宋体"/>
                <w:sz w:val="21"/>
                <w:szCs w:val="21"/>
              </w:rPr>
              <w:t>屋面</w:t>
            </w:r>
            <w:r w:rsidRPr="00915776">
              <w:rPr>
                <w:rFonts w:ascii="宋体" w:hAnsi="宋体" w:hint="eastAsia"/>
                <w:sz w:val="21"/>
                <w:szCs w:val="21"/>
              </w:rPr>
              <w:t>为</w:t>
            </w:r>
            <w:r w:rsidRPr="00915776">
              <w:rPr>
                <w:rFonts w:ascii="宋体" w:hAnsi="宋体"/>
                <w:sz w:val="21"/>
                <w:szCs w:val="21"/>
              </w:rPr>
              <w:t>浅色饰面</w:t>
            </w:r>
            <w:r w:rsidRPr="00915776">
              <w:rPr>
                <w:rFonts w:ascii="宋体" w:hAnsi="宋体" w:hint="eastAsia"/>
                <w:sz w:val="21"/>
                <w:szCs w:val="21"/>
              </w:rPr>
              <w:t>，坡屋顶</w:t>
            </w:r>
            <w:r w:rsidRPr="00915776">
              <w:rPr>
                <w:rFonts w:ascii="宋体" w:hAnsi="宋体"/>
                <w:sz w:val="21"/>
                <w:szCs w:val="21"/>
              </w:rPr>
              <w:t>太阳辐吸收率小于0.</w:t>
            </w:r>
            <w:r w:rsidRPr="00915776">
              <w:rPr>
                <w:rFonts w:ascii="宋体" w:hAnsi="宋体" w:hint="eastAsia"/>
                <w:sz w:val="21"/>
                <w:szCs w:val="21"/>
              </w:rPr>
              <w:t>7，平屋顶太阳</w:t>
            </w:r>
            <w:r w:rsidRPr="00915776">
              <w:rPr>
                <w:rFonts w:ascii="宋体" w:hAnsi="宋体"/>
                <w:sz w:val="21"/>
                <w:szCs w:val="21"/>
              </w:rPr>
              <w:t>辐射吸收率小于0.</w:t>
            </w:r>
            <w:r w:rsidRPr="00915776">
              <w:rPr>
                <w:rFonts w:ascii="宋体" w:hAnsi="宋体" w:hint="eastAsia"/>
                <w:sz w:val="21"/>
                <w:szCs w:val="21"/>
              </w:rPr>
              <w:t>5</w:t>
            </w:r>
            <w:r w:rsidRPr="00915776">
              <w:rPr>
                <w:rFonts w:ascii="宋体" w:hAnsi="宋体"/>
                <w:sz w:val="21"/>
                <w:szCs w:val="21"/>
              </w:rPr>
              <w:t>；</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 xml:space="preserve">5 </w:t>
            </w:r>
            <w:r w:rsidRPr="00915776">
              <w:rPr>
                <w:rFonts w:ascii="宋体" w:hAnsi="宋体"/>
                <w:szCs w:val="21"/>
              </w:rPr>
              <w:t>建筑外墙浅色饰面，墙面太阳辐射吸收率小于0.</w:t>
            </w:r>
            <w:r w:rsidRPr="00915776">
              <w:rPr>
                <w:rFonts w:ascii="宋体" w:hAnsi="宋体" w:hint="eastAsia"/>
                <w:szCs w:val="21"/>
              </w:rPr>
              <w:t>6</w:t>
            </w:r>
            <w:r w:rsidRPr="00915776">
              <w:rPr>
                <w:rFonts w:ascii="宋体" w:hAnsi="宋体"/>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.1.14</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屋面绿化面积不少于可绿化屋面面积的50%。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.1.15</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住区风环境有利于过渡季、夏季的自然通风及冬季室外行走舒适。建筑物周围人行区域距地面</w:t>
            </w:r>
            <w:smartTag w:uri="urn:schemas-microsoft-com:office:smarttags" w:element="chmetcnv">
              <w:smartTagPr>
                <w:attr w:name="UnitName" w:val="m"/>
                <w:attr w:name="SourceValue" w:val="1.5"/>
                <w:attr w:name="HasSpace" w:val="False"/>
                <w:attr w:name="Negative" w:val="False"/>
                <w:attr w:name="NumberType" w:val="1"/>
                <w:attr w:name="TCSC" w:val="0"/>
              </w:smartTagPr>
              <w:r w:rsidRPr="00915776">
                <w:rPr>
                  <w:rFonts w:ascii="宋体" w:hAnsi="宋体"/>
                  <w:szCs w:val="21"/>
                </w:rPr>
                <w:t>1.5m</w:t>
              </w:r>
            </w:smartTag>
            <w:r w:rsidRPr="00915776">
              <w:rPr>
                <w:rFonts w:ascii="宋体" w:hAnsi="宋体"/>
                <w:szCs w:val="21"/>
              </w:rPr>
              <w:t>高处的风速放大系数不大于2，80%人行区域距地面</w:t>
            </w:r>
            <w:smartTag w:uri="urn:schemas-microsoft-com:office:smarttags" w:element="chmetcnv">
              <w:smartTagPr>
                <w:attr w:name="UnitName" w:val="m"/>
                <w:attr w:name="SourceValue" w:val="1.5"/>
                <w:attr w:name="HasSpace" w:val="False"/>
                <w:attr w:name="Negative" w:val="False"/>
                <w:attr w:name="NumberType" w:val="1"/>
                <w:attr w:name="TCSC" w:val="0"/>
              </w:smartTagPr>
              <w:r w:rsidRPr="00915776">
                <w:rPr>
                  <w:rFonts w:ascii="宋体" w:hAnsi="宋体"/>
                  <w:szCs w:val="21"/>
                </w:rPr>
                <w:t>1.5m</w:t>
              </w:r>
            </w:smartTag>
            <w:r w:rsidRPr="00915776">
              <w:rPr>
                <w:rFonts w:ascii="宋体" w:hAnsi="宋体"/>
                <w:szCs w:val="21"/>
              </w:rPr>
              <w:t>高处的风速放大系数不小于0.3。</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.1.16</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根据深圳市气候条件和植物自然分布特点，栽植多种类型的植物，构成乔、灌、草及层间植物相结合的多层次植物群落。</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每</w:t>
            </w:r>
            <w:smartTag w:uri="urn:schemas-microsoft-com:office:smarttags" w:element="chmetcnv">
              <w:smartTagPr>
                <w:attr w:name="UnitName" w:val="m2"/>
                <w:attr w:name="SourceValue" w:val="100"/>
                <w:attr w:name="HasSpace" w:val="True"/>
                <w:attr w:name="Negative" w:val="False"/>
                <w:attr w:name="NumberType" w:val="1"/>
                <w:attr w:name="TCSC" w:val="0"/>
              </w:smartTagPr>
              <w:r w:rsidRPr="00915776">
                <w:rPr>
                  <w:rFonts w:ascii="宋体" w:hAnsi="宋体"/>
                  <w:szCs w:val="21"/>
                </w:rPr>
                <w:t>100</w:t>
              </w:r>
              <w:r w:rsidRPr="00915776">
                <w:rPr>
                  <w:rFonts w:ascii="宋体" w:hAnsi="宋体" w:hint="eastAsia"/>
                  <w:szCs w:val="21"/>
                </w:rPr>
                <w:t xml:space="preserve"> m</w:t>
              </w:r>
              <w:r w:rsidRPr="00915776">
                <w:rPr>
                  <w:rFonts w:ascii="宋体" w:hAnsi="宋体" w:hint="eastAsia"/>
                  <w:szCs w:val="21"/>
                  <w:vertAlign w:val="superscript"/>
                </w:rPr>
                <w:t>2</w:t>
              </w:r>
            </w:smartTag>
            <w:r w:rsidRPr="00915776">
              <w:rPr>
                <w:rFonts w:ascii="宋体" w:hAnsi="宋体"/>
                <w:szCs w:val="21"/>
              </w:rPr>
              <w:t>绿地上乔木量不少于3株，灌木量不少于10株；</w:t>
            </w:r>
          </w:p>
          <w:p w:rsidR="005C0361" w:rsidRPr="00915776" w:rsidRDefault="005C0361" w:rsidP="005C0361">
            <w:pPr>
              <w:snapToGrid w:val="0"/>
              <w:spacing w:line="300" w:lineRule="auto"/>
              <w:rPr>
                <w:rFonts w:ascii="宋体" w:hAnsi="宋体"/>
                <w:szCs w:val="21"/>
              </w:rPr>
            </w:pPr>
            <w:r w:rsidRPr="00915776">
              <w:rPr>
                <w:rFonts w:ascii="宋体" w:hAnsi="宋体"/>
                <w:szCs w:val="21"/>
              </w:rPr>
              <w:t>2</w:t>
            </w:r>
            <w:r w:rsidRPr="00915776">
              <w:rPr>
                <w:rFonts w:ascii="宋体" w:hAnsi="宋体" w:hint="eastAsia"/>
                <w:szCs w:val="21"/>
              </w:rPr>
              <w:t xml:space="preserve"> </w:t>
            </w:r>
            <w:r w:rsidRPr="00915776">
              <w:rPr>
                <w:rFonts w:ascii="宋体" w:hAnsi="宋体"/>
                <w:szCs w:val="21"/>
              </w:rPr>
              <w:t>每</w:t>
            </w:r>
            <w:smartTag w:uri="urn:schemas-microsoft-com:office:smarttags" w:element="chmetcnv">
              <w:smartTagPr>
                <w:attr w:name="UnitName" w:val="mﾲ"/>
                <w:attr w:name="SourceValue" w:val="100"/>
                <w:attr w:name="HasSpace" w:val="False"/>
                <w:attr w:name="Negative" w:val="False"/>
                <w:attr w:name="NumberType" w:val="1"/>
                <w:attr w:name="TCSC" w:val="0"/>
              </w:smartTagPr>
              <w:r w:rsidRPr="00915776">
                <w:rPr>
                  <w:rFonts w:ascii="宋体" w:hAnsi="宋体"/>
                  <w:szCs w:val="21"/>
                </w:rPr>
                <w:t>100m²</w:t>
              </w:r>
            </w:smartTag>
            <w:r w:rsidRPr="00915776">
              <w:rPr>
                <w:rFonts w:ascii="宋体" w:hAnsi="宋体"/>
                <w:szCs w:val="21"/>
              </w:rPr>
              <w:t>硬质铺地上乔木量不少于1株；</w:t>
            </w:r>
          </w:p>
          <w:p w:rsidR="005C0361" w:rsidRPr="00915776" w:rsidRDefault="005C0361" w:rsidP="005C0361">
            <w:pPr>
              <w:snapToGrid w:val="0"/>
              <w:spacing w:line="300" w:lineRule="auto"/>
              <w:rPr>
                <w:rFonts w:ascii="宋体" w:hAnsi="宋体"/>
                <w:szCs w:val="21"/>
              </w:rPr>
            </w:pPr>
            <w:r w:rsidRPr="00915776">
              <w:rPr>
                <w:rFonts w:ascii="宋体" w:hAnsi="宋体"/>
                <w:szCs w:val="21"/>
              </w:rPr>
              <w:t>3</w:t>
            </w:r>
            <w:r w:rsidRPr="00915776">
              <w:rPr>
                <w:rFonts w:ascii="宋体" w:hAnsi="宋体" w:hint="eastAsia"/>
                <w:szCs w:val="21"/>
              </w:rPr>
              <w:t xml:space="preserve"> </w:t>
            </w:r>
            <w:r w:rsidRPr="00915776">
              <w:rPr>
                <w:rFonts w:ascii="宋体" w:hAnsi="宋体"/>
                <w:szCs w:val="21"/>
              </w:rPr>
              <w:t>按道路长度</w:t>
            </w:r>
            <w:r w:rsidRPr="00915776">
              <w:rPr>
                <w:rFonts w:ascii="宋体" w:hAnsi="宋体" w:hint="eastAsia"/>
                <w:szCs w:val="21"/>
              </w:rPr>
              <w:t>计</w:t>
            </w:r>
            <w:r w:rsidRPr="00915776">
              <w:rPr>
                <w:rFonts w:ascii="宋体" w:hAnsi="宋体"/>
                <w:szCs w:val="21"/>
              </w:rPr>
              <w:t>道路</w:t>
            </w:r>
            <w:r w:rsidRPr="00915776">
              <w:rPr>
                <w:rFonts w:ascii="宋体" w:hAnsi="宋体" w:hint="eastAsia"/>
                <w:szCs w:val="21"/>
              </w:rPr>
              <w:t>遮荫率不低于80％</w:t>
            </w:r>
            <w:r w:rsidRPr="00915776">
              <w:rPr>
                <w:rFonts w:ascii="宋体" w:hAnsi="宋体"/>
                <w:szCs w:val="21"/>
              </w:rPr>
              <w:t>；</w:t>
            </w:r>
            <w:r w:rsidRPr="00915776">
              <w:rPr>
                <w:rFonts w:ascii="宋体" w:hAnsi="宋体" w:hint="eastAsia"/>
                <w:szCs w:val="21"/>
              </w:rPr>
              <w:t xml:space="preserve"> </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 xml:space="preserve">4 </w:t>
            </w:r>
            <w:r w:rsidRPr="00915776">
              <w:rPr>
                <w:rFonts w:ascii="宋体" w:hAnsi="宋体"/>
                <w:szCs w:val="21"/>
              </w:rPr>
              <w:t>选用木本植物种类满足：住区</w:t>
            </w:r>
            <w:r w:rsidRPr="00915776">
              <w:rPr>
                <w:rFonts w:ascii="宋体" w:hAnsi="宋体" w:hint="eastAsia"/>
                <w:szCs w:val="21"/>
              </w:rPr>
              <w:t>用地面积≤</w:t>
            </w:r>
            <w:smartTag w:uri="urn:schemas-microsoft-com:office:smarttags" w:element="chmetcnv">
              <w:smartTagPr>
                <w:attr w:name="UnitName" w:val="m2"/>
                <w:attr w:name="SourceValue" w:val="50000"/>
                <w:attr w:name="HasSpace" w:val="False"/>
                <w:attr w:name="Negative" w:val="False"/>
                <w:attr w:name="NumberType" w:val="1"/>
                <w:attr w:name="TCSC" w:val="1"/>
              </w:smartTagPr>
              <w:r w:rsidRPr="00915776">
                <w:rPr>
                  <w:rFonts w:ascii="宋体" w:hAnsi="宋体"/>
                  <w:szCs w:val="21"/>
                </w:rPr>
                <w:t>5万</w:t>
              </w:r>
              <w:r w:rsidRPr="00915776">
                <w:rPr>
                  <w:rFonts w:ascii="宋体" w:hAnsi="宋体" w:hint="eastAsia"/>
                  <w:szCs w:val="21"/>
                </w:rPr>
                <w:t>m</w:t>
              </w:r>
              <w:r w:rsidRPr="00915776">
                <w:rPr>
                  <w:rFonts w:ascii="宋体" w:hAnsi="宋体" w:hint="eastAsia"/>
                  <w:szCs w:val="21"/>
                  <w:vertAlign w:val="superscript"/>
                </w:rPr>
                <w:t>2</w:t>
              </w:r>
            </w:smartTag>
            <w:r w:rsidRPr="00915776">
              <w:rPr>
                <w:rFonts w:ascii="宋体" w:hAnsi="宋体"/>
                <w:szCs w:val="21"/>
              </w:rPr>
              <w:t>时不少于45种，住区</w:t>
            </w:r>
            <w:r w:rsidRPr="00915776">
              <w:rPr>
                <w:rFonts w:ascii="宋体" w:hAnsi="宋体" w:hint="eastAsia"/>
                <w:szCs w:val="21"/>
              </w:rPr>
              <w:t>用地面积</w:t>
            </w:r>
            <w:r w:rsidRPr="00915776">
              <w:rPr>
                <w:rFonts w:ascii="宋体" w:hAnsi="宋体"/>
                <w:szCs w:val="21"/>
              </w:rPr>
              <w:t>5~10万</w:t>
            </w:r>
            <w:r w:rsidRPr="00915776">
              <w:rPr>
                <w:rFonts w:ascii="宋体" w:hAnsi="宋体" w:hint="eastAsia"/>
                <w:szCs w:val="21"/>
              </w:rPr>
              <w:t>m</w:t>
            </w:r>
            <w:r w:rsidRPr="00915776">
              <w:rPr>
                <w:rFonts w:ascii="宋体" w:hAnsi="宋体" w:hint="eastAsia"/>
                <w:szCs w:val="21"/>
                <w:vertAlign w:val="superscript"/>
              </w:rPr>
              <w:t>2</w:t>
            </w:r>
            <w:r w:rsidRPr="00915776">
              <w:rPr>
                <w:rFonts w:ascii="宋体" w:hAnsi="宋体"/>
                <w:szCs w:val="21"/>
              </w:rPr>
              <w:t>时不少于55种，住区</w:t>
            </w:r>
            <w:r w:rsidRPr="00915776">
              <w:rPr>
                <w:rFonts w:ascii="宋体" w:hAnsi="宋体" w:hint="eastAsia"/>
                <w:szCs w:val="21"/>
              </w:rPr>
              <w:t>用地面积≥</w:t>
            </w:r>
            <w:r w:rsidRPr="00915776">
              <w:rPr>
                <w:rFonts w:ascii="宋体" w:hAnsi="宋体"/>
                <w:szCs w:val="21"/>
              </w:rPr>
              <w:t>10万</w:t>
            </w:r>
            <w:r w:rsidRPr="00915776">
              <w:rPr>
                <w:rFonts w:ascii="宋体" w:hAnsi="宋体" w:hint="eastAsia"/>
                <w:szCs w:val="21"/>
              </w:rPr>
              <w:t>m</w:t>
            </w:r>
            <w:r w:rsidRPr="00915776">
              <w:rPr>
                <w:rFonts w:ascii="宋体" w:hAnsi="宋体" w:hint="eastAsia"/>
                <w:szCs w:val="21"/>
                <w:vertAlign w:val="superscript"/>
              </w:rPr>
              <w:t>2</w:t>
            </w:r>
            <w:r w:rsidRPr="00915776">
              <w:rPr>
                <w:rFonts w:ascii="宋体" w:hAnsi="宋体"/>
                <w:szCs w:val="21"/>
              </w:rPr>
              <w:t>时不少于60种。</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.1.17</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hint="eastAsia"/>
                <w:szCs w:val="21"/>
              </w:rPr>
              <w:t>住区交通组织及停车设计满足以下要求：</w:t>
            </w:r>
          </w:p>
          <w:p w:rsidR="005C0361" w:rsidRPr="00915776" w:rsidRDefault="005C0361" w:rsidP="005C0361">
            <w:pPr>
              <w:snapToGrid w:val="0"/>
              <w:spacing w:line="300" w:lineRule="auto"/>
              <w:rPr>
                <w:rFonts w:ascii="宋体" w:hAnsi="宋体"/>
                <w:b/>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bCs/>
                <w:szCs w:val="21"/>
              </w:rPr>
              <w:t>住区出入口到达公共交通站点的步行距离不超过</w:t>
            </w:r>
            <w:smartTag w:uri="urn:schemas-microsoft-com:office:smarttags" w:element="chmetcnv">
              <w:smartTagPr>
                <w:attr w:name="UnitName" w:val="m"/>
                <w:attr w:name="SourceValue" w:val="500"/>
                <w:attr w:name="HasSpace" w:val="False"/>
                <w:attr w:name="Negative" w:val="False"/>
                <w:attr w:name="NumberType" w:val="1"/>
                <w:attr w:name="TCSC" w:val="0"/>
              </w:smartTagPr>
              <w:r w:rsidRPr="00915776">
                <w:rPr>
                  <w:rFonts w:ascii="宋体" w:hAnsi="宋体"/>
                  <w:bCs/>
                  <w:szCs w:val="21"/>
                </w:rPr>
                <w:t>500m</w:t>
              </w:r>
            </w:smartTag>
            <w:r w:rsidRPr="00915776">
              <w:rPr>
                <w:rFonts w:ascii="宋体" w:hAnsi="宋体"/>
                <w:bCs/>
                <w:szCs w:val="21"/>
              </w:rPr>
              <w:t>，且有2条</w:t>
            </w:r>
            <w:r w:rsidRPr="00915776">
              <w:rPr>
                <w:rFonts w:ascii="宋体" w:hAnsi="宋体" w:hint="eastAsia"/>
                <w:bCs/>
                <w:szCs w:val="21"/>
              </w:rPr>
              <w:t>及</w:t>
            </w:r>
            <w:r w:rsidRPr="00915776">
              <w:rPr>
                <w:rFonts w:ascii="宋体" w:hAnsi="宋体"/>
                <w:bCs/>
                <w:szCs w:val="21"/>
              </w:rPr>
              <w:t>以上公交路线，或距住区出入口</w:t>
            </w:r>
            <w:smartTag w:uri="urn:schemas-microsoft-com:office:smarttags" w:element="chmetcnv">
              <w:smartTagPr>
                <w:attr w:name="UnitName" w:val="m"/>
                <w:attr w:name="SourceValue" w:val="800"/>
                <w:attr w:name="HasSpace" w:val="False"/>
                <w:attr w:name="Negative" w:val="False"/>
                <w:attr w:name="NumberType" w:val="1"/>
                <w:attr w:name="TCSC" w:val="0"/>
              </w:smartTagPr>
              <w:r w:rsidRPr="00915776">
                <w:rPr>
                  <w:rFonts w:ascii="宋体" w:hAnsi="宋体"/>
                  <w:bCs/>
                  <w:szCs w:val="21"/>
                </w:rPr>
                <w:t>800m</w:t>
              </w:r>
            </w:smartTag>
            <w:r w:rsidRPr="00915776">
              <w:rPr>
                <w:rFonts w:ascii="宋体" w:hAnsi="宋体"/>
                <w:bCs/>
                <w:szCs w:val="21"/>
              </w:rPr>
              <w:t>内有地铁站；</w:t>
            </w:r>
          </w:p>
          <w:p w:rsidR="005C0361" w:rsidRPr="00915776" w:rsidRDefault="005C0361" w:rsidP="005C0361">
            <w:pPr>
              <w:snapToGrid w:val="0"/>
              <w:spacing w:line="300" w:lineRule="auto"/>
              <w:rPr>
                <w:rFonts w:ascii="宋体" w:hAnsi="宋体"/>
                <w:szCs w:val="21"/>
              </w:rPr>
            </w:pPr>
            <w:r w:rsidRPr="00915776">
              <w:rPr>
                <w:rFonts w:ascii="宋体" w:hAnsi="宋体" w:hint="eastAsia"/>
                <w:szCs w:val="21"/>
              </w:rPr>
              <w:t xml:space="preserve">2 </w:t>
            </w:r>
            <w:r w:rsidRPr="00915776">
              <w:rPr>
                <w:rFonts w:ascii="宋体" w:hAnsi="宋体"/>
                <w:szCs w:val="21"/>
              </w:rPr>
              <w:t>用地面积25万</w:t>
            </w:r>
            <w:r w:rsidRPr="00915776">
              <w:rPr>
                <w:rFonts w:ascii="宋体" w:hAnsi="宋体" w:hint="eastAsia"/>
                <w:szCs w:val="21"/>
              </w:rPr>
              <w:t>m</w:t>
            </w:r>
            <w:r w:rsidRPr="00915776">
              <w:rPr>
                <w:rFonts w:ascii="宋体" w:hAnsi="宋体" w:hint="eastAsia"/>
                <w:szCs w:val="21"/>
                <w:vertAlign w:val="superscript"/>
              </w:rPr>
              <w:t>2</w:t>
            </w:r>
            <w:r w:rsidRPr="00915776">
              <w:rPr>
                <w:rFonts w:ascii="宋体" w:hAnsi="宋体"/>
                <w:szCs w:val="21"/>
              </w:rPr>
              <w:t>以上住区提供清洁交通工具；</w:t>
            </w:r>
          </w:p>
          <w:p w:rsidR="005C0361" w:rsidRPr="00915776" w:rsidRDefault="005C0361" w:rsidP="005C0361">
            <w:pPr>
              <w:snapToGrid w:val="0"/>
              <w:spacing w:line="300" w:lineRule="auto"/>
              <w:rPr>
                <w:rFonts w:ascii="宋体" w:hAnsi="宋体"/>
                <w:szCs w:val="21"/>
              </w:rPr>
            </w:pPr>
            <w:r w:rsidRPr="00915776">
              <w:rPr>
                <w:rFonts w:ascii="宋体" w:hAnsi="宋体" w:hint="eastAsia"/>
                <w:szCs w:val="21"/>
              </w:rPr>
              <w:t xml:space="preserve">3 </w:t>
            </w:r>
            <w:r w:rsidRPr="00915776">
              <w:rPr>
                <w:rFonts w:ascii="宋体" w:hAnsi="宋体"/>
                <w:szCs w:val="21"/>
              </w:rPr>
              <w:t>住区内机动车停车泊位配置符合《深圳市城市规划标准与准则》</w:t>
            </w:r>
            <w:r w:rsidRPr="00915776">
              <w:rPr>
                <w:rFonts w:ascii="宋体" w:hAnsi="宋体" w:hint="eastAsia"/>
                <w:szCs w:val="21"/>
              </w:rPr>
              <w:t>的</w:t>
            </w:r>
            <w:r w:rsidRPr="00915776">
              <w:rPr>
                <w:rFonts w:ascii="宋体" w:hAnsi="宋体"/>
                <w:szCs w:val="21"/>
              </w:rPr>
              <w:t>相关规定；</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 xml:space="preserve">4 </w:t>
            </w:r>
            <w:r w:rsidRPr="00915776">
              <w:rPr>
                <w:rFonts w:ascii="宋体" w:hAnsi="宋体"/>
                <w:szCs w:val="21"/>
              </w:rPr>
              <w:t>住区</w:t>
            </w:r>
            <w:r w:rsidRPr="00915776">
              <w:rPr>
                <w:rFonts w:ascii="宋体" w:hAnsi="宋体" w:hint="eastAsia"/>
                <w:szCs w:val="21"/>
              </w:rPr>
              <w:t>内</w:t>
            </w:r>
            <w:r w:rsidRPr="00915776">
              <w:rPr>
                <w:rFonts w:ascii="宋体" w:hAnsi="宋体"/>
                <w:szCs w:val="21"/>
              </w:rPr>
              <w:t>配套</w:t>
            </w:r>
            <w:r w:rsidRPr="00915776">
              <w:rPr>
                <w:rFonts w:ascii="宋体" w:hAnsi="宋体" w:hint="eastAsia"/>
                <w:szCs w:val="21"/>
              </w:rPr>
              <w:t>设置</w:t>
            </w:r>
            <w:r w:rsidRPr="00915776">
              <w:rPr>
                <w:rFonts w:ascii="宋体" w:hAnsi="宋体"/>
                <w:szCs w:val="21"/>
              </w:rPr>
              <w:t>自行车停车场（库），停车位不</w:t>
            </w:r>
            <w:r w:rsidRPr="00915776">
              <w:rPr>
                <w:rFonts w:ascii="宋体" w:hAnsi="宋体" w:hint="eastAsia"/>
                <w:szCs w:val="21"/>
              </w:rPr>
              <w:t>少</w:t>
            </w:r>
            <w:r w:rsidRPr="00915776">
              <w:rPr>
                <w:rFonts w:ascii="宋体" w:hAnsi="宋体"/>
                <w:szCs w:val="21"/>
              </w:rPr>
              <w:t>于3辆/10户，住户停车距离不大于</w:t>
            </w:r>
            <w:smartTag w:uri="urn:schemas-microsoft-com:office:smarttags" w:element="chmetcnv">
              <w:smartTagPr>
                <w:attr w:name="UnitName" w:val="m"/>
                <w:attr w:name="SourceValue" w:val="100"/>
                <w:attr w:name="HasSpace" w:val="False"/>
                <w:attr w:name="Negative" w:val="False"/>
                <w:attr w:name="NumberType" w:val="1"/>
                <w:attr w:name="TCSC" w:val="0"/>
              </w:smartTagPr>
              <w:r w:rsidRPr="00915776">
                <w:rPr>
                  <w:rFonts w:ascii="宋体" w:hAnsi="宋体"/>
                  <w:szCs w:val="21"/>
                </w:rPr>
                <w:t>100m</w:t>
              </w:r>
            </w:smartTag>
            <w:r w:rsidRPr="00915776">
              <w:rPr>
                <w:rFonts w:ascii="宋体" w:hAnsi="宋体"/>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5.1.18</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住区内设置可遮荫避雨的步行连廊，其总长度不少于住区人行道总长度的10％。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5.1.19</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住区非机动车道路、地面停车场等硬质铺地采用透水地面，并利用园林绿化提供遮荫。室外透水地面面积比不小于45%。</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5.1.20</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hint="eastAsia"/>
                <w:szCs w:val="21"/>
              </w:rPr>
              <w:t>住区光污染控制满足以下要求：</w:t>
            </w:r>
          </w:p>
          <w:p w:rsidR="005C0361" w:rsidRPr="00915776" w:rsidRDefault="005C0361" w:rsidP="005C0361">
            <w:pPr>
              <w:snapToGrid w:val="0"/>
              <w:spacing w:line="300" w:lineRule="auto"/>
              <w:rPr>
                <w:rFonts w:ascii="宋体" w:hAnsi="宋体"/>
                <w:szCs w:val="21"/>
              </w:rPr>
            </w:pPr>
            <w:r w:rsidRPr="00915776">
              <w:rPr>
                <w:rFonts w:ascii="宋体" w:hAnsi="宋体" w:hint="eastAsia"/>
                <w:szCs w:val="21"/>
              </w:rPr>
              <w:t>1 控制室外照明中</w:t>
            </w:r>
            <w:r w:rsidRPr="00915776">
              <w:rPr>
                <w:rFonts w:ascii="宋体" w:hAnsi="宋体"/>
                <w:szCs w:val="21"/>
              </w:rPr>
              <w:t>射向夜空与住户外窗以及溢出场地边界</w:t>
            </w:r>
            <w:r w:rsidRPr="00915776">
              <w:rPr>
                <w:rFonts w:ascii="宋体" w:hAnsi="宋体" w:hint="eastAsia"/>
                <w:szCs w:val="21"/>
              </w:rPr>
              <w:t>的光束</w:t>
            </w:r>
            <w:r w:rsidRPr="00915776">
              <w:rPr>
                <w:rFonts w:ascii="宋体" w:hAnsi="宋体"/>
                <w:szCs w:val="21"/>
              </w:rPr>
              <w:t>；</w:t>
            </w:r>
          </w:p>
          <w:p w:rsidR="005C0361" w:rsidRPr="00915776" w:rsidRDefault="005C0361" w:rsidP="005C0361">
            <w:pPr>
              <w:snapToGrid w:val="0"/>
              <w:spacing w:line="300" w:lineRule="auto"/>
              <w:rPr>
                <w:rFonts w:ascii="宋体" w:hAnsi="宋体"/>
                <w:szCs w:val="21"/>
              </w:rPr>
            </w:pPr>
            <w:r w:rsidRPr="00915776">
              <w:rPr>
                <w:rFonts w:ascii="宋体" w:hAnsi="宋体" w:hint="eastAsia"/>
                <w:szCs w:val="21"/>
              </w:rPr>
              <w:t xml:space="preserve">2 </w:t>
            </w:r>
            <w:r w:rsidRPr="00915776">
              <w:rPr>
                <w:rFonts w:ascii="宋体" w:hAnsi="宋体"/>
                <w:szCs w:val="21"/>
              </w:rPr>
              <w:t>建筑外立面设计不对周围环境产生光污染。</w:t>
            </w:r>
            <w:r w:rsidRPr="00915776">
              <w:rPr>
                <w:rFonts w:ascii="宋体" w:hAnsi="宋体" w:hint="eastAsia"/>
                <w:szCs w:val="21"/>
              </w:rPr>
              <w:t>不</w:t>
            </w:r>
            <w:r w:rsidRPr="00915776">
              <w:rPr>
                <w:rFonts w:ascii="宋体" w:hAnsi="宋体"/>
                <w:szCs w:val="21"/>
              </w:rPr>
              <w:t>采用镜面玻璃或抛光金属板等材料；幕墙采用反射比不大于0.30的玻璃或其他材料，在城市主干道、立交桥、高架桥两侧的建筑，使用幕墙时，采用反射比不大于0.16的低反射玻璃或其他材料</w:t>
            </w:r>
            <w:r w:rsidRPr="00915776">
              <w:rPr>
                <w:rFonts w:ascii="宋体" w:hAnsi="宋体" w:hint="eastAsia"/>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5.1.21</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合理选用废弃场地进行建设。对已被污染的废弃地，进行处理并达到有关标准。</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5.1.22</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建筑设置架空层。架空部分除入口、门厅</w:t>
            </w:r>
            <w:r w:rsidRPr="00915776">
              <w:rPr>
                <w:rFonts w:ascii="宋体" w:hAnsi="宋体" w:hint="eastAsia"/>
                <w:szCs w:val="21"/>
              </w:rPr>
              <w:t>、防噪隔声设施等</w:t>
            </w:r>
            <w:r w:rsidRPr="00915776">
              <w:rPr>
                <w:rFonts w:ascii="宋体" w:hAnsi="宋体"/>
                <w:szCs w:val="21"/>
              </w:rPr>
              <w:t>必要的</w:t>
            </w:r>
            <w:r w:rsidRPr="00915776">
              <w:rPr>
                <w:rFonts w:ascii="宋体" w:hAnsi="宋体" w:hint="eastAsia"/>
                <w:szCs w:val="21"/>
              </w:rPr>
              <w:t>配套设施及构件</w:t>
            </w:r>
            <w:r w:rsidRPr="00915776">
              <w:rPr>
                <w:rFonts w:ascii="宋体" w:hAnsi="宋体"/>
                <w:szCs w:val="21"/>
              </w:rPr>
              <w:t>外，设置为绿化、居民健身及活动等开放空间。</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restart"/>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节能与能源利用</w:t>
            </w:r>
          </w:p>
        </w:tc>
        <w:tc>
          <w:tcPr>
            <w:tcW w:w="464" w:type="dxa"/>
            <w:gridSpan w:val="3"/>
            <w:vMerge w:val="restart"/>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控制项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iCs/>
                <w:szCs w:val="21"/>
              </w:rPr>
              <w:t>居住建筑热工设计和暖通空调设计符合《深圳市居住建筑节能设计标准》SJG 10和《深圳市居住建筑节能设计标准实施细则》SJG 15的规定。具备太阳能集热条件的新建十二层及十二层以下居住建筑，为全体住户设置太阳能热水系统。</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0"/>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.2.2</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当采用集中空调系统时，所选用的冷水机组或单元式空调机组的性能系数、能效比符合</w:t>
            </w:r>
            <w:r w:rsidRPr="00915776">
              <w:rPr>
                <w:rFonts w:ascii="宋体" w:hAnsi="宋体"/>
                <w:iCs/>
                <w:szCs w:val="21"/>
              </w:rPr>
              <w:t>《深圳市公共建筑节能设计标准实施细则》SZJG 29</w:t>
            </w:r>
            <w:r w:rsidRPr="00915776">
              <w:rPr>
                <w:rFonts w:ascii="宋体" w:hAnsi="宋体" w:hint="eastAsia"/>
                <w:szCs w:val="21"/>
              </w:rPr>
              <w:t>的规定值。当采用分散式空调器时，能效比符合《深圳市居住建筑节能设计标准实施细则》SJG 15的6.1.3条的规定。</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.2.3</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bCs/>
                <w:iCs/>
                <w:szCs w:val="21"/>
              </w:rPr>
              <w:t>采用集中空调系统的居住建筑，实施供冷收费时需按户安装</w:t>
            </w:r>
            <w:r w:rsidRPr="00915776">
              <w:rPr>
                <w:rFonts w:ascii="宋体" w:hAnsi="宋体"/>
                <w:bCs/>
                <w:iCs/>
                <w:szCs w:val="21"/>
              </w:rPr>
              <w:t>冷量计量设施。</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restart"/>
            <w:vAlign w:val="center"/>
          </w:tcPr>
          <w:p w:rsidR="005C0361" w:rsidRPr="00915776" w:rsidRDefault="005C0361" w:rsidP="005C0361">
            <w:pPr>
              <w:widowControl/>
              <w:snapToGrid w:val="0"/>
              <w:spacing w:line="300" w:lineRule="auto"/>
              <w:rPr>
                <w:rFonts w:ascii="宋体" w:hAnsi="宋体" w:cs="宋体"/>
                <w:b/>
                <w:kern w:val="0"/>
                <w:szCs w:val="21"/>
              </w:rPr>
            </w:pPr>
            <w:r w:rsidRPr="00915776">
              <w:rPr>
                <w:rFonts w:ascii="宋体" w:hAnsi="宋体" w:cs="宋体" w:hint="eastAsia"/>
                <w:b/>
                <w:kern w:val="0"/>
                <w:szCs w:val="21"/>
              </w:rPr>
              <w:t>得分项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.2.4</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bCs/>
                <w:iCs/>
                <w:szCs w:val="21"/>
              </w:rPr>
              <w:t>朝向在南偏东45°至南偏西30°范围内的卧室、起居室、书房等主要房间数量不少于住区内主要房间总数的75%。</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.2.5</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bCs/>
                <w:iCs/>
                <w:szCs w:val="21"/>
              </w:rPr>
              <w:t>所有户型均设置阳台。</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0"/>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.2.6</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bCs/>
                <w:iCs/>
                <w:szCs w:val="21"/>
              </w:rPr>
              <w:t>外窗设置外遮阳。建筑的外窗综合外遮阳系数不大于0.8。</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.2.7</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设置可调节外遮阳。建筑的外窗综合外遮阳系数不大于0.6。</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.2.8</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lang w:val="zh-CN"/>
              </w:rPr>
              <w:t>设置</w:t>
            </w:r>
            <w:r w:rsidRPr="00915776">
              <w:rPr>
                <w:rFonts w:ascii="宋体" w:hAnsi="宋体"/>
                <w:szCs w:val="21"/>
              </w:rPr>
              <w:t>集中</w:t>
            </w:r>
            <w:r w:rsidRPr="00915776">
              <w:rPr>
                <w:rFonts w:ascii="宋体" w:hAnsi="宋体"/>
                <w:szCs w:val="21"/>
                <w:lang w:val="zh-CN"/>
              </w:rPr>
              <w:t>空调系统的项目，风机单位风量耗功率、空调水系统输送能效比符合《深圳市公共建筑节能设计标准实施细则》SZJG 29中的规定。</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.2.9</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iCs/>
                <w:szCs w:val="21"/>
              </w:rPr>
              <w:t>当采用集中空调系统时，所选用的冷水机组或单元式空调机组的性能系数、能效比比《深圳市公共建筑节能设计标准实施细则》SZJG 29中的规定值高一个等级。当采用分散式空调器时，能效比符合《房间空气调节器能效限定值及能源效率等级》GB 12021.3的1级能效要求。</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5.2.10</w:t>
            </w:r>
          </w:p>
        </w:tc>
        <w:tc>
          <w:tcPr>
            <w:tcW w:w="5230" w:type="dxa"/>
            <w:gridSpan w:val="4"/>
            <w:vAlign w:val="center"/>
          </w:tcPr>
          <w:p w:rsidR="005C0361" w:rsidRPr="00915776" w:rsidRDefault="005C0361" w:rsidP="005C0361">
            <w:pPr>
              <w:pStyle w:val="afa"/>
              <w:snapToGrid w:val="0"/>
              <w:ind w:firstLineChars="0" w:firstLine="0"/>
              <w:rPr>
                <w:rFonts w:ascii="宋体" w:hAnsi="宋体"/>
                <w:iCs/>
                <w:sz w:val="21"/>
                <w:szCs w:val="21"/>
              </w:rPr>
            </w:pPr>
            <w:r w:rsidRPr="00915776">
              <w:rPr>
                <w:rFonts w:ascii="宋体" w:hAnsi="宋体"/>
                <w:iCs/>
                <w:sz w:val="21"/>
                <w:szCs w:val="21"/>
              </w:rPr>
              <w:t>设置能量回收系统</w:t>
            </w:r>
            <w:r w:rsidRPr="00915776">
              <w:rPr>
                <w:rFonts w:ascii="宋体" w:hAnsi="宋体" w:hint="eastAsia"/>
                <w:iCs/>
                <w:sz w:val="21"/>
                <w:szCs w:val="21"/>
              </w:rPr>
              <w:t>或</w:t>
            </w:r>
            <w:r w:rsidRPr="00915776">
              <w:rPr>
                <w:rFonts w:ascii="宋体" w:hAnsi="宋体"/>
                <w:iCs/>
                <w:sz w:val="21"/>
                <w:szCs w:val="21"/>
              </w:rPr>
              <w:t>装置。符合以下任一项即为满足要求：</w:t>
            </w:r>
          </w:p>
          <w:p w:rsidR="005C0361" w:rsidRPr="00915776" w:rsidRDefault="005C0361" w:rsidP="005C0361">
            <w:pPr>
              <w:pStyle w:val="afa"/>
              <w:snapToGrid w:val="0"/>
              <w:ind w:firstLineChars="0" w:firstLine="0"/>
              <w:rPr>
                <w:rFonts w:ascii="宋体" w:hAnsi="宋体"/>
                <w:iCs/>
                <w:sz w:val="21"/>
                <w:szCs w:val="21"/>
              </w:rPr>
            </w:pPr>
            <w:r w:rsidRPr="00915776">
              <w:rPr>
                <w:rFonts w:ascii="宋体" w:hAnsi="宋体"/>
                <w:iCs/>
                <w:sz w:val="21"/>
                <w:szCs w:val="21"/>
              </w:rPr>
              <w:t>1</w:t>
            </w:r>
            <w:r w:rsidRPr="00915776">
              <w:rPr>
                <w:rFonts w:ascii="宋体" w:hAnsi="宋体" w:hint="eastAsia"/>
                <w:iCs/>
                <w:sz w:val="21"/>
                <w:szCs w:val="21"/>
              </w:rPr>
              <w:t xml:space="preserve"> </w:t>
            </w:r>
            <w:r w:rsidRPr="00915776">
              <w:rPr>
                <w:rFonts w:ascii="宋体" w:hAnsi="宋体"/>
                <w:iCs/>
                <w:sz w:val="21"/>
                <w:szCs w:val="21"/>
              </w:rPr>
              <w:t>采用集中空调系统的</w:t>
            </w:r>
            <w:r w:rsidRPr="00915776">
              <w:rPr>
                <w:rFonts w:ascii="宋体" w:hAnsi="宋体" w:hint="eastAsia"/>
                <w:iCs/>
                <w:sz w:val="21"/>
                <w:szCs w:val="21"/>
              </w:rPr>
              <w:t>居住建筑，</w:t>
            </w:r>
            <w:r w:rsidRPr="00915776">
              <w:rPr>
                <w:rFonts w:ascii="宋体" w:hAnsi="宋体"/>
                <w:iCs/>
                <w:sz w:val="21"/>
                <w:szCs w:val="21"/>
              </w:rPr>
              <w:t>设置新风与排风的能量回收系统；</w:t>
            </w:r>
          </w:p>
          <w:p w:rsidR="005C0361" w:rsidRPr="00915776" w:rsidRDefault="005C0361" w:rsidP="005C0361">
            <w:pPr>
              <w:pStyle w:val="afa"/>
              <w:snapToGrid w:val="0"/>
              <w:ind w:firstLineChars="0" w:firstLine="0"/>
              <w:rPr>
                <w:rFonts w:ascii="宋体" w:hAnsi="宋体"/>
                <w:iCs/>
                <w:sz w:val="21"/>
                <w:szCs w:val="21"/>
              </w:rPr>
            </w:pPr>
            <w:r w:rsidRPr="00915776">
              <w:rPr>
                <w:rFonts w:ascii="宋体" w:hAnsi="宋体"/>
                <w:iCs/>
                <w:sz w:val="21"/>
                <w:szCs w:val="21"/>
              </w:rPr>
              <w:t>2</w:t>
            </w:r>
            <w:r w:rsidRPr="00915776">
              <w:rPr>
                <w:rFonts w:ascii="宋体" w:hAnsi="宋体" w:hint="eastAsia"/>
                <w:iCs/>
                <w:sz w:val="21"/>
                <w:szCs w:val="21"/>
              </w:rPr>
              <w:t xml:space="preserve"> </w:t>
            </w:r>
            <w:r w:rsidRPr="00915776">
              <w:rPr>
                <w:rFonts w:ascii="宋体" w:hAnsi="宋体"/>
                <w:iCs/>
                <w:sz w:val="21"/>
                <w:szCs w:val="21"/>
              </w:rPr>
              <w:t>分户或分室采用带热回收功能的新风与排风双向换气装置；</w:t>
            </w:r>
          </w:p>
          <w:p w:rsidR="005C0361" w:rsidRPr="00915776" w:rsidRDefault="005C0361" w:rsidP="005C0361">
            <w:pPr>
              <w:widowControl/>
              <w:snapToGrid w:val="0"/>
              <w:spacing w:line="300" w:lineRule="auto"/>
              <w:rPr>
                <w:rFonts w:ascii="宋体" w:hAnsi="宋体"/>
                <w:iCs/>
                <w:szCs w:val="21"/>
              </w:rPr>
            </w:pPr>
            <w:r w:rsidRPr="00915776">
              <w:rPr>
                <w:rFonts w:ascii="宋体" w:hAnsi="宋体"/>
                <w:iCs/>
                <w:szCs w:val="21"/>
              </w:rPr>
              <w:t>3</w:t>
            </w:r>
            <w:r w:rsidRPr="00915776">
              <w:rPr>
                <w:rFonts w:ascii="宋体" w:hAnsi="宋体" w:hint="eastAsia"/>
                <w:iCs/>
                <w:szCs w:val="21"/>
              </w:rPr>
              <w:t xml:space="preserve"> </w:t>
            </w:r>
            <w:r w:rsidRPr="00915776">
              <w:rPr>
                <w:rFonts w:ascii="宋体" w:hAnsi="宋体"/>
                <w:iCs/>
                <w:szCs w:val="21"/>
              </w:rPr>
              <w:t>回收</w:t>
            </w:r>
            <w:r w:rsidRPr="00915776">
              <w:rPr>
                <w:rFonts w:ascii="宋体" w:hAnsi="宋体" w:hint="eastAsia"/>
                <w:iCs/>
                <w:szCs w:val="21"/>
              </w:rPr>
              <w:t>利用</w:t>
            </w:r>
            <w:r w:rsidRPr="00915776">
              <w:rPr>
                <w:rFonts w:ascii="宋体" w:hAnsi="宋体"/>
                <w:iCs/>
                <w:szCs w:val="21"/>
              </w:rPr>
              <w:t>空调冷凝器的余热。</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.2.1</w:t>
            </w:r>
            <w:r w:rsidRPr="00915776">
              <w:rPr>
                <w:rFonts w:ascii="宋体" w:hAnsi="宋体" w:hint="eastAsia"/>
                <w:kern w:val="0"/>
                <w:szCs w:val="21"/>
              </w:rPr>
              <w:t>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空调能耗不高于深圳市建筑节能标准规定值的80%。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.2.1</w:t>
            </w:r>
            <w:r w:rsidRPr="00915776">
              <w:rPr>
                <w:rFonts w:ascii="宋体" w:hAnsi="宋体" w:hint="eastAsia"/>
                <w:kern w:val="0"/>
                <w:szCs w:val="21"/>
              </w:rPr>
              <w:t>2</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bCs/>
                <w:iCs/>
                <w:szCs w:val="21"/>
              </w:rPr>
              <w:t>住区内所有电梯均使用</w:t>
            </w:r>
            <w:r w:rsidRPr="00915776">
              <w:rPr>
                <w:rFonts w:ascii="宋体" w:hAnsi="宋体"/>
                <w:bCs/>
                <w:iCs/>
                <w:szCs w:val="21"/>
              </w:rPr>
              <w:t>节能型电梯</w:t>
            </w:r>
            <w:r w:rsidRPr="00915776">
              <w:rPr>
                <w:rFonts w:ascii="宋体" w:hAnsi="宋体" w:hint="eastAsia"/>
                <w:bCs/>
                <w:iCs/>
                <w:szCs w:val="21"/>
              </w:rPr>
              <w:t>，并采用节能控制方式。</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5.2.13</w:t>
            </w:r>
          </w:p>
        </w:tc>
        <w:tc>
          <w:tcPr>
            <w:tcW w:w="5230" w:type="dxa"/>
            <w:gridSpan w:val="4"/>
            <w:vAlign w:val="center"/>
          </w:tcPr>
          <w:p w:rsidR="005C0361" w:rsidRPr="00915776" w:rsidRDefault="005C0361" w:rsidP="005C0361">
            <w:pPr>
              <w:widowControl/>
              <w:snapToGrid w:val="0"/>
              <w:spacing w:line="300" w:lineRule="auto"/>
              <w:rPr>
                <w:rFonts w:ascii="宋体" w:hAnsi="宋体"/>
                <w:szCs w:val="21"/>
              </w:rPr>
            </w:pPr>
            <w:r w:rsidRPr="00915776">
              <w:rPr>
                <w:rFonts w:ascii="宋体" w:hAnsi="宋体"/>
                <w:szCs w:val="21"/>
              </w:rPr>
              <w:t>居住建筑的公共场所和部位的照明采用高效光源、高效灯具和低损耗镇流器等附件，设置照明声控、光控、定时等自控装置。</w:t>
            </w:r>
            <w:r w:rsidRPr="00915776">
              <w:rPr>
                <w:rFonts w:ascii="宋体" w:hAnsi="宋体"/>
                <w:kern w:val="0"/>
                <w:szCs w:val="21"/>
              </w:rPr>
              <w:t>公共区域照明光源的平均发光效能不低于</w:t>
            </w:r>
            <w:r w:rsidRPr="00915776">
              <w:rPr>
                <w:rFonts w:ascii="宋体" w:hAnsi="宋体"/>
                <w:szCs w:val="21"/>
              </w:rPr>
              <w:t>60 lm/W。无遮盖停车场照明功率密度不大于1.6W/ m</w:t>
            </w:r>
            <w:r w:rsidRPr="00915776">
              <w:rPr>
                <w:rFonts w:ascii="宋体" w:hAnsi="宋体"/>
                <w:szCs w:val="21"/>
                <w:vertAlign w:val="superscript"/>
              </w:rPr>
              <w:t>2</w:t>
            </w:r>
            <w:r w:rsidRPr="00915776">
              <w:rPr>
                <w:rFonts w:ascii="宋体" w:hAnsi="宋体"/>
                <w:szCs w:val="21"/>
              </w:rPr>
              <w:t>，人行道或广场照明功率密度不大于2 W/ m</w:t>
            </w:r>
            <w:r w:rsidRPr="00915776">
              <w:rPr>
                <w:rFonts w:ascii="宋体" w:hAnsi="宋体"/>
                <w:szCs w:val="21"/>
                <w:vertAlign w:val="superscript"/>
              </w:rPr>
              <w:t>2</w:t>
            </w:r>
            <w:r w:rsidRPr="00915776">
              <w:rPr>
                <w:rFonts w:ascii="宋体" w:hAnsi="宋体"/>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5.2.14</w:t>
            </w:r>
          </w:p>
        </w:tc>
        <w:tc>
          <w:tcPr>
            <w:tcW w:w="5230" w:type="dxa"/>
            <w:gridSpan w:val="4"/>
            <w:vAlign w:val="center"/>
          </w:tcPr>
          <w:p w:rsidR="005C0361" w:rsidRPr="00915776" w:rsidRDefault="005C0361" w:rsidP="005C0361">
            <w:pPr>
              <w:widowControl/>
              <w:snapToGrid w:val="0"/>
              <w:spacing w:line="300" w:lineRule="auto"/>
              <w:rPr>
                <w:rFonts w:ascii="宋体" w:hAnsi="宋体"/>
                <w:szCs w:val="21"/>
              </w:rPr>
            </w:pPr>
            <w:r w:rsidRPr="00915776">
              <w:rPr>
                <w:rFonts w:ascii="宋体" w:hAnsi="宋体"/>
                <w:szCs w:val="21"/>
              </w:rPr>
              <w:t>风能、太阳能等可再生能源的使用量占建筑总能耗的比例大于5%。</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5.2.15</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风能、太阳能等可再生能源的使用量占建筑总能耗的比例大于10%。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节水与水资源利用</w:t>
            </w:r>
          </w:p>
        </w:tc>
        <w:tc>
          <w:tcPr>
            <w:tcW w:w="464" w:type="dxa"/>
            <w:gridSpan w:val="3"/>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控制项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.3.1</w:t>
            </w:r>
          </w:p>
        </w:tc>
        <w:tc>
          <w:tcPr>
            <w:tcW w:w="5230" w:type="dxa"/>
            <w:gridSpan w:val="4"/>
            <w:vAlign w:val="center"/>
          </w:tcPr>
          <w:p w:rsidR="005C0361" w:rsidRPr="00915776" w:rsidRDefault="005C0361" w:rsidP="005C0361">
            <w:pPr>
              <w:snapToGrid w:val="0"/>
              <w:spacing w:line="300" w:lineRule="auto"/>
              <w:rPr>
                <w:rFonts w:ascii="宋体" w:hAnsi="宋体"/>
                <w:iCs/>
                <w:szCs w:val="21"/>
              </w:rPr>
            </w:pPr>
            <w:r w:rsidRPr="00915776">
              <w:rPr>
                <w:rFonts w:ascii="宋体" w:hAnsi="宋体"/>
                <w:bCs/>
                <w:iCs/>
                <w:szCs w:val="21"/>
              </w:rPr>
              <w:t>在方案</w:t>
            </w:r>
            <w:r w:rsidRPr="00915776">
              <w:rPr>
                <w:rFonts w:ascii="宋体" w:hAnsi="宋体" w:hint="eastAsia"/>
                <w:bCs/>
                <w:iCs/>
                <w:szCs w:val="21"/>
              </w:rPr>
              <w:t>设计</w:t>
            </w:r>
            <w:r w:rsidRPr="00915776">
              <w:rPr>
                <w:rFonts w:ascii="宋体" w:hAnsi="宋体"/>
                <w:bCs/>
                <w:iCs/>
                <w:szCs w:val="21"/>
              </w:rPr>
              <w:t>阶段</w:t>
            </w:r>
            <w:r w:rsidRPr="00915776">
              <w:rPr>
                <w:rFonts w:ascii="宋体" w:hAnsi="宋体"/>
                <w:iCs/>
                <w:szCs w:val="21"/>
              </w:rPr>
              <w:t>制定水系统</w:t>
            </w:r>
            <w:r w:rsidRPr="00915776">
              <w:rPr>
                <w:rFonts w:ascii="宋体" w:hAnsi="宋体" w:hint="eastAsia"/>
                <w:iCs/>
                <w:szCs w:val="21"/>
              </w:rPr>
              <w:t>设计</w:t>
            </w:r>
            <w:r w:rsidRPr="00915776">
              <w:rPr>
                <w:rFonts w:ascii="宋体" w:hAnsi="宋体"/>
                <w:iCs/>
                <w:szCs w:val="21"/>
              </w:rPr>
              <w:t>方案，统筹、综合利用各种水资源。水系统</w:t>
            </w:r>
            <w:r w:rsidRPr="00915776">
              <w:rPr>
                <w:rFonts w:ascii="宋体" w:hAnsi="宋体" w:hint="eastAsia"/>
                <w:bCs/>
                <w:iCs/>
                <w:szCs w:val="21"/>
              </w:rPr>
              <w:t>设计</w:t>
            </w:r>
            <w:r w:rsidRPr="00915776">
              <w:rPr>
                <w:rFonts w:ascii="宋体" w:hAnsi="宋体"/>
                <w:iCs/>
                <w:szCs w:val="21"/>
              </w:rPr>
              <w:t>方案内容包括：</w:t>
            </w:r>
          </w:p>
          <w:p w:rsidR="005C0361" w:rsidRPr="00915776" w:rsidRDefault="005C0361" w:rsidP="005C0361">
            <w:pPr>
              <w:snapToGrid w:val="0"/>
              <w:spacing w:line="300" w:lineRule="auto"/>
              <w:rPr>
                <w:rFonts w:ascii="宋体" w:hAnsi="宋体"/>
                <w:iCs/>
                <w:szCs w:val="21"/>
              </w:rPr>
            </w:pPr>
            <w:r w:rsidRPr="00915776">
              <w:rPr>
                <w:rFonts w:ascii="宋体" w:hAnsi="宋体"/>
                <w:iCs/>
                <w:szCs w:val="21"/>
              </w:rPr>
              <w:t>1</w:t>
            </w:r>
            <w:r w:rsidRPr="00915776">
              <w:rPr>
                <w:rFonts w:ascii="宋体" w:hAnsi="宋体" w:hint="eastAsia"/>
                <w:iCs/>
                <w:szCs w:val="21"/>
              </w:rPr>
              <w:t xml:space="preserve"> </w:t>
            </w:r>
            <w:r w:rsidRPr="00915776">
              <w:rPr>
                <w:rFonts w:ascii="宋体" w:hAnsi="宋体"/>
                <w:iCs/>
                <w:szCs w:val="21"/>
              </w:rPr>
              <w:t>地区水资源状况、气象资料、市政设施情况的说明；</w:t>
            </w:r>
          </w:p>
          <w:p w:rsidR="005C0361" w:rsidRPr="00915776" w:rsidRDefault="005C0361" w:rsidP="005C0361">
            <w:pPr>
              <w:snapToGrid w:val="0"/>
              <w:spacing w:line="300" w:lineRule="auto"/>
              <w:rPr>
                <w:rFonts w:ascii="宋体" w:hAnsi="宋体"/>
                <w:iCs/>
                <w:szCs w:val="21"/>
              </w:rPr>
            </w:pPr>
            <w:r w:rsidRPr="00915776">
              <w:rPr>
                <w:rFonts w:ascii="宋体" w:hAnsi="宋体"/>
                <w:iCs/>
                <w:szCs w:val="21"/>
              </w:rPr>
              <w:t>2</w:t>
            </w:r>
            <w:r w:rsidRPr="00915776">
              <w:rPr>
                <w:rFonts w:ascii="宋体" w:hAnsi="宋体" w:hint="eastAsia"/>
                <w:iCs/>
                <w:szCs w:val="21"/>
              </w:rPr>
              <w:t xml:space="preserve"> </w:t>
            </w:r>
            <w:r w:rsidRPr="00915776">
              <w:rPr>
                <w:rFonts w:ascii="宋体" w:hAnsi="宋体"/>
                <w:iCs/>
                <w:szCs w:val="21"/>
              </w:rPr>
              <w:t>用水定额的确定、用水量估算及水量平衡表的编制；</w:t>
            </w:r>
          </w:p>
          <w:p w:rsidR="005C0361" w:rsidRPr="00915776" w:rsidRDefault="005C0361" w:rsidP="005C0361">
            <w:pPr>
              <w:snapToGrid w:val="0"/>
              <w:spacing w:line="300" w:lineRule="auto"/>
              <w:rPr>
                <w:rFonts w:ascii="宋体" w:hAnsi="宋体"/>
                <w:iCs/>
                <w:szCs w:val="21"/>
              </w:rPr>
            </w:pPr>
            <w:r w:rsidRPr="00915776">
              <w:rPr>
                <w:rFonts w:ascii="宋体" w:hAnsi="宋体"/>
                <w:iCs/>
                <w:szCs w:val="21"/>
              </w:rPr>
              <w:t>3</w:t>
            </w:r>
            <w:r w:rsidRPr="00915776">
              <w:rPr>
                <w:rFonts w:ascii="宋体" w:hAnsi="宋体" w:hint="eastAsia"/>
                <w:iCs/>
                <w:szCs w:val="21"/>
              </w:rPr>
              <w:t xml:space="preserve"> </w:t>
            </w:r>
            <w:r w:rsidRPr="00915776">
              <w:rPr>
                <w:rFonts w:ascii="宋体" w:hAnsi="宋体"/>
                <w:iCs/>
                <w:szCs w:val="21"/>
              </w:rPr>
              <w:t>非传统水源利用方案；</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iCs/>
                <w:szCs w:val="21"/>
              </w:rPr>
              <w:t>4</w:t>
            </w:r>
            <w:r w:rsidRPr="00915776">
              <w:rPr>
                <w:rFonts w:ascii="宋体" w:hAnsi="宋体" w:hint="eastAsia"/>
                <w:iCs/>
                <w:szCs w:val="21"/>
              </w:rPr>
              <w:t xml:space="preserve"> </w:t>
            </w:r>
            <w:r w:rsidRPr="00915776">
              <w:rPr>
                <w:rFonts w:ascii="宋体" w:hAnsi="宋体"/>
                <w:iCs/>
                <w:szCs w:val="21"/>
              </w:rPr>
              <w:t>采用节水器具、设备和系统的方案。</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.3.2</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采取有效措施控制管网漏损。</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选用密闭性能好的阀门、设备，使用耐腐蚀、耐久性能好的管材、管件；</w:t>
            </w:r>
          </w:p>
          <w:p w:rsidR="005C0361" w:rsidRPr="00915776" w:rsidRDefault="005C0361" w:rsidP="005C0361">
            <w:pPr>
              <w:snapToGrid w:val="0"/>
              <w:spacing w:line="300" w:lineRule="auto"/>
              <w:rPr>
                <w:rFonts w:ascii="宋体" w:hAnsi="宋体"/>
                <w:szCs w:val="21"/>
              </w:rPr>
            </w:pPr>
            <w:r w:rsidRPr="00915776">
              <w:rPr>
                <w:rFonts w:ascii="宋体" w:hAnsi="宋体"/>
                <w:szCs w:val="21"/>
              </w:rPr>
              <w:t>2</w:t>
            </w:r>
            <w:r w:rsidRPr="00915776">
              <w:rPr>
                <w:rFonts w:ascii="宋体" w:hAnsi="宋体" w:hint="eastAsia"/>
                <w:szCs w:val="21"/>
              </w:rPr>
              <w:t xml:space="preserve"> </w:t>
            </w:r>
            <w:r w:rsidRPr="00915776">
              <w:rPr>
                <w:rFonts w:ascii="宋体" w:hAnsi="宋体"/>
                <w:szCs w:val="21"/>
              </w:rPr>
              <w:t>给水系统无超压出流现象；</w:t>
            </w:r>
          </w:p>
          <w:p w:rsidR="005C0361" w:rsidRPr="00915776" w:rsidRDefault="005C0361" w:rsidP="005C0361">
            <w:pPr>
              <w:snapToGrid w:val="0"/>
              <w:spacing w:line="300" w:lineRule="auto"/>
              <w:rPr>
                <w:rFonts w:ascii="宋体" w:hAnsi="宋体"/>
                <w:szCs w:val="21"/>
              </w:rPr>
            </w:pPr>
            <w:r w:rsidRPr="00915776">
              <w:rPr>
                <w:rFonts w:ascii="宋体" w:hAnsi="宋体"/>
                <w:szCs w:val="21"/>
              </w:rPr>
              <w:t>3</w:t>
            </w:r>
            <w:r w:rsidRPr="00915776">
              <w:rPr>
                <w:rFonts w:ascii="宋体" w:hAnsi="宋体" w:hint="eastAsia"/>
                <w:szCs w:val="21"/>
              </w:rPr>
              <w:t xml:space="preserve"> </w:t>
            </w:r>
            <w:r w:rsidRPr="00915776">
              <w:rPr>
                <w:rFonts w:ascii="宋体" w:hAnsi="宋体"/>
                <w:szCs w:val="21"/>
              </w:rPr>
              <w:t>根据水平衡测试标准安装分级计量水表，安装率达100％；</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4</w:t>
            </w:r>
            <w:r w:rsidRPr="00915776">
              <w:rPr>
                <w:rFonts w:ascii="宋体" w:hAnsi="宋体" w:hint="eastAsia"/>
                <w:szCs w:val="21"/>
              </w:rPr>
              <w:t xml:space="preserve"> </w:t>
            </w:r>
            <w:r w:rsidRPr="00915776">
              <w:rPr>
                <w:rFonts w:ascii="宋体" w:hAnsi="宋体"/>
                <w:szCs w:val="21"/>
              </w:rPr>
              <w:t>合理设计供水系统，避免供水压力过高或压力骤变。</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.3.3</w:t>
            </w:r>
          </w:p>
        </w:tc>
        <w:tc>
          <w:tcPr>
            <w:tcW w:w="5230" w:type="dxa"/>
            <w:gridSpan w:val="4"/>
            <w:vAlign w:val="center"/>
          </w:tcPr>
          <w:p w:rsidR="005C0361" w:rsidRPr="00915776" w:rsidRDefault="005C0361" w:rsidP="005C0361">
            <w:pPr>
              <w:snapToGrid w:val="0"/>
              <w:spacing w:line="300" w:lineRule="auto"/>
              <w:rPr>
                <w:rFonts w:ascii="宋体" w:hAnsi="宋体"/>
                <w:bCs/>
                <w:szCs w:val="21"/>
              </w:rPr>
            </w:pPr>
            <w:r w:rsidRPr="00915776">
              <w:rPr>
                <w:rFonts w:ascii="宋体" w:hAnsi="宋体"/>
                <w:szCs w:val="21"/>
              </w:rPr>
              <w:t>采用节水器具和设备，节水率不低于10%。</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所有用水部位均采用节水器具和设备；</w:t>
            </w:r>
          </w:p>
          <w:p w:rsidR="005C0361" w:rsidRPr="00915776" w:rsidRDefault="005C0361" w:rsidP="005C0361">
            <w:pPr>
              <w:snapToGrid w:val="0"/>
              <w:spacing w:line="300" w:lineRule="auto"/>
              <w:rPr>
                <w:rFonts w:ascii="宋体" w:hAnsi="宋体"/>
                <w:szCs w:val="21"/>
              </w:rPr>
            </w:pPr>
            <w:r w:rsidRPr="00915776">
              <w:rPr>
                <w:rFonts w:ascii="宋体" w:hAnsi="宋体"/>
                <w:szCs w:val="21"/>
              </w:rPr>
              <w:t>2</w:t>
            </w:r>
            <w:r w:rsidRPr="00915776">
              <w:rPr>
                <w:rFonts w:ascii="宋体" w:hAnsi="宋体" w:hint="eastAsia"/>
                <w:szCs w:val="21"/>
              </w:rPr>
              <w:t xml:space="preserve"> </w:t>
            </w:r>
            <w:r w:rsidRPr="00915776">
              <w:rPr>
                <w:rFonts w:ascii="宋体" w:hAnsi="宋体"/>
                <w:szCs w:val="21"/>
              </w:rPr>
              <w:t>采用减压限流措施，入户管表前供水压力不大于0.2MPa，用水点处的给水压力不小于0.05 MPa；</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3</w:t>
            </w:r>
            <w:r w:rsidRPr="00915776">
              <w:rPr>
                <w:rFonts w:ascii="宋体" w:hAnsi="宋体" w:hint="eastAsia"/>
                <w:szCs w:val="21"/>
              </w:rPr>
              <w:t xml:space="preserve"> </w:t>
            </w:r>
            <w:r w:rsidRPr="00915776">
              <w:rPr>
                <w:rFonts w:ascii="宋体" w:hAnsi="宋体"/>
                <w:szCs w:val="21"/>
              </w:rPr>
              <w:t>设集中生活热水系统时，设置完善的热水循环系统，用水点开启后10秒钟内应出热水。</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.3.4</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景观用水不采用市政</w:t>
            </w:r>
            <w:r w:rsidRPr="00915776">
              <w:rPr>
                <w:rFonts w:ascii="宋体" w:hAnsi="宋体" w:hint="eastAsia"/>
                <w:szCs w:val="21"/>
              </w:rPr>
              <w:t>饮用</w:t>
            </w:r>
            <w:r w:rsidRPr="00915776">
              <w:rPr>
                <w:rFonts w:ascii="宋体" w:hAnsi="宋体"/>
                <w:szCs w:val="21"/>
              </w:rPr>
              <w:t>水和自备地下水井</w:t>
            </w:r>
            <w:r w:rsidRPr="00915776">
              <w:rPr>
                <w:rFonts w:ascii="宋体" w:hAnsi="宋体" w:hint="eastAsia"/>
                <w:szCs w:val="21"/>
              </w:rPr>
              <w:t>水</w:t>
            </w:r>
            <w:r w:rsidRPr="00915776">
              <w:rPr>
                <w:rFonts w:ascii="宋体" w:hAnsi="宋体"/>
                <w:szCs w:val="21"/>
              </w:rPr>
              <w:t>。</w:t>
            </w:r>
          </w:p>
          <w:p w:rsidR="005C0361" w:rsidRPr="00915776" w:rsidRDefault="005C0361" w:rsidP="005C0361">
            <w:pPr>
              <w:snapToGrid w:val="0"/>
              <w:spacing w:line="300" w:lineRule="auto"/>
              <w:rPr>
                <w:rFonts w:ascii="宋体" w:hAnsi="宋体"/>
                <w:bCs/>
                <w:szCs w:val="21"/>
              </w:rPr>
            </w:pPr>
            <w:r w:rsidRPr="00915776">
              <w:rPr>
                <w:rFonts w:ascii="宋体" w:hAnsi="宋体"/>
                <w:szCs w:val="21"/>
              </w:rPr>
              <w:t xml:space="preserve">1 </w:t>
            </w:r>
            <w:r w:rsidRPr="00915776">
              <w:rPr>
                <w:rFonts w:ascii="宋体" w:hAnsi="宋体"/>
                <w:bCs/>
                <w:szCs w:val="21"/>
              </w:rPr>
              <w:t>景观用水采用雨水、建筑中水、市政再生水等非传统水源；</w:t>
            </w:r>
          </w:p>
          <w:p w:rsidR="005C0361" w:rsidRPr="00915776" w:rsidRDefault="005C0361" w:rsidP="005C0361">
            <w:pPr>
              <w:snapToGrid w:val="0"/>
              <w:spacing w:line="300" w:lineRule="auto"/>
              <w:rPr>
                <w:rFonts w:ascii="宋体" w:hAnsi="宋体"/>
                <w:szCs w:val="21"/>
              </w:rPr>
            </w:pPr>
            <w:r w:rsidRPr="00915776">
              <w:rPr>
                <w:rFonts w:ascii="宋体" w:hAnsi="宋体"/>
                <w:szCs w:val="21"/>
              </w:rPr>
              <w:t>2 合理规划住区的水景面积比例，水景的补水量与水景的用水量、蒸发量及土壤渗漏损量等达到平衡；无条件达到水量平衡时，景观水体的调蓄幅度满足景观设计的要求；</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3 采取景观水体保障措施，循环使用景观用水。</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.3.5</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使用非传统水源时，采取用水安全保障措施，且不对人体健康与周围环境产生不良影响。</w:t>
            </w:r>
          </w:p>
          <w:p w:rsidR="005C0361" w:rsidRPr="00915776" w:rsidRDefault="005C0361" w:rsidP="005C0361">
            <w:pPr>
              <w:snapToGrid w:val="0"/>
              <w:spacing w:line="300" w:lineRule="auto"/>
              <w:rPr>
                <w:rFonts w:ascii="宋体" w:hAnsi="宋体"/>
                <w:szCs w:val="21"/>
              </w:rPr>
            </w:pPr>
            <w:r w:rsidRPr="00915776">
              <w:rPr>
                <w:rFonts w:ascii="宋体" w:hAnsi="宋体"/>
                <w:szCs w:val="21"/>
              </w:rPr>
              <w:t>1 雨水及中水回用时，水质符合国家标准《城市污水再生利用景观环境用水水质》GB/T</w:t>
            </w:r>
            <w:r w:rsidRPr="00915776">
              <w:rPr>
                <w:rFonts w:ascii="宋体" w:hAnsi="宋体" w:hint="eastAsia"/>
                <w:szCs w:val="21"/>
              </w:rPr>
              <w:t xml:space="preserve"> </w:t>
            </w:r>
            <w:r w:rsidRPr="00915776">
              <w:rPr>
                <w:rFonts w:ascii="宋体" w:hAnsi="宋体"/>
                <w:szCs w:val="21"/>
              </w:rPr>
              <w:t>18921和《城市污水再生利用城市杂用水水质》GB/T</w:t>
            </w:r>
            <w:r w:rsidRPr="00915776">
              <w:rPr>
                <w:rFonts w:ascii="宋体" w:hAnsi="宋体" w:hint="eastAsia"/>
                <w:szCs w:val="21"/>
              </w:rPr>
              <w:t xml:space="preserve"> </w:t>
            </w:r>
            <w:r w:rsidRPr="00915776">
              <w:rPr>
                <w:rFonts w:ascii="宋体" w:hAnsi="宋体"/>
                <w:szCs w:val="21"/>
              </w:rPr>
              <w:t>18920的规定；</w:t>
            </w:r>
          </w:p>
          <w:p w:rsidR="005C0361" w:rsidRPr="00915776" w:rsidRDefault="005C0361" w:rsidP="005C0361">
            <w:pPr>
              <w:snapToGrid w:val="0"/>
              <w:spacing w:line="300" w:lineRule="auto"/>
              <w:rPr>
                <w:rFonts w:ascii="宋体" w:hAnsi="宋体"/>
                <w:szCs w:val="21"/>
              </w:rPr>
            </w:pPr>
            <w:r w:rsidRPr="00915776">
              <w:rPr>
                <w:rFonts w:ascii="宋体" w:hAnsi="宋体"/>
                <w:szCs w:val="21"/>
              </w:rPr>
              <w:t>2 雨水、中水等在处理、储存、输配等过程中符合《污水再生利用工程设计规范》GB</w:t>
            </w:r>
            <w:r w:rsidRPr="00915776">
              <w:rPr>
                <w:rFonts w:ascii="宋体" w:hAnsi="宋体" w:hint="eastAsia"/>
                <w:szCs w:val="21"/>
              </w:rPr>
              <w:t xml:space="preserve"> </w:t>
            </w:r>
            <w:r w:rsidRPr="00915776">
              <w:rPr>
                <w:rFonts w:ascii="宋体" w:hAnsi="宋体"/>
                <w:szCs w:val="21"/>
              </w:rPr>
              <w:t>50335、《建筑中水设计规范》GB</w:t>
            </w:r>
            <w:r w:rsidRPr="00915776">
              <w:rPr>
                <w:rFonts w:ascii="宋体" w:hAnsi="宋体" w:hint="eastAsia"/>
                <w:szCs w:val="21"/>
              </w:rPr>
              <w:t xml:space="preserve"> </w:t>
            </w:r>
            <w:r w:rsidRPr="00915776">
              <w:rPr>
                <w:rFonts w:ascii="宋体" w:hAnsi="宋体"/>
                <w:szCs w:val="21"/>
              </w:rPr>
              <w:t>50336及《建筑与小区雨水利用工程技术规范》GB</w:t>
            </w:r>
            <w:r w:rsidRPr="00915776">
              <w:rPr>
                <w:rFonts w:ascii="宋体" w:hAnsi="宋体" w:hint="eastAsia"/>
                <w:szCs w:val="21"/>
              </w:rPr>
              <w:t xml:space="preserve"> </w:t>
            </w:r>
            <w:r w:rsidRPr="00915776">
              <w:rPr>
                <w:rFonts w:ascii="宋体" w:hAnsi="宋体"/>
                <w:szCs w:val="21"/>
              </w:rPr>
              <w:t>50400的相关要求；</w:t>
            </w:r>
          </w:p>
          <w:p w:rsidR="005C0361" w:rsidRPr="00915776" w:rsidRDefault="005C0361" w:rsidP="005C0361">
            <w:pPr>
              <w:snapToGrid w:val="0"/>
              <w:spacing w:line="300" w:lineRule="auto"/>
              <w:rPr>
                <w:rFonts w:ascii="宋体" w:hAnsi="宋体"/>
                <w:szCs w:val="21"/>
              </w:rPr>
            </w:pPr>
            <w:r w:rsidRPr="00915776">
              <w:rPr>
                <w:rFonts w:ascii="宋体" w:hAnsi="宋体"/>
                <w:szCs w:val="21"/>
              </w:rPr>
              <w:t>3 中水管道及相关设备有明显标注，与生活用水管道严格区分；</w:t>
            </w:r>
          </w:p>
          <w:p w:rsidR="005C0361" w:rsidRPr="00915776" w:rsidRDefault="005C0361" w:rsidP="005C0361">
            <w:pPr>
              <w:snapToGrid w:val="0"/>
              <w:spacing w:line="300" w:lineRule="auto"/>
              <w:rPr>
                <w:rFonts w:ascii="宋体" w:hAnsi="宋体"/>
                <w:szCs w:val="21"/>
              </w:rPr>
            </w:pPr>
            <w:r w:rsidRPr="00915776">
              <w:rPr>
                <w:rFonts w:ascii="宋体" w:hAnsi="宋体"/>
                <w:szCs w:val="21"/>
              </w:rPr>
              <w:t>4 供水系统设有备用水源、溢流装置及相关切换设施等，以保障水质安全；</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5 景观水体采用雨水、再生水时，水景方案包括水景设计、水质安全保障措施及溢洪排涝安全保障措施等。</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得分项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.3.6</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合理规划地表与屋面雨水径流途径，因地制</w:t>
            </w:r>
            <w:r w:rsidRPr="00915776">
              <w:rPr>
                <w:rFonts w:ascii="宋体" w:hAnsi="宋体"/>
                <w:snapToGrid w:val="0"/>
                <w:kern w:val="0"/>
                <w:szCs w:val="21"/>
              </w:rPr>
              <w:t>宜地采取雨水</w:t>
            </w:r>
            <w:r w:rsidRPr="00915776">
              <w:rPr>
                <w:rFonts w:ascii="宋体" w:hAnsi="宋体"/>
                <w:szCs w:val="21"/>
              </w:rPr>
              <w:t>滞流、截污和</w:t>
            </w:r>
            <w:r w:rsidRPr="00915776">
              <w:rPr>
                <w:rFonts w:ascii="宋体" w:hAnsi="宋体"/>
                <w:snapToGrid w:val="0"/>
                <w:kern w:val="0"/>
                <w:szCs w:val="21"/>
              </w:rPr>
              <w:t>入渗措施，</w:t>
            </w:r>
            <w:r w:rsidRPr="00915776">
              <w:rPr>
                <w:rFonts w:ascii="宋体" w:hAnsi="宋体"/>
                <w:szCs w:val="21"/>
              </w:rPr>
              <w:t>降低地表径流，减少径流污染。建筑密度小于等于25％的住区，其综合径流系数不高于0.50；建筑密度大于25％并小于等于40％的住区，其综合径流系数不高于0.55；建筑密度大于40％的住区，其综合径流系数不高于0.60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.3.7</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通过技术经济比较，合理确定雨水集蓄及利用方案。</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.3.8</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绿化用水、道路冲洗等非饮用水采用非传统水源。</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.3.9</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绿化灌溉采取微灌、渗灌、低压管灌等高效节水灌溉方式。</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.3.10</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非饮用水采用再生水时，优先利用附近集中再生水厂的再生水；附近没有集中再生水厂时，通过技术经济比较，合理选择其他再生水水源和处理技术。符合以下任一项即为满足要求：</w:t>
            </w:r>
            <w:r w:rsidRPr="00915776" w:rsidDel="000B4B6D">
              <w:rPr>
                <w:rFonts w:ascii="宋体" w:hAnsi="宋体" w:hint="eastAsia"/>
                <w:szCs w:val="21"/>
              </w:rPr>
              <w:t xml:space="preserve"> </w:t>
            </w:r>
          </w:p>
          <w:p w:rsidR="005C0361" w:rsidRPr="00915776" w:rsidRDefault="005C0361" w:rsidP="005C0361">
            <w:pPr>
              <w:snapToGrid w:val="0"/>
              <w:spacing w:line="300" w:lineRule="auto"/>
              <w:rPr>
                <w:rFonts w:ascii="宋体" w:hAnsi="宋体"/>
                <w:szCs w:val="21"/>
              </w:rPr>
            </w:pPr>
            <w:r w:rsidRPr="00915776">
              <w:rPr>
                <w:rFonts w:ascii="宋体" w:hAnsi="宋体"/>
                <w:szCs w:val="21"/>
              </w:rPr>
              <w:t>1</w:t>
            </w:r>
            <w:r w:rsidRPr="00915776">
              <w:rPr>
                <w:rFonts w:ascii="宋体" w:hAnsi="宋体" w:hint="eastAsia"/>
                <w:szCs w:val="21"/>
              </w:rPr>
              <w:t xml:space="preserve"> </w:t>
            </w:r>
            <w:r w:rsidRPr="00915776">
              <w:rPr>
                <w:rFonts w:ascii="宋体" w:hAnsi="宋体"/>
                <w:szCs w:val="21"/>
              </w:rPr>
              <w:t>选用市政再生水；</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2</w:t>
            </w:r>
            <w:r w:rsidRPr="00915776">
              <w:rPr>
                <w:rFonts w:ascii="宋体" w:hAnsi="宋体" w:hint="eastAsia"/>
                <w:szCs w:val="21"/>
              </w:rPr>
              <w:t xml:space="preserve"> </w:t>
            </w:r>
            <w:r w:rsidRPr="00915776">
              <w:rPr>
                <w:rFonts w:ascii="宋体" w:hAnsi="宋体"/>
                <w:szCs w:val="21"/>
              </w:rPr>
              <w:t>采用建筑中水，</w:t>
            </w:r>
            <w:r w:rsidRPr="00915776">
              <w:rPr>
                <w:rFonts w:ascii="宋体" w:hAnsi="宋体" w:hint="eastAsia"/>
                <w:szCs w:val="21"/>
              </w:rPr>
              <w:t>并</w:t>
            </w:r>
            <w:r w:rsidRPr="00915776">
              <w:rPr>
                <w:rFonts w:ascii="宋体" w:hAnsi="宋体"/>
                <w:szCs w:val="21"/>
              </w:rPr>
              <w:t>依次考虑优质杂排水、杂排水、生活排水等的再生利用。</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.3.11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cs="宋体" w:hint="eastAsia"/>
                <w:kern w:val="0"/>
                <w:szCs w:val="21"/>
              </w:rPr>
              <w:t>非传统水源利用率不低于</w:t>
            </w:r>
            <w:r w:rsidRPr="00915776">
              <w:rPr>
                <w:rFonts w:ascii="宋体" w:hAnsi="宋体"/>
                <w:kern w:val="0"/>
                <w:szCs w:val="21"/>
              </w:rPr>
              <w:t>10</w:t>
            </w:r>
            <w:r w:rsidRPr="00915776">
              <w:rPr>
                <w:rFonts w:ascii="宋体" w:hAnsi="宋体" w:cs="宋体" w:hint="eastAsia"/>
                <w:kern w:val="0"/>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.3.12</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cs="宋体" w:hint="eastAsia"/>
                <w:kern w:val="0"/>
                <w:szCs w:val="21"/>
              </w:rPr>
              <w:t>非传统水源利用率不低于</w:t>
            </w:r>
            <w:r w:rsidRPr="00915776">
              <w:rPr>
                <w:rFonts w:ascii="宋体" w:hAnsi="宋体"/>
                <w:kern w:val="0"/>
                <w:szCs w:val="21"/>
              </w:rPr>
              <w:t>30</w:t>
            </w:r>
            <w:r w:rsidRPr="00915776">
              <w:rPr>
                <w:rFonts w:ascii="宋体" w:hAnsi="宋体" w:cs="宋体" w:hint="eastAsia"/>
                <w:kern w:val="0"/>
                <w:szCs w:val="21"/>
              </w:rPr>
              <w:t>％。</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23" w:type="dxa"/>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节材与材料资源利用</w:t>
            </w:r>
          </w:p>
        </w:tc>
        <w:tc>
          <w:tcPr>
            <w:tcW w:w="464" w:type="dxa"/>
            <w:gridSpan w:val="3"/>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控制项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bCs/>
                <w:szCs w:val="21"/>
              </w:rPr>
              <w:t>建筑材料中有害物质含量符合国家标准GB 18580～18588和《建筑材料放射性核素限量》GB 6566的要求。不使用国家及深圳市建设行政主管部门公布限制、禁止使用的建筑材料及制品。</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.4.2</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建筑造型要素简约，无大量装饰性构件。</w:t>
            </w:r>
          </w:p>
          <w:p w:rsidR="005C0361" w:rsidRPr="00915776" w:rsidRDefault="005C0361" w:rsidP="005C0361">
            <w:pPr>
              <w:snapToGrid w:val="0"/>
              <w:spacing w:line="300" w:lineRule="auto"/>
              <w:rPr>
                <w:rFonts w:ascii="宋体" w:hAnsi="宋体"/>
                <w:bCs/>
                <w:szCs w:val="21"/>
              </w:rPr>
            </w:pPr>
            <w:r w:rsidRPr="00915776">
              <w:rPr>
                <w:rFonts w:ascii="宋体" w:hAnsi="宋体"/>
                <w:bCs/>
                <w:szCs w:val="21"/>
              </w:rPr>
              <w:t>1</w:t>
            </w:r>
            <w:bookmarkStart w:id="0" w:name="OLE_LINK3"/>
            <w:r w:rsidRPr="00915776">
              <w:rPr>
                <w:rFonts w:ascii="宋体" w:hAnsi="宋体"/>
                <w:bCs/>
                <w:szCs w:val="21"/>
              </w:rPr>
              <w:t xml:space="preserve"> 不具备遮阳、导光、导风、载物、辅助绿化等作用的飘板、格栅和构架等不作为建筑构成要素在建筑中使用</w:t>
            </w:r>
            <w:bookmarkEnd w:id="0"/>
            <w:r w:rsidRPr="00915776">
              <w:rPr>
                <w:rFonts w:ascii="宋体" w:hAnsi="宋体"/>
                <w:bCs/>
                <w:szCs w:val="21"/>
              </w:rPr>
              <w:t>；</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bCs/>
                <w:szCs w:val="21"/>
              </w:rPr>
              <w:t>2 屋顶等处不设立单纯为追求标志性效果的塔、球、曲面等异型构件。</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.4.3</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将建筑施工过程中产生的固体废弃物分类处理和回收利用，回收利用率不低于20%。新建工程的建筑垃圾控制在每万平方米450吨以下。</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.4.4</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cs="宋体" w:hint="eastAsia"/>
                <w:kern w:val="0"/>
                <w:szCs w:val="21"/>
              </w:rPr>
              <w:t>现浇混凝土采用预拌混凝土。</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restart"/>
            <w:vAlign w:val="center"/>
          </w:tcPr>
          <w:p w:rsidR="005C0361" w:rsidRPr="00915776" w:rsidRDefault="005C0361" w:rsidP="005C0361">
            <w:pPr>
              <w:snapToGrid w:val="0"/>
              <w:spacing w:line="300" w:lineRule="auto"/>
              <w:jc w:val="center"/>
              <w:rPr>
                <w:rFonts w:ascii="宋体" w:hAnsi="宋体" w:cs="宋体"/>
                <w:b/>
                <w:kern w:val="0"/>
                <w:szCs w:val="21"/>
              </w:rPr>
            </w:pPr>
            <w:r w:rsidRPr="00915776">
              <w:rPr>
                <w:rFonts w:ascii="宋体" w:hAnsi="宋体" w:cs="宋体" w:hint="eastAsia"/>
                <w:b/>
                <w:kern w:val="0"/>
                <w:szCs w:val="21"/>
              </w:rPr>
              <w:t>得分项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.4.5</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施工现场</w:t>
            </w:r>
            <w:smartTag w:uri="urn:schemas-microsoft-com:office:smarttags" w:element="chmetcnv">
              <w:smartTagPr>
                <w:attr w:name="UnitName" w:val="km"/>
                <w:attr w:name="SourceValue" w:val="500"/>
                <w:attr w:name="HasSpace" w:val="False"/>
                <w:attr w:name="Negative" w:val="False"/>
                <w:attr w:name="NumberType" w:val="1"/>
                <w:attr w:name="TCSC" w:val="0"/>
              </w:smartTagPr>
              <w:r w:rsidRPr="00915776">
                <w:rPr>
                  <w:rFonts w:ascii="宋体" w:hAnsi="宋体"/>
                  <w:szCs w:val="21"/>
                </w:rPr>
                <w:t>500km</w:t>
              </w:r>
            </w:smartTag>
            <w:r w:rsidRPr="00915776">
              <w:rPr>
                <w:rFonts w:ascii="宋体" w:hAnsi="宋体"/>
                <w:szCs w:val="21"/>
              </w:rPr>
              <w:t>以内生产的建筑材料重量占建筑材料总重量的比例大于80％。</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.4.6</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采用预拌砂浆。</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.4.7</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对于6层以上的钢筋混凝土建筑，钢筋混凝土结构中的受力钢筋使用HRB400级（或以上）钢筋占受力钢筋总量的比例大于70%；对于高层钢结构建筑，Q345GJ、Q345GJZ等强度较高的高性能钢材用量占钢材总量的比例不低于70%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.4.8</w:t>
            </w:r>
          </w:p>
        </w:tc>
        <w:tc>
          <w:tcPr>
            <w:tcW w:w="5230" w:type="dxa"/>
            <w:gridSpan w:val="4"/>
            <w:vAlign w:val="center"/>
          </w:tcPr>
          <w:p w:rsidR="005C0361" w:rsidRPr="00915776" w:rsidRDefault="005C0361" w:rsidP="005C0361">
            <w:pPr>
              <w:snapToGrid w:val="0"/>
              <w:spacing w:line="300" w:lineRule="auto"/>
              <w:rPr>
                <w:rFonts w:ascii="宋体" w:hAnsi="宋体"/>
                <w:szCs w:val="21"/>
              </w:rPr>
            </w:pPr>
            <w:r w:rsidRPr="00915776">
              <w:rPr>
                <w:rFonts w:ascii="宋体" w:hAnsi="宋体"/>
                <w:szCs w:val="21"/>
              </w:rPr>
              <w:t>建筑结构材料合理采用</w:t>
            </w:r>
            <w:r w:rsidRPr="00915776">
              <w:rPr>
                <w:rFonts w:ascii="宋体" w:hAnsi="宋体" w:hint="eastAsia"/>
                <w:bCs/>
                <w:szCs w:val="21"/>
              </w:rPr>
              <w:t>高强</w:t>
            </w:r>
            <w:r w:rsidRPr="00915776">
              <w:rPr>
                <w:rFonts w:ascii="宋体" w:hAnsi="宋体"/>
                <w:szCs w:val="21"/>
              </w:rPr>
              <w:t>高性能混凝土。</w:t>
            </w:r>
          </w:p>
          <w:p w:rsidR="005C0361" w:rsidRPr="00915776" w:rsidRDefault="005C0361" w:rsidP="005C0361">
            <w:pPr>
              <w:snapToGrid w:val="0"/>
              <w:spacing w:line="300" w:lineRule="auto"/>
              <w:rPr>
                <w:rFonts w:ascii="宋体" w:hAnsi="宋体"/>
                <w:szCs w:val="21"/>
              </w:rPr>
            </w:pPr>
            <w:r w:rsidRPr="00915776">
              <w:rPr>
                <w:rFonts w:ascii="宋体" w:hAnsi="宋体"/>
                <w:szCs w:val="21"/>
              </w:rPr>
              <w:t>1 对于6层以上的钢筋混凝土建筑，符合以下任一项即为满足要求：</w:t>
            </w:r>
          </w:p>
          <w:p w:rsidR="005C0361" w:rsidRPr="00915776" w:rsidRDefault="005C0361" w:rsidP="005C0361">
            <w:pPr>
              <w:snapToGrid w:val="0"/>
              <w:spacing w:line="300" w:lineRule="auto"/>
              <w:rPr>
                <w:rFonts w:ascii="宋体" w:hAnsi="宋体"/>
                <w:szCs w:val="21"/>
              </w:rPr>
            </w:pPr>
            <w:r w:rsidRPr="00915776">
              <w:rPr>
                <w:rFonts w:ascii="宋体" w:hAnsi="宋体"/>
                <w:szCs w:val="21"/>
              </w:rPr>
              <w:t>a 混凝土竖向承重结构中采用强度等级C50（或以上）</w:t>
            </w:r>
            <w:r w:rsidRPr="00915776">
              <w:rPr>
                <w:rFonts w:ascii="宋体" w:hAnsi="宋体" w:hint="eastAsia"/>
                <w:szCs w:val="21"/>
              </w:rPr>
              <w:t>的</w:t>
            </w:r>
            <w:r w:rsidRPr="00915776">
              <w:rPr>
                <w:rFonts w:ascii="宋体" w:hAnsi="宋体"/>
                <w:szCs w:val="21"/>
              </w:rPr>
              <w:t>混凝土用量占竖向承重结构中混凝土总量的比例</w:t>
            </w:r>
            <w:r w:rsidRPr="00915776">
              <w:rPr>
                <w:rFonts w:ascii="宋体" w:hAnsi="宋体" w:hint="eastAsia"/>
                <w:szCs w:val="21"/>
              </w:rPr>
              <w:t>大于</w:t>
            </w:r>
            <w:r w:rsidRPr="00915776">
              <w:rPr>
                <w:rFonts w:ascii="宋体" w:hAnsi="宋体"/>
                <w:szCs w:val="21"/>
              </w:rPr>
              <w:t>50%；</w:t>
            </w:r>
          </w:p>
          <w:p w:rsidR="005C0361" w:rsidRPr="00915776" w:rsidRDefault="005C0361" w:rsidP="005C0361">
            <w:pPr>
              <w:snapToGrid w:val="0"/>
              <w:spacing w:line="300" w:lineRule="auto"/>
              <w:rPr>
                <w:rFonts w:ascii="宋体" w:hAnsi="宋体"/>
                <w:szCs w:val="21"/>
              </w:rPr>
            </w:pPr>
            <w:r w:rsidRPr="00915776">
              <w:rPr>
                <w:rFonts w:ascii="宋体" w:hAnsi="宋体"/>
                <w:szCs w:val="21"/>
              </w:rPr>
              <w:t>b 高性能混凝土用量占混凝土总量的比例</w:t>
            </w:r>
            <w:r w:rsidRPr="00915776">
              <w:rPr>
                <w:rFonts w:ascii="宋体" w:hAnsi="宋体" w:hint="eastAsia"/>
                <w:szCs w:val="21"/>
              </w:rPr>
              <w:t>大于</w:t>
            </w:r>
            <w:r w:rsidRPr="00915776">
              <w:rPr>
                <w:rFonts w:ascii="宋体" w:hAnsi="宋体"/>
                <w:szCs w:val="21"/>
              </w:rPr>
              <w:t>50%。</w:t>
            </w:r>
          </w:p>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2 对于6层及以下的、设计使用年限不小于50年的钢筋混凝土建筑，符合上述b项即满足要求。</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.4.9</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土建与装修工程进行一体化设计施工。</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.4.10</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在建筑设计选材时考虑使用可再循环材料</w:t>
            </w:r>
            <w:r w:rsidRPr="00915776">
              <w:rPr>
                <w:rFonts w:ascii="宋体" w:hAnsi="宋体"/>
                <w:i/>
                <w:szCs w:val="21"/>
              </w:rPr>
              <w:t>。</w:t>
            </w:r>
            <w:r w:rsidRPr="00915776">
              <w:rPr>
                <w:rFonts w:ascii="宋体" w:hAnsi="宋体"/>
                <w:szCs w:val="21"/>
              </w:rPr>
              <w:t>在保证安全和不污染环境的情况下，可再循环材料的使用重量占所用建筑材料总重量的10％以上。</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5.4.11</w:t>
            </w:r>
          </w:p>
        </w:tc>
        <w:tc>
          <w:tcPr>
            <w:tcW w:w="5230" w:type="dxa"/>
            <w:gridSpan w:val="4"/>
            <w:vAlign w:val="center"/>
          </w:tcPr>
          <w:p w:rsidR="005C0361" w:rsidRPr="00915776" w:rsidRDefault="005C0361" w:rsidP="005C0361">
            <w:pPr>
              <w:widowControl/>
              <w:snapToGrid w:val="0"/>
              <w:spacing w:line="300" w:lineRule="auto"/>
              <w:rPr>
                <w:rFonts w:ascii="宋体" w:hAnsi="宋体"/>
                <w:szCs w:val="21"/>
              </w:rPr>
            </w:pPr>
            <w:r w:rsidRPr="00915776">
              <w:rPr>
                <w:rFonts w:ascii="宋体" w:hAnsi="宋体"/>
                <w:szCs w:val="21"/>
              </w:rPr>
              <w:t>在保证性能的前提下，以废弃物为原料生产的建筑材料的使用重量占同类建筑材料总重量的比例不低于30％。以废弃物为原料生产的建筑材料中废弃物取代原有同类产品中天然或人造原材料的比例不低于20%。</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5.4.12</w:t>
            </w:r>
          </w:p>
        </w:tc>
        <w:tc>
          <w:tcPr>
            <w:tcW w:w="5230" w:type="dxa"/>
            <w:gridSpan w:val="4"/>
            <w:vAlign w:val="center"/>
          </w:tcPr>
          <w:p w:rsidR="005C0361" w:rsidRPr="00915776" w:rsidRDefault="005C0361" w:rsidP="005C0361">
            <w:pPr>
              <w:widowControl/>
              <w:snapToGrid w:val="0"/>
              <w:spacing w:line="300" w:lineRule="auto"/>
              <w:rPr>
                <w:rFonts w:ascii="宋体" w:hAnsi="宋体"/>
                <w:szCs w:val="21"/>
              </w:rPr>
            </w:pPr>
            <w:r w:rsidRPr="00915776">
              <w:rPr>
                <w:rFonts w:ascii="宋体" w:hAnsi="宋体"/>
                <w:szCs w:val="21"/>
              </w:rPr>
              <w:t>再利用建筑材料的使用重量占所用建筑材料总重量的比例大于5％。</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5.4.13</w:t>
            </w:r>
          </w:p>
        </w:tc>
        <w:tc>
          <w:tcPr>
            <w:tcW w:w="5230" w:type="dxa"/>
            <w:gridSpan w:val="4"/>
            <w:vAlign w:val="center"/>
          </w:tcPr>
          <w:p w:rsidR="005C0361" w:rsidRPr="00915776" w:rsidRDefault="005C0361" w:rsidP="005C0361">
            <w:pPr>
              <w:widowControl/>
              <w:snapToGrid w:val="0"/>
              <w:spacing w:line="300" w:lineRule="auto"/>
              <w:rPr>
                <w:rFonts w:ascii="宋体" w:hAnsi="宋体"/>
                <w:szCs w:val="21"/>
              </w:rPr>
            </w:pPr>
            <w:r w:rsidRPr="00915776">
              <w:rPr>
                <w:rFonts w:ascii="宋体" w:hAnsi="宋体"/>
                <w:szCs w:val="21"/>
              </w:rPr>
              <w:t>采用</w:t>
            </w:r>
            <w:r w:rsidRPr="00915776">
              <w:rPr>
                <w:rFonts w:ascii="宋体" w:hAnsi="宋体" w:hint="eastAsia"/>
                <w:szCs w:val="21"/>
              </w:rPr>
              <w:t>钢结构、砌体结构和木结构等</w:t>
            </w:r>
            <w:r w:rsidRPr="00915776">
              <w:rPr>
                <w:rFonts w:ascii="宋体" w:hAnsi="宋体"/>
                <w:szCs w:val="21"/>
              </w:rPr>
              <w:t>资源消耗和环境影响小的建筑结构体系。</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32" w:type="dxa"/>
            <w:gridSpan w:val="2"/>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室内环境质量</w:t>
            </w:r>
          </w:p>
        </w:tc>
        <w:tc>
          <w:tcPr>
            <w:tcW w:w="455" w:type="dxa"/>
            <w:gridSpan w:val="2"/>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控制项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.5.1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每套住宅至少有1个居住空间满足《城市居住区规划设计规范》GB 50180中有关居住建筑日照标准的要求。当有4个及4个以上居住空间时，至少有2个居住空间满足日照标准要求。</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.5.</w:t>
            </w:r>
            <w:r w:rsidRPr="00915776">
              <w:rPr>
                <w:rFonts w:ascii="宋体" w:hAnsi="宋体" w:hint="eastAsia"/>
                <w:kern w:val="0"/>
                <w:szCs w:val="21"/>
              </w:rPr>
              <w:t>2</w:t>
            </w:r>
          </w:p>
        </w:tc>
        <w:tc>
          <w:tcPr>
            <w:tcW w:w="5230" w:type="dxa"/>
            <w:gridSpan w:val="4"/>
            <w:vAlign w:val="center"/>
          </w:tcPr>
          <w:p w:rsidR="005C0361" w:rsidRPr="00915776" w:rsidRDefault="005C0361" w:rsidP="005C0361">
            <w:pPr>
              <w:pStyle w:val="af2"/>
              <w:snapToGrid w:val="0"/>
              <w:outlineLvl w:val="9"/>
              <w:rPr>
                <w:rFonts w:ascii="宋体" w:hAnsi="宋体"/>
                <w:sz w:val="21"/>
                <w:szCs w:val="21"/>
              </w:rPr>
            </w:pPr>
            <w:r w:rsidRPr="00915776">
              <w:rPr>
                <w:rFonts w:ascii="宋体" w:hAnsi="宋体"/>
                <w:sz w:val="21"/>
                <w:szCs w:val="21"/>
              </w:rPr>
              <w:t>卧室、起居室（厅）、书房、厨房设置外窗，房间的采光系数不低于现行国家标准《建筑采光设计标准》GB 50033的规定。当1套住宅设有2个及2个以上卫生间时，至少有1个卫生间设有外窗。具体限值如表</w:t>
            </w:r>
            <w:r w:rsidRPr="00915776">
              <w:rPr>
                <w:rFonts w:ascii="宋体" w:hAnsi="宋体" w:hint="eastAsia"/>
                <w:sz w:val="21"/>
                <w:szCs w:val="21"/>
              </w:rPr>
              <w:t>5</w:t>
            </w:r>
            <w:r w:rsidRPr="00915776">
              <w:rPr>
                <w:rFonts w:ascii="宋体" w:hAnsi="宋体"/>
                <w:sz w:val="21"/>
                <w:szCs w:val="21"/>
              </w:rPr>
              <w:t>.5.2所示：</w:t>
            </w:r>
          </w:p>
          <w:p w:rsidR="005C0361" w:rsidRPr="00915776" w:rsidRDefault="005C0361" w:rsidP="005C0361">
            <w:pPr>
              <w:autoSpaceDE w:val="0"/>
              <w:autoSpaceDN w:val="0"/>
              <w:adjustRightInd w:val="0"/>
              <w:snapToGrid w:val="0"/>
              <w:spacing w:line="300" w:lineRule="auto"/>
              <w:jc w:val="center"/>
              <w:rPr>
                <w:rFonts w:ascii="宋体" w:hAnsi="宋体"/>
                <w:szCs w:val="21"/>
              </w:rPr>
            </w:pPr>
            <w:r w:rsidRPr="00915776">
              <w:rPr>
                <w:rFonts w:ascii="宋体" w:hAnsi="宋体"/>
                <w:szCs w:val="21"/>
              </w:rPr>
              <w:t>表</w:t>
            </w:r>
            <w:smartTag w:uri="urn:schemas-microsoft-com:office:smarttags" w:element="chsdate">
              <w:smartTagPr>
                <w:attr w:name="Year" w:val="1899"/>
                <w:attr w:name="Month" w:val="12"/>
                <w:attr w:name="Day" w:val="30"/>
                <w:attr w:name="IsLunarDate" w:val="False"/>
                <w:attr w:name="IsROCDate" w:val="False"/>
              </w:smartTagPr>
              <w:r w:rsidRPr="00915776">
                <w:rPr>
                  <w:rFonts w:ascii="宋体" w:hAnsi="宋体"/>
                  <w:szCs w:val="21"/>
                </w:rPr>
                <w:t>5.5.2</w:t>
              </w:r>
            </w:smartTag>
            <w:r w:rsidRPr="00915776">
              <w:rPr>
                <w:rFonts w:ascii="宋体" w:hAnsi="宋体"/>
                <w:szCs w:val="21"/>
              </w:rPr>
              <w:t xml:space="preserve"> 居住建筑的采光系数标准值</w:t>
            </w:r>
          </w:p>
          <w:tbl>
            <w:tblPr>
              <w:tblW w:w="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578"/>
              <w:gridCol w:w="1512"/>
            </w:tblGrid>
            <w:tr w:rsidR="005C0361" w:rsidRPr="00915776" w:rsidTr="008C5017">
              <w:trPr>
                <w:jc w:val="center"/>
              </w:trPr>
              <w:tc>
                <w:tcPr>
                  <w:tcW w:w="1914" w:type="dxa"/>
                  <w:vMerge w:val="restart"/>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房间名称</w:t>
                  </w:r>
                </w:p>
              </w:tc>
              <w:tc>
                <w:tcPr>
                  <w:tcW w:w="3090" w:type="dxa"/>
                  <w:gridSpan w:val="2"/>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侧面采光</w:t>
                  </w:r>
                </w:p>
              </w:tc>
            </w:tr>
            <w:tr w:rsidR="005C0361" w:rsidRPr="00915776" w:rsidTr="008C5017">
              <w:trPr>
                <w:trHeight w:val="282"/>
                <w:jc w:val="center"/>
              </w:trPr>
              <w:tc>
                <w:tcPr>
                  <w:tcW w:w="1914" w:type="dxa"/>
                  <w:vMerge/>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p>
              </w:tc>
              <w:tc>
                <w:tcPr>
                  <w:tcW w:w="1578" w:type="dxa"/>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采光系数最低值</w:t>
                  </w:r>
                  <w:r w:rsidRPr="00915776">
                    <w:rPr>
                      <w:rFonts w:ascii="宋体" w:hAnsi="宋体"/>
                      <w:i/>
                      <w:iCs/>
                      <w:kern w:val="0"/>
                      <w:szCs w:val="21"/>
                    </w:rPr>
                    <w:t>C</w:t>
                  </w:r>
                  <w:r w:rsidRPr="00915776">
                    <w:rPr>
                      <w:rFonts w:ascii="宋体" w:hAnsi="宋体"/>
                      <w:kern w:val="0"/>
                      <w:szCs w:val="21"/>
                    </w:rPr>
                    <w:t>min(%)</w:t>
                  </w:r>
                </w:p>
              </w:tc>
              <w:tc>
                <w:tcPr>
                  <w:tcW w:w="1512" w:type="dxa"/>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室内天然光临界照度(lx)</w:t>
                  </w:r>
                </w:p>
              </w:tc>
            </w:tr>
            <w:tr w:rsidR="005C0361" w:rsidRPr="00915776" w:rsidTr="008C5017">
              <w:trPr>
                <w:jc w:val="center"/>
              </w:trPr>
              <w:tc>
                <w:tcPr>
                  <w:tcW w:w="1914" w:type="dxa"/>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卧室、起居室(厅)、书房</w:t>
                  </w:r>
                </w:p>
              </w:tc>
              <w:tc>
                <w:tcPr>
                  <w:tcW w:w="1578" w:type="dxa"/>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1</w:t>
                  </w:r>
                </w:p>
              </w:tc>
              <w:tc>
                <w:tcPr>
                  <w:tcW w:w="1512" w:type="dxa"/>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50</w:t>
                  </w:r>
                </w:p>
              </w:tc>
            </w:tr>
            <w:tr w:rsidR="005C0361" w:rsidRPr="00915776" w:rsidTr="008C5017">
              <w:trPr>
                <w:jc w:val="center"/>
              </w:trPr>
              <w:tc>
                <w:tcPr>
                  <w:tcW w:w="1914" w:type="dxa"/>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szCs w:val="21"/>
                    </w:rPr>
                    <w:t>厨房、</w:t>
                  </w:r>
                  <w:r w:rsidRPr="00915776">
                    <w:rPr>
                      <w:rFonts w:ascii="宋体" w:hAnsi="宋体"/>
                      <w:kern w:val="0"/>
                      <w:szCs w:val="21"/>
                    </w:rPr>
                    <w:t>卫生间、过厅、楼梯间、餐厅</w:t>
                  </w:r>
                </w:p>
              </w:tc>
              <w:tc>
                <w:tcPr>
                  <w:tcW w:w="1578" w:type="dxa"/>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0.5</w:t>
                  </w:r>
                </w:p>
              </w:tc>
              <w:tc>
                <w:tcPr>
                  <w:tcW w:w="1512" w:type="dxa"/>
                  <w:vAlign w:val="center"/>
                </w:tcPr>
                <w:p w:rsidR="005C0361" w:rsidRPr="00915776" w:rsidRDefault="005C0361" w:rsidP="005C0361">
                  <w:pPr>
                    <w:autoSpaceDE w:val="0"/>
                    <w:autoSpaceDN w:val="0"/>
                    <w:adjustRightInd w:val="0"/>
                    <w:snapToGrid w:val="0"/>
                    <w:spacing w:line="300" w:lineRule="auto"/>
                    <w:rPr>
                      <w:rFonts w:ascii="宋体" w:hAnsi="宋体"/>
                      <w:kern w:val="0"/>
                      <w:szCs w:val="21"/>
                    </w:rPr>
                  </w:pPr>
                  <w:r w:rsidRPr="00915776">
                    <w:rPr>
                      <w:rFonts w:ascii="宋体" w:hAnsi="宋体"/>
                      <w:kern w:val="0"/>
                      <w:szCs w:val="21"/>
                    </w:rPr>
                    <w:t>25</w:t>
                  </w:r>
                </w:p>
              </w:tc>
            </w:tr>
          </w:tbl>
          <w:p w:rsidR="005C0361" w:rsidRPr="00915776" w:rsidRDefault="005C0361" w:rsidP="005C0361">
            <w:pPr>
              <w:widowControl/>
              <w:snapToGrid w:val="0"/>
              <w:spacing w:line="300" w:lineRule="auto"/>
              <w:rPr>
                <w:rFonts w:ascii="宋体" w:hAnsi="宋体" w:cs="宋体"/>
                <w:kern w:val="0"/>
                <w:szCs w:val="21"/>
              </w:rPr>
            </w:pP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.5.</w:t>
            </w:r>
            <w:r w:rsidRPr="00915776">
              <w:rPr>
                <w:rFonts w:ascii="宋体" w:hAnsi="宋体" w:hint="eastAsia"/>
                <w:kern w:val="0"/>
                <w:szCs w:val="21"/>
              </w:rPr>
              <w:t>3</w:t>
            </w:r>
          </w:p>
        </w:tc>
        <w:tc>
          <w:tcPr>
            <w:tcW w:w="5230" w:type="dxa"/>
            <w:gridSpan w:val="4"/>
            <w:vAlign w:val="center"/>
          </w:tcPr>
          <w:p w:rsidR="005C0361" w:rsidRPr="00915776" w:rsidRDefault="005C0361" w:rsidP="005C0361">
            <w:pPr>
              <w:widowControl/>
              <w:snapToGrid w:val="0"/>
              <w:spacing w:line="300" w:lineRule="auto"/>
              <w:rPr>
                <w:rFonts w:ascii="宋体" w:hAnsi="宋体"/>
                <w:szCs w:val="21"/>
              </w:rPr>
            </w:pPr>
            <w:r w:rsidRPr="00915776">
              <w:rPr>
                <w:rFonts w:ascii="宋体" w:hAnsi="宋体"/>
                <w:szCs w:val="21"/>
              </w:rPr>
              <w:t>居住建筑外窗（包括阳台门）的可开启面积不小于外窗所在房间地面面积的10％。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cs="仿宋_GB2312"/>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0"/>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.5.</w:t>
            </w:r>
            <w:r w:rsidRPr="00915776">
              <w:rPr>
                <w:rFonts w:ascii="宋体" w:hAnsi="宋体" w:hint="eastAsia"/>
                <w:kern w:val="0"/>
                <w:szCs w:val="21"/>
              </w:rPr>
              <w:t>4</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对建筑围护结构采取有效的隔声、减噪措施。卧室、起居室的允许噪声级在关窗状态下白天不大于45 dB（A），夜间不大于35 dB（A）。楼板和分户墙的空气声计权隔声量不小于45dB，楼板的计权标准化撞击声声压级不大于70dB；户门的空气声计权隔声量不小于30dB；外窗的空气声计权隔声量不小于25dB，沿街时不小于30dB。</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.5.</w:t>
            </w:r>
            <w:r w:rsidRPr="00915776">
              <w:rPr>
                <w:rFonts w:ascii="宋体" w:hAnsi="宋体" w:hint="eastAsia"/>
                <w:kern w:val="0"/>
                <w:szCs w:val="21"/>
              </w:rPr>
              <w:t>5</w:t>
            </w:r>
          </w:p>
        </w:tc>
        <w:tc>
          <w:tcPr>
            <w:tcW w:w="5230" w:type="dxa"/>
            <w:gridSpan w:val="4"/>
            <w:vAlign w:val="center"/>
          </w:tcPr>
          <w:p w:rsidR="005C0361" w:rsidRPr="00915776" w:rsidRDefault="005C0361" w:rsidP="005C0361">
            <w:pPr>
              <w:pStyle w:val="af2"/>
              <w:snapToGrid w:val="0"/>
              <w:outlineLvl w:val="9"/>
              <w:rPr>
                <w:rFonts w:ascii="宋体" w:hAnsi="宋体"/>
                <w:sz w:val="21"/>
                <w:szCs w:val="21"/>
              </w:rPr>
            </w:pPr>
            <w:r w:rsidRPr="00915776">
              <w:rPr>
                <w:rFonts w:ascii="宋体" w:hAnsi="宋体"/>
                <w:sz w:val="21"/>
                <w:szCs w:val="21"/>
              </w:rPr>
              <w:t>室内游离甲醛、苯、氨、氡和TVOC等空气污染物浓度符合现行国家标准《民用建筑室内环境污染控制规范》GB 50325的规定。</w:t>
            </w:r>
          </w:p>
          <w:p w:rsidR="005C0361" w:rsidRPr="00915776" w:rsidRDefault="005C0361" w:rsidP="005C0361">
            <w:pPr>
              <w:snapToGrid w:val="0"/>
              <w:spacing w:line="300" w:lineRule="auto"/>
              <w:jc w:val="center"/>
              <w:rPr>
                <w:rFonts w:ascii="宋体" w:hAnsi="宋体"/>
                <w:szCs w:val="21"/>
              </w:rPr>
            </w:pPr>
            <w:r w:rsidRPr="00915776">
              <w:rPr>
                <w:rFonts w:ascii="宋体" w:hAnsi="宋体"/>
                <w:szCs w:val="21"/>
              </w:rPr>
              <w:t>表</w:t>
            </w:r>
            <w:smartTag w:uri="urn:schemas-microsoft-com:office:smarttags" w:element="chsdate">
              <w:smartTagPr>
                <w:attr w:name="Year" w:val="1899"/>
                <w:attr w:name="Month" w:val="12"/>
                <w:attr w:name="Day" w:val="30"/>
                <w:attr w:name="IsLunarDate" w:val="False"/>
                <w:attr w:name="IsROCDate" w:val="False"/>
              </w:smartTagPr>
              <w:r w:rsidRPr="00915776">
                <w:rPr>
                  <w:rFonts w:ascii="宋体" w:hAnsi="宋体"/>
                  <w:szCs w:val="21"/>
                </w:rPr>
                <w:t>5.5.5</w:t>
              </w:r>
            </w:smartTag>
            <w:r w:rsidRPr="00915776">
              <w:rPr>
                <w:rFonts w:ascii="宋体" w:hAnsi="宋体"/>
                <w:szCs w:val="21"/>
              </w:rPr>
              <w:t xml:space="preserve"> 住宅室内环境污染物浓度限量</w:t>
            </w:r>
          </w:p>
          <w:tbl>
            <w:tblPr>
              <w:tblW w:w="38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047"/>
              <w:gridCol w:w="1821"/>
            </w:tblGrid>
            <w:tr w:rsidR="005C0361" w:rsidRPr="00915776" w:rsidTr="008C5017">
              <w:trPr>
                <w:trHeight w:val="155"/>
                <w:jc w:val="center"/>
              </w:trPr>
              <w:tc>
                <w:tcPr>
                  <w:tcW w:w="2047"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污染物种类</w:t>
                  </w:r>
                </w:p>
              </w:tc>
              <w:tc>
                <w:tcPr>
                  <w:tcW w:w="1821"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szCs w:val="21"/>
                    </w:rPr>
                    <w:t>浓度限量</w:t>
                  </w:r>
                </w:p>
              </w:tc>
            </w:tr>
            <w:tr w:rsidR="005C0361" w:rsidRPr="00915776" w:rsidTr="008C5017">
              <w:trPr>
                <w:trHeight w:val="314"/>
                <w:jc w:val="center"/>
              </w:trPr>
              <w:tc>
                <w:tcPr>
                  <w:tcW w:w="2047"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氡(Bq/ m</w:t>
                  </w:r>
                  <w:r w:rsidRPr="00915776">
                    <w:rPr>
                      <w:rFonts w:ascii="宋体" w:hAnsi="宋体"/>
                      <w:kern w:val="0"/>
                      <w:szCs w:val="21"/>
                      <w:vertAlign w:val="superscript"/>
                    </w:rPr>
                    <w:t>3</w:t>
                  </w:r>
                  <w:r w:rsidRPr="00915776">
                    <w:rPr>
                      <w:rFonts w:ascii="宋体" w:hAnsi="宋体"/>
                      <w:kern w:val="0"/>
                      <w:szCs w:val="21"/>
                    </w:rPr>
                    <w:t>)</w:t>
                  </w:r>
                </w:p>
              </w:tc>
              <w:tc>
                <w:tcPr>
                  <w:tcW w:w="1821"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≤200</w:t>
                  </w:r>
                </w:p>
              </w:tc>
            </w:tr>
            <w:tr w:rsidR="005C0361" w:rsidRPr="00915776" w:rsidTr="008C5017">
              <w:trPr>
                <w:trHeight w:val="232"/>
                <w:jc w:val="center"/>
              </w:trPr>
              <w:tc>
                <w:tcPr>
                  <w:tcW w:w="2047" w:type="dxa"/>
                  <w:shd w:val="clear" w:color="auto" w:fill="auto"/>
                  <w:vAlign w:val="center"/>
                </w:tcPr>
                <w:p w:rsidR="005C0361" w:rsidRPr="00915776" w:rsidRDefault="00C77D46" w:rsidP="005C0361">
                  <w:pPr>
                    <w:widowControl/>
                    <w:snapToGrid w:val="0"/>
                    <w:spacing w:line="300" w:lineRule="auto"/>
                    <w:rPr>
                      <w:rFonts w:ascii="宋体" w:hAnsi="宋体"/>
                      <w:kern w:val="0"/>
                      <w:szCs w:val="21"/>
                      <w:u w:val="single"/>
                    </w:rPr>
                  </w:pPr>
                  <w:hyperlink r:id="rId7" w:tgtFrame="_blank" w:tooltip="甲醛" w:history="1">
                    <w:r w:rsidR="005C0361" w:rsidRPr="00915776">
                      <w:rPr>
                        <w:rFonts w:ascii="宋体" w:hAnsi="宋体"/>
                        <w:kern w:val="0"/>
                        <w:szCs w:val="21"/>
                      </w:rPr>
                      <w:t>游离甲醛(mg/ m</w:t>
                    </w:r>
                    <w:r w:rsidR="005C0361" w:rsidRPr="00915776">
                      <w:rPr>
                        <w:rFonts w:ascii="宋体" w:hAnsi="宋体"/>
                        <w:kern w:val="0"/>
                        <w:szCs w:val="21"/>
                        <w:vertAlign w:val="superscript"/>
                      </w:rPr>
                      <w:t>3</w:t>
                    </w:r>
                    <w:r w:rsidR="005C0361" w:rsidRPr="00915776">
                      <w:rPr>
                        <w:rFonts w:ascii="宋体" w:hAnsi="宋体"/>
                        <w:kern w:val="0"/>
                        <w:szCs w:val="21"/>
                      </w:rPr>
                      <w:t>)</w:t>
                    </w:r>
                  </w:hyperlink>
                </w:p>
              </w:tc>
              <w:tc>
                <w:tcPr>
                  <w:tcW w:w="1821"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≤0.08</w:t>
                  </w:r>
                </w:p>
              </w:tc>
            </w:tr>
            <w:tr w:rsidR="005C0361" w:rsidRPr="00915776" w:rsidTr="008C5017">
              <w:trPr>
                <w:trHeight w:val="222"/>
                <w:jc w:val="center"/>
              </w:trPr>
              <w:tc>
                <w:tcPr>
                  <w:tcW w:w="2047"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苯(mg/ m</w:t>
                  </w:r>
                  <w:r w:rsidRPr="00915776">
                    <w:rPr>
                      <w:rFonts w:ascii="宋体" w:hAnsi="宋体"/>
                      <w:kern w:val="0"/>
                      <w:szCs w:val="21"/>
                      <w:vertAlign w:val="superscript"/>
                    </w:rPr>
                    <w:t>3</w:t>
                  </w:r>
                  <w:r w:rsidRPr="00915776">
                    <w:rPr>
                      <w:rFonts w:ascii="宋体" w:hAnsi="宋体"/>
                      <w:kern w:val="0"/>
                      <w:szCs w:val="21"/>
                    </w:rPr>
                    <w:t>)</w:t>
                  </w:r>
                </w:p>
              </w:tc>
              <w:tc>
                <w:tcPr>
                  <w:tcW w:w="1821"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≤0.09</w:t>
                  </w:r>
                </w:p>
              </w:tc>
            </w:tr>
            <w:tr w:rsidR="005C0361" w:rsidRPr="00915776" w:rsidTr="008C5017">
              <w:trPr>
                <w:trHeight w:val="241"/>
                <w:jc w:val="center"/>
              </w:trPr>
              <w:tc>
                <w:tcPr>
                  <w:tcW w:w="2047"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氨(mg/ m</w:t>
                  </w:r>
                  <w:r w:rsidRPr="00915776">
                    <w:rPr>
                      <w:rFonts w:ascii="宋体" w:hAnsi="宋体"/>
                      <w:kern w:val="0"/>
                      <w:szCs w:val="21"/>
                      <w:vertAlign w:val="superscript"/>
                    </w:rPr>
                    <w:t>3</w:t>
                  </w:r>
                  <w:r w:rsidRPr="00915776">
                    <w:rPr>
                      <w:rFonts w:ascii="宋体" w:hAnsi="宋体"/>
                      <w:kern w:val="0"/>
                      <w:szCs w:val="21"/>
                    </w:rPr>
                    <w:t>)</w:t>
                  </w:r>
                </w:p>
              </w:tc>
              <w:tc>
                <w:tcPr>
                  <w:tcW w:w="1821"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≤0.2</w:t>
                  </w:r>
                </w:p>
              </w:tc>
            </w:tr>
            <w:tr w:rsidR="005C0361" w:rsidRPr="00915776" w:rsidTr="008C5017">
              <w:trPr>
                <w:trHeight w:val="305"/>
                <w:jc w:val="center"/>
              </w:trPr>
              <w:tc>
                <w:tcPr>
                  <w:tcW w:w="2047"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TVOC(mg/m</w:t>
                  </w:r>
                  <w:r w:rsidRPr="00915776">
                    <w:rPr>
                      <w:rFonts w:ascii="宋体" w:hAnsi="宋体"/>
                      <w:kern w:val="0"/>
                      <w:szCs w:val="21"/>
                      <w:vertAlign w:val="superscript"/>
                    </w:rPr>
                    <w:t>3</w:t>
                  </w:r>
                  <w:r w:rsidRPr="00915776">
                    <w:rPr>
                      <w:rFonts w:ascii="宋体" w:hAnsi="宋体"/>
                      <w:kern w:val="0"/>
                      <w:szCs w:val="21"/>
                    </w:rPr>
                    <w:t>)</w:t>
                  </w:r>
                </w:p>
              </w:tc>
              <w:tc>
                <w:tcPr>
                  <w:tcW w:w="1821" w:type="dxa"/>
                  <w:shd w:val="clear" w:color="auto" w:fill="auto"/>
                  <w:vAlign w:val="center"/>
                </w:tcPr>
                <w:p w:rsidR="005C0361" w:rsidRPr="00915776" w:rsidRDefault="005C0361" w:rsidP="005C0361">
                  <w:pPr>
                    <w:widowControl/>
                    <w:snapToGrid w:val="0"/>
                    <w:spacing w:line="300" w:lineRule="auto"/>
                    <w:rPr>
                      <w:rFonts w:ascii="宋体" w:hAnsi="宋体"/>
                      <w:kern w:val="0"/>
                      <w:szCs w:val="21"/>
                    </w:rPr>
                  </w:pPr>
                  <w:r w:rsidRPr="00915776">
                    <w:rPr>
                      <w:rFonts w:ascii="宋体" w:hAnsi="宋体"/>
                      <w:kern w:val="0"/>
                      <w:szCs w:val="21"/>
                    </w:rPr>
                    <w:t>≤0.5</w:t>
                  </w:r>
                </w:p>
              </w:tc>
            </w:tr>
          </w:tbl>
          <w:p w:rsidR="005C0361" w:rsidRPr="00915776" w:rsidRDefault="005C0361" w:rsidP="005C0361">
            <w:pPr>
              <w:widowControl/>
              <w:snapToGrid w:val="0"/>
              <w:spacing w:line="300" w:lineRule="auto"/>
              <w:rPr>
                <w:rFonts w:ascii="宋体" w:hAnsi="宋体" w:cs="宋体"/>
                <w:kern w:val="0"/>
                <w:szCs w:val="21"/>
              </w:rPr>
            </w:pP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restart"/>
            <w:vAlign w:val="center"/>
          </w:tcPr>
          <w:p w:rsidR="005C0361" w:rsidRPr="00915776" w:rsidRDefault="005C0361" w:rsidP="005C0361">
            <w:pPr>
              <w:snapToGrid w:val="0"/>
              <w:spacing w:line="300" w:lineRule="auto"/>
              <w:jc w:val="center"/>
              <w:rPr>
                <w:rFonts w:ascii="宋体" w:hAnsi="宋体" w:cs="宋体"/>
                <w:b/>
                <w:kern w:val="0"/>
                <w:szCs w:val="21"/>
              </w:rPr>
            </w:pPr>
            <w:r w:rsidRPr="00915776">
              <w:rPr>
                <w:rFonts w:ascii="宋体" w:hAnsi="宋体" w:cs="宋体" w:hint="eastAsia"/>
                <w:b/>
                <w:kern w:val="0"/>
                <w:szCs w:val="21"/>
              </w:rPr>
              <w:t>得分项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.5.</w:t>
            </w:r>
            <w:r w:rsidRPr="00915776">
              <w:rPr>
                <w:rFonts w:ascii="宋体" w:hAnsi="宋体" w:hint="eastAsia"/>
                <w:kern w:val="0"/>
                <w:szCs w:val="21"/>
              </w:rPr>
              <w:t>6</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居住空间开窗具有良好的视野，且避免户间居住空间的视线干扰。两栋住宅视觉卫生距离满足《</w:t>
            </w:r>
            <w:hyperlink r:id="rId8" w:tgtFrame="_blank" w:history="1">
              <w:r w:rsidRPr="00915776">
                <w:rPr>
                  <w:rFonts w:ascii="宋体" w:hAnsi="宋体"/>
                  <w:szCs w:val="21"/>
                </w:rPr>
                <w:t>深圳市</w:t>
              </w:r>
            </w:hyperlink>
            <w:r w:rsidRPr="00915776">
              <w:rPr>
                <w:rFonts w:ascii="宋体" w:hAnsi="宋体"/>
                <w:szCs w:val="21"/>
              </w:rPr>
              <w:t>城市规划标准与准则》的要求。</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5.5.7</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住区内不少于75％的</w:t>
            </w:r>
            <w:r w:rsidRPr="00915776">
              <w:rPr>
                <w:rFonts w:ascii="宋体" w:hAnsi="宋体" w:hint="eastAsia"/>
                <w:szCs w:val="21"/>
              </w:rPr>
              <w:t>住宅</w:t>
            </w:r>
            <w:r w:rsidRPr="00915776">
              <w:rPr>
                <w:rFonts w:ascii="宋体" w:hAnsi="宋体"/>
                <w:szCs w:val="21"/>
              </w:rPr>
              <w:t>住区内不少于75%的户型可形成穿堂风。若室外噪声超标，采用隔声通风窗等隔声措施。</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5.5.8</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在自然通风条件下，房间的屋顶和东、西外墙内表面的最高温度不大于夏季室外计算温度最高值。</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5.5.9</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设空调系统（设备）的住宅，运行时用户可根据需要</w:t>
            </w:r>
            <w:r w:rsidRPr="00915776">
              <w:rPr>
                <w:rFonts w:ascii="宋体" w:hAnsi="宋体" w:hint="eastAsia"/>
                <w:szCs w:val="21"/>
              </w:rPr>
              <w:t>分室</w:t>
            </w:r>
            <w:r w:rsidRPr="00915776">
              <w:rPr>
                <w:rFonts w:ascii="宋体" w:hAnsi="宋体"/>
                <w:szCs w:val="21"/>
              </w:rPr>
              <w:t>对室温进行调控。</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5.5.10</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设置独立新风系统，通风量不小于</w:t>
            </w:r>
            <w:smartTag w:uri="urn:schemas-microsoft-com:office:smarttags" w:element="chmetcnv">
              <w:smartTagPr>
                <w:attr w:name="UnitName" w:val="m3"/>
                <w:attr w:name="SourceValue" w:val="40"/>
                <w:attr w:name="HasSpace" w:val="False"/>
                <w:attr w:name="Negative" w:val="False"/>
                <w:attr w:name="NumberType" w:val="1"/>
                <w:attr w:name="TCSC" w:val="0"/>
              </w:smartTagPr>
              <w:r w:rsidRPr="00915776">
                <w:rPr>
                  <w:rFonts w:ascii="宋体" w:hAnsi="宋体"/>
                  <w:szCs w:val="21"/>
                </w:rPr>
                <w:t>40m</w:t>
              </w:r>
              <w:r w:rsidRPr="00915776">
                <w:rPr>
                  <w:rFonts w:ascii="宋体" w:hAnsi="宋体"/>
                  <w:szCs w:val="21"/>
                  <w:vertAlign w:val="superscript"/>
                </w:rPr>
                <w:t>3</w:t>
              </w:r>
            </w:smartTag>
            <w:r w:rsidRPr="00915776">
              <w:rPr>
                <w:rFonts w:ascii="宋体" w:hAnsi="宋体"/>
                <w:szCs w:val="21"/>
              </w:rPr>
              <w:t>/人.h。</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5.5.11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设置室内空气质量监测装置自动监测室内空气质量，监测装置具有报警提示功能。</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5.5.12</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住区内不少于75％住户的厨房和卫生间设置于户型的北、西北或西侧，或设置于户型自然通风的负压侧。</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32"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55" w:type="dxa"/>
            <w:gridSpan w:val="2"/>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5.5.13</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地下空间设置采光井等采光设施，不少于5%的地下一层空间采光系数不低于0.5%。居住建筑内不少于75%的公共空间（不含地下空间）采光系数不低于0.5%，且可实现自然通风。</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运营管理</w:t>
            </w:r>
          </w:p>
        </w:tc>
        <w:tc>
          <w:tcPr>
            <w:tcW w:w="464" w:type="dxa"/>
            <w:gridSpan w:val="3"/>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控制项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制定并实施节能、节水、节材与绿化管理制度。为所有住户提供环境维护指导手册，定期进行培训与宣传活动。</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.6.2</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hint="eastAsia"/>
                <w:szCs w:val="21"/>
              </w:rPr>
              <w:t>居住建筑</w:t>
            </w:r>
            <w:r w:rsidRPr="00915776">
              <w:rPr>
                <w:rFonts w:ascii="宋体" w:hAnsi="宋体"/>
                <w:szCs w:val="21"/>
              </w:rPr>
              <w:t>水、电、燃气分户、分类计量与收费。</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.6.3</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制定垃圾管理制度，对垃圾物流进行有效控制，对废品进行分类收集，防止垃圾无序倾倒和二次污染。</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.6.4</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设置密闭的垃圾容器，并有严格的保洁清洗措施</w:t>
            </w:r>
            <w:r w:rsidRPr="00915776">
              <w:rPr>
                <w:rFonts w:ascii="宋体" w:hAnsi="宋体" w:hint="eastAsia"/>
                <w:szCs w:val="21"/>
              </w:rPr>
              <w:t>，</w:t>
            </w:r>
            <w:r w:rsidRPr="00915776">
              <w:rPr>
                <w:rFonts w:ascii="宋体" w:hAnsi="宋体"/>
                <w:szCs w:val="21"/>
              </w:rPr>
              <w:t>生活垃圾采用袋装化存放。</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restart"/>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cs="宋体" w:hint="eastAsia"/>
                <w:b/>
                <w:kern w:val="0"/>
                <w:szCs w:val="21"/>
              </w:rPr>
              <w:t>得分项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.6.5</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垃圾站(间)设冲洗和排水设施。每天至少清运一次垃圾，不污染环境，不散发臭味。</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.6.6</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设置专门的垃圾分类收集区域，单独设置废电池、纸张、玻璃、塑料和金属等回收设施，垃圾收集设施上明确标识分类说明。垃圾分类回收率达90%以上。</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widowControl/>
              <w:snapToGrid w:val="0"/>
              <w:spacing w:line="300" w:lineRule="auto"/>
              <w:jc w:val="center"/>
              <w:rPr>
                <w:rFonts w:ascii="宋体" w:hAnsi="宋体" w:cs="宋体"/>
                <w:kern w:val="0"/>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.6.7</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对可生物降解垃圾进行单独收集或设置可生物降解垃圾处理房。垃圾收集或垃圾处理房设有风道或排风、冲洗和排水设施，处理过程无二次污染。</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.6.8</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智能化系统定位正确，采用的技术先进、实用、可靠，安全防范子系统、管理与设备监控子系统与信息网络子系统满足《居住区智能化系统配置与技术要求》CJ/T</w:t>
            </w:r>
            <w:r w:rsidRPr="00915776">
              <w:rPr>
                <w:rFonts w:ascii="宋体" w:hAnsi="宋体" w:hint="eastAsia"/>
                <w:szCs w:val="21"/>
              </w:rPr>
              <w:t xml:space="preserve"> </w:t>
            </w:r>
            <w:r w:rsidRPr="00915776">
              <w:rPr>
                <w:rFonts w:ascii="宋体" w:hAnsi="宋体"/>
                <w:szCs w:val="21"/>
              </w:rPr>
              <w:t>174中基本配置要求。</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.6.9</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采用无公害病虫害防治技术，规范杀虫剂、除草剂、化肥、农药等化学药品的使用，有效避免对土壤和地下水环境的损害。</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.6.10</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栽种和移植的树木成活率大于95%，植物生长状态良好。</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.6.11</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设备、管道的设置方便维修、改造和更换。属公共使用功能的设备、管道设置在公共部位，便于日常维修与更换。</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snapToGrid w:val="0"/>
              <w:spacing w:line="300" w:lineRule="auto"/>
              <w:jc w:val="center"/>
              <w:rPr>
                <w:rFonts w:ascii="宋体" w:hAnsi="宋体"/>
                <w:szCs w:val="21"/>
              </w:rPr>
            </w:pP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jc w:val="center"/>
        </w:trPr>
        <w:tc>
          <w:tcPr>
            <w:tcW w:w="423" w:type="dxa"/>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464" w:type="dxa"/>
            <w:gridSpan w:val="3"/>
            <w:vMerge/>
            <w:vAlign w:val="center"/>
          </w:tcPr>
          <w:p w:rsidR="005C0361" w:rsidRPr="00915776" w:rsidRDefault="005C0361" w:rsidP="005C0361">
            <w:pPr>
              <w:widowControl/>
              <w:snapToGrid w:val="0"/>
              <w:spacing w:line="300" w:lineRule="auto"/>
              <w:jc w:val="center"/>
              <w:rPr>
                <w:rFonts w:ascii="宋体" w:hAnsi="宋体" w:cs="宋体"/>
                <w:b/>
                <w:kern w:val="0"/>
                <w:szCs w:val="21"/>
              </w:rPr>
            </w:pPr>
          </w:p>
        </w:tc>
        <w:tc>
          <w:tcPr>
            <w:tcW w:w="851"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hint="eastAsia"/>
                <w:kern w:val="0"/>
                <w:szCs w:val="21"/>
              </w:rPr>
              <w:t>5</w:t>
            </w:r>
            <w:r w:rsidRPr="00915776">
              <w:rPr>
                <w:rFonts w:ascii="宋体" w:hAnsi="宋体"/>
                <w:kern w:val="0"/>
                <w:szCs w:val="21"/>
              </w:rPr>
              <w:t>.6.12</w:t>
            </w:r>
          </w:p>
        </w:tc>
        <w:tc>
          <w:tcPr>
            <w:tcW w:w="5230" w:type="dxa"/>
            <w:gridSpan w:val="4"/>
            <w:vAlign w:val="center"/>
          </w:tcPr>
          <w:p w:rsidR="005C0361" w:rsidRPr="00915776" w:rsidRDefault="005C0361" w:rsidP="005C0361">
            <w:pPr>
              <w:widowControl/>
              <w:snapToGrid w:val="0"/>
              <w:spacing w:line="300" w:lineRule="auto"/>
              <w:rPr>
                <w:rFonts w:ascii="宋体" w:hAnsi="宋体" w:cs="宋体"/>
                <w:kern w:val="0"/>
                <w:szCs w:val="21"/>
              </w:rPr>
            </w:pPr>
            <w:r w:rsidRPr="00915776">
              <w:rPr>
                <w:rFonts w:ascii="宋体" w:hAnsi="宋体"/>
                <w:szCs w:val="21"/>
              </w:rPr>
              <w:t>物业管理部门通过ISO</w:t>
            </w:r>
            <w:r w:rsidRPr="00915776">
              <w:rPr>
                <w:rFonts w:ascii="宋体" w:hAnsi="宋体" w:hint="eastAsia"/>
                <w:szCs w:val="21"/>
              </w:rPr>
              <w:t xml:space="preserve"> </w:t>
            </w:r>
            <w:r w:rsidRPr="00915776">
              <w:rPr>
                <w:rFonts w:ascii="宋体" w:hAnsi="宋体"/>
                <w:szCs w:val="21"/>
              </w:rPr>
              <w:t>14001环境管理体系认证。</w:t>
            </w:r>
          </w:p>
        </w:tc>
        <w:tc>
          <w:tcPr>
            <w:tcW w:w="1167" w:type="dxa"/>
            <w:gridSpan w:val="3"/>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276" w:type="dxa"/>
            <w:gridSpan w:val="2"/>
            <w:vAlign w:val="center"/>
          </w:tcPr>
          <w:p w:rsidR="005C0361" w:rsidRPr="00915776" w:rsidRDefault="005C0361" w:rsidP="005C0361">
            <w:pPr>
              <w:widowControl/>
              <w:snapToGrid w:val="0"/>
              <w:spacing w:line="300" w:lineRule="auto"/>
              <w:jc w:val="center"/>
              <w:rPr>
                <w:rFonts w:ascii="宋体" w:hAnsi="宋体"/>
                <w:kern w:val="0"/>
                <w:szCs w:val="21"/>
              </w:rPr>
            </w:pPr>
            <w:r w:rsidRPr="00915776">
              <w:rPr>
                <w:rFonts w:ascii="宋体" w:hAnsi="宋体"/>
                <w:szCs w:val="21"/>
              </w:rPr>
              <w:t>—</w:t>
            </w:r>
          </w:p>
        </w:tc>
        <w:tc>
          <w:tcPr>
            <w:tcW w:w="1186" w:type="dxa"/>
            <w:gridSpan w:val="2"/>
            <w:vAlign w:val="center"/>
          </w:tcPr>
          <w:p w:rsidR="005C0361" w:rsidRPr="00915776" w:rsidRDefault="005C0361" w:rsidP="005C0361">
            <w:pPr>
              <w:widowControl/>
              <w:snapToGrid w:val="0"/>
              <w:spacing w:line="300" w:lineRule="auto"/>
              <w:jc w:val="left"/>
              <w:rPr>
                <w:rFonts w:ascii="宋体" w:hAnsi="宋体"/>
                <w:kern w:val="0"/>
                <w:szCs w:val="21"/>
              </w:rPr>
            </w:pPr>
            <w:r w:rsidRPr="00915776">
              <w:rPr>
                <w:rFonts w:ascii="宋体" w:hAnsi="宋体" w:hint="eastAsia"/>
                <w:kern w:val="0"/>
                <w:szCs w:val="21"/>
              </w:rPr>
              <w:t>设计阶段不参评。</w:t>
            </w:r>
          </w:p>
        </w:tc>
      </w:tr>
      <w:tr w:rsidR="005C0361" w:rsidRPr="00915776" w:rsidTr="00240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887" w:type="dxa"/>
            <w:gridSpan w:val="4"/>
            <w:textDirection w:val="tbRlV"/>
            <w:vAlign w:val="center"/>
          </w:tcPr>
          <w:p w:rsidR="005C0361" w:rsidRPr="00915776" w:rsidRDefault="005C0361" w:rsidP="005C0361">
            <w:pPr>
              <w:widowControl/>
              <w:snapToGrid w:val="0"/>
              <w:spacing w:line="300" w:lineRule="auto"/>
              <w:jc w:val="center"/>
              <w:rPr>
                <w:rFonts w:ascii="宋体" w:hAnsi="宋体" w:cs="宋体"/>
                <w:b/>
                <w:kern w:val="0"/>
                <w:szCs w:val="21"/>
              </w:rPr>
            </w:pPr>
            <w:r>
              <w:rPr>
                <w:rFonts w:ascii="宋体" w:hAnsi="宋体" w:cs="宋体" w:hint="eastAsia"/>
                <w:b/>
                <w:kern w:val="0"/>
                <w:szCs w:val="21"/>
              </w:rPr>
              <w:t>创 新 项</w:t>
            </w:r>
          </w:p>
        </w:tc>
        <w:tc>
          <w:tcPr>
            <w:tcW w:w="851" w:type="dxa"/>
            <w:gridSpan w:val="2"/>
            <w:vAlign w:val="center"/>
          </w:tcPr>
          <w:p w:rsidR="005C0361" w:rsidRPr="00915776" w:rsidRDefault="005C0361" w:rsidP="005C0361">
            <w:pPr>
              <w:widowControl/>
              <w:snapToGrid w:val="0"/>
              <w:spacing w:line="300" w:lineRule="auto"/>
              <w:jc w:val="center"/>
              <w:rPr>
                <w:rFonts w:ascii="宋体" w:hAnsi="宋体" w:cs="宋体"/>
                <w:b/>
                <w:kern w:val="0"/>
                <w:szCs w:val="21"/>
              </w:rPr>
            </w:pPr>
            <w:r w:rsidRPr="00915776">
              <w:rPr>
                <w:rFonts w:ascii="宋体" w:hAnsi="宋体" w:hint="eastAsia"/>
                <w:kern w:val="0"/>
                <w:szCs w:val="21"/>
              </w:rPr>
              <w:t>5</w:t>
            </w:r>
            <w:r w:rsidRPr="00915776">
              <w:rPr>
                <w:rFonts w:ascii="宋体" w:hAnsi="宋体"/>
                <w:kern w:val="0"/>
                <w:szCs w:val="21"/>
              </w:rPr>
              <w:t>.</w:t>
            </w:r>
            <w:r w:rsidRPr="00915776">
              <w:rPr>
                <w:rFonts w:ascii="宋体" w:hAnsi="宋体" w:hint="eastAsia"/>
                <w:kern w:val="0"/>
                <w:szCs w:val="21"/>
              </w:rPr>
              <w:t>7</w:t>
            </w:r>
            <w:r w:rsidRPr="00915776">
              <w:rPr>
                <w:rFonts w:ascii="宋体" w:hAnsi="宋体"/>
                <w:kern w:val="0"/>
                <w:szCs w:val="21"/>
              </w:rPr>
              <w:t>.1</w:t>
            </w:r>
          </w:p>
        </w:tc>
        <w:tc>
          <w:tcPr>
            <w:tcW w:w="5230" w:type="dxa"/>
            <w:gridSpan w:val="4"/>
            <w:vAlign w:val="center"/>
          </w:tcPr>
          <w:p w:rsidR="005C0361" w:rsidRPr="00915776" w:rsidRDefault="005C0361" w:rsidP="005C0361">
            <w:pPr>
              <w:pStyle w:val="af2"/>
              <w:snapToGrid w:val="0"/>
              <w:outlineLvl w:val="9"/>
              <w:rPr>
                <w:rFonts w:ascii="宋体" w:hAnsi="宋体"/>
                <w:sz w:val="21"/>
                <w:szCs w:val="21"/>
              </w:rPr>
            </w:pPr>
            <w:r w:rsidRPr="00915776">
              <w:rPr>
                <w:rFonts w:ascii="宋体" w:hAnsi="宋体"/>
                <w:sz w:val="21"/>
                <w:szCs w:val="21"/>
              </w:rPr>
              <w:t>创新项包括但不限于以下内容：</w:t>
            </w:r>
          </w:p>
          <w:p w:rsidR="005C0361" w:rsidRPr="00915776" w:rsidRDefault="005C0361" w:rsidP="005C0361">
            <w:pPr>
              <w:snapToGrid w:val="0"/>
              <w:spacing w:line="300" w:lineRule="auto"/>
              <w:ind w:firstLineChars="200" w:firstLine="412"/>
              <w:jc w:val="left"/>
              <w:rPr>
                <w:rFonts w:ascii="宋体" w:hAnsi="宋体"/>
                <w:szCs w:val="21"/>
              </w:rPr>
            </w:pPr>
            <w:r w:rsidRPr="00915776">
              <w:rPr>
                <w:rFonts w:ascii="宋体" w:hAnsi="宋体"/>
                <w:szCs w:val="21"/>
              </w:rPr>
              <w:t>1空调能耗不高于国家和深圳市建筑节能标准规定值的70%；</w:t>
            </w:r>
          </w:p>
          <w:p w:rsidR="005C0361" w:rsidRPr="00915776" w:rsidRDefault="005C0361" w:rsidP="005C0361">
            <w:pPr>
              <w:snapToGrid w:val="0"/>
              <w:spacing w:line="300" w:lineRule="auto"/>
              <w:ind w:firstLineChars="200" w:firstLine="412"/>
              <w:jc w:val="left"/>
              <w:rPr>
                <w:rFonts w:ascii="宋体" w:hAnsi="宋体"/>
                <w:szCs w:val="21"/>
              </w:rPr>
            </w:pPr>
            <w:r w:rsidRPr="00915776">
              <w:rPr>
                <w:rFonts w:ascii="宋体" w:hAnsi="宋体"/>
                <w:szCs w:val="21"/>
              </w:rPr>
              <w:t xml:space="preserve">2非传统水源利用率不低于50％； </w:t>
            </w:r>
          </w:p>
          <w:p w:rsidR="005C0361" w:rsidRPr="00915776" w:rsidRDefault="005C0361" w:rsidP="005C0361">
            <w:pPr>
              <w:widowControl/>
              <w:snapToGrid w:val="0"/>
              <w:spacing w:line="300" w:lineRule="auto"/>
              <w:ind w:firstLineChars="200" w:firstLine="412"/>
              <w:jc w:val="left"/>
              <w:rPr>
                <w:rFonts w:ascii="宋体" w:hAnsi="宋体" w:cs="宋体"/>
                <w:b/>
                <w:kern w:val="0"/>
                <w:szCs w:val="21"/>
              </w:rPr>
            </w:pPr>
            <w:r w:rsidRPr="00915776">
              <w:rPr>
                <w:rFonts w:ascii="宋体" w:hAnsi="宋体"/>
                <w:szCs w:val="21"/>
              </w:rPr>
              <w:t>3采用预制混凝土结构、预制厨卫等工厂化住宅体系，预制率不低于50%。</w:t>
            </w:r>
          </w:p>
        </w:tc>
        <w:tc>
          <w:tcPr>
            <w:tcW w:w="1167" w:type="dxa"/>
            <w:gridSpan w:val="3"/>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276"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186" w:type="dxa"/>
            <w:gridSpan w:val="2"/>
            <w:vAlign w:val="center"/>
          </w:tcPr>
          <w:p w:rsidR="005C0361" w:rsidRPr="00915776" w:rsidRDefault="005C0361" w:rsidP="005C0361">
            <w:pPr>
              <w:widowControl/>
              <w:snapToGrid w:val="0"/>
              <w:spacing w:line="300" w:lineRule="auto"/>
              <w:jc w:val="center"/>
              <w:rPr>
                <w:rFonts w:ascii="宋体" w:hAnsi="宋体" w:cs="宋体"/>
                <w:b/>
                <w:kern w:val="0"/>
                <w:szCs w:val="21"/>
              </w:rPr>
            </w:pPr>
          </w:p>
        </w:tc>
      </w:tr>
    </w:tbl>
    <w:p w:rsidR="003D2F66" w:rsidRDefault="003D2F66" w:rsidP="007F786B">
      <w:pPr>
        <w:jc w:val="left"/>
        <w:rPr>
          <w:rFonts w:ascii="仿宋_GB2312" w:eastAsia="仿宋_GB2312"/>
          <w:sz w:val="24"/>
        </w:rPr>
      </w:pPr>
    </w:p>
    <w:p w:rsidR="0081222E" w:rsidRPr="007F786B" w:rsidRDefault="0081222E" w:rsidP="007F786B">
      <w:pPr>
        <w:jc w:val="left"/>
        <w:rPr>
          <w:rFonts w:ascii="仿宋_GB2312" w:eastAsia="仿宋_GB2312"/>
          <w:sz w:val="24"/>
        </w:rPr>
      </w:pPr>
      <w:r w:rsidRPr="007F786B">
        <w:rPr>
          <w:rFonts w:ascii="仿宋_GB2312" w:eastAsia="仿宋_GB2312" w:hint="eastAsia"/>
          <w:sz w:val="24"/>
        </w:rPr>
        <w:t xml:space="preserve">检查组成员签字：                               </w:t>
      </w:r>
      <w:r w:rsidRPr="007F786B">
        <w:rPr>
          <w:rFonts w:ascii="仿宋_GB2312" w:eastAsia="仿宋_GB2312"/>
          <w:sz w:val="24"/>
        </w:rPr>
        <w:t xml:space="preserve">   </w:t>
      </w:r>
      <w:r w:rsidRPr="007F786B">
        <w:rPr>
          <w:rFonts w:ascii="仿宋_GB2312" w:eastAsia="仿宋_GB2312" w:hint="eastAsia"/>
          <w:sz w:val="24"/>
        </w:rPr>
        <w:t>日期：</w:t>
      </w:r>
    </w:p>
    <w:p w:rsidR="0081222E" w:rsidRPr="008F30A2" w:rsidRDefault="0081222E" w:rsidP="0081222E">
      <w:pPr>
        <w:adjustRightInd w:val="0"/>
        <w:snapToGrid w:val="0"/>
        <w:jc w:val="left"/>
        <w:rPr>
          <w:rFonts w:ascii="宋体" w:hAnsi="宋体"/>
          <w:b/>
          <w:szCs w:val="21"/>
        </w:rPr>
      </w:pPr>
    </w:p>
    <w:p w:rsidR="008433BF" w:rsidRDefault="008433BF" w:rsidP="008433BF">
      <w:pPr>
        <w:widowControl/>
        <w:jc w:val="left"/>
        <w:rPr>
          <w:rFonts w:eastAsia="仿宋_GB2312"/>
          <w:sz w:val="28"/>
        </w:rPr>
        <w:sectPr w:rsidR="008433BF">
          <w:headerReference w:type="even" r:id="rId9"/>
          <w:headerReference w:type="default" r:id="rId10"/>
          <w:footerReference w:type="even" r:id="rId11"/>
          <w:footerReference w:type="default" r:id="rId12"/>
          <w:pgSz w:w="11906" w:h="16838"/>
          <w:pgMar w:top="1134" w:right="1134" w:bottom="1021" w:left="1134" w:header="851" w:footer="992" w:gutter="0"/>
          <w:cols w:space="720"/>
          <w:docGrid w:type="linesAndChars" w:linePitch="579" w:charSpace="-849"/>
        </w:sectPr>
      </w:pPr>
    </w:p>
    <w:p w:rsidR="00B50566" w:rsidRPr="00B50566" w:rsidRDefault="00B50566" w:rsidP="00776F79">
      <w:pPr>
        <w:rPr>
          <w:rFonts w:ascii="仿宋_GB2312" w:eastAsia="仿宋_GB2312"/>
          <w:sz w:val="30"/>
          <w:szCs w:val="30"/>
        </w:rPr>
      </w:pPr>
    </w:p>
    <w:sectPr w:rsidR="00B50566" w:rsidRPr="00B50566" w:rsidSect="00776F79">
      <w:pgSz w:w="11906" w:h="16838"/>
      <w:pgMar w:top="1134" w:right="1134" w:bottom="1021" w:left="1134" w:header="851" w:footer="992"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83" w:rsidRDefault="00133483" w:rsidP="00692A32">
      <w:r>
        <w:separator/>
      </w:r>
    </w:p>
  </w:endnote>
  <w:endnote w:type="continuationSeparator" w:id="1">
    <w:p w:rsidR="00133483" w:rsidRDefault="00133483" w:rsidP="00692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2E" w:rsidRDefault="00C77D46" w:rsidP="00B50566">
    <w:pPr>
      <w:pStyle w:val="a6"/>
      <w:framePr w:wrap="around" w:vAnchor="text" w:hAnchor="margin" w:xAlign="center" w:y="1"/>
      <w:rPr>
        <w:rStyle w:val="a7"/>
      </w:rPr>
    </w:pPr>
    <w:r>
      <w:rPr>
        <w:rStyle w:val="a7"/>
      </w:rPr>
      <w:fldChar w:fldCharType="begin"/>
    </w:r>
    <w:r w:rsidR="0081222E">
      <w:rPr>
        <w:rStyle w:val="a7"/>
      </w:rPr>
      <w:instrText xml:space="preserve">PAGE  </w:instrText>
    </w:r>
    <w:r>
      <w:rPr>
        <w:rStyle w:val="a7"/>
      </w:rPr>
      <w:fldChar w:fldCharType="end"/>
    </w:r>
  </w:p>
  <w:p w:rsidR="0081222E" w:rsidRDefault="008122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2E" w:rsidRDefault="00C77D46">
    <w:pPr>
      <w:pStyle w:val="a6"/>
      <w:jc w:val="center"/>
    </w:pPr>
    <w:fldSimple w:instr=" PAGE   \* MERGEFORMAT ">
      <w:r w:rsidR="009501F4" w:rsidRPr="009501F4">
        <w:rPr>
          <w:noProof/>
          <w:lang w:val="zh-CN"/>
        </w:rPr>
        <w:t>1</w:t>
      </w:r>
    </w:fldSimple>
  </w:p>
  <w:p w:rsidR="0081222E" w:rsidRDefault="008122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83" w:rsidRDefault="00133483" w:rsidP="00692A32">
      <w:r>
        <w:separator/>
      </w:r>
    </w:p>
  </w:footnote>
  <w:footnote w:type="continuationSeparator" w:id="1">
    <w:p w:rsidR="00133483" w:rsidRDefault="00133483" w:rsidP="00692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2E" w:rsidRDefault="0081222E" w:rsidP="00B5056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2E" w:rsidRDefault="0081222E" w:rsidP="00B5056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nsid w:val="00000007"/>
    <w:multiLevelType w:val="multilevel"/>
    <w:tmpl w:val="00000007"/>
    <w:lvl w:ilvl="0">
      <w:start w:val="1"/>
      <w:numFmt w:val="bullet"/>
      <w:lvlText w:val=""/>
      <w:lvlPicBulletId w:val="0"/>
      <w:lvlJc w:val="left"/>
      <w:pPr>
        <w:tabs>
          <w:tab w:val="num" w:pos="840"/>
        </w:tabs>
        <w:ind w:left="840" w:hanging="420"/>
      </w:pPr>
      <w:rPr>
        <w:rFonts w:ascii="Symbol" w:hAnsi="Symbol" w:cs="Symbol" w:hint="default"/>
        <w:color w:val="auto"/>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00000008"/>
    <w:multiLevelType w:val="multilevel"/>
    <w:tmpl w:val="00000008"/>
    <w:lvl w:ilvl="0">
      <w:start w:val="5"/>
      <w:numFmt w:val="decimal"/>
      <w:lvlText w:val="%1"/>
      <w:lvlJc w:val="left"/>
      <w:pPr>
        <w:ind w:left="405" w:hanging="405"/>
      </w:pPr>
      <w:rPr>
        <w:rFonts w:cs="宋体" w:hint="default"/>
      </w:rPr>
    </w:lvl>
    <w:lvl w:ilvl="1">
      <w:start w:val="3"/>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5640" w:hanging="1440"/>
      </w:pPr>
      <w:rPr>
        <w:rFonts w:cs="宋体" w:hint="default"/>
      </w:rPr>
    </w:lvl>
    <w:lvl w:ilvl="6">
      <w:start w:val="1"/>
      <w:numFmt w:val="decimal"/>
      <w:lvlText w:val="%1.%2.%3.%4.%5.%6.%7"/>
      <w:lvlJc w:val="left"/>
      <w:pPr>
        <w:ind w:left="6840" w:hanging="180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8880" w:hanging="2160"/>
      </w:pPr>
      <w:rPr>
        <w:rFonts w:cs="宋体" w:hint="default"/>
      </w:rPr>
    </w:lvl>
  </w:abstractNum>
  <w:abstractNum w:abstractNumId="2">
    <w:nsid w:val="0E9F17C7"/>
    <w:multiLevelType w:val="hybridMultilevel"/>
    <w:tmpl w:val="33F6B9BA"/>
    <w:lvl w:ilvl="0" w:tplc="958CC2D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3B0981"/>
    <w:multiLevelType w:val="hybridMultilevel"/>
    <w:tmpl w:val="805820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5714D2"/>
    <w:multiLevelType w:val="hybridMultilevel"/>
    <w:tmpl w:val="F12CCFD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5">
    <w:nsid w:val="12DC4637"/>
    <w:multiLevelType w:val="hybridMultilevel"/>
    <w:tmpl w:val="DDCEA1DC"/>
    <w:lvl w:ilvl="0" w:tplc="0409000F">
      <w:start w:val="1"/>
      <w:numFmt w:val="decimal"/>
      <w:lvlText w:val="%1."/>
      <w:lvlJc w:val="left"/>
      <w:pPr>
        <w:ind w:left="1472" w:hanging="420"/>
      </w:pPr>
    </w:lvl>
    <w:lvl w:ilvl="1" w:tplc="04090019" w:tentative="1">
      <w:start w:val="1"/>
      <w:numFmt w:val="lowerLetter"/>
      <w:lvlText w:val="%2)"/>
      <w:lvlJc w:val="left"/>
      <w:pPr>
        <w:ind w:left="1892" w:hanging="420"/>
      </w:pPr>
    </w:lvl>
    <w:lvl w:ilvl="2" w:tplc="0409001B" w:tentative="1">
      <w:start w:val="1"/>
      <w:numFmt w:val="lowerRoman"/>
      <w:lvlText w:val="%3."/>
      <w:lvlJc w:val="right"/>
      <w:pPr>
        <w:ind w:left="2312" w:hanging="420"/>
      </w:pPr>
    </w:lvl>
    <w:lvl w:ilvl="3" w:tplc="0409000F" w:tentative="1">
      <w:start w:val="1"/>
      <w:numFmt w:val="decimal"/>
      <w:lvlText w:val="%4."/>
      <w:lvlJc w:val="left"/>
      <w:pPr>
        <w:ind w:left="2732" w:hanging="420"/>
      </w:pPr>
    </w:lvl>
    <w:lvl w:ilvl="4" w:tplc="04090019" w:tentative="1">
      <w:start w:val="1"/>
      <w:numFmt w:val="lowerLetter"/>
      <w:lvlText w:val="%5)"/>
      <w:lvlJc w:val="left"/>
      <w:pPr>
        <w:ind w:left="3152" w:hanging="420"/>
      </w:pPr>
    </w:lvl>
    <w:lvl w:ilvl="5" w:tplc="0409001B" w:tentative="1">
      <w:start w:val="1"/>
      <w:numFmt w:val="lowerRoman"/>
      <w:lvlText w:val="%6."/>
      <w:lvlJc w:val="right"/>
      <w:pPr>
        <w:ind w:left="3572" w:hanging="420"/>
      </w:pPr>
    </w:lvl>
    <w:lvl w:ilvl="6" w:tplc="0409000F" w:tentative="1">
      <w:start w:val="1"/>
      <w:numFmt w:val="decimal"/>
      <w:lvlText w:val="%7."/>
      <w:lvlJc w:val="left"/>
      <w:pPr>
        <w:ind w:left="3992" w:hanging="420"/>
      </w:pPr>
    </w:lvl>
    <w:lvl w:ilvl="7" w:tplc="04090019" w:tentative="1">
      <w:start w:val="1"/>
      <w:numFmt w:val="lowerLetter"/>
      <w:lvlText w:val="%8)"/>
      <w:lvlJc w:val="left"/>
      <w:pPr>
        <w:ind w:left="4412" w:hanging="420"/>
      </w:pPr>
    </w:lvl>
    <w:lvl w:ilvl="8" w:tplc="0409001B" w:tentative="1">
      <w:start w:val="1"/>
      <w:numFmt w:val="lowerRoman"/>
      <w:lvlText w:val="%9."/>
      <w:lvlJc w:val="right"/>
      <w:pPr>
        <w:ind w:left="4832" w:hanging="420"/>
      </w:pPr>
    </w:lvl>
  </w:abstractNum>
  <w:abstractNum w:abstractNumId="6">
    <w:nsid w:val="24FA4941"/>
    <w:multiLevelType w:val="hybridMultilevel"/>
    <w:tmpl w:val="FF60C37C"/>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264010FD"/>
    <w:multiLevelType w:val="hybridMultilevel"/>
    <w:tmpl w:val="AD563A5A"/>
    <w:lvl w:ilvl="0" w:tplc="6DC80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9956F2"/>
    <w:multiLevelType w:val="hybridMultilevel"/>
    <w:tmpl w:val="09CC547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5106813"/>
    <w:multiLevelType w:val="hybridMultilevel"/>
    <w:tmpl w:val="75DC069E"/>
    <w:lvl w:ilvl="0" w:tplc="285839F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E14075"/>
    <w:multiLevelType w:val="hybridMultilevel"/>
    <w:tmpl w:val="0964B13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nsid w:val="5FFD4267"/>
    <w:multiLevelType w:val="hybridMultilevel"/>
    <w:tmpl w:val="B900AA56"/>
    <w:lvl w:ilvl="0" w:tplc="04090017">
      <w:start w:val="1"/>
      <w:numFmt w:val="chineseCountingThousand"/>
      <w:lvlText w:val="(%1)"/>
      <w:lvlJc w:val="left"/>
      <w:pPr>
        <w:ind w:left="1054" w:hanging="420"/>
      </w:p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2">
    <w:nsid w:val="6FC477D0"/>
    <w:multiLevelType w:val="hybridMultilevel"/>
    <w:tmpl w:val="5F9078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725159E"/>
    <w:multiLevelType w:val="hybridMultilevel"/>
    <w:tmpl w:val="7196038C"/>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780A6E9E"/>
    <w:multiLevelType w:val="hybridMultilevel"/>
    <w:tmpl w:val="E48EBAF2"/>
    <w:lvl w:ilvl="0" w:tplc="04090017">
      <w:start w:val="1"/>
      <w:numFmt w:val="chineseCountingThousand"/>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5">
    <w:nsid w:val="7C5765F7"/>
    <w:multiLevelType w:val="hybridMultilevel"/>
    <w:tmpl w:val="3A1A7D3A"/>
    <w:lvl w:ilvl="0" w:tplc="E2C2CA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15"/>
  </w:num>
  <w:num w:numId="4">
    <w:abstractNumId w:val="13"/>
  </w:num>
  <w:num w:numId="5">
    <w:abstractNumId w:val="8"/>
  </w:num>
  <w:num w:numId="6">
    <w:abstractNumId w:val="3"/>
  </w:num>
  <w:num w:numId="7">
    <w:abstractNumId w:val="12"/>
  </w:num>
  <w:num w:numId="8">
    <w:abstractNumId w:val="6"/>
  </w:num>
  <w:num w:numId="9">
    <w:abstractNumId w:val="14"/>
  </w:num>
  <w:num w:numId="10">
    <w:abstractNumId w:val="10"/>
  </w:num>
  <w:num w:numId="11">
    <w:abstractNumId w:val="4"/>
  </w:num>
  <w:num w:numId="12">
    <w:abstractNumId w:val="5"/>
  </w:num>
  <w:num w:numId="13">
    <w:abstractNumId w:val="11"/>
  </w:num>
  <w:num w:numId="14">
    <w:abstractNumId w:val="7"/>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03"/>
  <w:drawingGridVerticalSpacing w:val="579"/>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074"/>
    <w:rsid w:val="00011ACC"/>
    <w:rsid w:val="000160C1"/>
    <w:rsid w:val="00024FED"/>
    <w:rsid w:val="0002677C"/>
    <w:rsid w:val="00030B3E"/>
    <w:rsid w:val="00033517"/>
    <w:rsid w:val="00064443"/>
    <w:rsid w:val="00073799"/>
    <w:rsid w:val="00073873"/>
    <w:rsid w:val="0009218F"/>
    <w:rsid w:val="000A1A3C"/>
    <w:rsid w:val="000A7C9A"/>
    <w:rsid w:val="000B68FC"/>
    <w:rsid w:val="000D15C5"/>
    <w:rsid w:val="00104D64"/>
    <w:rsid w:val="00122588"/>
    <w:rsid w:val="00130F02"/>
    <w:rsid w:val="00133483"/>
    <w:rsid w:val="00172144"/>
    <w:rsid w:val="00176778"/>
    <w:rsid w:val="001A00F8"/>
    <w:rsid w:val="001A4D26"/>
    <w:rsid w:val="001A6C56"/>
    <w:rsid w:val="001D6D69"/>
    <w:rsid w:val="001E20CC"/>
    <w:rsid w:val="001F5A61"/>
    <w:rsid w:val="002019DC"/>
    <w:rsid w:val="00202C52"/>
    <w:rsid w:val="00212A55"/>
    <w:rsid w:val="002152DF"/>
    <w:rsid w:val="00220D4A"/>
    <w:rsid w:val="00223892"/>
    <w:rsid w:val="00227FEA"/>
    <w:rsid w:val="00240773"/>
    <w:rsid w:val="00266DDD"/>
    <w:rsid w:val="00272F13"/>
    <w:rsid w:val="0029027B"/>
    <w:rsid w:val="002A7062"/>
    <w:rsid w:val="002C3D99"/>
    <w:rsid w:val="002C69CB"/>
    <w:rsid w:val="002E6C2E"/>
    <w:rsid w:val="003000FD"/>
    <w:rsid w:val="00316E47"/>
    <w:rsid w:val="0033742F"/>
    <w:rsid w:val="003450B9"/>
    <w:rsid w:val="00351A1A"/>
    <w:rsid w:val="0035682F"/>
    <w:rsid w:val="00356D1E"/>
    <w:rsid w:val="00372E3E"/>
    <w:rsid w:val="00375DF3"/>
    <w:rsid w:val="003838D9"/>
    <w:rsid w:val="00384094"/>
    <w:rsid w:val="0038669A"/>
    <w:rsid w:val="00397FB7"/>
    <w:rsid w:val="003A2C5B"/>
    <w:rsid w:val="003A3FC9"/>
    <w:rsid w:val="003B1F63"/>
    <w:rsid w:val="003B53B7"/>
    <w:rsid w:val="003D2F66"/>
    <w:rsid w:val="003D4C75"/>
    <w:rsid w:val="003D53A7"/>
    <w:rsid w:val="0040040D"/>
    <w:rsid w:val="00406380"/>
    <w:rsid w:val="00421DE3"/>
    <w:rsid w:val="00440035"/>
    <w:rsid w:val="004441B8"/>
    <w:rsid w:val="00465004"/>
    <w:rsid w:val="00493BFF"/>
    <w:rsid w:val="004A62C6"/>
    <w:rsid w:val="004A7411"/>
    <w:rsid w:val="004A7836"/>
    <w:rsid w:val="004C5FC8"/>
    <w:rsid w:val="004F1AF7"/>
    <w:rsid w:val="00526E22"/>
    <w:rsid w:val="005312CE"/>
    <w:rsid w:val="00564DB6"/>
    <w:rsid w:val="0057771F"/>
    <w:rsid w:val="005A7AF4"/>
    <w:rsid w:val="005B2B1B"/>
    <w:rsid w:val="005C0361"/>
    <w:rsid w:val="005C6A17"/>
    <w:rsid w:val="005E7060"/>
    <w:rsid w:val="00607BC4"/>
    <w:rsid w:val="006164AC"/>
    <w:rsid w:val="0062244D"/>
    <w:rsid w:val="00627909"/>
    <w:rsid w:val="00650AF8"/>
    <w:rsid w:val="006662FF"/>
    <w:rsid w:val="00667D29"/>
    <w:rsid w:val="00676716"/>
    <w:rsid w:val="00683C68"/>
    <w:rsid w:val="00692A32"/>
    <w:rsid w:val="00696998"/>
    <w:rsid w:val="006A10D2"/>
    <w:rsid w:val="006A15FE"/>
    <w:rsid w:val="006A7E39"/>
    <w:rsid w:val="006B44D0"/>
    <w:rsid w:val="006C6C3A"/>
    <w:rsid w:val="006D20E7"/>
    <w:rsid w:val="006E04DB"/>
    <w:rsid w:val="006E577A"/>
    <w:rsid w:val="006E7161"/>
    <w:rsid w:val="00743013"/>
    <w:rsid w:val="00744002"/>
    <w:rsid w:val="00751D3C"/>
    <w:rsid w:val="00776F79"/>
    <w:rsid w:val="0077727B"/>
    <w:rsid w:val="00785403"/>
    <w:rsid w:val="00787A6E"/>
    <w:rsid w:val="007A1398"/>
    <w:rsid w:val="007A672B"/>
    <w:rsid w:val="007E1CE1"/>
    <w:rsid w:val="007F758C"/>
    <w:rsid w:val="007F786B"/>
    <w:rsid w:val="007F7E3A"/>
    <w:rsid w:val="00802764"/>
    <w:rsid w:val="00810950"/>
    <w:rsid w:val="0081222E"/>
    <w:rsid w:val="008206A1"/>
    <w:rsid w:val="00826A67"/>
    <w:rsid w:val="00836503"/>
    <w:rsid w:val="008433BF"/>
    <w:rsid w:val="00866A73"/>
    <w:rsid w:val="00867700"/>
    <w:rsid w:val="0088341A"/>
    <w:rsid w:val="008A137C"/>
    <w:rsid w:val="008A310D"/>
    <w:rsid w:val="008A76D2"/>
    <w:rsid w:val="008B5944"/>
    <w:rsid w:val="008B770F"/>
    <w:rsid w:val="008C5017"/>
    <w:rsid w:val="008F505E"/>
    <w:rsid w:val="009073F3"/>
    <w:rsid w:val="00912C9B"/>
    <w:rsid w:val="00920AF8"/>
    <w:rsid w:val="00921C19"/>
    <w:rsid w:val="00931B39"/>
    <w:rsid w:val="00936809"/>
    <w:rsid w:val="009409EF"/>
    <w:rsid w:val="00943309"/>
    <w:rsid w:val="009501F4"/>
    <w:rsid w:val="00963B39"/>
    <w:rsid w:val="0098601C"/>
    <w:rsid w:val="009A0485"/>
    <w:rsid w:val="009D681B"/>
    <w:rsid w:val="009E6FEE"/>
    <w:rsid w:val="009F0FE2"/>
    <w:rsid w:val="009F1779"/>
    <w:rsid w:val="009F6037"/>
    <w:rsid w:val="00A062F2"/>
    <w:rsid w:val="00A11D27"/>
    <w:rsid w:val="00A246AB"/>
    <w:rsid w:val="00A426CE"/>
    <w:rsid w:val="00A442B4"/>
    <w:rsid w:val="00A57161"/>
    <w:rsid w:val="00A8346D"/>
    <w:rsid w:val="00A86B88"/>
    <w:rsid w:val="00AA1865"/>
    <w:rsid w:val="00AC40BF"/>
    <w:rsid w:val="00AF7EB8"/>
    <w:rsid w:val="00B02C4D"/>
    <w:rsid w:val="00B054A2"/>
    <w:rsid w:val="00B11191"/>
    <w:rsid w:val="00B119F6"/>
    <w:rsid w:val="00B4679A"/>
    <w:rsid w:val="00B50566"/>
    <w:rsid w:val="00B70E2C"/>
    <w:rsid w:val="00B7316C"/>
    <w:rsid w:val="00B86D9A"/>
    <w:rsid w:val="00BA6FB3"/>
    <w:rsid w:val="00BB2BA5"/>
    <w:rsid w:val="00BC4558"/>
    <w:rsid w:val="00BD4136"/>
    <w:rsid w:val="00BF07A2"/>
    <w:rsid w:val="00BF53E5"/>
    <w:rsid w:val="00C00804"/>
    <w:rsid w:val="00C155A9"/>
    <w:rsid w:val="00C36780"/>
    <w:rsid w:val="00C43775"/>
    <w:rsid w:val="00C53B1F"/>
    <w:rsid w:val="00C57B66"/>
    <w:rsid w:val="00C62F4B"/>
    <w:rsid w:val="00C64B24"/>
    <w:rsid w:val="00C670ED"/>
    <w:rsid w:val="00C77D46"/>
    <w:rsid w:val="00CA2BD3"/>
    <w:rsid w:val="00CA4A76"/>
    <w:rsid w:val="00CC2DDB"/>
    <w:rsid w:val="00CD4074"/>
    <w:rsid w:val="00CD4A97"/>
    <w:rsid w:val="00CE713B"/>
    <w:rsid w:val="00D00674"/>
    <w:rsid w:val="00D534B6"/>
    <w:rsid w:val="00D70964"/>
    <w:rsid w:val="00D74B0E"/>
    <w:rsid w:val="00D81E77"/>
    <w:rsid w:val="00D84C55"/>
    <w:rsid w:val="00DD51C5"/>
    <w:rsid w:val="00DE0A11"/>
    <w:rsid w:val="00DE601C"/>
    <w:rsid w:val="00DE78DA"/>
    <w:rsid w:val="00DF5982"/>
    <w:rsid w:val="00E06A80"/>
    <w:rsid w:val="00E07D9B"/>
    <w:rsid w:val="00E13ACD"/>
    <w:rsid w:val="00E27018"/>
    <w:rsid w:val="00E30A4B"/>
    <w:rsid w:val="00E330D6"/>
    <w:rsid w:val="00E33E01"/>
    <w:rsid w:val="00E469D2"/>
    <w:rsid w:val="00E8752B"/>
    <w:rsid w:val="00EA115F"/>
    <w:rsid w:val="00EB25AA"/>
    <w:rsid w:val="00EB51BA"/>
    <w:rsid w:val="00ED5DFB"/>
    <w:rsid w:val="00F10DCC"/>
    <w:rsid w:val="00F320F5"/>
    <w:rsid w:val="00F33C6A"/>
    <w:rsid w:val="00F540D2"/>
    <w:rsid w:val="00F637CD"/>
    <w:rsid w:val="00F84F0C"/>
    <w:rsid w:val="00FB4DC5"/>
    <w:rsid w:val="00FD78EE"/>
    <w:rsid w:val="00FE7052"/>
    <w:rsid w:val="00FF302F"/>
    <w:rsid w:val="00FF4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074"/>
    <w:pPr>
      <w:widowControl w:val="0"/>
      <w:jc w:val="both"/>
    </w:pPr>
    <w:rPr>
      <w:kern w:val="2"/>
      <w:sz w:val="21"/>
      <w:szCs w:val="24"/>
    </w:rPr>
  </w:style>
  <w:style w:type="paragraph" w:styleId="1">
    <w:name w:val="heading 1"/>
    <w:basedOn w:val="a"/>
    <w:next w:val="a"/>
    <w:link w:val="1Char"/>
    <w:qFormat/>
    <w:rsid w:val="008122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81222E"/>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1222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1222E"/>
    <w:rPr>
      <w:b/>
      <w:bCs/>
      <w:kern w:val="44"/>
      <w:sz w:val="44"/>
      <w:szCs w:val="44"/>
    </w:rPr>
  </w:style>
  <w:style w:type="character" w:customStyle="1" w:styleId="2Char">
    <w:name w:val="标题 2 Char"/>
    <w:link w:val="2"/>
    <w:rsid w:val="0081222E"/>
    <w:rPr>
      <w:rFonts w:ascii="Arial" w:eastAsia="黑体" w:hAnsi="Arial" w:cs="Arial"/>
      <w:b/>
      <w:bCs/>
      <w:kern w:val="2"/>
      <w:sz w:val="32"/>
      <w:szCs w:val="32"/>
    </w:rPr>
  </w:style>
  <w:style w:type="character" w:customStyle="1" w:styleId="3Char">
    <w:name w:val="标题 3 Char"/>
    <w:link w:val="3"/>
    <w:rsid w:val="0081222E"/>
    <w:rPr>
      <w:b/>
      <w:bCs/>
      <w:kern w:val="2"/>
      <w:sz w:val="32"/>
      <w:szCs w:val="32"/>
    </w:rPr>
  </w:style>
  <w:style w:type="paragraph" w:styleId="a3">
    <w:name w:val="Balloon Text"/>
    <w:basedOn w:val="a"/>
    <w:rsid w:val="00CD4074"/>
    <w:rPr>
      <w:sz w:val="18"/>
      <w:szCs w:val="18"/>
    </w:rPr>
  </w:style>
  <w:style w:type="paragraph" w:styleId="a4">
    <w:name w:val="Body Text Indent"/>
    <w:basedOn w:val="a"/>
    <w:rsid w:val="00CD4074"/>
    <w:pPr>
      <w:spacing w:line="480" w:lineRule="auto"/>
      <w:ind w:firstLine="480"/>
      <w:jc w:val="left"/>
    </w:pPr>
    <w:rPr>
      <w:rFonts w:ascii="宋体" w:hAnsi="宋体"/>
      <w:color w:val="000000"/>
      <w:sz w:val="28"/>
      <w:szCs w:val="28"/>
    </w:rPr>
  </w:style>
  <w:style w:type="paragraph" w:styleId="a5">
    <w:name w:val="Body Text"/>
    <w:basedOn w:val="a"/>
    <w:link w:val="Char"/>
    <w:rsid w:val="0040040D"/>
    <w:pPr>
      <w:spacing w:after="120"/>
    </w:pPr>
  </w:style>
  <w:style w:type="character" w:customStyle="1" w:styleId="Char">
    <w:name w:val="正文文本 Char"/>
    <w:link w:val="a5"/>
    <w:rsid w:val="0040040D"/>
    <w:rPr>
      <w:rFonts w:eastAsia="宋体"/>
      <w:kern w:val="2"/>
      <w:sz w:val="21"/>
      <w:szCs w:val="24"/>
      <w:lang w:val="en-US" w:eastAsia="zh-CN" w:bidi="ar-SA"/>
    </w:rPr>
  </w:style>
  <w:style w:type="paragraph" w:styleId="a6">
    <w:name w:val="footer"/>
    <w:basedOn w:val="a"/>
    <w:link w:val="Char0"/>
    <w:rsid w:val="00B50566"/>
    <w:pPr>
      <w:tabs>
        <w:tab w:val="center" w:pos="4153"/>
        <w:tab w:val="right" w:pos="8306"/>
      </w:tabs>
      <w:snapToGrid w:val="0"/>
      <w:jc w:val="left"/>
    </w:pPr>
    <w:rPr>
      <w:sz w:val="18"/>
      <w:szCs w:val="18"/>
    </w:rPr>
  </w:style>
  <w:style w:type="character" w:customStyle="1" w:styleId="Char0">
    <w:name w:val="页脚 Char"/>
    <w:link w:val="a6"/>
    <w:rsid w:val="00B50566"/>
    <w:rPr>
      <w:rFonts w:eastAsia="宋体"/>
      <w:kern w:val="2"/>
      <w:sz w:val="18"/>
      <w:szCs w:val="18"/>
      <w:lang w:val="en-US" w:eastAsia="zh-CN" w:bidi="ar-SA"/>
    </w:rPr>
  </w:style>
  <w:style w:type="character" w:styleId="a7">
    <w:name w:val="page number"/>
    <w:basedOn w:val="a0"/>
    <w:rsid w:val="00B50566"/>
  </w:style>
  <w:style w:type="paragraph" w:styleId="a8">
    <w:name w:val="Normal (Web)"/>
    <w:basedOn w:val="a"/>
    <w:rsid w:val="00B50566"/>
    <w:pPr>
      <w:widowControl/>
      <w:spacing w:before="100" w:beforeAutospacing="1" w:after="100" w:afterAutospacing="1" w:line="400" w:lineRule="atLeast"/>
      <w:jc w:val="left"/>
    </w:pPr>
    <w:rPr>
      <w:rFonts w:ascii="宋体" w:hAnsi="宋体"/>
      <w:color w:val="000000"/>
      <w:kern w:val="0"/>
      <w:szCs w:val="21"/>
    </w:rPr>
  </w:style>
  <w:style w:type="paragraph" w:styleId="a9">
    <w:name w:val="header"/>
    <w:basedOn w:val="a"/>
    <w:link w:val="Char1"/>
    <w:uiPriority w:val="99"/>
    <w:rsid w:val="00B5056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rsid w:val="0081222E"/>
    <w:rPr>
      <w:kern w:val="2"/>
      <w:sz w:val="18"/>
      <w:szCs w:val="18"/>
    </w:rPr>
  </w:style>
  <w:style w:type="character" w:styleId="aa">
    <w:name w:val="Hyperlink"/>
    <w:rsid w:val="00C36780"/>
    <w:rPr>
      <w:color w:val="0000FF"/>
      <w:u w:val="single"/>
    </w:rPr>
  </w:style>
  <w:style w:type="table" w:styleId="ab">
    <w:name w:val="Table Grid"/>
    <w:basedOn w:val="a1"/>
    <w:rsid w:val="00936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
    <w:name w:val="Char"/>
    <w:basedOn w:val="a"/>
    <w:autoRedefine/>
    <w:rsid w:val="0029027B"/>
    <w:pPr>
      <w:widowControl/>
      <w:spacing w:after="160" w:line="240" w:lineRule="exact"/>
      <w:jc w:val="left"/>
    </w:pPr>
    <w:rPr>
      <w:rFonts w:ascii="Verdana" w:eastAsia="仿宋_GB2312" w:hAnsi="Verdana"/>
      <w:spacing w:val="-4"/>
      <w:kern w:val="0"/>
      <w:sz w:val="24"/>
      <w:szCs w:val="20"/>
      <w:lang w:eastAsia="en-US"/>
    </w:rPr>
  </w:style>
  <w:style w:type="paragraph" w:styleId="ac">
    <w:name w:val="Date"/>
    <w:basedOn w:val="a"/>
    <w:next w:val="a"/>
    <w:link w:val="Char3"/>
    <w:rsid w:val="00212A55"/>
    <w:pPr>
      <w:ind w:leftChars="2500" w:left="100"/>
    </w:pPr>
  </w:style>
  <w:style w:type="character" w:customStyle="1" w:styleId="Char3">
    <w:name w:val="日期 Char"/>
    <w:link w:val="ac"/>
    <w:rsid w:val="0081222E"/>
    <w:rPr>
      <w:kern w:val="2"/>
      <w:sz w:val="21"/>
      <w:szCs w:val="24"/>
    </w:rPr>
  </w:style>
  <w:style w:type="paragraph" w:styleId="ad">
    <w:name w:val="List Paragraph"/>
    <w:basedOn w:val="a"/>
    <w:qFormat/>
    <w:rsid w:val="00E07D9B"/>
    <w:pPr>
      <w:ind w:firstLineChars="200" w:firstLine="420"/>
    </w:pPr>
    <w:rPr>
      <w:rFonts w:ascii="Calibri" w:hAnsi="Calibri"/>
      <w:szCs w:val="22"/>
    </w:rPr>
  </w:style>
  <w:style w:type="paragraph" w:customStyle="1" w:styleId="ae">
    <w:name w:val="节"/>
    <w:basedOn w:val="a"/>
    <w:rsid w:val="0081222E"/>
    <w:pPr>
      <w:spacing w:beforeLines="100" w:afterLines="100" w:line="300" w:lineRule="auto"/>
      <w:jc w:val="center"/>
      <w:outlineLvl w:val="1"/>
    </w:pPr>
    <w:rPr>
      <w:b/>
      <w:bCs/>
      <w:sz w:val="24"/>
    </w:rPr>
  </w:style>
  <w:style w:type="character" w:customStyle="1" w:styleId="CharChar">
    <w:name w:val="文本内容 Char Char"/>
    <w:link w:val="af"/>
    <w:rsid w:val="0081222E"/>
    <w:rPr>
      <w:rFonts w:eastAsia="新宋体"/>
      <w:kern w:val="2"/>
      <w:sz w:val="24"/>
      <w:szCs w:val="24"/>
    </w:rPr>
  </w:style>
  <w:style w:type="paragraph" w:customStyle="1" w:styleId="af">
    <w:name w:val="文本内容"/>
    <w:basedOn w:val="a"/>
    <w:next w:val="a"/>
    <w:link w:val="CharChar"/>
    <w:rsid w:val="0081222E"/>
    <w:pPr>
      <w:tabs>
        <w:tab w:val="num" w:pos="360"/>
      </w:tabs>
      <w:spacing w:line="360" w:lineRule="auto"/>
      <w:ind w:firstLineChars="200" w:firstLine="480"/>
    </w:pPr>
    <w:rPr>
      <w:rFonts w:eastAsia="新宋体"/>
      <w:sz w:val="24"/>
    </w:rPr>
  </w:style>
  <w:style w:type="character" w:styleId="af0">
    <w:name w:val="annotation reference"/>
    <w:rsid w:val="0081222E"/>
    <w:rPr>
      <w:sz w:val="21"/>
      <w:szCs w:val="21"/>
    </w:rPr>
  </w:style>
  <w:style w:type="character" w:styleId="af1">
    <w:name w:val="footnote reference"/>
    <w:rsid w:val="0081222E"/>
    <w:rPr>
      <w:vertAlign w:val="superscript"/>
    </w:rPr>
  </w:style>
  <w:style w:type="paragraph" w:customStyle="1" w:styleId="CharChar1CharCharCharCharCharCharCharChar1">
    <w:name w:val="Char Char1 Char Char Char Char Char Char Char Char1"/>
    <w:basedOn w:val="a"/>
    <w:rsid w:val="0081222E"/>
    <w:pPr>
      <w:widowControl/>
      <w:spacing w:after="160" w:line="240" w:lineRule="exact"/>
      <w:jc w:val="left"/>
    </w:pPr>
    <w:rPr>
      <w:rFonts w:ascii="Verdana" w:hAnsi="Verdana" w:cs="Verdana"/>
      <w:kern w:val="0"/>
      <w:sz w:val="20"/>
      <w:szCs w:val="20"/>
      <w:lang w:eastAsia="en-US"/>
    </w:rPr>
  </w:style>
  <w:style w:type="paragraph" w:styleId="8">
    <w:name w:val="toc 8"/>
    <w:basedOn w:val="a"/>
    <w:next w:val="a"/>
    <w:rsid w:val="0081222E"/>
    <w:pPr>
      <w:ind w:left="1470"/>
      <w:jc w:val="left"/>
    </w:pPr>
    <w:rPr>
      <w:sz w:val="18"/>
      <w:szCs w:val="18"/>
    </w:rPr>
  </w:style>
  <w:style w:type="paragraph" w:customStyle="1" w:styleId="10">
    <w:name w:val="样式1"/>
    <w:basedOn w:val="a"/>
    <w:rsid w:val="0081222E"/>
    <w:pPr>
      <w:widowControl/>
      <w:spacing w:line="288" w:lineRule="auto"/>
      <w:jc w:val="left"/>
    </w:pPr>
    <w:rPr>
      <w:rFonts w:hAnsi="宋体" w:cs="宋体"/>
      <w:kern w:val="0"/>
      <w:sz w:val="18"/>
      <w:szCs w:val="18"/>
    </w:rPr>
  </w:style>
  <w:style w:type="paragraph" w:customStyle="1" w:styleId="af2">
    <w:name w:val="条文"/>
    <w:basedOn w:val="a"/>
    <w:rsid w:val="0081222E"/>
    <w:pPr>
      <w:spacing w:line="300" w:lineRule="auto"/>
      <w:outlineLvl w:val="2"/>
    </w:pPr>
    <w:rPr>
      <w:sz w:val="24"/>
    </w:rPr>
  </w:style>
  <w:style w:type="paragraph" w:styleId="af3">
    <w:name w:val="annotation text"/>
    <w:basedOn w:val="a"/>
    <w:link w:val="Char4"/>
    <w:rsid w:val="0081222E"/>
    <w:pPr>
      <w:jc w:val="left"/>
    </w:pPr>
    <w:rPr>
      <w:szCs w:val="21"/>
    </w:rPr>
  </w:style>
  <w:style w:type="character" w:customStyle="1" w:styleId="Char4">
    <w:name w:val="批注文字 Char"/>
    <w:link w:val="af3"/>
    <w:rsid w:val="0081222E"/>
    <w:rPr>
      <w:kern w:val="2"/>
      <w:sz w:val="21"/>
      <w:szCs w:val="21"/>
    </w:rPr>
  </w:style>
  <w:style w:type="paragraph" w:customStyle="1" w:styleId="CharCharCharChar">
    <w:name w:val="Char Char Char Char"/>
    <w:basedOn w:val="a"/>
    <w:rsid w:val="0081222E"/>
    <w:rPr>
      <w:rFonts w:ascii="Tahoma" w:hAnsi="Tahoma" w:cs="Tahoma"/>
      <w:sz w:val="24"/>
    </w:rPr>
  </w:style>
  <w:style w:type="paragraph" w:styleId="af4">
    <w:name w:val="caption"/>
    <w:basedOn w:val="a"/>
    <w:next w:val="a"/>
    <w:qFormat/>
    <w:rsid w:val="0081222E"/>
    <w:rPr>
      <w:rFonts w:ascii="Arial" w:eastAsia="黑体" w:hAnsi="Arial" w:cs="Arial"/>
      <w:sz w:val="20"/>
      <w:szCs w:val="20"/>
    </w:rPr>
  </w:style>
  <w:style w:type="paragraph" w:styleId="4">
    <w:name w:val="toc 4"/>
    <w:basedOn w:val="a"/>
    <w:next w:val="a"/>
    <w:rsid w:val="0081222E"/>
    <w:pPr>
      <w:ind w:left="630"/>
      <w:jc w:val="left"/>
    </w:pPr>
    <w:rPr>
      <w:sz w:val="18"/>
      <w:szCs w:val="18"/>
    </w:rPr>
  </w:style>
  <w:style w:type="paragraph" w:styleId="6">
    <w:name w:val="toc 6"/>
    <w:basedOn w:val="a"/>
    <w:next w:val="a"/>
    <w:rsid w:val="0081222E"/>
    <w:pPr>
      <w:ind w:left="1050"/>
      <w:jc w:val="left"/>
    </w:pPr>
    <w:rPr>
      <w:sz w:val="18"/>
      <w:szCs w:val="18"/>
    </w:rPr>
  </w:style>
  <w:style w:type="paragraph" w:styleId="9">
    <w:name w:val="toc 9"/>
    <w:basedOn w:val="a"/>
    <w:next w:val="a"/>
    <w:rsid w:val="0081222E"/>
    <w:pPr>
      <w:ind w:left="1680"/>
      <w:jc w:val="left"/>
    </w:pPr>
    <w:rPr>
      <w:sz w:val="18"/>
      <w:szCs w:val="18"/>
    </w:rPr>
  </w:style>
  <w:style w:type="paragraph" w:customStyle="1" w:styleId="Af5">
    <w:name w:val="编号样式A"/>
    <w:basedOn w:val="a"/>
    <w:next w:val="a"/>
    <w:rsid w:val="0081222E"/>
    <w:pPr>
      <w:tabs>
        <w:tab w:val="left" w:pos="210"/>
      </w:tabs>
      <w:spacing w:line="360" w:lineRule="auto"/>
      <w:ind w:left="210" w:hanging="210"/>
    </w:pPr>
    <w:rPr>
      <w:rFonts w:eastAsia="新宋体"/>
      <w:sz w:val="24"/>
    </w:rPr>
  </w:style>
  <w:style w:type="paragraph" w:styleId="af6">
    <w:name w:val="Document Map"/>
    <w:basedOn w:val="a"/>
    <w:link w:val="Char5"/>
    <w:rsid w:val="0081222E"/>
    <w:pPr>
      <w:shd w:val="clear" w:color="auto" w:fill="000080"/>
    </w:pPr>
    <w:rPr>
      <w:szCs w:val="21"/>
    </w:rPr>
  </w:style>
  <w:style w:type="character" w:customStyle="1" w:styleId="Char5">
    <w:name w:val="文档结构图 Char"/>
    <w:link w:val="af6"/>
    <w:rsid w:val="0081222E"/>
    <w:rPr>
      <w:kern w:val="2"/>
      <w:sz w:val="21"/>
      <w:szCs w:val="21"/>
      <w:shd w:val="clear" w:color="auto" w:fill="000080"/>
    </w:rPr>
  </w:style>
  <w:style w:type="paragraph" w:customStyle="1" w:styleId="CharChar1CharCharCharCharCharCharCharChar">
    <w:name w:val="Char Char1 Char Char Char Char Char Char Char Char"/>
    <w:basedOn w:val="a"/>
    <w:rsid w:val="0081222E"/>
    <w:pPr>
      <w:widowControl/>
      <w:spacing w:after="160" w:line="240" w:lineRule="exact"/>
      <w:jc w:val="left"/>
    </w:pPr>
    <w:rPr>
      <w:rFonts w:ascii="Verdana" w:hAnsi="Verdana" w:cs="Verdana"/>
      <w:kern w:val="0"/>
      <w:sz w:val="20"/>
      <w:szCs w:val="20"/>
      <w:lang w:eastAsia="en-US"/>
    </w:rPr>
  </w:style>
  <w:style w:type="paragraph" w:customStyle="1" w:styleId="CharCharCharCharCharCharChar">
    <w:name w:val="Char Char Char Char Char Char Char"/>
    <w:basedOn w:val="a"/>
    <w:rsid w:val="0081222E"/>
    <w:pPr>
      <w:widowControl/>
      <w:spacing w:after="160" w:line="240" w:lineRule="exact"/>
      <w:jc w:val="left"/>
    </w:pPr>
    <w:rPr>
      <w:rFonts w:ascii="Arial" w:eastAsia="Times New Roman" w:hAnsi="Arial" w:cs="Verdana"/>
      <w:b/>
      <w:kern w:val="0"/>
      <w:sz w:val="24"/>
      <w:lang w:eastAsia="en-US"/>
    </w:rPr>
  </w:style>
  <w:style w:type="paragraph" w:customStyle="1" w:styleId="af7">
    <w:name w:val="文本"/>
    <w:basedOn w:val="a"/>
    <w:rsid w:val="0081222E"/>
    <w:pPr>
      <w:widowControl/>
      <w:spacing w:line="300" w:lineRule="auto"/>
      <w:ind w:firstLineChars="209" w:firstLine="439"/>
    </w:pPr>
    <w:rPr>
      <w:color w:val="000000"/>
      <w:szCs w:val="21"/>
    </w:rPr>
  </w:style>
  <w:style w:type="paragraph" w:styleId="20">
    <w:name w:val="toc 2"/>
    <w:basedOn w:val="a"/>
    <w:next w:val="a"/>
    <w:rsid w:val="0081222E"/>
    <w:pPr>
      <w:tabs>
        <w:tab w:val="right" w:leader="dot" w:pos="9436"/>
      </w:tabs>
      <w:spacing w:line="480" w:lineRule="auto"/>
      <w:ind w:left="210"/>
      <w:jc w:val="left"/>
    </w:pPr>
    <w:rPr>
      <w:smallCaps/>
      <w:szCs w:val="21"/>
    </w:rPr>
  </w:style>
  <w:style w:type="paragraph" w:styleId="5">
    <w:name w:val="toc 5"/>
    <w:basedOn w:val="a"/>
    <w:next w:val="a"/>
    <w:rsid w:val="0081222E"/>
    <w:pPr>
      <w:ind w:left="840"/>
      <w:jc w:val="left"/>
    </w:pPr>
    <w:rPr>
      <w:sz w:val="18"/>
      <w:szCs w:val="18"/>
    </w:rPr>
  </w:style>
  <w:style w:type="paragraph" w:styleId="11">
    <w:name w:val="toc 1"/>
    <w:basedOn w:val="a"/>
    <w:next w:val="a"/>
    <w:rsid w:val="0081222E"/>
    <w:pPr>
      <w:tabs>
        <w:tab w:val="left" w:pos="630"/>
        <w:tab w:val="right" w:leader="dot" w:pos="9436"/>
      </w:tabs>
      <w:spacing w:before="120" w:after="120" w:line="480" w:lineRule="auto"/>
      <w:jc w:val="center"/>
    </w:pPr>
    <w:rPr>
      <w:b/>
      <w:bCs/>
      <w:caps/>
      <w:sz w:val="24"/>
    </w:rPr>
  </w:style>
  <w:style w:type="paragraph" w:styleId="30">
    <w:name w:val="toc 3"/>
    <w:basedOn w:val="a"/>
    <w:next w:val="a"/>
    <w:rsid w:val="0081222E"/>
    <w:pPr>
      <w:ind w:left="420"/>
      <w:jc w:val="left"/>
    </w:pPr>
    <w:rPr>
      <w:i/>
      <w:iCs/>
      <w:sz w:val="20"/>
      <w:szCs w:val="20"/>
    </w:rPr>
  </w:style>
  <w:style w:type="paragraph" w:styleId="af8">
    <w:name w:val="footnote text"/>
    <w:basedOn w:val="a"/>
    <w:link w:val="Char6"/>
    <w:rsid w:val="0081222E"/>
    <w:pPr>
      <w:snapToGrid w:val="0"/>
      <w:jc w:val="left"/>
    </w:pPr>
    <w:rPr>
      <w:sz w:val="18"/>
      <w:szCs w:val="18"/>
    </w:rPr>
  </w:style>
  <w:style w:type="character" w:customStyle="1" w:styleId="Char6">
    <w:name w:val="脚注文本 Char"/>
    <w:link w:val="af8"/>
    <w:rsid w:val="0081222E"/>
    <w:rPr>
      <w:kern w:val="2"/>
      <w:sz w:val="18"/>
      <w:szCs w:val="18"/>
    </w:rPr>
  </w:style>
  <w:style w:type="paragraph" w:styleId="7">
    <w:name w:val="toc 7"/>
    <w:basedOn w:val="a"/>
    <w:next w:val="a"/>
    <w:rsid w:val="0081222E"/>
    <w:pPr>
      <w:ind w:left="1260"/>
      <w:jc w:val="left"/>
    </w:pPr>
    <w:rPr>
      <w:sz w:val="18"/>
      <w:szCs w:val="18"/>
    </w:rPr>
  </w:style>
  <w:style w:type="paragraph" w:styleId="af9">
    <w:name w:val="annotation subject"/>
    <w:basedOn w:val="af3"/>
    <w:next w:val="af3"/>
    <w:link w:val="Char7"/>
    <w:rsid w:val="0081222E"/>
    <w:rPr>
      <w:b/>
      <w:bCs/>
    </w:rPr>
  </w:style>
  <w:style w:type="character" w:customStyle="1" w:styleId="Char7">
    <w:name w:val="批注主题 Char"/>
    <w:link w:val="af9"/>
    <w:rsid w:val="0081222E"/>
    <w:rPr>
      <w:b/>
      <w:bCs/>
      <w:kern w:val="2"/>
      <w:sz w:val="21"/>
      <w:szCs w:val="21"/>
    </w:rPr>
  </w:style>
  <w:style w:type="paragraph" w:customStyle="1" w:styleId="afa">
    <w:name w:val="段落正文"/>
    <w:basedOn w:val="a"/>
    <w:rsid w:val="0081222E"/>
    <w:pPr>
      <w:spacing w:line="300" w:lineRule="auto"/>
      <w:ind w:firstLineChars="200" w:firstLine="482"/>
    </w:pPr>
    <w:rPr>
      <w:sz w:val="24"/>
    </w:rPr>
  </w:style>
  <w:style w:type="paragraph" w:customStyle="1" w:styleId="CharChar0">
    <w:name w:val="Char Char"/>
    <w:basedOn w:val="a"/>
    <w:autoRedefine/>
    <w:rsid w:val="0081222E"/>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divs>
    <w:div w:id="1276790981">
      <w:bodyDiv w:val="1"/>
      <w:marLeft w:val="0"/>
      <w:marRight w:val="0"/>
      <w:marTop w:val="0"/>
      <w:marBottom w:val="0"/>
      <w:divBdr>
        <w:top w:val="none" w:sz="0" w:space="0" w:color="auto"/>
        <w:left w:val="none" w:sz="0" w:space="0" w:color="auto"/>
        <w:bottom w:val="none" w:sz="0" w:space="0" w:color="auto"/>
        <w:right w:val="none" w:sz="0" w:space="0" w:color="auto"/>
      </w:divBdr>
    </w:div>
    <w:div w:id="1882278573">
      <w:bodyDiv w:val="1"/>
      <w:marLeft w:val="0"/>
      <w:marRight w:val="0"/>
      <w:marTop w:val="0"/>
      <w:marBottom w:val="0"/>
      <w:divBdr>
        <w:top w:val="none" w:sz="0" w:space="0" w:color="auto"/>
        <w:left w:val="none" w:sz="0" w:space="0" w:color="auto"/>
        <w:bottom w:val="none" w:sz="0" w:space="0" w:color="auto"/>
        <w:right w:val="none" w:sz="0" w:space="0" w:color="auto"/>
      </w:divBdr>
    </w:div>
    <w:div w:id="1887449015">
      <w:bodyDiv w:val="1"/>
      <w:marLeft w:val="0"/>
      <w:marRight w:val="0"/>
      <w:marTop w:val="0"/>
      <w:marBottom w:val="0"/>
      <w:divBdr>
        <w:top w:val="none" w:sz="0" w:space="0" w:color="auto"/>
        <w:left w:val="none" w:sz="0" w:space="0" w:color="auto"/>
        <w:bottom w:val="none" w:sz="0" w:space="0" w:color="auto"/>
        <w:right w:val="none" w:sz="0" w:space="0" w:color="auto"/>
      </w:divBdr>
    </w:div>
    <w:div w:id="2119834871">
      <w:bodyDiv w:val="1"/>
      <w:marLeft w:val="0"/>
      <w:marRight w:val="0"/>
      <w:marTop w:val="0"/>
      <w:marBottom w:val="0"/>
      <w:divBdr>
        <w:top w:val="none" w:sz="0" w:space="0" w:color="auto"/>
        <w:left w:val="none" w:sz="0" w:space="0" w:color="auto"/>
        <w:bottom w:val="none" w:sz="0" w:space="0" w:color="auto"/>
        <w:right w:val="none" w:sz="0" w:space="0" w:color="auto"/>
      </w:divBdr>
    </w:div>
    <w:div w:id="21248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ou.com/sogoupedia?query=%C9%EE%DB%DA%CA%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sk.com/n?k=&#30002;&#3727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1653</Words>
  <Characters>9427</Characters>
  <Application>Microsoft Office Word</Application>
  <DocSecurity>0</DocSecurity>
  <Lines>78</Lines>
  <Paragraphs>22</Paragraphs>
  <ScaleCrop>false</ScaleCrop>
  <Company>szzjzz</Company>
  <LinksUpToDate>false</LinksUpToDate>
  <CharactersWithSpaces>11058</CharactersWithSpaces>
  <SharedDoc>false</SharedDoc>
  <HLinks>
    <vt:vector size="12" baseType="variant">
      <vt:variant>
        <vt:i4>5832796</vt:i4>
      </vt:variant>
      <vt:variant>
        <vt:i4>3</vt:i4>
      </vt:variant>
      <vt:variant>
        <vt:i4>0</vt:i4>
      </vt:variant>
      <vt:variant>
        <vt:i4>5</vt:i4>
      </vt:variant>
      <vt:variant>
        <vt:lpwstr>http://www.sogou.com/sogoupedia?query=%C9%EE%DB%DA%CA%D0</vt:lpwstr>
      </vt:variant>
      <vt:variant>
        <vt:lpwstr/>
      </vt:variant>
      <vt:variant>
        <vt:i4>-1849264797</vt:i4>
      </vt:variant>
      <vt:variant>
        <vt:i4>0</vt:i4>
      </vt:variant>
      <vt:variant>
        <vt:i4>0</vt:i4>
      </vt:variant>
      <vt:variant>
        <vt:i4>5</vt:i4>
      </vt:variant>
      <vt:variant>
        <vt:lpwstr>http://www.iask.com/n?k=甲醛</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creator>办公室 李海鹰</dc:creator>
  <cp:lastModifiedBy>李鑫</cp:lastModifiedBy>
  <cp:revision>4</cp:revision>
  <cp:lastPrinted>2014-09-15T02:18:00Z</cp:lastPrinted>
  <dcterms:created xsi:type="dcterms:W3CDTF">2014-09-17T07:10:00Z</dcterms:created>
  <dcterms:modified xsi:type="dcterms:W3CDTF">2014-09-17T07:16:00Z</dcterms:modified>
</cp:coreProperties>
</file>