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80" w:rsidRPr="006E7A07" w:rsidRDefault="00F63D80" w:rsidP="00D43502">
      <w:pPr>
        <w:rPr>
          <w:rFonts w:ascii="仿宋_GB2312" w:eastAsia="仿宋_GB2312" w:cs="仿宋_GB2312"/>
          <w:sz w:val="30"/>
          <w:szCs w:val="30"/>
        </w:rPr>
      </w:pPr>
      <w:r w:rsidRPr="006E7A07">
        <w:rPr>
          <w:rFonts w:ascii="仿宋_GB2312" w:eastAsia="仿宋_GB2312" w:cs="仿宋_GB2312" w:hint="eastAsia"/>
          <w:sz w:val="30"/>
          <w:szCs w:val="30"/>
        </w:rPr>
        <w:t>附表</w:t>
      </w:r>
      <w:r w:rsidRPr="006E7A07">
        <w:rPr>
          <w:rFonts w:ascii="仿宋_GB2312" w:eastAsia="仿宋_GB2312" w:cs="仿宋_GB2312"/>
          <w:sz w:val="30"/>
          <w:szCs w:val="30"/>
        </w:rPr>
        <w:t>8</w:t>
      </w:r>
    </w:p>
    <w:p w:rsidR="00F63D80" w:rsidRPr="006E7A07" w:rsidRDefault="00F63D80" w:rsidP="007E33ED">
      <w:pPr>
        <w:jc w:val="center"/>
        <w:rPr>
          <w:rFonts w:ascii="黑体" w:eastAsia="黑体" w:hAnsi="黑体"/>
          <w:spacing w:val="20"/>
          <w:sz w:val="32"/>
          <w:szCs w:val="32"/>
        </w:rPr>
      </w:pPr>
      <w:r w:rsidRPr="006E7A07">
        <w:rPr>
          <w:rFonts w:ascii="黑体" w:eastAsia="黑体" w:hAnsi="黑体" w:cs="黑体"/>
          <w:sz w:val="32"/>
          <w:szCs w:val="32"/>
        </w:rPr>
        <w:t xml:space="preserve">  2014</w:t>
      </w:r>
      <w:r w:rsidRPr="006E7A07">
        <w:rPr>
          <w:rFonts w:ascii="黑体" w:eastAsia="黑体" w:hAnsi="黑体" w:cs="黑体" w:hint="eastAsia"/>
          <w:sz w:val="32"/>
          <w:szCs w:val="32"/>
        </w:rPr>
        <w:t>年深圳市</w:t>
      </w:r>
      <w:r w:rsidRPr="006E7A07">
        <w:rPr>
          <w:rFonts w:ascii="黑体" w:eastAsia="黑体" w:hAnsi="黑体" w:cs="黑体" w:hint="eastAsia"/>
          <w:spacing w:val="20"/>
          <w:sz w:val="32"/>
          <w:szCs w:val="32"/>
        </w:rPr>
        <w:t>建筑节能工程施工质量检查表</w:t>
      </w:r>
    </w:p>
    <w:p w:rsidR="00F63D80" w:rsidRPr="006E7A07" w:rsidRDefault="00F63D80" w:rsidP="00D43502">
      <w:pPr>
        <w:jc w:val="center"/>
        <w:rPr>
          <w:rFonts w:eastAsia="黑体"/>
          <w:spacing w:val="20"/>
          <w:sz w:val="32"/>
          <w:szCs w:val="32"/>
        </w:rPr>
      </w:pPr>
      <w:r w:rsidRPr="006E7A07">
        <w:rPr>
          <w:rFonts w:ascii="仿宋_GB2312" w:eastAsia="仿宋_GB2312" w:cs="仿宋_GB2312" w:hint="eastAsia"/>
          <w:sz w:val="30"/>
          <w:szCs w:val="30"/>
        </w:rPr>
        <w:t>（</w:t>
      </w:r>
      <w:r w:rsidRPr="006E7A07">
        <w:rPr>
          <w:rFonts w:ascii="仿宋_GB2312" w:eastAsia="仿宋_GB2312" w:cs="仿宋_GB2312" w:hint="eastAsia"/>
          <w:sz w:val="32"/>
          <w:szCs w:val="32"/>
        </w:rPr>
        <w:t>检查组填写</w:t>
      </w:r>
      <w:r w:rsidRPr="006E7A07">
        <w:rPr>
          <w:rFonts w:ascii="仿宋_GB2312" w:eastAsia="仿宋_GB2312" w:cs="仿宋_GB2312" w:hint="eastAsia"/>
          <w:sz w:val="30"/>
          <w:szCs w:val="30"/>
        </w:rPr>
        <w:t>）</w:t>
      </w:r>
    </w:p>
    <w:p w:rsidR="00F63D80" w:rsidRPr="006E7A07" w:rsidRDefault="00F63D80" w:rsidP="00D43502">
      <w:pPr>
        <w:rPr>
          <w:rFonts w:ascii="宋体"/>
          <w:spacing w:val="-8"/>
          <w:kern w:val="0"/>
          <w:sz w:val="24"/>
          <w:szCs w:val="24"/>
          <w:u w:val="single"/>
        </w:rPr>
      </w:pPr>
      <w:r w:rsidRPr="006E7A07">
        <w:rPr>
          <w:rFonts w:ascii="宋体" w:hAnsi="宋体" w:cs="宋体" w:hint="eastAsia"/>
          <w:spacing w:val="-8"/>
          <w:kern w:val="0"/>
          <w:sz w:val="24"/>
          <w:szCs w:val="24"/>
        </w:rPr>
        <w:t>工程名称：</w:t>
      </w:r>
      <w:r w:rsidRPr="006E7A07">
        <w:rPr>
          <w:rFonts w:ascii="宋体" w:hAnsi="宋体" w:cs="宋体"/>
          <w:spacing w:val="-8"/>
          <w:kern w:val="0"/>
          <w:sz w:val="24"/>
          <w:szCs w:val="24"/>
          <w:u w:val="single"/>
        </w:rPr>
        <w:t xml:space="preserve">                      </w:t>
      </w:r>
      <w:r w:rsidRPr="006E7A07">
        <w:rPr>
          <w:rFonts w:ascii="宋体" w:hAnsi="宋体" w:cs="宋体"/>
          <w:spacing w:val="-8"/>
          <w:kern w:val="0"/>
          <w:sz w:val="24"/>
          <w:szCs w:val="24"/>
        </w:rPr>
        <w:t xml:space="preserve">  </w:t>
      </w:r>
      <w:r w:rsidRPr="006E7A07">
        <w:rPr>
          <w:rFonts w:ascii="宋体" w:hAnsi="宋体" w:cs="宋体" w:hint="eastAsia"/>
          <w:spacing w:val="-8"/>
          <w:kern w:val="0"/>
          <w:sz w:val="24"/>
          <w:szCs w:val="24"/>
        </w:rPr>
        <w:t>工程进度：</w:t>
      </w:r>
      <w:r w:rsidRPr="006E7A07">
        <w:rPr>
          <w:rFonts w:ascii="宋体" w:hAnsi="宋体" w:cs="宋体"/>
          <w:spacing w:val="-8"/>
          <w:kern w:val="0"/>
          <w:sz w:val="24"/>
          <w:szCs w:val="24"/>
          <w:u w:val="single"/>
        </w:rPr>
        <w:t xml:space="preserve">                                   </w:t>
      </w:r>
    </w:p>
    <w:tbl>
      <w:tblPr>
        <w:tblW w:w="10124" w:type="dxa"/>
        <w:jc w:val="center"/>
        <w:tblCellMar>
          <w:left w:w="28" w:type="dxa"/>
          <w:right w:w="28" w:type="dxa"/>
        </w:tblCellMar>
        <w:tblLook w:val="0000"/>
      </w:tblPr>
      <w:tblGrid>
        <w:gridCol w:w="451"/>
        <w:gridCol w:w="822"/>
        <w:gridCol w:w="1397"/>
        <w:gridCol w:w="1193"/>
        <w:gridCol w:w="484"/>
        <w:gridCol w:w="484"/>
        <w:gridCol w:w="34"/>
        <w:gridCol w:w="530"/>
        <w:gridCol w:w="474"/>
        <w:gridCol w:w="2341"/>
        <w:gridCol w:w="415"/>
        <w:gridCol w:w="415"/>
        <w:gridCol w:w="128"/>
        <w:gridCol w:w="413"/>
        <w:gridCol w:w="543"/>
      </w:tblGrid>
      <w:tr w:rsidR="00F63D80" w:rsidRPr="006E7A07">
        <w:trPr>
          <w:cantSplit/>
          <w:trHeight w:val="284"/>
          <w:tblHeader/>
          <w:jc w:val="center"/>
        </w:trPr>
        <w:tc>
          <w:tcPr>
            <w:tcW w:w="223" w:type="pct"/>
            <w:vMerge w:val="restart"/>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spacing w:val="1"/>
                <w:kern w:val="0"/>
                <w:sz w:val="18"/>
                <w:szCs w:val="18"/>
              </w:rPr>
              <w:t>序号</w:t>
            </w:r>
          </w:p>
        </w:tc>
        <w:tc>
          <w:tcPr>
            <w:tcW w:w="406" w:type="pct"/>
            <w:vMerge w:val="restart"/>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spacing w:val="1"/>
                <w:kern w:val="0"/>
                <w:sz w:val="18"/>
                <w:szCs w:val="18"/>
              </w:rPr>
              <w:t>检查项目</w:t>
            </w:r>
          </w:p>
        </w:tc>
        <w:tc>
          <w:tcPr>
            <w:tcW w:w="2270" w:type="pct"/>
            <w:gridSpan w:val="7"/>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pacing w:val="1"/>
                <w:kern w:val="0"/>
                <w:sz w:val="18"/>
                <w:szCs w:val="18"/>
              </w:rPr>
              <w:t>施工部分</w:t>
            </w:r>
            <w:r w:rsidRPr="006E7A07">
              <w:rPr>
                <w:rFonts w:ascii="宋体" w:hAnsi="宋体" w:cs="宋体"/>
                <w:spacing w:val="1"/>
                <w:kern w:val="0"/>
                <w:sz w:val="18"/>
                <w:szCs w:val="18"/>
              </w:rPr>
              <w:t xml:space="preserve">  200</w:t>
            </w:r>
            <w:r w:rsidRPr="006E7A07">
              <w:rPr>
                <w:rFonts w:ascii="宋体" w:hAnsi="宋体" w:cs="宋体" w:hint="eastAsia"/>
                <w:spacing w:val="1"/>
                <w:kern w:val="0"/>
                <w:sz w:val="18"/>
                <w:szCs w:val="18"/>
              </w:rPr>
              <w:t>分</w:t>
            </w:r>
          </w:p>
        </w:tc>
        <w:tc>
          <w:tcPr>
            <w:tcW w:w="2101" w:type="pct"/>
            <w:gridSpan w:val="6"/>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pacing w:val="1"/>
                <w:kern w:val="0"/>
                <w:sz w:val="18"/>
                <w:szCs w:val="18"/>
              </w:rPr>
              <w:t>监理部分</w:t>
            </w:r>
            <w:r w:rsidRPr="006E7A07">
              <w:rPr>
                <w:rFonts w:ascii="宋体" w:hAnsi="宋体" w:cs="宋体"/>
                <w:spacing w:val="1"/>
                <w:kern w:val="0"/>
                <w:sz w:val="18"/>
                <w:szCs w:val="18"/>
              </w:rPr>
              <w:t xml:space="preserve">  100</w:t>
            </w:r>
            <w:r w:rsidRPr="006E7A07">
              <w:rPr>
                <w:rFonts w:ascii="宋体" w:hAnsi="宋体" w:cs="宋体" w:hint="eastAsia"/>
                <w:spacing w:val="1"/>
                <w:kern w:val="0"/>
                <w:sz w:val="18"/>
                <w:szCs w:val="18"/>
              </w:rPr>
              <w:t>分</w:t>
            </w:r>
          </w:p>
        </w:tc>
      </w:tr>
      <w:tr w:rsidR="00F63D80" w:rsidRPr="006E7A07">
        <w:trPr>
          <w:cantSplit/>
          <w:trHeight w:val="285"/>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vMerge w:val="restart"/>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pacing w:val="1"/>
                <w:kern w:val="0"/>
                <w:sz w:val="18"/>
                <w:szCs w:val="18"/>
              </w:rPr>
              <w:t>检查标准</w:t>
            </w:r>
          </w:p>
        </w:tc>
        <w:tc>
          <w:tcPr>
            <w:tcW w:w="239" w:type="pct"/>
            <w:vMerge w:val="restart"/>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应得分</w:t>
            </w:r>
          </w:p>
        </w:tc>
        <w:tc>
          <w:tcPr>
            <w:tcW w:w="752" w:type="pct"/>
            <w:gridSpan w:val="4"/>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实得分</w:t>
            </w:r>
          </w:p>
        </w:tc>
        <w:tc>
          <w:tcPr>
            <w:tcW w:w="1156" w:type="pct"/>
            <w:vMerge w:val="restart"/>
            <w:tcBorders>
              <w:top w:val="single" w:sz="6"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pacing w:val="1"/>
                <w:kern w:val="0"/>
                <w:sz w:val="18"/>
                <w:szCs w:val="18"/>
              </w:rPr>
              <w:t>检查标准</w:t>
            </w: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应得分</w:t>
            </w:r>
          </w:p>
        </w:tc>
        <w:tc>
          <w:tcPr>
            <w:tcW w:w="740" w:type="pct"/>
            <w:gridSpan w:val="4"/>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实得分</w:t>
            </w:r>
          </w:p>
        </w:tc>
      </w:tr>
      <w:tr w:rsidR="00F63D80" w:rsidRPr="006E7A07">
        <w:trPr>
          <w:cantSplit/>
          <w:trHeight w:val="255"/>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符合</w:t>
            </w:r>
          </w:p>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基本符合</w:t>
            </w: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不符合</w:t>
            </w:r>
          </w:p>
        </w:tc>
        <w:tc>
          <w:tcPr>
            <w:tcW w:w="0" w:type="auto"/>
            <w:vMerge/>
            <w:tcBorders>
              <w:top w:val="single" w:sz="6"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符合</w:t>
            </w: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基本符合</w:t>
            </w: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不符合</w:t>
            </w:r>
          </w:p>
        </w:tc>
      </w:tr>
      <w:tr w:rsidR="00F63D80" w:rsidRPr="006E7A07">
        <w:trPr>
          <w:cantSplit/>
          <w:trHeight w:val="1110"/>
          <w:jc w:val="center"/>
        </w:trPr>
        <w:tc>
          <w:tcPr>
            <w:tcW w:w="223" w:type="pct"/>
            <w:vMerge w:val="restart"/>
            <w:tcBorders>
              <w:top w:val="nil"/>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spacing w:val="1"/>
                <w:kern w:val="0"/>
                <w:sz w:val="18"/>
                <w:szCs w:val="18"/>
              </w:rPr>
            </w:pPr>
            <w:r w:rsidRPr="006E7A07">
              <w:rPr>
                <w:rFonts w:ascii="宋体" w:hAnsi="宋体" w:cs="宋体"/>
                <w:spacing w:val="1"/>
                <w:kern w:val="0"/>
                <w:sz w:val="18"/>
                <w:szCs w:val="18"/>
              </w:rPr>
              <w:t>1</w:t>
            </w:r>
          </w:p>
        </w:tc>
        <w:tc>
          <w:tcPr>
            <w:tcW w:w="406" w:type="pct"/>
            <w:vMerge w:val="restart"/>
            <w:tcBorders>
              <w:top w:val="nil"/>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材料进场验收、核查、复验</w:t>
            </w:r>
          </w:p>
          <w:p w:rsidR="00F63D80" w:rsidRPr="006E7A07" w:rsidRDefault="00F63D80" w:rsidP="00AE571D">
            <w:pPr>
              <w:spacing w:line="280" w:lineRule="exact"/>
              <w:jc w:val="center"/>
              <w:rPr>
                <w:rFonts w:ascii="宋体"/>
                <w:sz w:val="18"/>
                <w:szCs w:val="18"/>
              </w:rPr>
            </w:pPr>
          </w:p>
          <w:p w:rsidR="00F63D80" w:rsidRPr="006E7A07" w:rsidRDefault="00F63D80" w:rsidP="00AE571D">
            <w:pPr>
              <w:spacing w:line="280" w:lineRule="exact"/>
              <w:jc w:val="center"/>
              <w:rPr>
                <w:rFonts w:ascii="宋体"/>
                <w:kern w:val="0"/>
                <w:sz w:val="18"/>
                <w:szCs w:val="18"/>
              </w:rPr>
            </w:pPr>
            <w:r w:rsidRPr="006E7A07">
              <w:rPr>
                <w:rFonts w:ascii="宋体" w:hAnsi="宋体" w:cs="宋体"/>
                <w:sz w:val="18"/>
                <w:szCs w:val="18"/>
              </w:rPr>
              <w:t>30</w:t>
            </w:r>
            <w:r w:rsidRPr="006E7A07">
              <w:rPr>
                <w:rFonts w:ascii="宋体" w:hAnsi="宋体" w:cs="宋体" w:hint="eastAsia"/>
                <w:sz w:val="18"/>
                <w:szCs w:val="18"/>
              </w:rPr>
              <w:t>分</w:t>
            </w: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kern w:val="0"/>
                <w:sz w:val="18"/>
                <w:szCs w:val="18"/>
              </w:rPr>
            </w:pPr>
            <w:r w:rsidRPr="006E7A07">
              <w:rPr>
                <w:rFonts w:ascii="宋体" w:hAnsi="宋体" w:cs="宋体" w:hint="eastAsia"/>
                <w:sz w:val="18"/>
                <w:szCs w:val="18"/>
              </w:rPr>
              <w:t>节能工程的材料、构件等进场验收、保温隔热材料和粘结材料等的进场复验符合验收规定；</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1156" w:type="pct"/>
            <w:vMerge w:val="restart"/>
            <w:tcBorders>
              <w:top w:val="single" w:sz="6" w:space="0" w:color="auto"/>
              <w:left w:val="single" w:sz="6"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经审核所有资料合格，并签认；材料不合格，退场并未使用，保温隔热材料和粘结材料的见证取样送试；</w:t>
            </w:r>
          </w:p>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幕墙材料、幕墙玻璃、隔热型材的见证取样送试及型式检验报告的审核签认；</w:t>
            </w:r>
          </w:p>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外窗及中空玻璃的见证取样送试及型式检验报告的审核签认；</w:t>
            </w:r>
          </w:p>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散热器、风机盘管机组的见证取样送试；</w:t>
            </w:r>
          </w:p>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照明光源和灯具的进场审核签认；</w:t>
            </w:r>
          </w:p>
          <w:p w:rsidR="00F63D80" w:rsidRPr="006E7A07" w:rsidRDefault="00F63D80" w:rsidP="00AE571D">
            <w:pPr>
              <w:spacing w:line="280" w:lineRule="exact"/>
              <w:rPr>
                <w:rFonts w:ascii="宋体"/>
                <w:kern w:val="0"/>
                <w:sz w:val="18"/>
                <w:szCs w:val="18"/>
              </w:rPr>
            </w:pPr>
            <w:r w:rsidRPr="006E7A07">
              <w:rPr>
                <w:rFonts w:ascii="宋体" w:hAnsi="宋体" w:cs="宋体" w:hint="eastAsia"/>
                <w:sz w:val="18"/>
                <w:szCs w:val="18"/>
              </w:rPr>
              <w:t>低压配电系统选择的电缆、电线相应截面的每芯导体电阻值的见证取样送试。</w:t>
            </w: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vMerge w:val="restart"/>
            <w:tcBorders>
              <w:top w:val="single" w:sz="6" w:space="0" w:color="auto"/>
              <w:left w:val="single" w:sz="4" w:space="0" w:color="auto"/>
              <w:bottom w:val="nil"/>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vMerge w:val="restart"/>
            <w:tcBorders>
              <w:top w:val="single" w:sz="6" w:space="0" w:color="auto"/>
              <w:left w:val="single" w:sz="4" w:space="0" w:color="auto"/>
              <w:bottom w:val="nil"/>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840"/>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幕墙保温材料、幕墙玻璃、隔热型材的复验及性能检测；</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1133"/>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建筑外门窗及玻璃的进场验收、外门窗及中空玻璃的复验及性能检测；</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582"/>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散热器复验及性能检测；</w:t>
            </w:r>
            <w:r w:rsidRPr="006E7A07">
              <w:rPr>
                <w:rFonts w:ascii="宋体" w:hAnsi="宋体" w:cs="宋体"/>
                <w:sz w:val="18"/>
                <w:szCs w:val="18"/>
              </w:rPr>
              <w:t>2</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451"/>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风机盘管机组复验及性能检测；</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451"/>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照明光源、灯具及其附属装置的进场验收；</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300"/>
          <w:jc w:val="center"/>
        </w:trPr>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spacing w:val="1"/>
                <w:kern w:val="0"/>
                <w:sz w:val="18"/>
                <w:szCs w:val="18"/>
              </w:rPr>
            </w:pPr>
          </w:p>
        </w:tc>
        <w:tc>
          <w:tcPr>
            <w:tcW w:w="0" w:type="auto"/>
            <w:vMerge/>
            <w:tcBorders>
              <w:top w:val="nil"/>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低压配电系统选择的电缆、电线相应截面的每芯导体电阻值的复验及性能检测。</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c>
          <w:tcPr>
            <w:tcW w:w="0" w:type="auto"/>
            <w:vMerge/>
            <w:tcBorders>
              <w:top w:val="single" w:sz="6"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gridSpan w:val="2"/>
            <w:vMerge/>
            <w:tcBorders>
              <w:top w:val="single" w:sz="6" w:space="0" w:color="auto"/>
              <w:left w:val="single" w:sz="4" w:space="0" w:color="auto"/>
              <w:bottom w:val="nil"/>
              <w:right w:val="single" w:sz="4"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r>
      <w:tr w:rsidR="00F63D80" w:rsidRPr="006E7A07">
        <w:trPr>
          <w:cantSplit/>
          <w:trHeight w:val="640"/>
          <w:jc w:val="center"/>
        </w:trPr>
        <w:tc>
          <w:tcPr>
            <w:tcW w:w="223"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2</w:t>
            </w:r>
          </w:p>
        </w:tc>
        <w:tc>
          <w:tcPr>
            <w:tcW w:w="406" w:type="pct"/>
            <w:vMerge w:val="restar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墙</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体</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节</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能</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工</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程</w:t>
            </w:r>
          </w:p>
          <w:p w:rsidR="00F63D80" w:rsidRPr="006E7A07" w:rsidRDefault="00F63D80" w:rsidP="00AE571D">
            <w:pPr>
              <w:spacing w:line="280" w:lineRule="exact"/>
              <w:jc w:val="center"/>
              <w:rPr>
                <w:rFonts w:ascii="宋体"/>
                <w:sz w:val="18"/>
                <w:szCs w:val="18"/>
              </w:rPr>
            </w:pPr>
          </w:p>
          <w:p w:rsidR="00F63D80" w:rsidRPr="006E7A07" w:rsidRDefault="00F63D80" w:rsidP="00AE571D">
            <w:pPr>
              <w:spacing w:line="280" w:lineRule="exact"/>
              <w:jc w:val="center"/>
              <w:rPr>
                <w:rFonts w:ascii="宋体"/>
                <w:spacing w:val="1"/>
                <w:kern w:val="0"/>
                <w:sz w:val="18"/>
                <w:szCs w:val="18"/>
              </w:rPr>
            </w:pPr>
            <w:r w:rsidRPr="006E7A07">
              <w:rPr>
                <w:rFonts w:ascii="宋体" w:hAnsi="宋体" w:cs="宋体"/>
                <w:sz w:val="18"/>
                <w:szCs w:val="18"/>
              </w:rPr>
              <w:t>20</w:t>
            </w:r>
            <w:r w:rsidRPr="006E7A07">
              <w:rPr>
                <w:rFonts w:ascii="宋体" w:hAnsi="宋体" w:cs="宋体" w:hint="eastAsia"/>
                <w:sz w:val="18"/>
                <w:szCs w:val="18"/>
              </w:rPr>
              <w:t>分</w:t>
            </w: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墙体保温材料的品种和复验指标是否符合设计要求；</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1156" w:type="pct"/>
            <w:vMerge w:val="restart"/>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535"/>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pacing w:val="1"/>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保温隔热材料的厚度；</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90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pacing w:val="1"/>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保温板材与基层及各构造层之间的粘结或连接及与基层的粘结强度拉拔试验；</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52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pacing w:val="1"/>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保温浆料与基层及各层之间的粘结必须牢固，不应脱层、空鼓和开裂；</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562"/>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pacing w:val="1"/>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保温层采用后置锚固件应进行锚固力现场拉拔试验；</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60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pacing w:val="1"/>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预制保温板浇筑混凝土墙体保温板、保温浆料作保温层、保温砌块砌筑施工应符合设计及验收规定。</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kern w:val="0"/>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kern w:val="0"/>
                <w:sz w:val="18"/>
                <w:szCs w:val="18"/>
              </w:rPr>
            </w:pPr>
          </w:p>
        </w:tc>
        <w:tc>
          <w:tcPr>
            <w:tcW w:w="0" w:type="auto"/>
            <w:vMerge/>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p>
        </w:tc>
      </w:tr>
      <w:tr w:rsidR="00F63D80" w:rsidRPr="006E7A07">
        <w:trPr>
          <w:cantSplit/>
          <w:trHeight w:val="829"/>
          <w:jc w:val="center"/>
        </w:trPr>
        <w:tc>
          <w:tcPr>
            <w:tcW w:w="223" w:type="pct"/>
            <w:vMerge w:val="restar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lastRenderedPageBreak/>
              <w:t>3</w:t>
            </w:r>
          </w:p>
        </w:tc>
        <w:tc>
          <w:tcPr>
            <w:tcW w:w="406" w:type="pct"/>
            <w:vMerge w:val="restar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幕</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墙</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节</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能</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工</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程</w:t>
            </w:r>
          </w:p>
          <w:p w:rsidR="00F63D80" w:rsidRPr="006E7A07" w:rsidRDefault="00F63D80" w:rsidP="00AE571D">
            <w:pPr>
              <w:spacing w:line="280" w:lineRule="exact"/>
              <w:jc w:val="center"/>
              <w:rPr>
                <w:rFonts w:ascii="宋体"/>
                <w:kern w:val="0"/>
                <w:sz w:val="18"/>
                <w:szCs w:val="18"/>
              </w:rPr>
            </w:pPr>
          </w:p>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20</w:t>
            </w:r>
            <w:r w:rsidRPr="006E7A07">
              <w:rPr>
                <w:rFonts w:ascii="宋体" w:hAnsi="宋体" w:cs="宋体" w:hint="eastAsia"/>
                <w:kern w:val="0"/>
                <w:sz w:val="18"/>
                <w:szCs w:val="18"/>
              </w:rPr>
              <w:t>分</w:t>
            </w:r>
          </w:p>
        </w:tc>
        <w:tc>
          <w:tcPr>
            <w:tcW w:w="1279" w:type="pct"/>
            <w:gridSpan w:val="2"/>
            <w:tcBorders>
              <w:top w:val="single" w:sz="4" w:space="0" w:color="auto"/>
              <w:left w:val="single" w:sz="4"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幕墙玻璃、保温材料和隔热型材的品种和复验指标是否符合设计要求；</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nil"/>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nil"/>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553"/>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4"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密封条、单元幕墙板块之间的密封处理、开启扇关闭、保温材料厚度及安装质量符合验收规定；</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nil"/>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nil"/>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575"/>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6"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遮阳设施的安装、热桥部位的隔断热桥措施应符合验收规定。</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6"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6"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6"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840"/>
          <w:jc w:val="center"/>
        </w:trPr>
        <w:tc>
          <w:tcPr>
            <w:tcW w:w="223"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4</w:t>
            </w:r>
          </w:p>
        </w:tc>
        <w:tc>
          <w:tcPr>
            <w:tcW w:w="406"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门</w:t>
            </w:r>
          </w:p>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窗</w:t>
            </w:r>
          </w:p>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节</w:t>
            </w:r>
          </w:p>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能</w:t>
            </w:r>
          </w:p>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工</w:t>
            </w:r>
          </w:p>
          <w:p w:rsidR="00F63D80" w:rsidRPr="006E7A07" w:rsidRDefault="00F63D80" w:rsidP="00AE571D">
            <w:pPr>
              <w:spacing w:line="240" w:lineRule="exact"/>
              <w:jc w:val="center"/>
              <w:rPr>
                <w:rFonts w:ascii="宋体"/>
                <w:kern w:val="0"/>
                <w:sz w:val="18"/>
                <w:szCs w:val="18"/>
              </w:rPr>
            </w:pPr>
            <w:r w:rsidRPr="006E7A07">
              <w:rPr>
                <w:rFonts w:ascii="宋体" w:hAnsi="宋体" w:cs="宋体" w:hint="eastAsia"/>
                <w:kern w:val="0"/>
                <w:sz w:val="18"/>
                <w:szCs w:val="18"/>
              </w:rPr>
              <w:t>程</w:t>
            </w:r>
          </w:p>
          <w:p w:rsidR="00F63D80" w:rsidRPr="006E7A07" w:rsidRDefault="00F63D80" w:rsidP="00AE571D">
            <w:pPr>
              <w:spacing w:line="240" w:lineRule="exact"/>
              <w:jc w:val="center"/>
              <w:rPr>
                <w:rFonts w:ascii="宋体"/>
                <w:kern w:val="0"/>
                <w:sz w:val="18"/>
                <w:szCs w:val="18"/>
              </w:rPr>
            </w:pPr>
            <w:r w:rsidRPr="006E7A07">
              <w:rPr>
                <w:rFonts w:ascii="宋体" w:hAnsi="宋体" w:cs="宋体"/>
                <w:kern w:val="0"/>
                <w:sz w:val="18"/>
                <w:szCs w:val="18"/>
              </w:rPr>
              <w:t>20</w:t>
            </w:r>
            <w:r w:rsidRPr="006E7A07">
              <w:rPr>
                <w:rFonts w:ascii="宋体" w:hAnsi="宋体" w:cs="宋体" w:hint="eastAsia"/>
                <w:kern w:val="0"/>
                <w:sz w:val="18"/>
                <w:szCs w:val="18"/>
              </w:rPr>
              <w:t>分</w:t>
            </w:r>
          </w:p>
        </w:tc>
        <w:tc>
          <w:tcPr>
            <w:tcW w:w="1279" w:type="pct"/>
            <w:gridSpan w:val="2"/>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门窗玻璃的品种和复验指标及门窗气密性是否符合设计要求。</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vMerge w:val="restart"/>
            <w:tcBorders>
              <w:top w:val="single" w:sz="4" w:space="0" w:color="auto"/>
              <w:left w:val="single" w:sz="6"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7" w:type="pct"/>
            <w:gridSpan w:val="2"/>
            <w:vMerge w:val="restart"/>
            <w:tcBorders>
              <w:top w:val="single" w:sz="6"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68" w:type="pct"/>
            <w:vMerge w:val="restart"/>
            <w:tcBorders>
              <w:top w:val="single" w:sz="6" w:space="0" w:color="auto"/>
              <w:left w:val="single" w:sz="4" w:space="0" w:color="auto"/>
              <w:bottom w:val="nil"/>
              <w:right w:val="single" w:sz="6" w:space="0" w:color="auto"/>
            </w:tcBorders>
          </w:tcPr>
          <w:p w:rsidR="00F63D80" w:rsidRPr="006E7A07" w:rsidRDefault="00F63D80" w:rsidP="00AE571D">
            <w:pPr>
              <w:spacing w:line="280" w:lineRule="exact"/>
              <w:rPr>
                <w:rFonts w:ascii="宋体"/>
                <w:sz w:val="18"/>
                <w:szCs w:val="18"/>
              </w:rPr>
            </w:pPr>
          </w:p>
        </w:tc>
      </w:tr>
      <w:tr w:rsidR="00F63D80" w:rsidRPr="006E7A07">
        <w:trPr>
          <w:cantSplit/>
          <w:trHeight w:val="858"/>
          <w:jc w:val="center"/>
        </w:trPr>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外门窗框或副框与洞口之间的间隙填充、外窗遮阳设施、天窗安装质量符合验收规定。</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nil"/>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866"/>
          <w:jc w:val="center"/>
        </w:trPr>
        <w:tc>
          <w:tcPr>
            <w:tcW w:w="223"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5</w:t>
            </w:r>
          </w:p>
        </w:tc>
        <w:tc>
          <w:tcPr>
            <w:tcW w:w="406"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屋</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面</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节</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能</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工</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程</w:t>
            </w:r>
          </w:p>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20</w:t>
            </w:r>
            <w:r w:rsidRPr="006E7A07">
              <w:rPr>
                <w:rFonts w:ascii="宋体" w:hAnsi="宋体" w:cs="宋体" w:hint="eastAsia"/>
                <w:sz w:val="18"/>
                <w:szCs w:val="18"/>
              </w:rPr>
              <w:t>分</w:t>
            </w: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保温隔热材料的品种和复验指标是否符合设计要求。</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vMerge w:val="restart"/>
            <w:tcBorders>
              <w:top w:val="single" w:sz="4" w:space="0" w:color="auto"/>
              <w:left w:val="single" w:sz="6"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7" w:type="pct"/>
            <w:gridSpan w:val="2"/>
            <w:vMerge w:val="restart"/>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68" w:type="pct"/>
            <w:vMerge w:val="restart"/>
            <w:tcBorders>
              <w:top w:val="single" w:sz="6" w:space="0" w:color="auto"/>
              <w:left w:val="single" w:sz="4" w:space="0" w:color="auto"/>
              <w:bottom w:val="nil"/>
              <w:right w:val="single" w:sz="6" w:space="0" w:color="auto"/>
            </w:tcBorders>
          </w:tcPr>
          <w:p w:rsidR="00F63D80" w:rsidRPr="006E7A07" w:rsidRDefault="00F63D80" w:rsidP="00AE571D">
            <w:pPr>
              <w:spacing w:line="280" w:lineRule="exact"/>
              <w:rPr>
                <w:rFonts w:ascii="宋体"/>
                <w:sz w:val="18"/>
                <w:szCs w:val="18"/>
              </w:rPr>
            </w:pPr>
          </w:p>
        </w:tc>
      </w:tr>
      <w:tr w:rsidR="00F63D80" w:rsidRPr="006E7A07">
        <w:trPr>
          <w:cantSplit/>
          <w:trHeight w:val="851"/>
          <w:jc w:val="center"/>
        </w:trPr>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保温隔热层的敷设及热桥部位的保温隔热措施、通风隔热架空层、采光屋面、屋面的隔汽层质量符合验收规定。</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829"/>
          <w:jc w:val="center"/>
        </w:trPr>
        <w:tc>
          <w:tcPr>
            <w:tcW w:w="223"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6</w:t>
            </w:r>
          </w:p>
        </w:tc>
        <w:tc>
          <w:tcPr>
            <w:tcW w:w="406" w:type="pct"/>
            <w:vMerge w:val="restart"/>
            <w:tcBorders>
              <w:top w:val="single" w:sz="4" w:space="0" w:color="auto"/>
              <w:left w:val="single" w:sz="6" w:space="0" w:color="auto"/>
              <w:bottom w:val="nil"/>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地</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面</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节</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能</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工</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程</w:t>
            </w:r>
          </w:p>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10</w:t>
            </w:r>
            <w:r w:rsidRPr="006E7A07">
              <w:rPr>
                <w:rFonts w:ascii="宋体" w:hAnsi="宋体" w:cs="宋体" w:hint="eastAsia"/>
                <w:sz w:val="18"/>
                <w:szCs w:val="18"/>
              </w:rPr>
              <w:t>分</w:t>
            </w: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保温隔热材料的品种和复验指标是否符合设计要求。</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vMerge w:val="restart"/>
            <w:tcBorders>
              <w:top w:val="single" w:sz="4" w:space="0" w:color="auto"/>
              <w:left w:val="single" w:sz="6" w:space="0" w:color="auto"/>
              <w:bottom w:val="nil"/>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7" w:type="pct"/>
            <w:gridSpan w:val="2"/>
            <w:vMerge w:val="restart"/>
            <w:tcBorders>
              <w:top w:val="single" w:sz="4" w:space="0" w:color="auto"/>
              <w:left w:val="single" w:sz="4" w:space="0" w:color="auto"/>
              <w:bottom w:val="nil"/>
              <w:right w:val="single" w:sz="4" w:space="0" w:color="auto"/>
            </w:tcBorders>
          </w:tcPr>
          <w:p w:rsidR="00F63D80" w:rsidRPr="006E7A07" w:rsidRDefault="00F63D80" w:rsidP="00AE571D">
            <w:pPr>
              <w:spacing w:line="280" w:lineRule="exact"/>
              <w:rPr>
                <w:rFonts w:ascii="宋体"/>
                <w:sz w:val="18"/>
                <w:szCs w:val="18"/>
              </w:rPr>
            </w:pPr>
          </w:p>
        </w:tc>
        <w:tc>
          <w:tcPr>
            <w:tcW w:w="268" w:type="pct"/>
            <w:vMerge w:val="restart"/>
            <w:tcBorders>
              <w:top w:val="single" w:sz="6" w:space="0" w:color="auto"/>
              <w:left w:val="single" w:sz="4" w:space="0" w:color="auto"/>
              <w:bottom w:val="nil"/>
              <w:right w:val="single" w:sz="6" w:space="0" w:color="auto"/>
            </w:tcBorders>
          </w:tcPr>
          <w:p w:rsidR="00F63D80" w:rsidRPr="006E7A07" w:rsidRDefault="00F63D80" w:rsidP="00AE571D">
            <w:pPr>
              <w:spacing w:line="280" w:lineRule="exact"/>
              <w:rPr>
                <w:rFonts w:ascii="宋体"/>
                <w:sz w:val="18"/>
                <w:szCs w:val="18"/>
              </w:rPr>
            </w:pPr>
          </w:p>
        </w:tc>
      </w:tr>
      <w:tr w:rsidR="00F63D80" w:rsidRPr="006E7A07">
        <w:trPr>
          <w:cantSplit/>
          <w:trHeight w:val="1290"/>
          <w:jc w:val="center"/>
        </w:trPr>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nil"/>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基层处理、地面保温层、隔离层、保护层、有防水要求的地面保温层、及表面防潮层、保护层符合设计要求，并应按施工方案施工。</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nil"/>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nil"/>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1273"/>
          <w:jc w:val="center"/>
        </w:trPr>
        <w:tc>
          <w:tcPr>
            <w:tcW w:w="223" w:type="pct"/>
            <w:vMerge w:val="restart"/>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7</w:t>
            </w:r>
          </w:p>
        </w:tc>
        <w:tc>
          <w:tcPr>
            <w:tcW w:w="406" w:type="pct"/>
            <w:vMerge w:val="restart"/>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采</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暖</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节</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能</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lastRenderedPageBreak/>
              <w:t>工</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程</w:t>
            </w:r>
          </w:p>
          <w:p w:rsidR="00F63D80" w:rsidRPr="006E7A07" w:rsidRDefault="00F63D80" w:rsidP="00AE571D">
            <w:pPr>
              <w:spacing w:line="280" w:lineRule="exact"/>
              <w:jc w:val="center"/>
              <w:rPr>
                <w:rFonts w:ascii="宋体"/>
                <w:kern w:val="0"/>
                <w:sz w:val="18"/>
                <w:szCs w:val="18"/>
              </w:rPr>
            </w:pPr>
          </w:p>
          <w:p w:rsidR="00F63D80" w:rsidRPr="006E7A07" w:rsidRDefault="00F63D80" w:rsidP="00AE571D">
            <w:pPr>
              <w:spacing w:line="280" w:lineRule="exact"/>
              <w:jc w:val="center"/>
              <w:rPr>
                <w:rFonts w:ascii="宋体"/>
                <w:kern w:val="0"/>
                <w:sz w:val="18"/>
                <w:szCs w:val="18"/>
              </w:rPr>
            </w:pPr>
            <w:r w:rsidRPr="006E7A07">
              <w:rPr>
                <w:rFonts w:ascii="宋体" w:hAnsi="宋体" w:cs="宋体"/>
                <w:sz w:val="18"/>
                <w:szCs w:val="18"/>
              </w:rPr>
              <w:t>10</w:t>
            </w:r>
            <w:r w:rsidRPr="006E7A07">
              <w:rPr>
                <w:rFonts w:ascii="宋体" w:hAnsi="宋体" w:cs="宋体" w:hint="eastAsia"/>
                <w:sz w:val="18"/>
                <w:szCs w:val="18"/>
              </w:rPr>
              <w:t>分</w:t>
            </w:r>
          </w:p>
        </w:tc>
        <w:tc>
          <w:tcPr>
            <w:tcW w:w="1279" w:type="pct"/>
            <w:gridSpan w:val="2"/>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lastRenderedPageBreak/>
              <w:t>设备、阀门及附件，温控、计量及水力平衡装置安装质量，散热器的数量及安装方式；散热器外表面涂刷符合验收规定。</w:t>
            </w:r>
            <w:r w:rsidRPr="006E7A07">
              <w:rPr>
                <w:rFonts w:ascii="宋体" w:hAnsi="宋体" w:cs="宋体"/>
                <w:sz w:val="18"/>
                <w:szCs w:val="18"/>
              </w:rPr>
              <w:t>4</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6"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6"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7" w:type="pct"/>
            <w:gridSpan w:val="2"/>
            <w:tcBorders>
              <w:top w:val="single" w:sz="6"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8" w:type="pct"/>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3098"/>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散热器恒温阀安装位置、</w:t>
            </w:r>
            <w:r w:rsidRPr="006E7A07">
              <w:rPr>
                <w:rFonts w:ascii="宋体" w:hAnsi="宋体" w:cs="宋体" w:hint="eastAsia"/>
                <w:kern w:val="0"/>
                <w:sz w:val="18"/>
                <w:szCs w:val="18"/>
              </w:rPr>
              <w:t>低温热水地面辐射供暖系统防潮层和绝热层的做法及绝热层的厚度、温控装置的传感器安装高度、</w:t>
            </w:r>
            <w:r w:rsidRPr="006E7A07">
              <w:rPr>
                <w:rFonts w:ascii="宋体" w:hAnsi="宋体" w:cs="宋体" w:hint="eastAsia"/>
                <w:sz w:val="18"/>
                <w:szCs w:val="18"/>
              </w:rPr>
              <w:t>热力入口装置质量、方向、水力平衡装置应运行调试及标志、采暖系统保温层和防潮层的施工质量，采暖系统隐蔽工程验收采暖系统与热源联合试运转及调试符合验收规定。</w:t>
            </w:r>
            <w:r w:rsidRPr="006E7A07">
              <w:rPr>
                <w:rFonts w:ascii="宋体" w:hAnsi="宋体" w:cs="宋体"/>
                <w:sz w:val="18"/>
                <w:szCs w:val="18"/>
              </w:rPr>
              <w:t>6</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2190"/>
          <w:jc w:val="center"/>
        </w:trPr>
        <w:tc>
          <w:tcPr>
            <w:tcW w:w="223" w:type="pct"/>
            <w:vMerge w:val="restar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lastRenderedPageBreak/>
              <w:t>8</w:t>
            </w:r>
          </w:p>
        </w:tc>
        <w:tc>
          <w:tcPr>
            <w:tcW w:w="406" w:type="pct"/>
            <w:vMerge w:val="restar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通</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风</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与</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空</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调</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节</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能</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工</w:t>
            </w:r>
          </w:p>
          <w:p w:rsidR="00F63D80" w:rsidRPr="006E7A07" w:rsidRDefault="00F63D80" w:rsidP="00AE571D">
            <w:pPr>
              <w:spacing w:line="280" w:lineRule="exact"/>
              <w:jc w:val="center"/>
              <w:rPr>
                <w:rFonts w:ascii="宋体"/>
                <w:kern w:val="0"/>
                <w:sz w:val="18"/>
                <w:szCs w:val="18"/>
              </w:rPr>
            </w:pPr>
            <w:r w:rsidRPr="006E7A07">
              <w:rPr>
                <w:rFonts w:ascii="宋体" w:hAnsi="宋体" w:cs="宋体" w:hint="eastAsia"/>
                <w:kern w:val="0"/>
                <w:sz w:val="18"/>
                <w:szCs w:val="18"/>
              </w:rPr>
              <w:t>程</w:t>
            </w:r>
          </w:p>
          <w:p w:rsidR="00F63D80" w:rsidRPr="006E7A07" w:rsidRDefault="00F63D80" w:rsidP="00AE571D">
            <w:pPr>
              <w:spacing w:line="280" w:lineRule="exact"/>
              <w:jc w:val="center"/>
              <w:rPr>
                <w:rFonts w:ascii="宋体"/>
                <w:kern w:val="0"/>
                <w:sz w:val="18"/>
                <w:szCs w:val="18"/>
              </w:rPr>
            </w:pPr>
            <w:r w:rsidRPr="006E7A07">
              <w:rPr>
                <w:rFonts w:ascii="宋体" w:hAnsi="宋体" w:cs="宋体"/>
                <w:sz w:val="18"/>
                <w:szCs w:val="18"/>
              </w:rPr>
              <w:t>15</w:t>
            </w:r>
            <w:r w:rsidRPr="006E7A07">
              <w:rPr>
                <w:rFonts w:ascii="宋体" w:hAnsi="宋体" w:cs="宋体" w:hint="eastAsia"/>
                <w:sz w:val="18"/>
                <w:szCs w:val="18"/>
              </w:rPr>
              <w:t>分</w:t>
            </w:r>
          </w:p>
        </w:tc>
        <w:tc>
          <w:tcPr>
            <w:tcW w:w="1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设备、阀门及附件，温控、计量及水力平衡装置安装质量、风管严密性检验和漏风量测试记录、组合式空调机组、柜式空调机组、新风机组、单元式空调机组的安装质量、风机盘管安装质量；风机规格、数量和及安装符合验收规定。</w:t>
            </w:r>
            <w:r w:rsidRPr="006E7A07">
              <w:rPr>
                <w:rFonts w:ascii="宋体" w:hAnsi="宋体" w:cs="宋体"/>
                <w:sz w:val="18"/>
                <w:szCs w:val="18"/>
              </w:rPr>
              <w:t>4</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1156" w:type="pct"/>
            <w:vMerge w:val="restar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1705"/>
          <w:jc w:val="center"/>
        </w:trPr>
        <w:tc>
          <w:tcPr>
            <w:tcW w:w="0" w:type="auto"/>
            <w:vMerge/>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带热回收功能的双向换气装置和集中排风系统中的排风热回收装置的安装质量、电动两通调节阀、水力平衡阀、冷（热）量计量装置等自控阀门与仪表安装符合验收规定。</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913"/>
          <w:jc w:val="center"/>
        </w:trPr>
        <w:tc>
          <w:tcPr>
            <w:tcW w:w="0" w:type="auto"/>
            <w:vMerge/>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空调风管系统及水系统管道及部件的绝热层和防潮层、冷热水管道与支、吊架之间应设置绝热衬垫符合验收规定。</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1209"/>
          <w:jc w:val="center"/>
        </w:trPr>
        <w:tc>
          <w:tcPr>
            <w:tcW w:w="0" w:type="auto"/>
            <w:vMerge/>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通风与空调系统隐检、通风机和空调机组等设备的单机试运转和调试应及时，总风量与设计风量的允许偏差符合规范规定。</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p>
        </w:tc>
        <w:tc>
          <w:tcPr>
            <w:tcW w:w="279" w:type="pct"/>
            <w:gridSpan w:val="2"/>
            <w:tcBorders>
              <w:top w:val="single" w:sz="4" w:space="0" w:color="auto"/>
              <w:left w:val="single" w:sz="4" w:space="0" w:color="auto"/>
              <w:bottom w:val="single" w:sz="6" w:space="0" w:color="auto"/>
              <w:right w:val="single" w:sz="4" w:space="0" w:color="auto"/>
            </w:tcBorders>
          </w:tcPr>
          <w:p w:rsidR="00F63D80" w:rsidRPr="006E7A07" w:rsidRDefault="00F63D80" w:rsidP="00AE571D">
            <w:pPr>
              <w:spacing w:line="280" w:lineRule="exact"/>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tcPr>
          <w:p w:rsidR="00F63D80" w:rsidRPr="006E7A07" w:rsidRDefault="00F63D80" w:rsidP="00AE571D">
            <w:pPr>
              <w:spacing w:line="280" w:lineRule="exact"/>
              <w:rPr>
                <w:rFonts w:ascii="宋体"/>
                <w:sz w:val="18"/>
                <w:szCs w:val="18"/>
              </w:rPr>
            </w:pPr>
          </w:p>
        </w:tc>
        <w:tc>
          <w:tcPr>
            <w:tcW w:w="0" w:type="auto"/>
            <w:vMerge/>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36"/>
          <w:jc w:val="center"/>
        </w:trPr>
        <w:tc>
          <w:tcPr>
            <w:tcW w:w="223" w:type="pct"/>
            <w:vMerge w:val="restart"/>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9</w:t>
            </w:r>
          </w:p>
        </w:tc>
        <w:tc>
          <w:tcPr>
            <w:tcW w:w="406" w:type="pct"/>
            <w:vMerge w:val="restart"/>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空</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调</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与</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采</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暖</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lastRenderedPageBreak/>
              <w:t>系</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统</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冷</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热</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源</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及</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管</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网</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节</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能</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工</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程</w:t>
            </w:r>
          </w:p>
          <w:p w:rsidR="00F63D80" w:rsidRPr="006E7A07" w:rsidRDefault="00F63D80" w:rsidP="00AE571D">
            <w:pPr>
              <w:spacing w:line="280" w:lineRule="exact"/>
              <w:jc w:val="center"/>
              <w:rPr>
                <w:rFonts w:ascii="宋体"/>
                <w:sz w:val="18"/>
                <w:szCs w:val="18"/>
              </w:rPr>
            </w:pPr>
          </w:p>
          <w:p w:rsidR="00F63D80" w:rsidRPr="006E7A07" w:rsidRDefault="00F63D80" w:rsidP="00AE571D">
            <w:pPr>
              <w:spacing w:line="280" w:lineRule="exact"/>
              <w:jc w:val="center"/>
              <w:rPr>
                <w:rFonts w:ascii="宋体"/>
                <w:kern w:val="0"/>
                <w:sz w:val="18"/>
                <w:szCs w:val="18"/>
              </w:rPr>
            </w:pPr>
            <w:r w:rsidRPr="006E7A07">
              <w:rPr>
                <w:rFonts w:ascii="宋体" w:hAnsi="宋体" w:cs="宋体"/>
                <w:sz w:val="18"/>
                <w:szCs w:val="18"/>
              </w:rPr>
              <w:t>15</w:t>
            </w:r>
            <w:r w:rsidRPr="006E7A07">
              <w:rPr>
                <w:rFonts w:ascii="宋体" w:hAnsi="宋体" w:cs="宋体" w:hint="eastAsia"/>
                <w:sz w:val="18"/>
                <w:szCs w:val="18"/>
              </w:rPr>
              <w:t>分</w:t>
            </w:r>
          </w:p>
        </w:tc>
        <w:tc>
          <w:tcPr>
            <w:tcW w:w="1279" w:type="pct"/>
            <w:gridSpan w:val="2"/>
            <w:tcBorders>
              <w:top w:val="single" w:sz="6" w:space="0" w:color="auto"/>
              <w:left w:val="single" w:sz="6"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lastRenderedPageBreak/>
              <w:t>材料设备进场验收、绝热材料等复验及性能检测，隐蔽工程验收、设备、阀门及附件，温控、计量及水力平衡装置安装质量符合验收规定。</w:t>
            </w:r>
            <w:r w:rsidRPr="006E7A07">
              <w:rPr>
                <w:rFonts w:ascii="宋体" w:hAnsi="宋体" w:cs="宋体"/>
                <w:sz w:val="18"/>
                <w:szCs w:val="18"/>
              </w:rPr>
              <w:t>6</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6"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tcBorders>
              <w:top w:val="single" w:sz="6"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经审核所有资料合格，并签认；材料不合格，退场并未使用，绝热材料的见证取样送试及型式检验</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6"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1092"/>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冷热源侧的电动两通调节阀、水力平衡阀及冷（热）量计量装置等自控阀门与仪表安装，锅炉、热交换器、电机驱动压缩机的蒸气压缩循环冷水（热泵）机组、蒸汽或热水型溴化锂吸收式冷水机组及直燃型溴化锂吸收式冷（温）水机组等设备的安装符合验收规定。</w:t>
            </w:r>
            <w:r w:rsidRPr="006E7A07">
              <w:rPr>
                <w:rFonts w:ascii="宋体" w:hAnsi="宋体" w:cs="宋体"/>
                <w:sz w:val="18"/>
                <w:szCs w:val="18"/>
              </w:rPr>
              <w:t>3</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vMerge w:val="restar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2385"/>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6"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1279" w:type="pct"/>
            <w:gridSpan w:val="2"/>
            <w:tcBorders>
              <w:top w:val="single" w:sz="4" w:space="0" w:color="auto"/>
              <w:left w:val="single" w:sz="6" w:space="0" w:color="auto"/>
              <w:bottom w:val="single" w:sz="4" w:space="0" w:color="auto"/>
              <w:right w:val="single" w:sz="4" w:space="0" w:color="auto"/>
            </w:tcBorders>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冷却塔水泵等辅助设备安装、空调冷热源水系统管道及配件绝热层和防潮层及保护层、冷热源机房、换热站内部空调冷热水管道与支、吊架之间绝热衬垫，空调与采暖系统冷热源和辅助设备及其管道和管网系统试运转及调试符合验收规定。</w:t>
            </w:r>
            <w:r w:rsidRPr="006E7A07">
              <w:rPr>
                <w:rFonts w:ascii="宋体" w:hAnsi="宋体" w:cs="宋体"/>
                <w:sz w:val="18"/>
                <w:szCs w:val="18"/>
              </w:rPr>
              <w:t>6</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6"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690"/>
          <w:jc w:val="center"/>
        </w:trPr>
        <w:tc>
          <w:tcPr>
            <w:tcW w:w="223"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kern w:val="0"/>
                <w:sz w:val="18"/>
                <w:szCs w:val="18"/>
              </w:rPr>
            </w:pPr>
            <w:r w:rsidRPr="006E7A07">
              <w:rPr>
                <w:rFonts w:ascii="宋体" w:hAnsi="宋体" w:cs="宋体"/>
                <w:kern w:val="0"/>
                <w:sz w:val="18"/>
                <w:szCs w:val="18"/>
              </w:rPr>
              <w:t>10</w:t>
            </w:r>
          </w:p>
        </w:tc>
        <w:tc>
          <w:tcPr>
            <w:tcW w:w="406"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配</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电</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与</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照</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明</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节</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能</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工</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程</w:t>
            </w:r>
          </w:p>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10</w:t>
            </w:r>
            <w:r w:rsidRPr="006E7A07">
              <w:rPr>
                <w:rFonts w:ascii="宋体" w:hAnsi="宋体" w:cs="宋体" w:hint="eastAsia"/>
                <w:sz w:val="18"/>
                <w:szCs w:val="18"/>
              </w:rPr>
              <w:t>分</w:t>
            </w: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母线与母线或母线与电器接线端子的连接符合要求。</w:t>
            </w:r>
            <w:r w:rsidRPr="006E7A07">
              <w:rPr>
                <w:rFonts w:ascii="宋体" w:hAnsi="宋体" w:cs="宋体"/>
                <w:sz w:val="18"/>
                <w:szCs w:val="18"/>
              </w:rPr>
              <w:t>2</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vMerge w:val="restar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vMerge w:val="restart"/>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69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交流单芯电缆或分相后的每相电缆的敷设符合规范要求。</w:t>
            </w:r>
            <w:r w:rsidRPr="006E7A07">
              <w:rPr>
                <w:rFonts w:ascii="宋体" w:hAnsi="宋体" w:cs="宋体"/>
                <w:sz w:val="18"/>
                <w:szCs w:val="18"/>
              </w:rPr>
              <w:t>2</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69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低压配电系统调试，压配电电源质量检测。</w:t>
            </w:r>
            <w:r w:rsidRPr="006E7A07">
              <w:rPr>
                <w:rFonts w:ascii="宋体" w:hAnsi="宋体" w:cs="宋体"/>
                <w:sz w:val="18"/>
                <w:szCs w:val="18"/>
              </w:rPr>
              <w:t>2</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69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kern w:val="0"/>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测试并记录照明系统的照度和功率密度值符合验收规定。</w:t>
            </w:r>
            <w:r w:rsidRPr="006E7A07">
              <w:rPr>
                <w:rFonts w:ascii="宋体" w:hAnsi="宋体" w:cs="宋体"/>
                <w:sz w:val="18"/>
                <w:szCs w:val="18"/>
              </w:rPr>
              <w:t>4</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6" w:space="0" w:color="auto"/>
              <w:left w:val="single" w:sz="4"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r>
      <w:tr w:rsidR="00F63D80" w:rsidRPr="006E7A07">
        <w:trPr>
          <w:cantSplit/>
          <w:trHeight w:val="621"/>
          <w:jc w:val="center"/>
        </w:trPr>
        <w:tc>
          <w:tcPr>
            <w:tcW w:w="223"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11</w:t>
            </w:r>
          </w:p>
        </w:tc>
        <w:tc>
          <w:tcPr>
            <w:tcW w:w="406"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验</w:t>
            </w:r>
          </w:p>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收</w:t>
            </w:r>
          </w:p>
          <w:p w:rsidR="00F63D80" w:rsidRPr="006E7A07" w:rsidRDefault="00F63D80" w:rsidP="00AE571D">
            <w:pPr>
              <w:spacing w:line="280" w:lineRule="exact"/>
              <w:jc w:val="center"/>
              <w:rPr>
                <w:rFonts w:ascii="宋体"/>
                <w:sz w:val="18"/>
                <w:szCs w:val="18"/>
              </w:rPr>
            </w:pPr>
          </w:p>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30</w:t>
            </w:r>
            <w:r w:rsidRPr="006E7A07">
              <w:rPr>
                <w:rFonts w:ascii="宋体" w:hAnsi="宋体" w:cs="宋体" w:hint="eastAsia"/>
                <w:sz w:val="18"/>
                <w:szCs w:val="18"/>
              </w:rPr>
              <w:t>分</w:t>
            </w:r>
          </w:p>
        </w:tc>
        <w:tc>
          <w:tcPr>
            <w:tcW w:w="1279" w:type="pct"/>
            <w:gridSpan w:val="2"/>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分项工程质量验收记录；必要时应核查检验批验收记录。</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60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nil"/>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建筑围护结构节能构造现场检验记录，严寒、寒冷和夏热冬冷地区外窗气密性现场检测报告。</w:t>
            </w:r>
            <w:r w:rsidRPr="006E7A07">
              <w:rPr>
                <w:rFonts w:ascii="宋体" w:hAnsi="宋体" w:cs="宋体"/>
                <w:sz w:val="18"/>
                <w:szCs w:val="18"/>
              </w:rPr>
              <w:t>10</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对现场实体检验旁站、见证、记录及签认</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1279" w:type="pct"/>
            <w:gridSpan w:val="2"/>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风管及系统严密性检验记录，现场组装的组合式空调机组的漏风量测试记录，设备单机试运转及调试记录，系统联合试运转及调试记录，系统节能性能检验报告，施工方案等重要技术资料。</w:t>
            </w:r>
            <w:r w:rsidRPr="006E7A07">
              <w:rPr>
                <w:rFonts w:ascii="宋体" w:hAnsi="宋体" w:cs="宋体"/>
                <w:sz w:val="18"/>
                <w:szCs w:val="18"/>
              </w:rPr>
              <w:t>5</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tcBorders>
              <w:top w:val="nil"/>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按照设计文件及规范验收合格，并签认；施工中存在问题，有整改通知未验收</w:t>
            </w:r>
          </w:p>
          <w:p w:rsidR="00F63D80" w:rsidRPr="006E7A07" w:rsidRDefault="00F63D80" w:rsidP="00AE571D">
            <w:pPr>
              <w:spacing w:line="280" w:lineRule="exac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690" w:type="pct"/>
            <w:vMerge w:val="restart"/>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spacing w:line="280" w:lineRule="exact"/>
              <w:rPr>
                <w:rFonts w:ascii="宋体"/>
                <w:sz w:val="18"/>
                <w:szCs w:val="18"/>
              </w:rPr>
            </w:pPr>
            <w:r w:rsidRPr="006E7A07">
              <w:rPr>
                <w:rFonts w:cs="宋体" w:hint="eastAsia"/>
                <w:sz w:val="18"/>
                <w:szCs w:val="18"/>
              </w:rPr>
              <w:t>建筑设备工程系统节能性能检测</w:t>
            </w: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室内温度；</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1156" w:type="pct"/>
            <w:vMerge w:val="restart"/>
            <w:tcBorders>
              <w:top w:val="nil"/>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对现场实体检验旁站、见证、记录及签认</w:t>
            </w: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供热系统室外管网的水力平衡度；</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供热系统的补水率；</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室外管网的热输送效率；</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各风口的风量；</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通风与空调系统的总风量；</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空调机组的水流量；</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6"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空调系统冷热水、冷却水总流量；</w:t>
            </w:r>
            <w:r w:rsidRPr="006E7A07">
              <w:rPr>
                <w:rFonts w:ascii="宋体" w:hAnsi="宋体" w:cs="宋体"/>
                <w:sz w:val="18"/>
                <w:szCs w:val="18"/>
              </w:rPr>
              <w:t>1</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6"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6"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tcPr>
          <w:p w:rsidR="00F63D80" w:rsidRPr="006E7A07" w:rsidRDefault="00F63D80" w:rsidP="00AE571D">
            <w:pPr>
              <w:widowControl/>
              <w:jc w:val="left"/>
              <w:rPr>
                <w:rFonts w:ascii="宋体"/>
                <w:sz w:val="18"/>
                <w:szCs w:val="18"/>
              </w:rPr>
            </w:pPr>
          </w:p>
        </w:tc>
        <w:tc>
          <w:tcPr>
            <w:tcW w:w="589" w:type="pct"/>
            <w:tcBorders>
              <w:top w:val="single" w:sz="4" w:space="0" w:color="auto"/>
              <w:left w:val="single" w:sz="6" w:space="0" w:color="auto"/>
              <w:bottom w:val="single" w:sz="4" w:space="0" w:color="auto"/>
              <w:right w:val="single" w:sz="4" w:space="0" w:color="auto"/>
            </w:tcBorders>
            <w:vAlign w:val="center"/>
          </w:tcPr>
          <w:p w:rsidR="00F63D80" w:rsidRPr="006E7A07" w:rsidRDefault="00F63D80" w:rsidP="00AE571D">
            <w:pPr>
              <w:spacing w:line="280" w:lineRule="exact"/>
              <w:rPr>
                <w:rFonts w:ascii="宋体"/>
                <w:sz w:val="18"/>
                <w:szCs w:val="18"/>
              </w:rPr>
            </w:pPr>
            <w:r w:rsidRPr="006E7A07">
              <w:rPr>
                <w:rFonts w:ascii="宋体" w:hAnsi="宋体" w:cs="宋体" w:hint="eastAsia"/>
                <w:sz w:val="18"/>
                <w:szCs w:val="18"/>
              </w:rPr>
              <w:t>平均照度与照明功率密度。</w:t>
            </w:r>
            <w:r w:rsidRPr="006E7A07">
              <w:rPr>
                <w:rFonts w:ascii="宋体" w:hAnsi="宋体" w:cs="宋体"/>
                <w:sz w:val="18"/>
                <w:szCs w:val="18"/>
              </w:rPr>
              <w:t>2</w:t>
            </w:r>
            <w:r w:rsidRPr="006E7A07">
              <w:rPr>
                <w:rFonts w:ascii="宋体" w:hAnsi="宋体" w:cs="宋体" w:hint="eastAsia"/>
                <w:sz w:val="18"/>
                <w:szCs w:val="18"/>
              </w:rPr>
              <w:t>分</w:t>
            </w:r>
          </w:p>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39"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tc>
        <w:tc>
          <w:tcPr>
            <w:tcW w:w="279"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34"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c>
          <w:tcPr>
            <w:tcW w:w="0" w:type="auto"/>
            <w:vMerge/>
            <w:tcBorders>
              <w:top w:val="nil"/>
              <w:left w:val="single" w:sz="6"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05"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p>
        </w:tc>
        <w:tc>
          <w:tcPr>
            <w:tcW w:w="268" w:type="pct"/>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p>
        </w:tc>
      </w:tr>
      <w:tr w:rsidR="00F63D80" w:rsidRPr="006E7A07">
        <w:trPr>
          <w:cantSplit/>
          <w:trHeight w:val="70"/>
          <w:jc w:val="center"/>
        </w:trPr>
        <w:tc>
          <w:tcPr>
            <w:tcW w:w="223"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12</w:t>
            </w:r>
          </w:p>
        </w:tc>
        <w:tc>
          <w:tcPr>
            <w:tcW w:w="406" w:type="pct"/>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得分统计</w:t>
            </w:r>
          </w:p>
        </w:tc>
        <w:tc>
          <w:tcPr>
            <w:tcW w:w="1279" w:type="pct"/>
            <w:gridSpan w:val="2"/>
            <w:vMerge w:val="restar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施工部分</w:t>
            </w:r>
          </w:p>
        </w:tc>
        <w:tc>
          <w:tcPr>
            <w:tcW w:w="495" w:type="pct"/>
            <w:gridSpan w:val="3"/>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jc w:val="center"/>
            </w:pPr>
            <w:r w:rsidRPr="006E7A07">
              <w:rPr>
                <w:rFonts w:cs="宋体" w:hint="eastAsia"/>
              </w:rPr>
              <w:t>应得分</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cs="宋体" w:hint="eastAsia"/>
              </w:rPr>
              <w:t>实得分</w:t>
            </w:r>
          </w:p>
        </w:tc>
        <w:tc>
          <w:tcPr>
            <w:tcW w:w="1156"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监理部分</w:t>
            </w:r>
          </w:p>
        </w:tc>
        <w:tc>
          <w:tcPr>
            <w:tcW w:w="473" w:type="pct"/>
            <w:gridSpan w:val="3"/>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应得分</w:t>
            </w:r>
          </w:p>
        </w:tc>
        <w:tc>
          <w:tcPr>
            <w:tcW w:w="473" w:type="pct"/>
            <w:gridSpan w:val="2"/>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实得分</w:t>
            </w:r>
          </w:p>
        </w:tc>
      </w:tr>
      <w:tr w:rsidR="00F63D80" w:rsidRPr="006E7A07">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widowControl/>
              <w:jc w:val="left"/>
              <w:rPr>
                <w:rFonts w:ascii="宋体"/>
                <w:sz w:val="18"/>
                <w:szCs w:val="18"/>
              </w:rPr>
            </w:pPr>
          </w:p>
        </w:tc>
        <w:tc>
          <w:tcPr>
            <w:tcW w:w="495" w:type="pct"/>
            <w:gridSpan w:val="3"/>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jc w:val="center"/>
              <w:rPr>
                <w:sz w:val="24"/>
                <w:szCs w:val="24"/>
                <w:shd w:val="pct15" w:color="auto" w:fill="FFFFFF"/>
              </w:rPr>
            </w:pPr>
            <w:r w:rsidRPr="006E7A07">
              <w:rPr>
                <w:sz w:val="24"/>
                <w:szCs w:val="24"/>
                <w:shd w:val="pct15" w:color="auto" w:fill="FFFFFF"/>
              </w:rPr>
              <w:t>A</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24"/>
                <w:szCs w:val="24"/>
                <w:shd w:val="pct15" w:color="auto" w:fill="FFFFFF"/>
              </w:rPr>
            </w:pPr>
            <w:r w:rsidRPr="006E7A07">
              <w:rPr>
                <w:rFonts w:ascii="宋体" w:hAnsi="宋体" w:cs="宋体"/>
                <w:sz w:val="24"/>
                <w:szCs w:val="24"/>
                <w:shd w:val="pct15" w:color="auto" w:fill="FFFFFF"/>
              </w:rPr>
              <w:t>B</w:t>
            </w:r>
          </w:p>
        </w:tc>
        <w:tc>
          <w:tcPr>
            <w:tcW w:w="1156"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24"/>
                <w:szCs w:val="24"/>
                <w:shd w:val="pct15" w:color="auto" w:fill="FFFFFF"/>
              </w:rPr>
            </w:pPr>
          </w:p>
        </w:tc>
        <w:tc>
          <w:tcPr>
            <w:tcW w:w="473" w:type="pct"/>
            <w:gridSpan w:val="3"/>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24"/>
                <w:szCs w:val="24"/>
                <w:shd w:val="pct15" w:color="auto" w:fill="FFFFFF"/>
              </w:rPr>
            </w:pPr>
            <w:r w:rsidRPr="006E7A07">
              <w:rPr>
                <w:rFonts w:ascii="宋体" w:hAnsi="宋体" w:cs="宋体"/>
                <w:sz w:val="24"/>
                <w:szCs w:val="24"/>
                <w:shd w:val="pct15" w:color="auto" w:fill="FFFFFF"/>
              </w:rPr>
              <w:t>A</w:t>
            </w:r>
          </w:p>
        </w:tc>
        <w:tc>
          <w:tcPr>
            <w:tcW w:w="473" w:type="pct"/>
            <w:gridSpan w:val="2"/>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spacing w:line="280" w:lineRule="exact"/>
              <w:jc w:val="center"/>
              <w:rPr>
                <w:rFonts w:ascii="宋体"/>
                <w:sz w:val="24"/>
                <w:szCs w:val="24"/>
                <w:shd w:val="pct15" w:color="auto" w:fill="FFFFFF"/>
              </w:rPr>
            </w:pPr>
            <w:r w:rsidRPr="006E7A07">
              <w:rPr>
                <w:rFonts w:ascii="宋体" w:hAnsi="宋体" w:cs="宋体"/>
                <w:sz w:val="24"/>
                <w:szCs w:val="24"/>
                <w:shd w:val="pct15" w:color="auto" w:fill="FFFFFF"/>
              </w:rPr>
              <w:t>B</w:t>
            </w:r>
          </w:p>
        </w:tc>
      </w:tr>
      <w:tr w:rsidR="00F63D80" w:rsidRPr="006E7A07">
        <w:trPr>
          <w:cantSplit/>
          <w:trHeight w:val="828"/>
          <w:jc w:val="center"/>
        </w:trPr>
        <w:tc>
          <w:tcPr>
            <w:tcW w:w="223"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sz w:val="18"/>
                <w:szCs w:val="18"/>
              </w:rPr>
              <w:t>13</w:t>
            </w:r>
          </w:p>
        </w:tc>
        <w:tc>
          <w:tcPr>
            <w:tcW w:w="406" w:type="pct"/>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spacing w:line="280" w:lineRule="exact"/>
              <w:jc w:val="center"/>
              <w:rPr>
                <w:rFonts w:ascii="宋体"/>
                <w:sz w:val="18"/>
                <w:szCs w:val="18"/>
              </w:rPr>
            </w:pPr>
            <w:r w:rsidRPr="006E7A07">
              <w:rPr>
                <w:rFonts w:ascii="宋体" w:hAnsi="宋体" w:cs="宋体" w:hint="eastAsia"/>
                <w:sz w:val="18"/>
                <w:szCs w:val="18"/>
              </w:rPr>
              <w:t>得分率</w:t>
            </w:r>
          </w:p>
        </w:tc>
        <w:tc>
          <w:tcPr>
            <w:tcW w:w="2270" w:type="pct"/>
            <w:gridSpan w:val="7"/>
            <w:tcBorders>
              <w:top w:val="single" w:sz="4" w:space="0" w:color="auto"/>
              <w:left w:val="single" w:sz="4" w:space="0" w:color="auto"/>
              <w:bottom w:val="single" w:sz="4" w:space="0" w:color="auto"/>
              <w:right w:val="single" w:sz="4" w:space="0" w:color="auto"/>
            </w:tcBorders>
            <w:vAlign w:val="center"/>
          </w:tcPr>
          <w:p w:rsidR="00F63D80" w:rsidRPr="006E7A07" w:rsidRDefault="00F63D80" w:rsidP="00AE571D">
            <w:pPr>
              <w:jc w:val="center"/>
              <w:rPr>
                <w:sz w:val="24"/>
                <w:szCs w:val="24"/>
                <w:shd w:val="pct15" w:color="auto" w:fill="FFFFFF"/>
              </w:rPr>
            </w:pPr>
            <w:r w:rsidRPr="006E7A07">
              <w:rPr>
                <w:sz w:val="24"/>
                <w:szCs w:val="24"/>
                <w:shd w:val="pct15" w:color="auto" w:fill="FFFFFF"/>
              </w:rPr>
              <w:t xml:space="preserve">B/A </w:t>
            </w:r>
            <w:r w:rsidRPr="006E7A07">
              <w:rPr>
                <w:rFonts w:cs="宋体" w:hint="eastAsia"/>
                <w:sz w:val="24"/>
                <w:szCs w:val="24"/>
                <w:shd w:val="pct15" w:color="auto" w:fill="FFFFFF"/>
              </w:rPr>
              <w:t>×</w:t>
            </w:r>
            <w:r w:rsidRPr="006E7A07">
              <w:rPr>
                <w:sz w:val="24"/>
                <w:szCs w:val="24"/>
                <w:shd w:val="pct15" w:color="auto" w:fill="FFFFFF"/>
              </w:rPr>
              <w:t xml:space="preserve"> 100% =       %</w:t>
            </w:r>
          </w:p>
        </w:tc>
        <w:tc>
          <w:tcPr>
            <w:tcW w:w="2101" w:type="pct"/>
            <w:gridSpan w:val="6"/>
            <w:tcBorders>
              <w:top w:val="single" w:sz="4" w:space="0" w:color="auto"/>
              <w:left w:val="single" w:sz="4" w:space="0" w:color="auto"/>
              <w:bottom w:val="single" w:sz="4" w:space="0" w:color="auto"/>
              <w:right w:val="single" w:sz="6" w:space="0" w:color="auto"/>
            </w:tcBorders>
            <w:vAlign w:val="center"/>
          </w:tcPr>
          <w:p w:rsidR="00F63D80" w:rsidRPr="006E7A07" w:rsidRDefault="00F63D80" w:rsidP="00AE571D">
            <w:pPr>
              <w:jc w:val="center"/>
              <w:rPr>
                <w:sz w:val="24"/>
                <w:szCs w:val="24"/>
                <w:shd w:val="pct15" w:color="auto" w:fill="FFFFFF"/>
              </w:rPr>
            </w:pPr>
            <w:r w:rsidRPr="006E7A07">
              <w:rPr>
                <w:sz w:val="24"/>
                <w:szCs w:val="24"/>
                <w:shd w:val="pct15" w:color="auto" w:fill="FFFFFF"/>
              </w:rPr>
              <w:t xml:space="preserve">B/A </w:t>
            </w:r>
            <w:r w:rsidRPr="006E7A07">
              <w:rPr>
                <w:rFonts w:cs="宋体" w:hint="eastAsia"/>
                <w:sz w:val="24"/>
                <w:szCs w:val="24"/>
                <w:shd w:val="pct15" w:color="auto" w:fill="FFFFFF"/>
              </w:rPr>
              <w:t>×</w:t>
            </w:r>
            <w:r w:rsidRPr="006E7A07">
              <w:rPr>
                <w:sz w:val="24"/>
                <w:szCs w:val="24"/>
                <w:shd w:val="pct15" w:color="auto" w:fill="FFFFFF"/>
              </w:rPr>
              <w:t xml:space="preserve"> 100% =       %</w:t>
            </w:r>
          </w:p>
        </w:tc>
      </w:tr>
    </w:tbl>
    <w:p w:rsidR="00F63D80" w:rsidRPr="006E7A07" w:rsidRDefault="00F63D80" w:rsidP="00D43502">
      <w:pPr>
        <w:jc w:val="left"/>
        <w:rPr>
          <w:rFonts w:ascii="仿宋_GB2312" w:eastAsia="仿宋_GB2312" w:cs="仿宋_GB2312"/>
          <w:sz w:val="24"/>
          <w:szCs w:val="24"/>
        </w:rPr>
      </w:pPr>
      <w:r w:rsidRPr="006E7A07">
        <w:rPr>
          <w:rFonts w:ascii="仿宋_GB2312" w:eastAsia="仿宋_GB2312" w:cs="仿宋_GB2312" w:hint="eastAsia"/>
          <w:sz w:val="24"/>
          <w:szCs w:val="24"/>
        </w:rPr>
        <w:t>检查组成员签字：</w:t>
      </w:r>
      <w:r w:rsidRPr="006E7A07">
        <w:rPr>
          <w:rFonts w:ascii="仿宋_GB2312" w:eastAsia="仿宋_GB2312" w:cs="仿宋_GB2312"/>
          <w:sz w:val="24"/>
          <w:szCs w:val="24"/>
        </w:rPr>
        <w:t xml:space="preserve">                                </w:t>
      </w:r>
      <w:r w:rsidRPr="006E7A07">
        <w:rPr>
          <w:rFonts w:ascii="仿宋_GB2312" w:eastAsia="仿宋_GB2312" w:cs="仿宋_GB2312" w:hint="eastAsia"/>
          <w:sz w:val="24"/>
          <w:szCs w:val="24"/>
        </w:rPr>
        <w:t>检查日期：</w:t>
      </w:r>
      <w:r w:rsidRPr="006E7A07">
        <w:rPr>
          <w:rFonts w:ascii="仿宋_GB2312" w:eastAsia="仿宋_GB2312" w:cs="仿宋_GB2312"/>
          <w:sz w:val="24"/>
          <w:szCs w:val="24"/>
        </w:rPr>
        <w:t xml:space="preserve">                           </w:t>
      </w:r>
    </w:p>
    <w:p w:rsidR="00F63D80" w:rsidRPr="006E7A07" w:rsidRDefault="00F63D80" w:rsidP="00D43502">
      <w:pPr>
        <w:rPr>
          <w:rFonts w:eastAsia="仿宋_GB2312"/>
          <w:sz w:val="28"/>
          <w:szCs w:val="28"/>
        </w:rPr>
      </w:pPr>
    </w:p>
    <w:p w:rsidR="00F63D80" w:rsidRPr="006E7A07" w:rsidRDefault="00F63D80" w:rsidP="00D43502">
      <w:pPr>
        <w:rPr>
          <w:rFonts w:eastAsia="仿宋_GB2312"/>
          <w:sz w:val="28"/>
          <w:szCs w:val="28"/>
        </w:rPr>
      </w:pPr>
    </w:p>
    <w:p w:rsidR="00F63D80" w:rsidRPr="006E7A07" w:rsidRDefault="00F63D80" w:rsidP="00D43502">
      <w:pPr>
        <w:spacing w:line="300" w:lineRule="exact"/>
        <w:rPr>
          <w:rFonts w:ascii="宋体"/>
        </w:rPr>
      </w:pPr>
      <w:r w:rsidRPr="006E7A07">
        <w:rPr>
          <w:rFonts w:ascii="宋体" w:hAnsi="宋体" w:cs="宋体" w:hint="eastAsia"/>
          <w:b/>
          <w:bCs/>
        </w:rPr>
        <w:t>注：</w:t>
      </w:r>
      <w:r w:rsidRPr="006E7A07">
        <w:rPr>
          <w:rFonts w:ascii="宋体" w:hAnsi="宋体" w:cs="宋体"/>
        </w:rPr>
        <w:t>A</w:t>
      </w:r>
      <w:r w:rsidRPr="006E7A07">
        <w:rPr>
          <w:rFonts w:ascii="宋体" w:hAnsi="宋体" w:cs="宋体" w:hint="eastAsia"/>
        </w:rPr>
        <w:t>、</w:t>
      </w:r>
      <w:r w:rsidRPr="006E7A07">
        <w:rPr>
          <w:rFonts w:ascii="宋体" w:hAnsi="宋体" w:cs="宋体"/>
        </w:rPr>
        <w:t>B</w:t>
      </w:r>
      <w:r w:rsidRPr="006E7A07">
        <w:rPr>
          <w:rFonts w:ascii="宋体" w:hAnsi="宋体" w:cs="宋体" w:hint="eastAsia"/>
        </w:rPr>
        <w:t>分别为应得分和实得分之和，项目进度不到或无此检查项的应得分为零分，检查中为“符合”的得满分，为“基本符合”的得</w:t>
      </w:r>
      <w:r w:rsidRPr="006E7A07">
        <w:rPr>
          <w:rFonts w:ascii="宋体" w:hAnsi="宋体" w:cs="宋体"/>
        </w:rPr>
        <w:t>50%</w:t>
      </w:r>
      <w:r w:rsidRPr="006E7A07">
        <w:rPr>
          <w:rFonts w:ascii="宋体" w:hAnsi="宋体" w:cs="宋体" w:hint="eastAsia"/>
        </w:rPr>
        <w:t>的分数，为“不符合”的记零分。监理部分的分值为施工部分</w:t>
      </w:r>
      <w:r w:rsidRPr="006E7A07">
        <w:rPr>
          <w:rFonts w:ascii="宋体" w:hAnsi="宋体" w:cs="宋体"/>
        </w:rPr>
        <w:t>1/2</w:t>
      </w:r>
      <w:r w:rsidRPr="006E7A07">
        <w:rPr>
          <w:rFonts w:ascii="宋体" w:hAnsi="宋体" w:cs="宋体" w:hint="eastAsia"/>
        </w:rPr>
        <w:t>记，记分原则相同。</w:t>
      </w:r>
    </w:p>
    <w:p w:rsidR="00F63D80" w:rsidRPr="006E7A07" w:rsidRDefault="00F63D80" w:rsidP="00D43502">
      <w:pPr>
        <w:rPr>
          <w:rFonts w:eastAsia="仿宋_GB2312"/>
          <w:sz w:val="28"/>
          <w:szCs w:val="28"/>
        </w:rPr>
      </w:pPr>
    </w:p>
    <w:p w:rsidR="00F63D80" w:rsidRPr="006E7A07" w:rsidRDefault="00F63D80" w:rsidP="00D43502">
      <w:pPr>
        <w:rPr>
          <w:rFonts w:eastAsia="仿宋_GB2312"/>
          <w:sz w:val="28"/>
          <w:szCs w:val="28"/>
        </w:rPr>
      </w:pPr>
    </w:p>
    <w:p w:rsidR="00F63D80" w:rsidRPr="006E7A07" w:rsidRDefault="00F63D80"/>
    <w:sectPr w:rsidR="00F63D80" w:rsidRPr="006E7A07" w:rsidSect="00AD73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A3" w:rsidRDefault="003879A3" w:rsidP="00D43502">
      <w:r>
        <w:separator/>
      </w:r>
    </w:p>
  </w:endnote>
  <w:endnote w:type="continuationSeparator" w:id="1">
    <w:p w:rsidR="003879A3" w:rsidRDefault="003879A3" w:rsidP="00D43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80" w:rsidRDefault="00F63D80" w:rsidP="00F16AF0">
    <w:pPr>
      <w:pStyle w:val="a4"/>
      <w:jc w:val="center"/>
      <w:rPr>
        <w:rFonts w:cs="Times New Roman"/>
      </w:rPr>
    </w:pPr>
    <w:r>
      <w:rPr>
        <w:kern w:val="0"/>
      </w:rPr>
      <w:t xml:space="preserve">- </w:t>
    </w:r>
    <w:r w:rsidR="002459A3">
      <w:rPr>
        <w:kern w:val="0"/>
      </w:rPr>
      <w:fldChar w:fldCharType="begin"/>
    </w:r>
    <w:r>
      <w:rPr>
        <w:kern w:val="0"/>
      </w:rPr>
      <w:instrText xml:space="preserve"> PAGE </w:instrText>
    </w:r>
    <w:r w:rsidR="002459A3">
      <w:rPr>
        <w:kern w:val="0"/>
      </w:rPr>
      <w:fldChar w:fldCharType="separate"/>
    </w:r>
    <w:r w:rsidR="006E7A07">
      <w:rPr>
        <w:noProof/>
        <w:kern w:val="0"/>
      </w:rPr>
      <w:t>1</w:t>
    </w:r>
    <w:r w:rsidR="002459A3">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A3" w:rsidRDefault="003879A3" w:rsidP="00D43502">
      <w:r>
        <w:separator/>
      </w:r>
    </w:p>
  </w:footnote>
  <w:footnote w:type="continuationSeparator" w:id="1">
    <w:p w:rsidR="003879A3" w:rsidRDefault="003879A3" w:rsidP="00D43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502"/>
    <w:rsid w:val="002459A3"/>
    <w:rsid w:val="003879A3"/>
    <w:rsid w:val="003D2F66"/>
    <w:rsid w:val="00613CC4"/>
    <w:rsid w:val="006E7A07"/>
    <w:rsid w:val="007E33ED"/>
    <w:rsid w:val="00992CA1"/>
    <w:rsid w:val="00A53B39"/>
    <w:rsid w:val="00AD73D4"/>
    <w:rsid w:val="00AE3A53"/>
    <w:rsid w:val="00AE571D"/>
    <w:rsid w:val="00D43502"/>
    <w:rsid w:val="00F16AF0"/>
    <w:rsid w:val="00F63D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0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4350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D43502"/>
    <w:rPr>
      <w:sz w:val="18"/>
      <w:szCs w:val="18"/>
    </w:rPr>
  </w:style>
  <w:style w:type="paragraph" w:styleId="a4">
    <w:name w:val="footer"/>
    <w:basedOn w:val="a"/>
    <w:link w:val="Char0"/>
    <w:uiPriority w:val="99"/>
    <w:semiHidden/>
    <w:rsid w:val="00D43502"/>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D435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附表8</dc:title>
  <dc:subject/>
  <dc:creator>李鑫</dc:creator>
  <cp:keywords/>
  <dc:description/>
  <cp:lastModifiedBy>李鑫</cp:lastModifiedBy>
  <cp:revision>4</cp:revision>
  <cp:lastPrinted>2014-09-19T05:28:00Z</cp:lastPrinted>
  <dcterms:created xsi:type="dcterms:W3CDTF">2014-09-19T05:28:00Z</dcterms:created>
  <dcterms:modified xsi:type="dcterms:W3CDTF">2014-09-22T07:11:00Z</dcterms:modified>
</cp:coreProperties>
</file>