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0"/>
        </w:tabs>
        <w:snapToGrid w:val="0"/>
        <w:spacing w:line="480" w:lineRule="atLeast"/>
        <w:rPr>
          <w:rFonts w:ascii="仿宋_GB2312" w:hAnsi="黑体" w:eastAsia="仿宋_GB2312"/>
          <w:b/>
          <w:sz w:val="32"/>
          <w:szCs w:val="32"/>
        </w:rPr>
      </w:pPr>
      <w:r>
        <w:rPr>
          <w:rFonts w:hint="eastAsia" w:ascii="仿宋_GB2312" w:hAnsi="黑体" w:eastAsia="仿宋_GB2312"/>
          <w:b/>
          <w:sz w:val="32"/>
          <w:szCs w:val="32"/>
        </w:rPr>
        <w:t xml:space="preserve">    </w:t>
      </w:r>
    </w:p>
    <w:p>
      <w:pPr>
        <w:snapToGrid w:val="0"/>
        <w:spacing w:line="480" w:lineRule="atLeast"/>
        <w:jc w:val="right"/>
        <w:rPr>
          <w:rFonts w:ascii="仿宋_GB2312" w:hAnsi="黑体" w:eastAsia="仿宋_GB2312"/>
          <w:b/>
          <w:sz w:val="32"/>
          <w:szCs w:val="32"/>
        </w:rPr>
      </w:pPr>
      <w:r>
        <w:rPr>
          <w:rFonts w:hint="eastAsia" w:ascii="仿宋_GB2312" w:hAnsi="黑体" w:eastAsia="仿宋_GB2312"/>
          <w:b/>
          <w:sz w:val="32"/>
          <w:szCs w:val="32"/>
        </w:rPr>
        <w:t xml:space="preserve">  合同编号：      号</w:t>
      </w:r>
    </w:p>
    <w:p>
      <w:pPr>
        <w:snapToGrid w:val="0"/>
        <w:spacing w:line="480" w:lineRule="atLeast"/>
        <w:rPr>
          <w:rFonts w:ascii="仿宋_GB2312" w:hAnsi="黑体" w:eastAsia="仿宋_GB2312"/>
          <w:sz w:val="30"/>
          <w:szCs w:val="30"/>
        </w:rPr>
      </w:pPr>
    </w:p>
    <w:p>
      <w:pPr>
        <w:snapToGrid w:val="0"/>
        <w:spacing w:line="480" w:lineRule="atLeast"/>
        <w:rPr>
          <w:rFonts w:ascii="仿宋_GB2312" w:hAnsi="黑体" w:eastAsia="仿宋_GB2312"/>
          <w:sz w:val="32"/>
          <w:szCs w:val="32"/>
        </w:rPr>
      </w:pPr>
    </w:p>
    <w:p>
      <w:pPr>
        <w:tabs>
          <w:tab w:val="left" w:pos="6750"/>
        </w:tabs>
        <w:snapToGrid w:val="0"/>
        <w:spacing w:line="480" w:lineRule="atLeast"/>
        <w:rPr>
          <w:rFonts w:ascii="仿宋_GB2312" w:hAnsi="黑体" w:eastAsia="仿宋_GB2312"/>
          <w:sz w:val="32"/>
          <w:szCs w:val="32"/>
        </w:rPr>
      </w:pPr>
      <w:r>
        <w:rPr>
          <w:rFonts w:ascii="仿宋_GB2312" w:hAnsi="黑体" w:eastAsia="仿宋_GB2312"/>
          <w:sz w:val="32"/>
          <w:szCs w:val="32"/>
        </w:rPr>
        <w:tab/>
      </w:r>
    </w:p>
    <w:p>
      <w:pPr>
        <w:jc w:val="center"/>
        <w:rPr>
          <w:rFonts w:hint="eastAsia" w:ascii="Times New Roman" w:hAnsi="Times New Roman" w:eastAsia="华文中宋" w:cs="Times New Roman"/>
          <w:b/>
          <w:color w:val="000000"/>
          <w:sz w:val="72"/>
          <w:szCs w:val="52"/>
        </w:rPr>
      </w:pPr>
      <w:r>
        <w:rPr>
          <w:rFonts w:hint="eastAsia" w:ascii="Times New Roman" w:hAnsi="Times New Roman" w:eastAsia="华文中宋" w:cs="Times New Roman"/>
          <w:b/>
          <w:color w:val="000000"/>
          <w:sz w:val="72"/>
          <w:szCs w:val="52"/>
        </w:rPr>
        <w:t>深圳市物业服务合同</w:t>
      </w:r>
    </w:p>
    <w:p>
      <w:pPr>
        <w:suppressAutoHyphens/>
        <w:snapToGrid w:val="0"/>
        <w:spacing w:line="480" w:lineRule="atLeast"/>
        <w:jc w:val="center"/>
        <w:rPr>
          <w:rFonts w:ascii="黑体" w:hAnsi="黑体" w:eastAsia="黑体"/>
          <w:sz w:val="44"/>
          <w:szCs w:val="44"/>
        </w:rPr>
      </w:pPr>
      <w:r>
        <w:rPr>
          <w:rFonts w:hint="eastAsia" w:ascii="Times New Roman" w:hAnsi="Times New Roman" w:eastAsia="华文中宋" w:cs="Times New Roman"/>
          <w:b/>
          <w:color w:val="000000"/>
          <w:sz w:val="52"/>
          <w:szCs w:val="52"/>
        </w:rPr>
        <w:t>（示范文本）</w:t>
      </w:r>
    </w:p>
    <w:p>
      <w:pPr>
        <w:snapToGrid w:val="0"/>
        <w:spacing w:line="480" w:lineRule="atLeast"/>
        <w:rPr>
          <w:rFonts w:ascii="仿宋_GB2312" w:hAnsi="黑体" w:eastAsia="仿宋_GB2312"/>
          <w:szCs w:val="21"/>
        </w:rPr>
      </w:pPr>
    </w:p>
    <w:p>
      <w:pPr>
        <w:snapToGrid w:val="0"/>
        <w:spacing w:line="480" w:lineRule="atLeast"/>
        <w:rPr>
          <w:rFonts w:ascii="仿宋_GB2312" w:hAnsi="黑体" w:eastAsia="仿宋_GB2312"/>
          <w:szCs w:val="21"/>
        </w:rPr>
      </w:pPr>
    </w:p>
    <w:p>
      <w:pPr>
        <w:snapToGrid w:val="0"/>
        <w:spacing w:line="480" w:lineRule="atLeast"/>
        <w:rPr>
          <w:rFonts w:ascii="仿宋_GB2312" w:hAnsi="黑体" w:eastAsia="仿宋_GB2312"/>
          <w:szCs w:val="21"/>
        </w:rPr>
      </w:pPr>
    </w:p>
    <w:p>
      <w:pPr>
        <w:snapToGrid w:val="0"/>
        <w:spacing w:line="480" w:lineRule="atLeast"/>
        <w:rPr>
          <w:rFonts w:ascii="仿宋_GB2312" w:hAnsi="黑体" w:eastAsia="仿宋_GB2312"/>
          <w:szCs w:val="21"/>
        </w:rPr>
      </w:pPr>
    </w:p>
    <w:p>
      <w:pPr>
        <w:snapToGrid w:val="0"/>
        <w:spacing w:line="480" w:lineRule="atLeast"/>
        <w:rPr>
          <w:rFonts w:ascii="仿宋_GB2312" w:hAnsi="黑体" w:eastAsia="仿宋_GB2312"/>
          <w:sz w:val="30"/>
          <w:szCs w:val="30"/>
        </w:rPr>
      </w:pPr>
    </w:p>
    <w:p>
      <w:pPr>
        <w:suppressAutoHyphens/>
        <w:snapToGrid w:val="0"/>
        <w:spacing w:line="480" w:lineRule="atLeast"/>
        <w:rPr>
          <w:rFonts w:ascii="黑体" w:hAnsi="黑体" w:eastAsia="黑体"/>
          <w:sz w:val="44"/>
          <w:szCs w:val="44"/>
          <w:u w:val="single"/>
        </w:rPr>
      </w:pPr>
      <w:r>
        <w:rPr>
          <w:rFonts w:ascii="宋体" w:hAnsi="宋体"/>
          <w:b/>
          <w:sz w:val="36"/>
          <w:szCs w:val="36"/>
        </w:rPr>
        <w:t>甲方（</w:t>
      </w:r>
      <w:r>
        <w:rPr>
          <w:rFonts w:hint="eastAsia" w:ascii="宋体" w:hAnsi="宋体"/>
          <w:b/>
          <w:sz w:val="36"/>
          <w:szCs w:val="36"/>
        </w:rPr>
        <w:t>业主大会/社区居民委员会</w:t>
      </w:r>
      <w:r>
        <w:rPr>
          <w:rFonts w:ascii="宋体" w:hAnsi="宋体"/>
          <w:b/>
          <w:sz w:val="36"/>
          <w:szCs w:val="36"/>
        </w:rPr>
        <w:t>）</w:t>
      </w:r>
      <w:r>
        <w:rPr>
          <w:rFonts w:hint="eastAsia" w:ascii="黑体" w:hAnsi="黑体" w:eastAsia="黑体"/>
          <w:sz w:val="44"/>
          <w:szCs w:val="44"/>
        </w:rPr>
        <w:t>：</w:t>
      </w:r>
      <w:r>
        <w:rPr>
          <w:rFonts w:hint="eastAsia" w:ascii="黑体" w:hAnsi="黑体" w:eastAsia="黑体"/>
          <w:sz w:val="44"/>
          <w:szCs w:val="44"/>
          <w:u w:val="single"/>
        </w:rPr>
        <w:t xml:space="preserve">                              </w:t>
      </w:r>
    </w:p>
    <w:p>
      <w:pPr>
        <w:suppressAutoHyphens/>
        <w:snapToGrid w:val="0"/>
        <w:spacing w:line="480" w:lineRule="atLeast"/>
        <w:rPr>
          <w:rFonts w:ascii="黑体" w:hAnsi="黑体" w:eastAsia="黑体"/>
          <w:sz w:val="44"/>
          <w:szCs w:val="44"/>
        </w:rPr>
      </w:pPr>
    </w:p>
    <w:p>
      <w:pPr>
        <w:suppressAutoHyphens/>
        <w:snapToGrid w:val="0"/>
        <w:spacing w:line="480" w:lineRule="atLeast"/>
        <w:rPr>
          <w:rFonts w:ascii="黑体" w:hAnsi="黑体" w:eastAsia="黑体"/>
          <w:sz w:val="44"/>
          <w:szCs w:val="44"/>
        </w:rPr>
      </w:pPr>
    </w:p>
    <w:p>
      <w:pPr>
        <w:suppressAutoHyphens/>
        <w:snapToGrid w:val="0"/>
        <w:spacing w:line="480" w:lineRule="atLeast"/>
        <w:rPr>
          <w:rFonts w:ascii="黑体" w:hAnsi="黑体" w:eastAsia="黑体"/>
          <w:sz w:val="44"/>
          <w:szCs w:val="44"/>
          <w:u w:val="single"/>
        </w:rPr>
      </w:pPr>
      <w:r>
        <w:rPr>
          <w:rFonts w:ascii="宋体" w:hAnsi="宋体"/>
          <w:b/>
          <w:sz w:val="36"/>
          <w:szCs w:val="36"/>
        </w:rPr>
        <w:t>乙方（物业服务企业）：</w:t>
      </w:r>
      <w:r>
        <w:rPr>
          <w:rFonts w:hint="eastAsia" w:ascii="黑体" w:hAnsi="黑体" w:eastAsia="黑体"/>
          <w:sz w:val="44"/>
          <w:szCs w:val="44"/>
          <w:u w:val="single"/>
        </w:rPr>
        <w:t xml:space="preserve">                     </w:t>
      </w:r>
    </w:p>
    <w:p>
      <w:pPr>
        <w:snapToGrid w:val="0"/>
        <w:spacing w:line="480" w:lineRule="atLeast"/>
        <w:rPr>
          <w:rFonts w:ascii="仿宋_GB2312" w:hAnsi="黑体" w:eastAsia="仿宋_GB2312"/>
          <w:sz w:val="30"/>
          <w:szCs w:val="30"/>
        </w:rPr>
      </w:pPr>
      <w:r>
        <w:rPr>
          <w:rFonts w:hint="eastAsia" w:ascii="仿宋_GB2312" w:hAnsi="黑体" w:eastAsia="仿宋_GB2312"/>
          <w:sz w:val="30"/>
          <w:szCs w:val="30"/>
        </w:rPr>
        <w:t xml:space="preserve"> </w:t>
      </w:r>
    </w:p>
    <w:p>
      <w:pPr>
        <w:snapToGrid w:val="0"/>
        <w:spacing w:line="480" w:lineRule="atLeast"/>
        <w:rPr>
          <w:rFonts w:ascii="仿宋_GB2312" w:hAnsi="黑体" w:eastAsia="仿宋_GB2312"/>
          <w:sz w:val="30"/>
          <w:szCs w:val="30"/>
        </w:rPr>
      </w:pPr>
    </w:p>
    <w:p>
      <w:pPr>
        <w:snapToGrid w:val="0"/>
        <w:spacing w:line="480" w:lineRule="atLeast"/>
        <w:rPr>
          <w:rFonts w:ascii="仿宋_GB2312" w:hAnsi="黑体" w:eastAsia="仿宋_GB2312"/>
          <w:sz w:val="30"/>
          <w:szCs w:val="30"/>
        </w:rPr>
      </w:pPr>
    </w:p>
    <w:p>
      <w:pPr>
        <w:snapToGrid w:val="0"/>
        <w:spacing w:line="480" w:lineRule="atLeast"/>
        <w:rPr>
          <w:rFonts w:ascii="仿宋_GB2312" w:hAnsi="黑体" w:eastAsia="仿宋_GB2312"/>
          <w:sz w:val="30"/>
          <w:szCs w:val="30"/>
        </w:rPr>
      </w:pPr>
    </w:p>
    <w:p>
      <w:pPr>
        <w:snapToGrid w:val="0"/>
        <w:spacing w:line="480" w:lineRule="atLeast"/>
        <w:rPr>
          <w:rFonts w:ascii="仿宋_GB2312" w:hAnsi="黑体" w:eastAsia="仿宋_GB2312"/>
          <w:sz w:val="30"/>
          <w:szCs w:val="30"/>
        </w:rPr>
      </w:pPr>
    </w:p>
    <w:p>
      <w:pPr>
        <w:snapToGrid w:val="0"/>
        <w:spacing w:line="480" w:lineRule="atLeast"/>
        <w:rPr>
          <w:rFonts w:ascii="仿宋_GB2312" w:hAnsi="黑体" w:eastAsia="仿宋_GB2312"/>
          <w:sz w:val="30"/>
          <w:szCs w:val="30"/>
        </w:rPr>
      </w:pPr>
    </w:p>
    <w:p>
      <w:pPr>
        <w:jc w:val="center"/>
        <w:rPr>
          <w:rFonts w:ascii="宋体" w:hAnsi="宋体" w:eastAsia="宋体" w:cs="宋体"/>
          <w:b/>
          <w:sz w:val="32"/>
          <w:szCs w:val="32"/>
        </w:rPr>
      </w:pPr>
      <w:r>
        <w:rPr>
          <w:rFonts w:hint="eastAsia" w:ascii="黑体" w:hAnsi="黑体" w:eastAsia="黑体"/>
          <w:sz w:val="32"/>
          <w:szCs w:val="32"/>
        </w:rPr>
        <w:t xml:space="preserve"> </w:t>
      </w:r>
      <w:r>
        <w:rPr>
          <w:rFonts w:hint="eastAsia" w:ascii="宋体" w:hAnsi="宋体" w:eastAsia="宋体" w:cs="宋体"/>
          <w:b/>
          <w:sz w:val="32"/>
          <w:szCs w:val="32"/>
        </w:rPr>
        <w:t>深圳市住房和建设局</w:t>
      </w:r>
      <w:r>
        <w:rPr>
          <w:rFonts w:ascii="宋体" w:hAnsi="宋体" w:eastAsia="宋体" w:cs="宋体"/>
          <w:b/>
          <w:sz w:val="32"/>
          <w:szCs w:val="32"/>
        </w:rPr>
        <w:t xml:space="preserve">   </w:t>
      </w:r>
      <w:r>
        <w:rPr>
          <w:rFonts w:hint="eastAsia" w:ascii="宋体" w:hAnsi="宋体" w:eastAsia="宋体" w:cs="宋体"/>
          <w:b/>
          <w:sz w:val="32"/>
          <w:szCs w:val="32"/>
        </w:rPr>
        <w:t>监制</w:t>
      </w:r>
    </w:p>
    <w:p>
      <w:pPr>
        <w:snapToGrid w:val="0"/>
        <w:spacing w:line="480" w:lineRule="atLeast"/>
        <w:rPr>
          <w:rFonts w:ascii="黑体" w:hAnsi="黑体" w:eastAsia="黑体"/>
          <w:sz w:val="32"/>
          <w:szCs w:val="32"/>
        </w:rPr>
      </w:pPr>
    </w:p>
    <w:p>
      <w:pPr>
        <w:snapToGrid w:val="0"/>
        <w:spacing w:line="480" w:lineRule="atLeast"/>
        <w:ind w:firstLine="2240" w:firstLineChars="700"/>
        <w:rPr>
          <w:rFonts w:ascii="黑体" w:hAnsi="黑体" w:eastAsia="黑体"/>
          <w:sz w:val="32"/>
          <w:szCs w:val="32"/>
        </w:rPr>
      </w:pPr>
    </w:p>
    <w:p>
      <w:pPr>
        <w:snapToGrid w:val="0"/>
        <w:spacing w:line="360" w:lineRule="auto"/>
        <w:jc w:val="center"/>
        <w:rPr>
          <w:rFonts w:ascii="仿宋_GB2312" w:hAnsi="宋体" w:eastAsia="仿宋_GB2312"/>
          <w:b/>
          <w:sz w:val="32"/>
          <w:szCs w:val="32"/>
        </w:rPr>
      </w:pPr>
    </w:p>
    <w:p>
      <w:pPr>
        <w:snapToGrid w:val="0"/>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br w:type="page"/>
      </w:r>
    </w:p>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sz w:val="32"/>
          <w:szCs w:val="32"/>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Times New Roman" w:hAnsi="Times New Roman" w:eastAsia="华文中宋" w:cs="Times New Roman"/>
          <w:b/>
          <w:bCs/>
          <w:kern w:val="44"/>
          <w:sz w:val="44"/>
          <w:szCs w:val="44"/>
          <w:lang w:val="zh-CN" w:eastAsia="zh-CN" w:bidi="ar-SA"/>
        </w:rPr>
      </w:pPr>
      <w:r>
        <w:rPr>
          <w:rFonts w:hint="eastAsia" w:ascii="Times New Roman" w:hAnsi="Times New Roman" w:eastAsia="华文中宋" w:cs="Times New Roman"/>
          <w:b/>
          <w:bCs/>
          <w:kern w:val="44"/>
          <w:sz w:val="44"/>
          <w:szCs w:val="44"/>
          <w:lang w:val="zh-CN" w:eastAsia="zh-CN" w:bidi="ar-SA"/>
        </w:rPr>
        <w:t>使用说明</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一、</w:t>
      </w:r>
      <w:r>
        <w:rPr>
          <w:rFonts w:hint="eastAsia" w:ascii="仿宋_GB2312" w:hAnsi="仿宋_GB2312" w:eastAsia="仿宋_GB2312" w:cs="仿宋_GB2312"/>
          <w:sz w:val="30"/>
          <w:szCs w:val="30"/>
        </w:rPr>
        <w:t>本合同为物业服务合同示范文本，适用于业主大会或依据《深圳经济特区物业管理条例》规定由社区居民委员会与物业服务企业订立合同时使用。合同双方当事人在签约之前应当仔细阅读本示范文本的内容。</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本合同为业主大会与依法选聘、续聘的物业服务企业签订的物业服务合同，对该物业管理区域内全体业主具有约束力。物业所在地社区居民委员会依据法律规定与选聘、续聘的物业服务企业签订的物业服务合同，对该物业管理区域内全体业主具有约束力。</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本合同文本</w:t>
      </w:r>
      <w:bookmarkStart w:id="0" w:name="_Hlk20155559"/>
      <w:r>
        <w:rPr>
          <w:rFonts w:hint="eastAsia" w:ascii="仿宋_GB2312" w:hAnsi="仿宋_GB2312" w:eastAsia="仿宋_GB2312" w:cs="仿宋_GB2312"/>
          <w:sz w:val="30"/>
          <w:szCs w:val="30"/>
        </w:rPr>
        <w:t>□</w:t>
      </w:r>
      <w:bookmarkEnd w:id="0"/>
      <w:r>
        <w:rPr>
          <w:rFonts w:hint="eastAsia" w:ascii="仿宋_GB2312" w:hAnsi="仿宋_GB2312" w:eastAsia="仿宋_GB2312" w:cs="仿宋_GB2312"/>
          <w:sz w:val="30"/>
          <w:szCs w:val="30"/>
        </w:rPr>
        <w:t>中选择的内容、空格部位的填写及其他需要删除或添加的内容，应由双方当事人应当协商确定。□中选择的内容，以划√方式选定；对于实际情况未发生或双方当事人不做约定的，应当在空格部位打×，以示删除。合同签订后未被修改的文本印刷条款视为双方同意的内容。</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为体现合同双方的自愿原则，本合同中相关条款附有空白行，可供合同双方依法自行约定。经双方当事人协商确定，可以根据实际情况对本合同条款的内容（包括选择内容、填写空格部位的内容）进行选择、修改、增补或删减。</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在签订合同时，合同双方应当出示有关信用证明及签约主体资格的证书、证明文件。</w:t>
      </w:r>
      <w:bookmarkStart w:id="1" w:name="_Toc13744"/>
      <w:bookmarkStart w:id="2" w:name="_Toc7795"/>
      <w:bookmarkStart w:id="3" w:name="_Toc16924"/>
      <w:bookmarkStart w:id="4" w:name="_Toc22165"/>
      <w:bookmarkStart w:id="5" w:name="_Toc9614"/>
      <w:bookmarkStart w:id="6" w:name="_Toc9961"/>
      <w:bookmarkStart w:id="7" w:name="_Toc6248"/>
    </w:p>
    <w:p>
      <w:pPr>
        <w:keepNext w:val="0"/>
        <w:keepLines w:val="0"/>
        <w:pageBreakBefore w:val="0"/>
        <w:kinsoku/>
        <w:wordWrap/>
        <w:overflowPunct/>
        <w:topLinePunct w:val="0"/>
        <w:autoSpaceDE/>
        <w:autoSpaceDN/>
        <w:bidi w:val="0"/>
        <w:adjustRightInd/>
        <w:snapToGrid w:val="0"/>
        <w:spacing w:before="156" w:after="156" w:line="360" w:lineRule="auto"/>
        <w:ind w:firstLine="643" w:firstLineChars="20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br w:type="page"/>
      </w:r>
    </w:p>
    <w:p>
      <w:pPr>
        <w:keepNext w:val="0"/>
        <w:keepLines w:val="0"/>
        <w:pageBreakBefore w:val="0"/>
        <w:kinsoku/>
        <w:wordWrap/>
        <w:overflowPunct/>
        <w:topLinePunct w:val="0"/>
        <w:autoSpaceDE/>
        <w:autoSpaceDN/>
        <w:bidi w:val="0"/>
        <w:adjustRightInd/>
        <w:snapToGrid w:val="0"/>
        <w:spacing w:before="156" w:after="156" w:line="360" w:lineRule="auto"/>
        <w:jc w:val="center"/>
        <w:textAlignment w:val="auto"/>
        <w:outlineLvl w:val="9"/>
        <w:rPr>
          <w:rFonts w:hint="eastAsia" w:ascii="仿宋" w:hAnsi="仿宋" w:eastAsia="仿宋" w:cs="仿宋"/>
          <w:b/>
          <w:bCs/>
          <w:sz w:val="32"/>
          <w:szCs w:val="32"/>
        </w:rPr>
      </w:pPr>
    </w:p>
    <w:p>
      <w:pPr>
        <w:pStyle w:val="4"/>
        <w:pageBreakBefore w:val="0"/>
        <w:kinsoku/>
        <w:wordWrap/>
        <w:overflowPunct/>
        <w:topLinePunct w:val="0"/>
        <w:autoSpaceDE/>
        <w:autoSpaceDN/>
        <w:bidi w:val="0"/>
        <w:adjustRightInd/>
        <w:snapToGrid w:val="0"/>
        <w:spacing w:before="0" w:beforeLines="0" w:after="0" w:afterLines="0" w:line="360" w:lineRule="auto"/>
        <w:jc w:val="center"/>
        <w:textAlignment w:val="auto"/>
        <w:rPr>
          <w:rFonts w:hint="eastAsia" w:ascii="华文中宋" w:hAnsi="华文中宋" w:eastAsia="华文中宋" w:cs="Times New Roman"/>
          <w:sz w:val="44"/>
          <w:szCs w:val="44"/>
        </w:rPr>
      </w:pPr>
      <w:r>
        <w:rPr>
          <w:rFonts w:hint="eastAsia" w:ascii="华文中宋" w:hAnsi="华文中宋" w:eastAsia="华文中宋" w:cs="Times New Roman"/>
          <w:sz w:val="44"/>
          <w:szCs w:val="44"/>
        </w:rPr>
        <w:t xml:space="preserve">第一章  </w:t>
      </w:r>
      <w:bookmarkEnd w:id="1"/>
      <w:bookmarkEnd w:id="2"/>
      <w:bookmarkEnd w:id="3"/>
      <w:bookmarkEnd w:id="4"/>
      <w:bookmarkEnd w:id="5"/>
      <w:bookmarkEnd w:id="6"/>
      <w:bookmarkEnd w:id="7"/>
      <w:r>
        <w:rPr>
          <w:rFonts w:hint="eastAsia" w:ascii="华文中宋" w:hAnsi="华文中宋" w:eastAsia="华文中宋" w:cs="Times New Roman"/>
          <w:sz w:val="44"/>
          <w:szCs w:val="44"/>
        </w:rPr>
        <w:t>合同主体</w:t>
      </w:r>
    </w:p>
    <w:p>
      <w:pPr>
        <w:keepNext w:val="0"/>
        <w:keepLines w:val="0"/>
        <w:pageBreakBefore w:val="0"/>
        <w:suppressAutoHyphens/>
        <w:kinsoku/>
        <w:wordWrap/>
        <w:overflowPunct/>
        <w:topLinePunct w:val="0"/>
        <w:autoSpaceDE/>
        <w:autoSpaceDN/>
        <w:bidi w:val="0"/>
        <w:adjustRightInd/>
        <w:snapToGrid w:val="0"/>
        <w:spacing w:line="360" w:lineRule="auto"/>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甲方(业主大会/社区居民委员会)</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u w:val="single"/>
        </w:rPr>
        <w:t xml:space="preserve">                                               </w:t>
      </w:r>
    </w:p>
    <w:p>
      <w:pPr>
        <w:keepNext w:val="0"/>
        <w:keepLines w:val="0"/>
        <w:pageBreakBefore w:val="0"/>
        <w:suppressAutoHyphens/>
        <w:kinsoku/>
        <w:wordWrap/>
        <w:overflowPunct/>
        <w:topLinePunct w:val="0"/>
        <w:autoSpaceDE/>
        <w:autoSpaceDN/>
        <w:bidi w:val="0"/>
        <w:adjustRightInd/>
        <w:snapToGrid w:val="0"/>
        <w:spacing w:line="360" w:lineRule="auto"/>
        <w:jc w:val="left"/>
        <w:textAlignment w:val="auto"/>
        <w:outlineLvl w:val="9"/>
        <w:rPr>
          <w:rFonts w:hint="eastAsia" w:ascii="仿宋_GB2312" w:hAnsi="仿宋_GB2312" w:eastAsia="仿宋_GB2312" w:cs="仿宋_GB2312"/>
          <w:spacing w:val="23"/>
          <w:kern w:val="0"/>
          <w:sz w:val="30"/>
          <w:szCs w:val="30"/>
        </w:rPr>
      </w:pPr>
      <w:r>
        <w:rPr>
          <w:rFonts w:hint="eastAsia" w:ascii="仿宋_GB2312" w:hAnsi="仿宋_GB2312" w:eastAsia="仿宋_GB2312" w:cs="仿宋_GB2312"/>
          <w:spacing w:val="25"/>
          <w:kern w:val="0"/>
          <w:sz w:val="30"/>
          <w:szCs w:val="30"/>
        </w:rPr>
        <w:t>业主大会</w:t>
      </w:r>
      <w:r>
        <w:rPr>
          <w:rFonts w:hint="eastAsia" w:ascii="仿宋_GB2312" w:hAnsi="仿宋_GB2312" w:eastAsia="仿宋_GB2312" w:cs="仿宋_GB2312"/>
          <w:spacing w:val="23"/>
          <w:kern w:val="0"/>
          <w:sz w:val="30"/>
          <w:szCs w:val="30"/>
        </w:rPr>
        <w:t>统一社会信用代码</w:t>
      </w:r>
      <w:r>
        <w:rPr>
          <w:rFonts w:hint="eastAsia" w:ascii="仿宋_GB2312" w:hAnsi="仿宋_GB2312" w:eastAsia="仿宋_GB2312" w:cs="仿宋_GB2312"/>
          <w:kern w:val="0"/>
          <w:sz w:val="30"/>
          <w:szCs w:val="30"/>
        </w:rPr>
        <w:t>：</w:t>
      </w:r>
      <w:r>
        <w:rPr>
          <w:rFonts w:hint="eastAsia" w:ascii="仿宋_GB2312" w:hAnsi="仿宋_GB2312" w:eastAsia="仿宋_GB2312" w:cs="仿宋_GB2312"/>
          <w:sz w:val="30"/>
          <w:szCs w:val="30"/>
          <w:u w:val="single"/>
        </w:rPr>
        <w:t xml:space="preserve">                                      </w:t>
      </w:r>
    </w:p>
    <w:p>
      <w:pPr>
        <w:keepNext w:val="0"/>
        <w:keepLines w:val="0"/>
        <w:pageBreakBefore w:val="0"/>
        <w:suppressAutoHyphens/>
        <w:kinsoku/>
        <w:wordWrap/>
        <w:overflowPunct/>
        <w:topLinePunct w:val="0"/>
        <w:autoSpaceDE/>
        <w:autoSpaceDN/>
        <w:bidi w:val="0"/>
        <w:adjustRightInd/>
        <w:snapToGrid w:val="0"/>
        <w:spacing w:line="360" w:lineRule="auto"/>
        <w:jc w:val="left"/>
        <w:textAlignment w:val="auto"/>
        <w:outlineLvl w:val="9"/>
        <w:rPr>
          <w:rFonts w:hint="eastAsia" w:ascii="仿宋_GB2312" w:hAnsi="仿宋_GB2312" w:eastAsia="仿宋_GB2312" w:cs="仿宋_GB2312"/>
          <w:sz w:val="30"/>
          <w:szCs w:val="30"/>
          <w:u w:val="single"/>
        </w:rPr>
      </w:pPr>
      <w:r>
        <w:rPr>
          <w:rFonts w:hint="eastAsia" w:ascii="仿宋_GB2312" w:hAnsi="仿宋_GB2312" w:eastAsia="仿宋_GB2312" w:cs="仿宋_GB2312"/>
          <w:spacing w:val="23"/>
          <w:kern w:val="0"/>
          <w:sz w:val="30"/>
          <w:szCs w:val="30"/>
        </w:rPr>
        <w:t>业主委员会主任/社区居民委员会负责人</w:t>
      </w:r>
      <w:r>
        <w:rPr>
          <w:rFonts w:hint="eastAsia" w:ascii="仿宋_GB2312" w:hAnsi="仿宋_GB2312" w:eastAsia="仿宋_GB2312" w:cs="仿宋_GB2312"/>
          <w:kern w:val="0"/>
          <w:sz w:val="30"/>
          <w:szCs w:val="30"/>
        </w:rPr>
        <w:t>：</w:t>
      </w:r>
      <w:r>
        <w:rPr>
          <w:rFonts w:hint="eastAsia" w:ascii="仿宋_GB2312" w:hAnsi="仿宋_GB2312" w:eastAsia="仿宋_GB2312" w:cs="仿宋_GB2312"/>
          <w:sz w:val="30"/>
          <w:szCs w:val="30"/>
          <w:u w:val="single"/>
        </w:rPr>
        <w:t xml:space="preserve">                         </w:t>
      </w:r>
    </w:p>
    <w:p>
      <w:pPr>
        <w:keepNext w:val="0"/>
        <w:keepLines w:val="0"/>
        <w:pageBreakBefore w:val="0"/>
        <w:suppressAutoHyphens/>
        <w:kinsoku/>
        <w:wordWrap/>
        <w:overflowPunct/>
        <w:topLinePunct w:val="0"/>
        <w:autoSpaceDE/>
        <w:autoSpaceDN/>
        <w:bidi w:val="0"/>
        <w:adjustRightInd/>
        <w:snapToGrid w:val="0"/>
        <w:spacing w:line="360" w:lineRule="auto"/>
        <w:jc w:val="left"/>
        <w:textAlignment w:val="auto"/>
        <w:outlineLvl w:val="9"/>
        <w:rPr>
          <w:rFonts w:hint="eastAsia" w:ascii="仿宋_GB2312" w:hAnsi="仿宋_GB2312" w:eastAsia="仿宋_GB2312" w:cs="仿宋_GB2312"/>
          <w:sz w:val="30"/>
          <w:szCs w:val="30"/>
          <w:u w:val="single"/>
        </w:rPr>
      </w:pPr>
      <w:r>
        <w:rPr>
          <w:rFonts w:hint="eastAsia" w:ascii="仿宋_GB2312" w:hAnsi="仿宋_GB2312" w:eastAsia="仿宋_GB2312" w:cs="仿宋_GB2312"/>
          <w:spacing w:val="25"/>
          <w:kern w:val="0"/>
          <w:sz w:val="30"/>
          <w:szCs w:val="30"/>
        </w:rPr>
        <w:t>通信地址</w:t>
      </w:r>
      <w:r>
        <w:rPr>
          <w:rFonts w:hint="eastAsia" w:ascii="仿宋_GB2312" w:hAnsi="仿宋_GB2312" w:eastAsia="仿宋_GB2312" w:cs="仿宋_GB2312"/>
          <w:kern w:val="0"/>
          <w:sz w:val="30"/>
          <w:szCs w:val="30"/>
        </w:rPr>
        <w:t>：</w:t>
      </w:r>
      <w:r>
        <w:rPr>
          <w:rFonts w:hint="eastAsia" w:ascii="仿宋_GB2312" w:hAnsi="仿宋_GB2312" w:eastAsia="仿宋_GB2312" w:cs="仿宋_GB2312"/>
          <w:sz w:val="30"/>
          <w:szCs w:val="30"/>
          <w:u w:val="single"/>
        </w:rPr>
        <w:t xml:space="preserve">                                                           </w:t>
      </w:r>
    </w:p>
    <w:p>
      <w:pPr>
        <w:keepNext w:val="0"/>
        <w:keepLines w:val="0"/>
        <w:pageBreakBefore w:val="0"/>
        <w:suppressAutoHyphens/>
        <w:kinsoku/>
        <w:wordWrap/>
        <w:overflowPunct/>
        <w:topLinePunct w:val="0"/>
        <w:autoSpaceDE/>
        <w:autoSpaceDN/>
        <w:bidi w:val="0"/>
        <w:adjustRightInd/>
        <w:snapToGrid w:val="0"/>
        <w:spacing w:line="360" w:lineRule="auto"/>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联系电话：</w:t>
      </w:r>
      <w:r>
        <w:rPr>
          <w:rFonts w:hint="eastAsia" w:ascii="仿宋_GB2312" w:hAnsi="仿宋_GB2312" w:eastAsia="仿宋_GB2312" w:cs="仿宋_GB2312"/>
          <w:sz w:val="30"/>
          <w:szCs w:val="30"/>
          <w:u w:val="single"/>
        </w:rPr>
        <w:t xml:space="preserve">                                                                      </w:t>
      </w:r>
    </w:p>
    <w:p>
      <w:pPr>
        <w:keepNext w:val="0"/>
        <w:keepLines w:val="0"/>
        <w:pageBreakBefore w:val="0"/>
        <w:suppressAutoHyphens/>
        <w:kinsoku/>
        <w:wordWrap/>
        <w:overflowPunct/>
        <w:topLinePunct w:val="0"/>
        <w:autoSpaceDE/>
        <w:autoSpaceDN/>
        <w:bidi w:val="0"/>
        <w:adjustRightInd/>
        <w:snapToGrid w:val="0"/>
        <w:spacing w:line="360" w:lineRule="auto"/>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pacing w:val="25"/>
          <w:kern w:val="0"/>
          <w:sz w:val="30"/>
          <w:szCs w:val="30"/>
        </w:rPr>
        <w:t>邮政编码</w:t>
      </w:r>
      <w:r>
        <w:rPr>
          <w:rFonts w:hint="eastAsia" w:ascii="仿宋_GB2312" w:hAnsi="仿宋_GB2312" w:eastAsia="仿宋_GB2312" w:cs="仿宋_GB2312"/>
          <w:kern w:val="0"/>
          <w:sz w:val="30"/>
          <w:szCs w:val="30"/>
        </w:rPr>
        <w:t>：</w:t>
      </w:r>
      <w:r>
        <w:rPr>
          <w:rFonts w:hint="eastAsia" w:ascii="仿宋_GB2312" w:hAnsi="仿宋_GB2312" w:eastAsia="仿宋_GB2312" w:cs="仿宋_GB2312"/>
          <w:sz w:val="30"/>
          <w:szCs w:val="30"/>
          <w:u w:val="single"/>
        </w:rPr>
        <w:t xml:space="preserve">                                                              </w:t>
      </w:r>
    </w:p>
    <w:p>
      <w:pPr>
        <w:keepNext w:val="0"/>
        <w:keepLines w:val="0"/>
        <w:pageBreakBefore w:val="0"/>
        <w:suppressAutoHyphens/>
        <w:kinsoku/>
        <w:wordWrap/>
        <w:overflowPunct/>
        <w:topLinePunct w:val="0"/>
        <w:autoSpaceDE/>
        <w:autoSpaceDN/>
        <w:bidi w:val="0"/>
        <w:adjustRightInd/>
        <w:snapToGrid w:val="0"/>
        <w:spacing w:line="360" w:lineRule="auto"/>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pacing w:val="25"/>
          <w:kern w:val="0"/>
          <w:sz w:val="30"/>
          <w:szCs w:val="30"/>
        </w:rPr>
        <w:t>乙方（物业服务企业）</w:t>
      </w:r>
      <w:r>
        <w:rPr>
          <w:rFonts w:hint="eastAsia" w:ascii="仿宋_GB2312" w:hAnsi="仿宋_GB2312" w:eastAsia="仿宋_GB2312" w:cs="仿宋_GB2312"/>
          <w:sz w:val="30"/>
          <w:szCs w:val="30"/>
        </w:rPr>
        <w:t xml:space="preserve"> :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w:t>
      </w:r>
    </w:p>
    <w:p>
      <w:pPr>
        <w:keepNext w:val="0"/>
        <w:keepLines w:val="0"/>
        <w:pageBreakBefore w:val="0"/>
        <w:kinsoku/>
        <w:wordWrap/>
        <w:overflowPunct/>
        <w:topLinePunct w:val="0"/>
        <w:autoSpaceDE/>
        <w:autoSpaceDN/>
        <w:bidi w:val="0"/>
        <w:adjustRightInd/>
        <w:snapToGrid w:val="0"/>
        <w:spacing w:line="360" w:lineRule="auto"/>
        <w:jc w:val="left"/>
        <w:textAlignment w:val="auto"/>
        <w:outlineLvl w:val="9"/>
        <w:rPr>
          <w:rFonts w:hint="eastAsia" w:ascii="仿宋_GB2312" w:hAnsi="仿宋_GB2312" w:eastAsia="仿宋_GB2312" w:cs="仿宋_GB2312"/>
          <w:sz w:val="30"/>
          <w:szCs w:val="30"/>
          <w:u w:val="single"/>
        </w:rPr>
      </w:pPr>
      <w:r>
        <w:rPr>
          <w:rFonts w:hint="eastAsia" w:ascii="仿宋_GB2312" w:hAnsi="仿宋_GB2312" w:eastAsia="仿宋_GB2312" w:cs="仿宋_GB2312"/>
          <w:spacing w:val="23"/>
          <w:kern w:val="0"/>
          <w:sz w:val="30"/>
          <w:szCs w:val="30"/>
        </w:rPr>
        <w:t>统一社会信用代码</w:t>
      </w:r>
      <w:r>
        <w:rPr>
          <w:rFonts w:hint="eastAsia" w:ascii="仿宋_GB2312" w:hAnsi="仿宋_GB2312" w:eastAsia="仿宋_GB2312" w:cs="仿宋_GB2312"/>
          <w:kern w:val="0"/>
          <w:sz w:val="30"/>
          <w:szCs w:val="30"/>
        </w:rPr>
        <w:t>：</w:t>
      </w:r>
      <w:r>
        <w:rPr>
          <w:rFonts w:hint="eastAsia" w:ascii="仿宋_GB2312" w:hAnsi="仿宋_GB2312" w:eastAsia="仿宋_GB2312" w:cs="仿宋_GB2312"/>
          <w:sz w:val="30"/>
          <w:szCs w:val="30"/>
          <w:u w:val="single"/>
        </w:rPr>
        <w:t xml:space="preserve">                                                   </w:t>
      </w:r>
    </w:p>
    <w:p>
      <w:pPr>
        <w:keepNext w:val="0"/>
        <w:keepLines w:val="0"/>
        <w:pageBreakBefore w:val="0"/>
        <w:kinsoku/>
        <w:wordWrap/>
        <w:overflowPunct/>
        <w:topLinePunct w:val="0"/>
        <w:autoSpaceDE/>
        <w:autoSpaceDN/>
        <w:bidi w:val="0"/>
        <w:adjustRightInd/>
        <w:snapToGrid w:val="0"/>
        <w:spacing w:line="360" w:lineRule="auto"/>
        <w:jc w:val="left"/>
        <w:textAlignment w:val="auto"/>
        <w:outlineLvl w:val="9"/>
        <w:rPr>
          <w:rFonts w:hint="eastAsia" w:ascii="仿宋_GB2312" w:hAnsi="仿宋_GB2312" w:eastAsia="仿宋_GB2312" w:cs="仿宋_GB2312"/>
          <w:sz w:val="30"/>
          <w:szCs w:val="30"/>
          <w:u w:val="single"/>
        </w:rPr>
      </w:pPr>
      <w:r>
        <w:rPr>
          <w:rFonts w:hint="eastAsia" w:ascii="仿宋_GB2312" w:hAnsi="仿宋_GB2312" w:eastAsia="仿宋_GB2312" w:cs="仿宋_GB2312"/>
          <w:spacing w:val="24"/>
          <w:kern w:val="0"/>
          <w:sz w:val="30"/>
          <w:szCs w:val="30"/>
        </w:rPr>
        <w:t>法定代表人</w:t>
      </w:r>
      <w:r>
        <w:rPr>
          <w:rFonts w:hint="eastAsia" w:ascii="仿宋_GB2312" w:hAnsi="仿宋_GB2312" w:eastAsia="仿宋_GB2312" w:cs="仿宋_GB2312"/>
          <w:kern w:val="0"/>
          <w:sz w:val="30"/>
          <w:szCs w:val="30"/>
        </w:rPr>
        <w:t>：</w:t>
      </w:r>
      <w:r>
        <w:rPr>
          <w:rFonts w:hint="eastAsia" w:ascii="仿宋_GB2312" w:hAnsi="仿宋_GB2312" w:eastAsia="仿宋_GB2312" w:cs="仿宋_GB2312"/>
          <w:sz w:val="30"/>
          <w:szCs w:val="30"/>
          <w:u w:val="single"/>
        </w:rPr>
        <w:t xml:space="preserve">                                                         </w:t>
      </w:r>
    </w:p>
    <w:p>
      <w:pPr>
        <w:keepNext w:val="0"/>
        <w:keepLines w:val="0"/>
        <w:pageBreakBefore w:val="0"/>
        <w:kinsoku/>
        <w:wordWrap/>
        <w:overflowPunct/>
        <w:topLinePunct w:val="0"/>
        <w:autoSpaceDE/>
        <w:autoSpaceDN/>
        <w:bidi w:val="0"/>
        <w:adjustRightInd/>
        <w:snapToGrid w:val="0"/>
        <w:spacing w:line="360" w:lineRule="auto"/>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pacing w:val="25"/>
          <w:kern w:val="0"/>
          <w:sz w:val="30"/>
          <w:szCs w:val="30"/>
        </w:rPr>
        <w:t>联系电话</w:t>
      </w:r>
      <w:r>
        <w:rPr>
          <w:rFonts w:hint="eastAsia" w:ascii="仿宋_GB2312" w:hAnsi="仿宋_GB2312" w:eastAsia="仿宋_GB2312" w:cs="仿宋_GB2312"/>
          <w:kern w:val="0"/>
          <w:sz w:val="30"/>
          <w:szCs w:val="30"/>
        </w:rPr>
        <w:t>：</w:t>
      </w:r>
      <w:r>
        <w:rPr>
          <w:rFonts w:hint="eastAsia" w:ascii="仿宋_GB2312" w:hAnsi="仿宋_GB2312" w:eastAsia="仿宋_GB2312" w:cs="仿宋_GB2312"/>
          <w:sz w:val="30"/>
          <w:szCs w:val="30"/>
          <w:u w:val="single"/>
        </w:rPr>
        <w:t xml:space="preserve">                                                          </w:t>
      </w:r>
    </w:p>
    <w:p>
      <w:pPr>
        <w:keepNext w:val="0"/>
        <w:keepLines w:val="0"/>
        <w:pageBreakBefore w:val="0"/>
        <w:kinsoku/>
        <w:wordWrap/>
        <w:overflowPunct/>
        <w:topLinePunct w:val="0"/>
        <w:autoSpaceDE/>
        <w:autoSpaceDN/>
        <w:bidi w:val="0"/>
        <w:adjustRightInd/>
        <w:snapToGrid w:val="0"/>
        <w:spacing w:line="360" w:lineRule="auto"/>
        <w:jc w:val="left"/>
        <w:textAlignment w:val="auto"/>
        <w:outlineLvl w:val="9"/>
        <w:rPr>
          <w:rFonts w:hint="eastAsia" w:ascii="仿宋_GB2312" w:hAnsi="仿宋_GB2312" w:eastAsia="仿宋_GB2312" w:cs="仿宋_GB2312"/>
          <w:sz w:val="30"/>
          <w:szCs w:val="30"/>
          <w:u w:val="single"/>
        </w:rPr>
      </w:pPr>
      <w:r>
        <w:rPr>
          <w:rFonts w:hint="eastAsia" w:ascii="仿宋_GB2312" w:hAnsi="仿宋_GB2312" w:eastAsia="仿宋_GB2312" w:cs="仿宋_GB2312"/>
          <w:spacing w:val="24"/>
          <w:kern w:val="0"/>
          <w:sz w:val="30"/>
          <w:szCs w:val="30"/>
        </w:rPr>
        <w:t>委托代理人</w:t>
      </w:r>
      <w:r>
        <w:rPr>
          <w:rFonts w:hint="eastAsia" w:ascii="仿宋_GB2312" w:hAnsi="仿宋_GB2312" w:eastAsia="仿宋_GB2312" w:cs="仿宋_GB2312"/>
          <w:kern w:val="0"/>
          <w:sz w:val="30"/>
          <w:szCs w:val="30"/>
        </w:rPr>
        <w:t>：</w:t>
      </w:r>
      <w:r>
        <w:rPr>
          <w:rFonts w:hint="eastAsia" w:ascii="仿宋_GB2312" w:hAnsi="仿宋_GB2312" w:eastAsia="仿宋_GB2312" w:cs="仿宋_GB2312"/>
          <w:sz w:val="30"/>
          <w:szCs w:val="30"/>
          <w:u w:val="single"/>
        </w:rPr>
        <w:t xml:space="preserve">                                                       </w:t>
      </w:r>
    </w:p>
    <w:p>
      <w:pPr>
        <w:keepNext w:val="0"/>
        <w:keepLines w:val="0"/>
        <w:pageBreakBefore w:val="0"/>
        <w:kinsoku/>
        <w:wordWrap/>
        <w:overflowPunct/>
        <w:topLinePunct w:val="0"/>
        <w:autoSpaceDE/>
        <w:autoSpaceDN/>
        <w:bidi w:val="0"/>
        <w:adjustRightInd/>
        <w:snapToGrid w:val="0"/>
        <w:spacing w:line="360" w:lineRule="auto"/>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pacing w:val="25"/>
          <w:kern w:val="0"/>
          <w:sz w:val="30"/>
          <w:szCs w:val="30"/>
        </w:rPr>
        <w:t>联系电话</w:t>
      </w:r>
      <w:r>
        <w:rPr>
          <w:rFonts w:hint="eastAsia" w:ascii="仿宋_GB2312" w:hAnsi="仿宋_GB2312" w:eastAsia="仿宋_GB2312" w:cs="仿宋_GB2312"/>
          <w:kern w:val="0"/>
          <w:sz w:val="30"/>
          <w:szCs w:val="30"/>
        </w:rPr>
        <w:t>：</w:t>
      </w:r>
      <w:r>
        <w:rPr>
          <w:rFonts w:hint="eastAsia" w:ascii="仿宋_GB2312" w:hAnsi="仿宋_GB2312" w:eastAsia="仿宋_GB2312" w:cs="仿宋_GB2312"/>
          <w:sz w:val="30"/>
          <w:szCs w:val="30"/>
          <w:u w:val="single"/>
        </w:rPr>
        <w:t xml:space="preserve">                                                         </w:t>
      </w:r>
    </w:p>
    <w:p>
      <w:pPr>
        <w:keepNext w:val="0"/>
        <w:keepLines w:val="0"/>
        <w:pageBreakBefore w:val="0"/>
        <w:kinsoku/>
        <w:wordWrap/>
        <w:overflowPunct/>
        <w:topLinePunct w:val="0"/>
        <w:autoSpaceDE/>
        <w:autoSpaceDN/>
        <w:bidi w:val="0"/>
        <w:adjustRightInd/>
        <w:snapToGrid w:val="0"/>
        <w:spacing w:line="360" w:lineRule="auto"/>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pacing w:val="25"/>
          <w:kern w:val="0"/>
          <w:sz w:val="30"/>
          <w:szCs w:val="30"/>
        </w:rPr>
        <w:t>通信地址</w:t>
      </w:r>
      <w:r>
        <w:rPr>
          <w:rFonts w:hint="eastAsia" w:ascii="仿宋_GB2312" w:hAnsi="仿宋_GB2312" w:eastAsia="仿宋_GB2312" w:cs="仿宋_GB2312"/>
          <w:kern w:val="0"/>
          <w:sz w:val="30"/>
          <w:szCs w:val="30"/>
        </w:rPr>
        <w:t>：</w:t>
      </w:r>
      <w:r>
        <w:rPr>
          <w:rFonts w:hint="eastAsia" w:ascii="仿宋_GB2312" w:hAnsi="仿宋_GB2312" w:eastAsia="仿宋_GB2312" w:cs="仿宋_GB2312"/>
          <w:sz w:val="30"/>
          <w:szCs w:val="30"/>
          <w:u w:val="single"/>
        </w:rPr>
        <w:t xml:space="preserve">                                                           </w:t>
      </w:r>
    </w:p>
    <w:p>
      <w:pPr>
        <w:keepNext w:val="0"/>
        <w:keepLines w:val="0"/>
        <w:pageBreakBefore w:val="0"/>
        <w:kinsoku/>
        <w:wordWrap/>
        <w:overflowPunct/>
        <w:topLinePunct w:val="0"/>
        <w:autoSpaceDE/>
        <w:autoSpaceDN/>
        <w:bidi w:val="0"/>
        <w:adjustRightInd/>
        <w:snapToGrid w:val="0"/>
        <w:spacing w:line="360" w:lineRule="auto"/>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pacing w:val="25"/>
          <w:kern w:val="0"/>
          <w:sz w:val="30"/>
          <w:szCs w:val="30"/>
        </w:rPr>
        <w:t>邮政编码</w:t>
      </w:r>
      <w:r>
        <w:rPr>
          <w:rFonts w:hint="eastAsia" w:ascii="仿宋_GB2312" w:hAnsi="仿宋_GB2312" w:eastAsia="仿宋_GB2312" w:cs="仿宋_GB2312"/>
          <w:kern w:val="0"/>
          <w:sz w:val="30"/>
          <w:szCs w:val="30"/>
        </w:rPr>
        <w:t>：</w:t>
      </w:r>
      <w:r>
        <w:rPr>
          <w:rFonts w:hint="eastAsia" w:ascii="仿宋_GB2312" w:hAnsi="仿宋_GB2312" w:eastAsia="仿宋_GB2312" w:cs="仿宋_GB2312"/>
          <w:sz w:val="30"/>
          <w:szCs w:val="30"/>
          <w:u w:val="single"/>
        </w:rPr>
        <w:t xml:space="preserve">                                                          </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中华人民共和国物权法》《中华人民共和国合同法》《深圳经济特区物业管理条例》（以下简称“《条例》”）等有关法律、法规的规定，甲、乙双方在自愿、平等、公平、诚实信用的基础上，就位于深圳市</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街道</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项目（物业管理区域名称，下称“本物业管理区域”）的物业管理服务事宜,协商一致订立本合同。</w:t>
      </w:r>
    </w:p>
    <w:p>
      <w:pPr>
        <w:pStyle w:val="4"/>
        <w:pageBreakBefore w:val="0"/>
        <w:kinsoku/>
        <w:wordWrap/>
        <w:overflowPunct/>
        <w:topLinePunct w:val="0"/>
        <w:autoSpaceDE/>
        <w:autoSpaceDN/>
        <w:bidi w:val="0"/>
        <w:adjustRightInd/>
        <w:snapToGrid w:val="0"/>
        <w:spacing w:before="0" w:beforeLines="0" w:after="0" w:afterLines="0" w:line="360" w:lineRule="auto"/>
        <w:jc w:val="center"/>
        <w:textAlignment w:val="auto"/>
        <w:rPr>
          <w:rFonts w:hint="eastAsia" w:ascii="华文中宋" w:hAnsi="华文中宋" w:eastAsia="华文中宋" w:cs="Times New Roman"/>
          <w:sz w:val="44"/>
          <w:szCs w:val="44"/>
        </w:rPr>
      </w:pPr>
      <w:r>
        <w:rPr>
          <w:rFonts w:hint="eastAsia" w:ascii="华文中宋" w:hAnsi="华文中宋" w:eastAsia="华文中宋" w:cs="Times New Roman"/>
          <w:sz w:val="44"/>
          <w:szCs w:val="44"/>
        </w:rPr>
        <w:t>第二章  物业管理区域情况</w:t>
      </w:r>
    </w:p>
    <w:p>
      <w:pPr>
        <w:pStyle w:val="7"/>
        <w:keepNext w:val="0"/>
        <w:keepLines w:val="0"/>
        <w:pageBreakBefore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sz w:val="32"/>
          <w:szCs w:val="32"/>
        </w:rPr>
      </w:pPr>
      <w:bookmarkStart w:id="8" w:name="_Toc7715"/>
      <w:bookmarkStart w:id="9" w:name="_Toc16537"/>
      <w:bookmarkStart w:id="10" w:name="_Toc20601"/>
      <w:bookmarkStart w:id="11" w:name="_Toc31116"/>
      <w:bookmarkStart w:id="12" w:name="_Toc10919"/>
      <w:bookmarkStart w:id="13" w:name="_Toc20740"/>
      <w:bookmarkStart w:id="14" w:name="_Toc1564"/>
      <w:r>
        <w:rPr>
          <w:rFonts w:hint="eastAsia" w:ascii="黑体" w:hAnsi="黑体" w:eastAsia="黑体" w:cs="黑体"/>
          <w:b w:val="0"/>
          <w:bCs/>
          <w:sz w:val="32"/>
          <w:szCs w:val="32"/>
        </w:rPr>
        <w:t>第一条 物业管理区域基本情况</w:t>
      </w:r>
      <w:bookmarkEnd w:id="8"/>
      <w:bookmarkEnd w:id="9"/>
      <w:bookmarkEnd w:id="10"/>
      <w:bookmarkEnd w:id="11"/>
      <w:bookmarkEnd w:id="12"/>
      <w:bookmarkEnd w:id="13"/>
      <w:bookmarkEnd w:id="14"/>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名称:</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pPr>
        <w:keepNext w:val="0"/>
        <w:keepLines w:val="0"/>
        <w:pageBreakBefore w:val="0"/>
        <w:suppressAutoHyphens/>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物业类型:</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坐落位置:</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建筑面积:</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平方米；</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区域四至</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东至：</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南至：</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西至：</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北至：</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 w:hAnsi="仿宋" w:eastAsia="仿宋" w:cs="仿宋"/>
          <w:sz w:val="32"/>
          <w:szCs w:val="32"/>
        </w:rPr>
      </w:pPr>
      <w:r>
        <w:rPr>
          <w:rFonts w:hint="eastAsia" w:ascii="仿宋_GB2312" w:hAnsi="仿宋_GB2312" w:eastAsia="仿宋_GB2312" w:cs="仿宋_GB2312"/>
          <w:sz w:val="30"/>
          <w:szCs w:val="30"/>
        </w:rPr>
        <w:t>本物业管理区域的基本情况详见合同附件1、附件2。</w:t>
      </w:r>
    </w:p>
    <w:p>
      <w:pPr>
        <w:pStyle w:val="7"/>
        <w:keepNext w:val="0"/>
        <w:keepLines w:val="0"/>
        <w:pageBreakBefore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sz w:val="32"/>
          <w:szCs w:val="32"/>
        </w:rPr>
      </w:pPr>
      <w:bookmarkStart w:id="15" w:name="_Toc30264"/>
      <w:bookmarkStart w:id="16" w:name="_Toc4035"/>
      <w:bookmarkStart w:id="17" w:name="_Toc2362"/>
      <w:bookmarkStart w:id="18" w:name="_Toc28569"/>
      <w:bookmarkStart w:id="19" w:name="_Toc1354"/>
      <w:bookmarkStart w:id="20" w:name="_Toc31334"/>
      <w:bookmarkStart w:id="21" w:name="_Toc1540"/>
      <w:r>
        <w:rPr>
          <w:rFonts w:hint="eastAsia" w:ascii="黑体" w:hAnsi="黑体" w:eastAsia="黑体" w:cs="黑体"/>
          <w:b w:val="0"/>
          <w:bCs/>
          <w:sz w:val="32"/>
          <w:szCs w:val="32"/>
        </w:rPr>
        <w:t>第二条 物业管理用房</w:t>
      </w:r>
      <w:bookmarkEnd w:id="15"/>
      <w:bookmarkEnd w:id="16"/>
      <w:bookmarkEnd w:id="17"/>
      <w:bookmarkEnd w:id="18"/>
      <w:bookmarkEnd w:id="19"/>
      <w:bookmarkEnd w:id="20"/>
      <w:bookmarkEnd w:id="21"/>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bookmarkStart w:id="22" w:name="_Toc24903"/>
      <w:bookmarkStart w:id="23" w:name="_Toc12322"/>
      <w:r>
        <w:rPr>
          <w:rFonts w:hint="eastAsia" w:ascii="仿宋_GB2312" w:hAnsi="仿宋_GB2312" w:eastAsia="仿宋_GB2312" w:cs="仿宋_GB2312"/>
          <w:sz w:val="30"/>
          <w:szCs w:val="30"/>
        </w:rPr>
        <w:t>本物业管理区域的物业管理用房包括物业服务办公用房、</w:t>
      </w:r>
      <w:r>
        <w:rPr>
          <w:rFonts w:hint="eastAsia" w:ascii="仿宋_GB2312" w:hAnsi="仿宋_GB2312" w:eastAsia="仿宋_GB2312" w:cs="仿宋_GB2312"/>
          <w:kern w:val="0"/>
          <w:sz w:val="30"/>
          <w:szCs w:val="30"/>
        </w:rPr>
        <w:t>业主委员会办公</w:t>
      </w:r>
      <w:r>
        <w:rPr>
          <w:rFonts w:hint="eastAsia" w:ascii="仿宋_GB2312" w:hAnsi="仿宋_GB2312" w:eastAsia="仿宋_GB2312" w:cs="仿宋_GB2312"/>
          <w:sz w:val="30"/>
          <w:szCs w:val="30"/>
        </w:rPr>
        <w:t>用房、物业管理设施设备用房。</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物业服务办公用房建筑面积为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平方米，位于</w:t>
      </w:r>
    </w:p>
    <w:p>
      <w:pPr>
        <w:keepNext w:val="0"/>
        <w:keepLines w:val="0"/>
        <w:pageBreakBefore w:val="0"/>
        <w:kinsoku/>
        <w:wordWrap/>
        <w:overflowPunct/>
        <w:topLinePunct w:val="0"/>
        <w:autoSpaceDE/>
        <w:autoSpaceDN/>
        <w:bidi w:val="0"/>
        <w:adjustRightInd/>
        <w:snapToGrid w:val="0"/>
        <w:spacing w:line="360" w:lineRule="auto"/>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[幢]</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[座]</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单元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层</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室；</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业主委员会办公用房建筑面积为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平方米，位于</w:t>
      </w:r>
    </w:p>
    <w:p>
      <w:pPr>
        <w:keepNext w:val="0"/>
        <w:keepLines w:val="0"/>
        <w:pageBreakBefore w:val="0"/>
        <w:kinsoku/>
        <w:wordWrap/>
        <w:overflowPunct/>
        <w:topLinePunct w:val="0"/>
        <w:autoSpaceDE/>
        <w:autoSpaceDN/>
        <w:bidi w:val="0"/>
        <w:adjustRightInd/>
        <w:snapToGrid w:val="0"/>
        <w:spacing w:line="360" w:lineRule="auto"/>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[幢]</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[座]</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单元</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层</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室；</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物业管理设施设备用房建筑面积为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平方米，位于</w:t>
      </w:r>
    </w:p>
    <w:p>
      <w:pPr>
        <w:keepNext w:val="0"/>
        <w:keepLines w:val="0"/>
        <w:pageBreakBefore w:val="0"/>
        <w:kinsoku/>
        <w:wordWrap/>
        <w:overflowPunct/>
        <w:topLinePunct w:val="0"/>
        <w:autoSpaceDE/>
        <w:autoSpaceDN/>
        <w:bidi w:val="0"/>
        <w:adjustRightInd/>
        <w:snapToGrid w:val="0"/>
        <w:spacing w:line="360" w:lineRule="auto"/>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[幢]</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[座]</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单元</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层</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室。</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single"/>
        </w:rPr>
        <w:t xml:space="preserve">                                                                  </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（注：物业管理用房为多处时，双方可在横线处自行增加内容。）</w:t>
      </w:r>
    </w:p>
    <w:p>
      <w:pPr>
        <w:pStyle w:val="7"/>
        <w:keepNext w:val="0"/>
        <w:keepLines w:val="0"/>
        <w:pageBreakBefore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第三条 物业公示信息</w:t>
      </w:r>
    </w:p>
    <w:p>
      <w:pPr>
        <w:keepNext w:val="0"/>
        <w:keepLines w:val="0"/>
        <w:pageBreakBefore w:val="0"/>
        <w:kinsoku/>
        <w:wordWrap/>
        <w:overflowPunct/>
        <w:topLinePunct w:val="0"/>
        <w:autoSpaceDE/>
        <w:autoSpaceDN/>
        <w:bidi w:val="0"/>
        <w:adjustRightInd/>
        <w:snapToGrid w:val="0"/>
        <w:spacing w:line="360" w:lineRule="auto"/>
        <w:ind w:firstLine="602" w:firstLineChars="200"/>
        <w:jc w:val="left"/>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（一）公示的内容</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乙方应按照《条例》的规定，将下列信息在本物业管理区域显著位置公开张贴并同时在物业管理信息平台发布，时间不少于十日，并接受全体业主的监督。</w:t>
      </w:r>
    </w:p>
    <w:p>
      <w:pPr>
        <w:keepNext w:val="0"/>
        <w:keepLines w:val="0"/>
        <w:pageBreakBefore w:val="0"/>
        <w:tabs>
          <w:tab w:val="left" w:pos="5812"/>
        </w:tabs>
        <w:kinsoku/>
        <w:wordWrap/>
        <w:overflowPunct/>
        <w:topLinePunct w:val="0"/>
        <w:autoSpaceDE/>
        <w:autoSpaceDN/>
        <w:bidi w:val="0"/>
        <w:adjustRightInd/>
        <w:snapToGrid w:val="0"/>
        <w:spacing w:line="360" w:lineRule="auto"/>
        <w:ind w:firstLine="64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1.乙方的营业执照、项目负责人的基本情况、联系方式以及物业服务投诉电话；</w:t>
      </w:r>
    </w:p>
    <w:p>
      <w:pPr>
        <w:keepNext w:val="0"/>
        <w:keepLines w:val="0"/>
        <w:pageBreakBefore w:val="0"/>
        <w:tabs>
          <w:tab w:val="left" w:pos="5812"/>
        </w:tabs>
        <w:kinsoku/>
        <w:wordWrap/>
        <w:overflowPunct/>
        <w:topLinePunct w:val="0"/>
        <w:autoSpaceDE/>
        <w:autoSpaceDN/>
        <w:bidi w:val="0"/>
        <w:adjustRightInd/>
        <w:snapToGrid w:val="0"/>
        <w:spacing w:line="360" w:lineRule="auto"/>
        <w:ind w:firstLine="64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2.物业服务内容、服务标准、收费项目、收费标准、收费方式等；</w:t>
      </w:r>
    </w:p>
    <w:p>
      <w:pPr>
        <w:keepNext w:val="0"/>
        <w:keepLines w:val="0"/>
        <w:pageBreakBefore w:val="0"/>
        <w:tabs>
          <w:tab w:val="left" w:pos="5812"/>
        </w:tabs>
        <w:kinsoku/>
        <w:wordWrap/>
        <w:overflowPunct/>
        <w:topLinePunct w:val="0"/>
        <w:autoSpaceDE/>
        <w:autoSpaceDN/>
        <w:bidi w:val="0"/>
        <w:adjustRightInd/>
        <w:snapToGrid w:val="0"/>
        <w:spacing w:line="360" w:lineRule="auto"/>
        <w:ind w:firstLine="64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3.电梯、消防、监控、人民防空等专项设施设备的日常维修保养单位名称、资质、联系方式、应急处置方案等；</w:t>
      </w:r>
    </w:p>
    <w:p>
      <w:pPr>
        <w:keepNext w:val="0"/>
        <w:keepLines w:val="0"/>
        <w:pageBreakBefore w:val="0"/>
        <w:tabs>
          <w:tab w:val="left" w:pos="5812"/>
        </w:tabs>
        <w:kinsoku/>
        <w:wordWrap/>
        <w:overflowPunct/>
        <w:topLinePunct w:val="0"/>
        <w:autoSpaceDE/>
        <w:autoSpaceDN/>
        <w:bidi w:val="0"/>
        <w:adjustRightInd/>
        <w:snapToGrid w:val="0"/>
        <w:spacing w:line="360" w:lineRule="auto"/>
        <w:ind w:firstLine="64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4.上一年度物业服务合同履行以及物业服务项目收支情况、本年度物业服务项目收支预算；</w:t>
      </w:r>
    </w:p>
    <w:p>
      <w:pPr>
        <w:keepNext w:val="0"/>
        <w:keepLines w:val="0"/>
        <w:pageBreakBefore w:val="0"/>
        <w:tabs>
          <w:tab w:val="left" w:pos="5812"/>
        </w:tabs>
        <w:kinsoku/>
        <w:wordWrap/>
        <w:overflowPunct/>
        <w:topLinePunct w:val="0"/>
        <w:autoSpaceDE/>
        <w:autoSpaceDN/>
        <w:bidi w:val="0"/>
        <w:adjustRightInd/>
        <w:snapToGrid w:val="0"/>
        <w:spacing w:line="360" w:lineRule="auto"/>
        <w:ind w:firstLine="64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5.公共水电费用分摊情况、物业管理费与物业专项维修资金使用情况；</w:t>
      </w:r>
    </w:p>
    <w:p>
      <w:pPr>
        <w:keepNext w:val="0"/>
        <w:keepLines w:val="0"/>
        <w:pageBreakBefore w:val="0"/>
        <w:tabs>
          <w:tab w:val="left" w:pos="5812"/>
        </w:tabs>
        <w:kinsoku/>
        <w:wordWrap/>
        <w:overflowPunct/>
        <w:topLinePunct w:val="0"/>
        <w:autoSpaceDE/>
        <w:autoSpaceDN/>
        <w:bidi w:val="0"/>
        <w:adjustRightInd/>
        <w:snapToGrid w:val="0"/>
        <w:spacing w:line="360" w:lineRule="auto"/>
        <w:ind w:firstLine="64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6.业主进行房屋装饰装修活动的情况。</w:t>
      </w:r>
    </w:p>
    <w:p>
      <w:pPr>
        <w:keepNext w:val="0"/>
        <w:keepLines w:val="0"/>
        <w:pageBreakBefore w:val="0"/>
        <w:tabs>
          <w:tab w:val="left" w:pos="5812"/>
        </w:tabs>
        <w:kinsoku/>
        <w:wordWrap/>
        <w:overflowPunct/>
        <w:topLinePunct w:val="0"/>
        <w:autoSpaceDE/>
        <w:autoSpaceDN/>
        <w:bidi w:val="0"/>
        <w:adjustRightInd/>
        <w:snapToGrid w:val="0"/>
        <w:spacing w:line="360" w:lineRule="auto"/>
        <w:ind w:firstLine="640"/>
        <w:textAlignment w:val="auto"/>
        <w:outlineLvl w:val="9"/>
        <w:rPr>
          <w:rFonts w:hint="eastAsia" w:ascii="仿宋_GB2312" w:hAnsi="仿宋_GB2312" w:eastAsia="仿宋_GB2312" w:cs="仿宋_GB2312"/>
          <w:kern w:val="1"/>
          <w:sz w:val="30"/>
          <w:szCs w:val="30"/>
          <w:u w:val="single"/>
        </w:rPr>
      </w:pPr>
      <w:r>
        <w:rPr>
          <w:rFonts w:hint="eastAsia" w:ascii="仿宋_GB2312" w:hAnsi="仿宋_GB2312" w:eastAsia="仿宋_GB2312" w:cs="仿宋_GB2312"/>
          <w:sz w:val="30"/>
          <w:szCs w:val="30"/>
        </w:rPr>
        <w:t>7.</w:t>
      </w:r>
      <w:r>
        <w:rPr>
          <w:rFonts w:hint="eastAsia" w:ascii="仿宋_GB2312" w:hAnsi="仿宋_GB2312" w:eastAsia="仿宋_GB2312" w:cs="仿宋_GB2312"/>
          <w:kern w:val="1"/>
          <w:sz w:val="30"/>
          <w:szCs w:val="30"/>
          <w:u w:val="single"/>
        </w:rPr>
        <w:t xml:space="preserve">                                                 </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上述公示信息如有发生变化，乙方应于该情况发生的</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天内向</w:t>
      </w:r>
      <w:r>
        <w:rPr>
          <w:rFonts w:hint="eastAsia" w:ascii="仿宋_GB2312" w:hAnsi="仿宋_GB2312" w:eastAsia="仿宋_GB2312" w:cs="仿宋_GB2312"/>
          <w:b w:val="0"/>
          <w:bCs w:val="0"/>
          <w:sz w:val="30"/>
          <w:szCs w:val="30"/>
        </w:rPr>
        <w:t>本物业管理区域进行公示。</w:t>
      </w:r>
    </w:p>
    <w:p>
      <w:pPr>
        <w:keepNext w:val="0"/>
        <w:keepLines w:val="0"/>
        <w:pageBreakBefore w:val="0"/>
        <w:kinsoku/>
        <w:wordWrap/>
        <w:overflowPunct/>
        <w:topLinePunct w:val="0"/>
        <w:autoSpaceDE/>
        <w:autoSpaceDN/>
        <w:bidi w:val="0"/>
        <w:adjustRightInd/>
        <w:snapToGrid w:val="0"/>
        <w:spacing w:line="360" w:lineRule="auto"/>
        <w:ind w:firstLine="602" w:firstLineChars="200"/>
        <w:jc w:val="left"/>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（二）公示的时间</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1.乙方应在</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（日期）向本物业管理区域全体业主公布上一年度物业服务合同履行以及物业服务项目收支情况、本年度物业服务项目收支预算。</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2.乙方应在</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（日期）定期与数据共享银行核对本物业管理区域业主共有资金账目并按季度公示。</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本物业管理区域内共有物业收益收支情况应当在业主共有资金中予以公示。</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3.乙方应当将车位（库）的使用情况按月予以公示，公示内容包括可以使用车位、车库的总数，车位（库）使用信息等。</w:t>
      </w:r>
    </w:p>
    <w:p>
      <w:pPr>
        <w:pStyle w:val="4"/>
        <w:pageBreakBefore w:val="0"/>
        <w:kinsoku/>
        <w:wordWrap/>
        <w:overflowPunct/>
        <w:topLinePunct w:val="0"/>
        <w:autoSpaceDE/>
        <w:autoSpaceDN/>
        <w:bidi w:val="0"/>
        <w:adjustRightInd/>
        <w:snapToGrid w:val="0"/>
        <w:spacing w:before="0" w:beforeLines="0" w:after="0" w:afterLines="0" w:line="360" w:lineRule="auto"/>
        <w:jc w:val="center"/>
        <w:textAlignment w:val="auto"/>
        <w:rPr>
          <w:rFonts w:hint="eastAsia" w:ascii="华文中宋" w:hAnsi="华文中宋" w:eastAsia="华文中宋" w:cs="Times New Roman"/>
          <w:sz w:val="44"/>
          <w:szCs w:val="44"/>
        </w:rPr>
      </w:pPr>
      <w:bookmarkStart w:id="24" w:name="_Toc14979"/>
      <w:bookmarkStart w:id="25" w:name="_Toc27770"/>
      <w:bookmarkStart w:id="26" w:name="_Toc14268"/>
      <w:bookmarkStart w:id="27" w:name="_Toc971"/>
      <w:bookmarkStart w:id="28" w:name="_Toc7779"/>
      <w:r>
        <w:rPr>
          <w:rFonts w:hint="eastAsia" w:ascii="华文中宋" w:hAnsi="华文中宋" w:eastAsia="华文中宋" w:cs="Times New Roman"/>
          <w:sz w:val="44"/>
          <w:szCs w:val="44"/>
        </w:rPr>
        <w:t>第三章  物业管理服务内容和标准</w:t>
      </w:r>
      <w:bookmarkEnd w:id="22"/>
      <w:bookmarkEnd w:id="23"/>
      <w:bookmarkEnd w:id="24"/>
      <w:bookmarkEnd w:id="25"/>
      <w:bookmarkEnd w:id="26"/>
      <w:bookmarkEnd w:id="27"/>
      <w:bookmarkEnd w:id="28"/>
    </w:p>
    <w:p>
      <w:pPr>
        <w:pStyle w:val="7"/>
        <w:keepNext w:val="0"/>
        <w:keepLines w:val="0"/>
        <w:pageBreakBefore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sz w:val="32"/>
          <w:szCs w:val="32"/>
        </w:rPr>
      </w:pPr>
      <w:bookmarkStart w:id="29" w:name="_Toc29715"/>
      <w:bookmarkStart w:id="30" w:name="_Toc21194"/>
      <w:bookmarkStart w:id="31" w:name="_Toc1952"/>
      <w:bookmarkStart w:id="32" w:name="_Toc1013"/>
      <w:bookmarkStart w:id="33" w:name="_Toc12145"/>
      <w:bookmarkStart w:id="34" w:name="_Toc1543"/>
      <w:bookmarkStart w:id="35" w:name="_Toc29811"/>
      <w:r>
        <w:rPr>
          <w:rFonts w:hint="eastAsia" w:ascii="黑体" w:hAnsi="黑体" w:eastAsia="黑体" w:cs="黑体"/>
          <w:b w:val="0"/>
          <w:bCs/>
          <w:sz w:val="32"/>
          <w:szCs w:val="32"/>
        </w:rPr>
        <w:t>第四条 物业管理服务内容</w:t>
      </w:r>
      <w:bookmarkEnd w:id="29"/>
      <w:bookmarkEnd w:id="30"/>
      <w:bookmarkEnd w:id="31"/>
      <w:bookmarkEnd w:id="32"/>
      <w:bookmarkEnd w:id="33"/>
      <w:bookmarkEnd w:id="34"/>
      <w:bookmarkEnd w:id="35"/>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本物业管理区域倡导绿色、智慧物业管理。乙方应尽可能采用新技术、新方法提高物业管理质量和服务水平，营造安全、舒适、文明、和谐、美好的工作和生活环境。经甲、乙双方约定，乙方提供的物业管理服务包括以下内容：</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（一）物业共有部位、共有设施设备的日常维护、运行（详见合同附件3）；</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（二）公共环境绿化服务；</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kern w:val="1"/>
          <w:sz w:val="30"/>
          <w:szCs w:val="30"/>
        </w:rPr>
      </w:pPr>
      <w:r>
        <w:rPr>
          <w:rFonts w:hint="eastAsia" w:ascii="仿宋_GB2312" w:hAnsi="仿宋_GB2312" w:eastAsia="仿宋_GB2312" w:cs="仿宋_GB2312"/>
          <w:b w:val="0"/>
          <w:bCs w:val="0"/>
          <w:sz w:val="30"/>
          <w:szCs w:val="30"/>
        </w:rPr>
        <w:t>（三）物业共有部位的清洁卫生服务；</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（四）公共秩序维护；</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（五）电梯的日常维护和管理；</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（六）装饰装修管理服务；</w:t>
      </w:r>
    </w:p>
    <w:p>
      <w:pPr>
        <w:keepNext w:val="0"/>
        <w:keepLines w:val="0"/>
        <w:pageBreakBefore w:val="0"/>
        <w:numPr>
          <w:ilvl w:val="255"/>
          <w:numId w:val="0"/>
        </w:numPr>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（七）</w:t>
      </w:r>
      <w:bookmarkStart w:id="36" w:name="_Hlk18581267"/>
      <w:r>
        <w:rPr>
          <w:rFonts w:hint="eastAsia" w:ascii="仿宋_GB2312" w:hAnsi="仿宋_GB2312" w:eastAsia="仿宋_GB2312" w:cs="仿宋_GB2312"/>
          <w:b w:val="0"/>
          <w:bCs w:val="0"/>
          <w:sz w:val="30"/>
          <w:szCs w:val="30"/>
        </w:rPr>
        <w:t>物业及设施设备查验、改造、维修、运行、保养、共有物业经营等档案资料管理；</w:t>
      </w:r>
    </w:p>
    <w:p>
      <w:pPr>
        <w:keepNext w:val="0"/>
        <w:keepLines w:val="0"/>
        <w:pageBreakBefore w:val="0"/>
        <w:numPr>
          <w:ilvl w:val="255"/>
          <w:numId w:val="0"/>
        </w:numPr>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（八）业主、物业使用人档案资料管理；</w:t>
      </w:r>
      <w:bookmarkEnd w:id="36"/>
    </w:p>
    <w:p>
      <w:pPr>
        <w:keepNext w:val="0"/>
        <w:keepLines w:val="0"/>
        <w:pageBreakBefore w:val="0"/>
        <w:numPr>
          <w:ilvl w:val="255"/>
          <w:numId w:val="0"/>
        </w:numPr>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（九）配合供水、排水、供电、供气、通信等相关专营单位移交、维修养护、改造相关设施设备或者设置管线；</w:t>
      </w:r>
    </w:p>
    <w:p>
      <w:pPr>
        <w:keepNext w:val="0"/>
        <w:keepLines w:val="0"/>
        <w:pageBreakBefore w:val="0"/>
        <w:numPr>
          <w:ilvl w:val="255"/>
          <w:numId w:val="0"/>
        </w:numPr>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（十）配合住建、城管、消防、公安、环保、水务等相关政府部门做好房屋安全、文明养宠、垃圾分类、消防治安、公共卫生等事务；</w:t>
      </w:r>
    </w:p>
    <w:p>
      <w:pPr>
        <w:keepNext w:val="0"/>
        <w:keepLines w:val="0"/>
        <w:pageBreakBefore w:val="0"/>
        <w:numPr>
          <w:ilvl w:val="255"/>
          <w:numId w:val="0"/>
        </w:numPr>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（十一）</w:t>
      </w:r>
      <w:bookmarkStart w:id="37" w:name="_Hlk18581284"/>
      <w:r>
        <w:rPr>
          <w:rFonts w:hint="eastAsia" w:ascii="仿宋_GB2312" w:hAnsi="仿宋_GB2312" w:eastAsia="仿宋_GB2312" w:cs="仿宋_GB2312"/>
          <w:b w:val="0"/>
          <w:bCs w:val="0"/>
          <w:sz w:val="30"/>
          <w:szCs w:val="30"/>
        </w:rPr>
        <w:t>物业使用禁止性行为的管理；</w:t>
      </w:r>
    </w:p>
    <w:bookmarkEnd w:id="37"/>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（十二）其他：</w:t>
      </w:r>
      <w:r>
        <w:rPr>
          <w:rFonts w:hint="eastAsia" w:ascii="仿宋_GB2312" w:hAnsi="仿宋_GB2312" w:eastAsia="仿宋_GB2312" w:cs="仿宋_GB2312"/>
          <w:b w:val="0"/>
          <w:bCs w:val="0"/>
          <w:sz w:val="30"/>
          <w:szCs w:val="30"/>
          <w:u w:val="single"/>
        </w:rPr>
        <w:t xml:space="preserve">                                </w:t>
      </w:r>
      <w:r>
        <w:rPr>
          <w:rFonts w:hint="eastAsia" w:ascii="仿宋_GB2312" w:hAnsi="仿宋_GB2312" w:eastAsia="仿宋_GB2312" w:cs="仿宋_GB2312"/>
          <w:b w:val="0"/>
          <w:bCs w:val="0"/>
          <w:sz w:val="30"/>
          <w:szCs w:val="30"/>
        </w:rPr>
        <w:t>；</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（十三）按照法律、法规、规章规定和《管理规约》、业主大会决定委托的其他物业管理服务事项。</w:t>
      </w:r>
    </w:p>
    <w:p>
      <w:pPr>
        <w:pStyle w:val="7"/>
        <w:keepNext w:val="0"/>
        <w:keepLines w:val="0"/>
        <w:pageBreakBefore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sz w:val="32"/>
          <w:szCs w:val="32"/>
        </w:rPr>
      </w:pPr>
      <w:bookmarkStart w:id="38" w:name="_Toc1854"/>
      <w:bookmarkStart w:id="39" w:name="_Toc24492"/>
      <w:bookmarkStart w:id="40" w:name="_Toc28319"/>
      <w:bookmarkStart w:id="41" w:name="_Toc14304"/>
      <w:bookmarkStart w:id="42" w:name="_Toc31324"/>
      <w:bookmarkStart w:id="43" w:name="_Toc13645"/>
      <w:bookmarkStart w:id="44" w:name="_Toc9874"/>
      <w:r>
        <w:rPr>
          <w:rFonts w:hint="eastAsia" w:ascii="黑体" w:hAnsi="黑体" w:eastAsia="黑体" w:cs="黑体"/>
          <w:b w:val="0"/>
          <w:bCs/>
          <w:sz w:val="32"/>
          <w:szCs w:val="32"/>
        </w:rPr>
        <w:t>第五条 物业管理服务标准</w:t>
      </w:r>
      <w:bookmarkEnd w:id="38"/>
      <w:bookmarkEnd w:id="39"/>
      <w:bookmarkEnd w:id="40"/>
      <w:bookmarkEnd w:id="41"/>
      <w:bookmarkEnd w:id="42"/>
      <w:bookmarkEnd w:id="43"/>
      <w:bookmarkEnd w:id="44"/>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（一）乙方按照双方协商一致的</w:t>
      </w:r>
      <w:r>
        <w:rPr>
          <w:rFonts w:hint="eastAsia" w:ascii="仿宋_GB2312" w:hAnsi="仿宋_GB2312" w:eastAsia="仿宋_GB2312" w:cs="仿宋_GB2312"/>
          <w:bCs/>
          <w:sz w:val="30"/>
          <w:szCs w:val="30"/>
        </w:rPr>
        <w:t>物业管理服务标准（详见合同附件4）</w:t>
      </w:r>
      <w:r>
        <w:rPr>
          <w:rFonts w:hint="eastAsia" w:ascii="仿宋_GB2312" w:hAnsi="仿宋_GB2312" w:eastAsia="仿宋_GB2312" w:cs="仿宋_GB2312"/>
          <w:sz w:val="30"/>
          <w:szCs w:val="30"/>
        </w:rPr>
        <w:t>提供物业管理服务，并将物业管理服务标准</w:t>
      </w:r>
      <w:bookmarkStart w:id="45" w:name="_Hlk23419931"/>
      <w:r>
        <w:rPr>
          <w:rFonts w:hint="eastAsia" w:ascii="仿宋_GB2312" w:hAnsi="仿宋_GB2312" w:eastAsia="仿宋_GB2312" w:cs="仿宋_GB2312"/>
          <w:sz w:val="30"/>
          <w:szCs w:val="30"/>
        </w:rPr>
        <w:t>在本物业管理区域内</w:t>
      </w:r>
      <w:bookmarkEnd w:id="45"/>
      <w:r>
        <w:rPr>
          <w:rFonts w:hint="eastAsia" w:ascii="仿宋_GB2312" w:hAnsi="仿宋_GB2312" w:eastAsia="仿宋_GB2312" w:cs="仿宋_GB2312"/>
          <w:sz w:val="30"/>
          <w:szCs w:val="30"/>
        </w:rPr>
        <w:t>进行公示。</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w:t>
      </w:r>
      <w:bookmarkStart w:id="46" w:name="_Hlk18581344"/>
      <w:r>
        <w:rPr>
          <w:rFonts w:hint="eastAsia" w:ascii="仿宋_GB2312" w:hAnsi="仿宋_GB2312" w:eastAsia="仿宋_GB2312" w:cs="仿宋_GB2312"/>
          <w:sz w:val="30"/>
          <w:szCs w:val="30"/>
        </w:rPr>
        <w:t>本物业管理区域物业管理服务实行项目负责人制度。</w:t>
      </w:r>
      <w:bookmarkEnd w:id="46"/>
      <w:r>
        <w:rPr>
          <w:rFonts w:hint="eastAsia" w:ascii="仿宋_GB2312" w:hAnsi="仿宋_GB2312" w:eastAsia="仿宋_GB2312" w:cs="仿宋_GB2312"/>
          <w:sz w:val="30"/>
          <w:szCs w:val="30"/>
        </w:rPr>
        <w:t>乙方指定</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为本物业管理区域项目的负责人</w:t>
      </w:r>
      <w:bookmarkStart w:id="47" w:name="_Hlk18581379"/>
      <w:r>
        <w:rPr>
          <w:rFonts w:hint="eastAsia" w:ascii="仿宋_GB2312" w:hAnsi="仿宋_GB2312" w:eastAsia="仿宋_GB2312" w:cs="仿宋_GB2312"/>
          <w:sz w:val="30"/>
          <w:szCs w:val="30"/>
        </w:rPr>
        <w:t>，负责本项目的整体运营和管理。</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乙方如更换项目负责人，应当及时告知甲方和业主并予以公示。</w:t>
      </w:r>
      <w:bookmarkEnd w:id="47"/>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（三）乙方应定期听取甲方、业主对乙方项目负责人的评价，乙方结合相应评价，督促项目负责人依法依规承担相关责任，改进服务，提升业主满意度。</w:t>
      </w:r>
    </w:p>
    <w:p>
      <w:pPr>
        <w:pStyle w:val="4"/>
        <w:pageBreakBefore w:val="0"/>
        <w:kinsoku/>
        <w:wordWrap/>
        <w:overflowPunct/>
        <w:topLinePunct w:val="0"/>
        <w:autoSpaceDE/>
        <w:autoSpaceDN/>
        <w:bidi w:val="0"/>
        <w:adjustRightInd/>
        <w:snapToGrid w:val="0"/>
        <w:spacing w:before="0" w:beforeLines="0" w:after="0" w:afterLines="0" w:line="360" w:lineRule="auto"/>
        <w:jc w:val="center"/>
        <w:textAlignment w:val="auto"/>
        <w:rPr>
          <w:rFonts w:hint="eastAsia" w:ascii="华文中宋" w:hAnsi="华文中宋" w:eastAsia="华文中宋" w:cs="Times New Roman"/>
          <w:sz w:val="44"/>
          <w:szCs w:val="44"/>
        </w:rPr>
      </w:pPr>
      <w:bookmarkStart w:id="48" w:name="_Toc32750"/>
      <w:bookmarkStart w:id="49" w:name="_Toc1623"/>
      <w:bookmarkStart w:id="50" w:name="_Toc15979"/>
      <w:bookmarkStart w:id="51" w:name="_Toc19665"/>
      <w:bookmarkStart w:id="52" w:name="_Toc3038"/>
      <w:bookmarkStart w:id="53" w:name="_Toc714"/>
      <w:bookmarkStart w:id="54" w:name="_Toc12955"/>
      <w:r>
        <w:rPr>
          <w:rFonts w:hint="eastAsia" w:ascii="华文中宋" w:hAnsi="华文中宋" w:eastAsia="华文中宋" w:cs="Times New Roman"/>
          <w:sz w:val="44"/>
          <w:szCs w:val="44"/>
        </w:rPr>
        <w:t xml:space="preserve">第四章 </w:t>
      </w:r>
      <w:bookmarkEnd w:id="48"/>
      <w:bookmarkEnd w:id="49"/>
      <w:bookmarkEnd w:id="50"/>
      <w:bookmarkEnd w:id="51"/>
      <w:r>
        <w:rPr>
          <w:rFonts w:hint="eastAsia" w:ascii="华文中宋" w:hAnsi="华文中宋" w:eastAsia="华文中宋" w:cs="Times New Roman"/>
          <w:sz w:val="44"/>
          <w:szCs w:val="44"/>
        </w:rPr>
        <w:t xml:space="preserve"> 物业管理服务相关费用</w:t>
      </w:r>
      <w:bookmarkEnd w:id="52"/>
      <w:bookmarkEnd w:id="53"/>
      <w:bookmarkEnd w:id="54"/>
    </w:p>
    <w:p>
      <w:pPr>
        <w:pStyle w:val="7"/>
        <w:keepNext w:val="0"/>
        <w:keepLines w:val="0"/>
        <w:pageBreakBefore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第六条 业主共有资金主要包括：</w:t>
      </w:r>
    </w:p>
    <w:p>
      <w:pPr>
        <w:keepNext w:val="0"/>
        <w:keepLines w:val="0"/>
        <w:pageBreakBefore w:val="0"/>
        <w:tabs>
          <w:tab w:val="left" w:pos="5812"/>
        </w:tabs>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（一）共有物业收益； </w:t>
      </w:r>
    </w:p>
    <w:p>
      <w:pPr>
        <w:keepNext w:val="0"/>
        <w:keepLines w:val="0"/>
        <w:pageBreakBefore w:val="0"/>
        <w:tabs>
          <w:tab w:val="left" w:pos="5812"/>
        </w:tabs>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（二）物业专项维修资金；</w:t>
      </w:r>
    </w:p>
    <w:p>
      <w:pPr>
        <w:keepNext w:val="0"/>
        <w:keepLines w:val="0"/>
        <w:pageBreakBefore w:val="0"/>
        <w:tabs>
          <w:tab w:val="left" w:pos="5812"/>
        </w:tabs>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（三）物业管理费；</w:t>
      </w:r>
    </w:p>
    <w:p>
      <w:pPr>
        <w:keepNext w:val="0"/>
        <w:keepLines w:val="0"/>
        <w:pageBreakBefore w:val="0"/>
        <w:tabs>
          <w:tab w:val="left" w:pos="5812"/>
        </w:tabs>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（四）业主依据管理规约或者业主大会决定分摊的费用；</w:t>
      </w:r>
    </w:p>
    <w:p>
      <w:pPr>
        <w:keepNext w:val="0"/>
        <w:keepLines w:val="0"/>
        <w:pageBreakBefore w:val="0"/>
        <w:tabs>
          <w:tab w:val="left" w:pos="5812"/>
        </w:tabs>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（五）其他合法收入</w:t>
      </w:r>
      <w:bookmarkStart w:id="55" w:name="_Hlk23419966"/>
      <w:r>
        <w:rPr>
          <w:rFonts w:hint="eastAsia" w:ascii="仿宋_GB2312" w:hAnsi="仿宋_GB2312" w:eastAsia="仿宋_GB2312" w:cs="仿宋_GB2312"/>
          <w:b w:val="0"/>
          <w:bCs w:val="0"/>
          <w:sz w:val="30"/>
          <w:szCs w:val="30"/>
        </w:rPr>
        <w:t>，包括：</w:t>
      </w:r>
      <w:r>
        <w:rPr>
          <w:rFonts w:hint="eastAsia" w:ascii="仿宋_GB2312" w:hAnsi="仿宋_GB2312" w:eastAsia="仿宋_GB2312" w:cs="仿宋_GB2312"/>
          <w:b w:val="0"/>
          <w:bCs w:val="0"/>
          <w:sz w:val="30"/>
          <w:szCs w:val="30"/>
          <w:u w:val="single"/>
        </w:rPr>
        <w:t xml:space="preserve">         </w:t>
      </w:r>
      <w:r>
        <w:rPr>
          <w:rFonts w:hint="eastAsia" w:ascii="仿宋_GB2312" w:hAnsi="仿宋_GB2312" w:eastAsia="仿宋_GB2312" w:cs="仿宋_GB2312"/>
          <w:b w:val="0"/>
          <w:bCs w:val="0"/>
          <w:sz w:val="30"/>
          <w:szCs w:val="30"/>
        </w:rPr>
        <w:t xml:space="preserve"> 、</w:t>
      </w:r>
      <w:r>
        <w:rPr>
          <w:rFonts w:hint="eastAsia" w:ascii="仿宋_GB2312" w:hAnsi="仿宋_GB2312" w:eastAsia="仿宋_GB2312" w:cs="仿宋_GB2312"/>
          <w:b w:val="0"/>
          <w:bCs w:val="0"/>
          <w:sz w:val="30"/>
          <w:szCs w:val="30"/>
          <w:u w:val="single"/>
        </w:rPr>
        <w:t xml:space="preserve">         </w:t>
      </w:r>
      <w:r>
        <w:rPr>
          <w:rFonts w:hint="eastAsia" w:ascii="仿宋_GB2312" w:hAnsi="仿宋_GB2312" w:eastAsia="仿宋_GB2312" w:cs="仿宋_GB2312"/>
          <w:b w:val="0"/>
          <w:bCs w:val="0"/>
          <w:sz w:val="30"/>
          <w:szCs w:val="30"/>
        </w:rPr>
        <w:t xml:space="preserve"> 、</w:t>
      </w:r>
    </w:p>
    <w:p>
      <w:pPr>
        <w:keepNext w:val="0"/>
        <w:keepLines w:val="0"/>
        <w:pageBreakBefore w:val="0"/>
        <w:tabs>
          <w:tab w:val="left" w:pos="5812"/>
        </w:tabs>
        <w:kinsoku/>
        <w:wordWrap/>
        <w:overflowPunct/>
        <w:topLinePunct w:val="0"/>
        <w:autoSpaceDE/>
        <w:autoSpaceDN/>
        <w:bidi w:val="0"/>
        <w:adjustRightInd/>
        <w:snapToGrid w:val="0"/>
        <w:spacing w:line="360" w:lineRule="auto"/>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u w:val="single"/>
        </w:rPr>
        <w:t xml:space="preserve">         </w:t>
      </w:r>
      <w:r>
        <w:rPr>
          <w:rFonts w:hint="eastAsia" w:ascii="仿宋_GB2312" w:hAnsi="仿宋_GB2312" w:eastAsia="仿宋_GB2312" w:cs="仿宋_GB2312"/>
          <w:b w:val="0"/>
          <w:bCs w:val="0"/>
          <w:sz w:val="30"/>
          <w:szCs w:val="30"/>
        </w:rPr>
        <w:t>。</w:t>
      </w:r>
      <w:bookmarkEnd w:id="55"/>
    </w:p>
    <w:p>
      <w:pPr>
        <w:pStyle w:val="7"/>
        <w:keepNext w:val="0"/>
        <w:keepLines w:val="0"/>
        <w:pageBreakBefore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sz w:val="32"/>
          <w:szCs w:val="32"/>
        </w:rPr>
      </w:pPr>
      <w:bookmarkStart w:id="56" w:name="_Toc26160"/>
      <w:bookmarkStart w:id="57" w:name="_Toc822"/>
      <w:bookmarkStart w:id="58" w:name="_Toc22004"/>
      <w:r>
        <w:rPr>
          <w:rFonts w:hint="eastAsia" w:ascii="黑体" w:hAnsi="黑体" w:eastAsia="黑体" w:cs="黑体"/>
          <w:b w:val="0"/>
          <w:bCs/>
          <w:sz w:val="32"/>
          <w:szCs w:val="32"/>
        </w:rPr>
        <w:t>第七条 业主共有资金管理</w:t>
      </w:r>
      <w:bookmarkEnd w:id="56"/>
      <w:bookmarkEnd w:id="57"/>
      <w:bookmarkEnd w:id="58"/>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本物业管理区域业主共有资金账户采用□业主共有资金基本账户□业主共有资金共管账户。</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（一）对于采用业主共有资金基本账户的，乙方应当设立为本物业管理区域独立核算的服务机构，甲方按照□月□季度□年向乙方支付相关费用。</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对于采用业主共有资金共管账户的，乙方应当自本合同生效的十日内在与物业管理信息平台共享相关数据的银行（以下简称“数据共享银行”）设立本物业管理区域的业主共有资金共管账户。</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w:t>
      </w:r>
      <w:bookmarkStart w:id="59" w:name="_Hlk18582575"/>
      <w:r>
        <w:rPr>
          <w:rFonts w:hint="eastAsia" w:ascii="仿宋_GB2312" w:hAnsi="仿宋_GB2312" w:eastAsia="仿宋_GB2312" w:cs="仿宋_GB2312"/>
          <w:sz w:val="30"/>
          <w:szCs w:val="30"/>
        </w:rPr>
        <w:t>当甲方对业主共有资金进行审计时，乙方应予以配合，不得转移、隐匿、篡改、毁弃、或消极提供会计凭证、会计账簿、财务会计报告以及其他与财务收支有关的资料。</w:t>
      </w:r>
      <w:bookmarkEnd w:id="59"/>
      <w:bookmarkStart w:id="60" w:name="_Hlk18582560"/>
      <w:r>
        <w:rPr>
          <w:rFonts w:hint="eastAsia" w:ascii="仿宋_GB2312" w:hAnsi="仿宋_GB2312" w:eastAsia="仿宋_GB2312" w:cs="仿宋_GB2312"/>
          <w:sz w:val="30"/>
          <w:szCs w:val="30"/>
        </w:rPr>
        <w:t>审计费用从业主共有资金中列支。</w:t>
      </w:r>
      <w:bookmarkEnd w:id="60"/>
      <w:r>
        <w:rPr>
          <w:rFonts w:hint="eastAsia" w:ascii="仿宋_GB2312" w:hAnsi="仿宋_GB2312" w:eastAsia="仿宋_GB2312" w:cs="仿宋_GB2312"/>
          <w:sz w:val="30"/>
          <w:szCs w:val="30"/>
        </w:rPr>
        <w:t xml:space="preserve"> </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（三）未经业主大会决定或者授权，任何单位和个人不得使用业主共有资金。</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（四）业主共有资金除银行储蓄或者依法购买国债外，不得用于其他投资，不得借贷给他人或者为他人提供担保。</w:t>
      </w:r>
    </w:p>
    <w:p>
      <w:pPr>
        <w:pStyle w:val="7"/>
        <w:keepNext w:val="0"/>
        <w:keepLines w:val="0"/>
        <w:pageBreakBefore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第八条 业主共有资金的支出</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除物业专项维修资金外，本物业管理区域内的业主共有资金用于下列支出：</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（一）业主委员会委员津贴、业主大会聘请人员的费用；</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（二）经业主大会会议决定的其他年度预算支出；</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（三）乙方管理服务人员工资、社会保险和按规定提取的福利费等；</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（四）物业管理用房的日常运行、维护费用；</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（五）物业共有部位、共有设施设备的日常运行、维护费用；</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（六）物业管理区域内清洁卫生、绿化养护、秩序维护费用；</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（七）物业共有部位、共有设施设备的公众责任保险费用；</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（八）物业服务费；</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（九）物业服务企业固定资产折旧；</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（十）业主大会经营收入的法定税费；</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（十一）补充物业专项维修资金；</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（十二）其他费用：</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（十三）经业主大会会议决定或者依法应当支出的其他费用。</w:t>
      </w:r>
    </w:p>
    <w:p>
      <w:pPr>
        <w:pStyle w:val="7"/>
        <w:keepNext w:val="0"/>
        <w:keepLines w:val="0"/>
        <w:pageBreakBefore w:val="0"/>
        <w:kinsoku/>
        <w:wordWrap/>
        <w:overflowPunct/>
        <w:topLinePunct w:val="0"/>
        <w:autoSpaceDE/>
        <w:autoSpaceDN/>
        <w:bidi w:val="0"/>
        <w:adjustRightInd/>
        <w:snapToGrid w:val="0"/>
        <w:spacing w:line="360" w:lineRule="auto"/>
        <w:ind w:firstLine="640" w:firstLineChars="200"/>
        <w:textAlignment w:val="auto"/>
        <w:outlineLvl w:val="9"/>
        <w:rPr>
          <w:rFonts w:hint="eastAsia" w:ascii="仿宋" w:hAnsi="仿宋" w:eastAsia="仿宋" w:cs="仿宋"/>
          <w:b/>
          <w:sz w:val="32"/>
          <w:szCs w:val="32"/>
        </w:rPr>
      </w:pPr>
      <w:r>
        <w:rPr>
          <w:rFonts w:hint="eastAsia" w:ascii="黑体" w:hAnsi="黑体" w:eastAsia="黑体" w:cs="黑体"/>
          <w:b w:val="0"/>
          <w:bCs/>
          <w:sz w:val="32"/>
          <w:szCs w:val="32"/>
        </w:rPr>
        <w:t>第九条 物业管理费支付标准</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业主应按其拥有物业的建筑面积进行支付，具体标准如下：</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[多层住宅]：</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元/平方米/月；</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[高层住宅]：</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元/平方米/月；</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[别墅]：</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元/平方米/月；</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[公寓]：</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元/平方米/月；</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[办公楼]：</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元/平方米/月；</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[商业物业]：</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元/平方米/月；</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物业：</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元/平方米/月。</w:t>
      </w:r>
    </w:p>
    <w:p>
      <w:pPr>
        <w:pStyle w:val="7"/>
        <w:keepNext w:val="0"/>
        <w:keepLines w:val="0"/>
        <w:pageBreakBefore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第十条 物业管理费的支付方式与违约金</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（一）业主应在每月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前（日期）向业主共有资金账户支付物业管理费。</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（二）业主应当按照本合同约定按时足额支付物业管理费，逾期不支付物业管理费的，甲、乙双方应当积极督促。逾期交纳的，业主按照</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标准支付违约金。该违约金系业主共有资金，应纳入业主共有资金统一管理，违约方应直接支付至业主共有资金账户。</w:t>
      </w:r>
    </w:p>
    <w:p>
      <w:pPr>
        <w:pStyle w:val="7"/>
        <w:keepNext w:val="0"/>
        <w:keepLines w:val="0"/>
        <w:pageBreakBefore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第十一条</w:t>
      </w:r>
      <w:bookmarkStart w:id="61" w:name="_Hlk18582597"/>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物业服务费</w:t>
      </w:r>
      <w:bookmarkEnd w:id="61"/>
      <w:r>
        <w:rPr>
          <w:rFonts w:hint="eastAsia" w:ascii="黑体" w:hAnsi="黑体" w:eastAsia="黑体" w:cs="黑体"/>
          <w:b w:val="0"/>
          <w:bCs/>
          <w:sz w:val="32"/>
          <w:szCs w:val="32"/>
        </w:rPr>
        <w:t>的提取标准和方式</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b/>
          <w:sz w:val="30"/>
          <w:szCs w:val="30"/>
        </w:rPr>
      </w:pPr>
      <w:bookmarkStart w:id="62" w:name="_Hlk18582637"/>
      <w:r>
        <w:rPr>
          <w:rFonts w:hint="eastAsia" w:ascii="仿宋_GB2312" w:hAnsi="仿宋_GB2312" w:eastAsia="仿宋_GB2312" w:cs="仿宋_GB2312"/>
          <w:sz w:val="30"/>
          <w:szCs w:val="30"/>
        </w:rPr>
        <w:t>乙方按本合同第九条约定预收的物业管理费中按下述第</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种方式提取物业服务费，其余全部用于业主大会决议或物业服务合同约定的支出，结余或者不足均由本物业全体业主共同享有或者承担。</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（一）每</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（月/季度/年）在预收的物业管理费用中按</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%的比例提取物业服务费。</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（二）每</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（月/季度/年）在预收的物业管理费用中提取</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none"/>
        </w:rPr>
        <w:t>万</w:t>
      </w:r>
      <w:r>
        <w:rPr>
          <w:rFonts w:hint="eastAsia" w:ascii="仿宋_GB2312" w:hAnsi="仿宋_GB2312" w:eastAsia="仿宋_GB2312" w:cs="仿宋_GB2312"/>
          <w:sz w:val="30"/>
          <w:szCs w:val="30"/>
        </w:rPr>
        <w:t>元的物业服务费。</w:t>
      </w:r>
      <w:bookmarkEnd w:id="62"/>
    </w:p>
    <w:p>
      <w:pPr>
        <w:pStyle w:val="7"/>
        <w:keepNext w:val="0"/>
        <w:keepLines w:val="0"/>
        <w:pageBreakBefore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sz w:val="32"/>
          <w:szCs w:val="32"/>
        </w:rPr>
      </w:pPr>
      <w:bookmarkStart w:id="63" w:name="_Hlk18583738"/>
      <w:r>
        <w:rPr>
          <w:rFonts w:hint="eastAsia" w:ascii="黑体" w:hAnsi="黑体" w:eastAsia="黑体" w:cs="黑体"/>
          <w:b w:val="0"/>
          <w:bCs/>
          <w:sz w:val="32"/>
          <w:szCs w:val="32"/>
        </w:rPr>
        <w:t>第十二条 停车位（库）的物业管理服务及相关费用</w:t>
      </w:r>
    </w:p>
    <w:p>
      <w:pPr>
        <w:pStyle w:val="29"/>
        <w:keepNext w:val="0"/>
        <w:keepLines w:val="0"/>
        <w:pageBreakBefore w:val="0"/>
        <w:widowControl/>
        <w:numPr>
          <w:ilvl w:val="255"/>
          <w:numId w:val="0"/>
        </w:numPr>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（一）停车场收费包括：车位使用费、车位物业管理服务费。</w:t>
      </w:r>
    </w:p>
    <w:p>
      <w:pPr>
        <w:pStyle w:val="29"/>
        <w:keepNext w:val="0"/>
        <w:keepLines w:val="0"/>
        <w:pageBreakBefore w:val="0"/>
        <w:widowControl/>
        <w:numPr>
          <w:ilvl w:val="255"/>
          <w:numId w:val="0"/>
        </w:numPr>
        <w:kinsoku/>
        <w:wordWrap/>
        <w:overflowPunct/>
        <w:topLinePunct w:val="0"/>
        <w:autoSpaceDE/>
        <w:autoSpaceDN/>
        <w:bidi w:val="0"/>
        <w:adjustRightInd/>
        <w:snapToGrid w:val="0"/>
        <w:spacing w:line="360" w:lineRule="auto"/>
        <w:jc w:val="left"/>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具体收费标准按照合同附件5《车位（库）物业管理服务及相关费用协议》进行收取。 </w:t>
      </w:r>
    </w:p>
    <w:p>
      <w:pPr>
        <w:keepNext w:val="0"/>
        <w:keepLines w:val="0"/>
        <w:pageBreakBefore w:val="0"/>
        <w:widowControl/>
        <w:numPr>
          <w:ilvl w:val="255"/>
          <w:numId w:val="0"/>
        </w:numPr>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（二）业主对机动车车辆停放有保管要求的，与乙方另行约定。</w:t>
      </w:r>
    </w:p>
    <w:bookmarkEnd w:id="63"/>
    <w:p>
      <w:pPr>
        <w:pStyle w:val="7"/>
        <w:keepNext w:val="0"/>
        <w:keepLines w:val="0"/>
        <w:pageBreakBefore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sz w:val="32"/>
          <w:szCs w:val="32"/>
        </w:rPr>
      </w:pPr>
      <w:bookmarkStart w:id="64" w:name="_Toc9634"/>
      <w:bookmarkStart w:id="65" w:name="_Toc8104"/>
      <w:bookmarkStart w:id="66" w:name="_Toc13397"/>
      <w:bookmarkStart w:id="67" w:name="_Toc25136"/>
      <w:r>
        <w:rPr>
          <w:rFonts w:hint="eastAsia" w:ascii="黑体" w:hAnsi="黑体" w:eastAsia="黑体" w:cs="黑体"/>
          <w:b w:val="0"/>
          <w:bCs/>
          <w:sz w:val="32"/>
          <w:szCs w:val="32"/>
        </w:rPr>
        <w:t>第十三条</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物业专项维修资金管理</w:t>
      </w:r>
      <w:bookmarkEnd w:id="64"/>
      <w:bookmarkEnd w:id="65"/>
      <w:bookmarkEnd w:id="66"/>
      <w:bookmarkEnd w:id="67"/>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w:t>
      </w:r>
      <w:bookmarkStart w:id="68" w:name="_Hlk21432491"/>
      <w:r>
        <w:rPr>
          <w:rFonts w:hint="eastAsia" w:ascii="仿宋_GB2312" w:hAnsi="仿宋_GB2312" w:eastAsia="仿宋_GB2312" w:cs="仿宋_GB2312"/>
          <w:sz w:val="30"/>
          <w:szCs w:val="30"/>
        </w:rPr>
        <w:t>业主应当按照法律法规规定或业主大会决议交纳和续筹物业专项维修资金。</w:t>
      </w:r>
      <w:bookmarkEnd w:id="68"/>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bookmarkStart w:id="69" w:name="_Hlk21432588"/>
      <w:r>
        <w:rPr>
          <w:rFonts w:hint="eastAsia" w:ascii="仿宋_GB2312" w:hAnsi="仿宋_GB2312" w:eastAsia="仿宋_GB2312" w:cs="仿宋_GB2312"/>
          <w:sz w:val="30"/>
          <w:szCs w:val="30"/>
        </w:rPr>
        <w:t>（二）物业专项维修资金用于本物业管理区域内共有部位及共有设施设备的安全检测鉴定、维修、更新和改造。</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（三）业主大会决定不将本物业管理区域日常收取的专项维修资金移交市物业专项维修资金管理机构统一管理的，乙方应当配合存入业主共有资金账户，由业主大会自行依法依规进行管理。</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（四）本物业管理区域业主未按照规定缴纳物业专项维修资金的，由业主委员会进行催缴，乙方也可以接受业主委员会委托代为催缴。</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（五）本合同第八条约定的属于业主共有资金支出范围的，不得使用物业专项维修资金支出。</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（六）甲、乙双方应依法依规使用和管理物业专项维修资金。</w:t>
      </w:r>
      <w:bookmarkEnd w:id="69"/>
    </w:p>
    <w:p>
      <w:pPr>
        <w:pStyle w:val="7"/>
        <w:keepNext w:val="0"/>
        <w:keepLines w:val="0"/>
        <w:pageBreakBefore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第十四条</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共有物业收益</w:t>
      </w:r>
    </w:p>
    <w:p>
      <w:pPr>
        <w:keepNext w:val="0"/>
        <w:keepLines w:val="0"/>
        <w:pageBreakBefore w:val="0"/>
        <w:numPr>
          <w:ilvl w:val="255"/>
          <w:numId w:val="0"/>
        </w:numPr>
        <w:kinsoku/>
        <w:wordWrap/>
        <w:overflowPunct/>
        <w:topLinePunct w:val="0"/>
        <w:autoSpaceDE/>
        <w:autoSpaceDN/>
        <w:bidi w:val="0"/>
        <w:adjustRightInd/>
        <w:snapToGrid w:val="0"/>
        <w:spacing w:line="360" w:lineRule="auto"/>
        <w:ind w:firstLine="602" w:firstLineChars="200"/>
        <w:jc w:val="left"/>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（一）共有部位和共有设施设备经营业务收入</w:t>
      </w:r>
    </w:p>
    <w:p>
      <w:pPr>
        <w:keepNext w:val="0"/>
        <w:keepLines w:val="0"/>
        <w:pageBreakBefore w:val="0"/>
        <w:numPr>
          <w:ilvl w:val="255"/>
          <w:numId w:val="0"/>
        </w:numPr>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1.利用物业共有部位、共有设施设备进行经营，所得收益依法归属全体业主共有。</w:t>
      </w:r>
    </w:p>
    <w:p>
      <w:pPr>
        <w:keepNext w:val="0"/>
        <w:keepLines w:val="0"/>
        <w:pageBreakBefore w:val="0"/>
        <w:numPr>
          <w:ilvl w:val="255"/>
          <w:numId w:val="0"/>
        </w:numPr>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2.乙方开展经营业务应征得业主大会决议通过后方可进行。如该经营业务由乙方与第三方签订书面协议，则该协议需报甲方执行机构审核批准方可签订，且应将该协议副本原件交由甲方保管。</w:t>
      </w:r>
    </w:p>
    <w:p>
      <w:pPr>
        <w:keepNext w:val="0"/>
        <w:keepLines w:val="0"/>
        <w:pageBreakBefore w:val="0"/>
        <w:numPr>
          <w:ilvl w:val="255"/>
          <w:numId w:val="0"/>
        </w:numPr>
        <w:kinsoku/>
        <w:wordWrap/>
        <w:overflowPunct/>
        <w:topLinePunct w:val="0"/>
        <w:autoSpaceDE/>
        <w:autoSpaceDN/>
        <w:bidi w:val="0"/>
        <w:adjustRightInd/>
        <w:snapToGrid w:val="0"/>
        <w:spacing w:line="360" w:lineRule="auto"/>
        <w:ind w:firstLine="602" w:firstLineChars="200"/>
        <w:jc w:val="left"/>
        <w:textAlignment w:val="auto"/>
        <w:outlineLvl w:val="9"/>
        <w:rPr>
          <w:rFonts w:hint="eastAsia" w:ascii="仿宋_GB2312" w:hAnsi="仿宋_GB2312" w:eastAsia="仿宋_GB2312" w:cs="仿宋_GB2312"/>
          <w:b/>
          <w:bCs/>
          <w:i/>
          <w:sz w:val="30"/>
          <w:szCs w:val="30"/>
          <w:u w:val="single"/>
        </w:rPr>
      </w:pPr>
      <w:r>
        <w:rPr>
          <w:rFonts w:hint="eastAsia" w:ascii="仿宋_GB2312" w:hAnsi="仿宋_GB2312" w:eastAsia="仿宋_GB2312" w:cs="仿宋_GB2312"/>
          <w:b/>
          <w:bCs/>
          <w:sz w:val="30"/>
          <w:szCs w:val="30"/>
        </w:rPr>
        <w:t>（二）共有物业经营收益管理</w:t>
      </w:r>
    </w:p>
    <w:p>
      <w:pPr>
        <w:keepNext w:val="0"/>
        <w:keepLines w:val="0"/>
        <w:pageBreakBefore w:val="0"/>
        <w:numPr>
          <w:ilvl w:val="255"/>
          <w:numId w:val="0"/>
        </w:numPr>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 w:hAnsi="仿宋" w:eastAsia="仿宋" w:cs="仿宋"/>
          <w:sz w:val="32"/>
          <w:szCs w:val="32"/>
        </w:rPr>
      </w:pPr>
      <w:r>
        <w:rPr>
          <w:rFonts w:hint="eastAsia" w:ascii="仿宋_GB2312" w:hAnsi="仿宋_GB2312" w:eastAsia="仿宋_GB2312" w:cs="仿宋_GB2312"/>
          <w:sz w:val="30"/>
          <w:szCs w:val="30"/>
        </w:rPr>
        <w:t>乙方按照业主大会决议代为经营共有物业的，扣除乙方管理服务成本后，所得收益由业主大会自行管理且存入业主大会共有资金账户，并接受全体业</w:t>
      </w:r>
      <w:bookmarkStart w:id="70" w:name="_Hlk21425450"/>
      <w:r>
        <w:rPr>
          <w:rFonts w:hint="eastAsia" w:ascii="仿宋_GB2312" w:hAnsi="仿宋_GB2312" w:eastAsia="仿宋_GB2312" w:cs="仿宋_GB2312"/>
          <w:sz w:val="30"/>
          <w:szCs w:val="30"/>
        </w:rPr>
        <w:t>主监督</w:t>
      </w:r>
      <w:bookmarkEnd w:id="70"/>
      <w:r>
        <w:rPr>
          <w:rFonts w:hint="eastAsia" w:ascii="仿宋_GB2312" w:hAnsi="仿宋_GB2312" w:eastAsia="仿宋_GB2312" w:cs="仿宋_GB2312"/>
          <w:sz w:val="30"/>
          <w:szCs w:val="30"/>
        </w:rPr>
        <w:t>。</w:t>
      </w:r>
      <w:r>
        <w:rPr>
          <w:rFonts w:hint="eastAsia" w:ascii="仿宋" w:hAnsi="仿宋" w:eastAsia="仿宋" w:cs="仿宋"/>
          <w:sz w:val="32"/>
          <w:szCs w:val="32"/>
        </w:rPr>
        <w:t> </w:t>
      </w:r>
    </w:p>
    <w:p>
      <w:pPr>
        <w:pStyle w:val="7"/>
        <w:keepNext w:val="0"/>
        <w:keepLines w:val="0"/>
        <w:pageBreakBefore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sz w:val="32"/>
          <w:szCs w:val="32"/>
        </w:rPr>
      </w:pPr>
      <w:bookmarkStart w:id="71" w:name="_Toc1429"/>
      <w:bookmarkStart w:id="72" w:name="_Toc25655"/>
      <w:bookmarkStart w:id="73" w:name="_Toc31788"/>
      <w:bookmarkStart w:id="74" w:name="_Toc19237"/>
      <w:bookmarkStart w:id="75" w:name="_Toc5547"/>
      <w:bookmarkStart w:id="76" w:name="_Toc1984"/>
      <w:bookmarkStart w:id="77" w:name="_Toc31728"/>
      <w:r>
        <w:rPr>
          <w:rFonts w:hint="eastAsia" w:ascii="黑体" w:hAnsi="黑体" w:eastAsia="黑体" w:cs="黑体"/>
          <w:b w:val="0"/>
          <w:bCs/>
          <w:sz w:val="32"/>
          <w:szCs w:val="32"/>
        </w:rPr>
        <w:t>第十五条 公用事业服务项目收费</w:t>
      </w:r>
      <w:bookmarkEnd w:id="71"/>
      <w:bookmarkEnd w:id="72"/>
      <w:bookmarkEnd w:id="73"/>
      <w:bookmarkEnd w:id="74"/>
      <w:bookmarkEnd w:id="75"/>
      <w:bookmarkEnd w:id="76"/>
      <w:bookmarkEnd w:id="77"/>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（一）业主、物业使用人应按照规定支付供水、排水、供电、供气、通讯、有线电视等公用事业服务费用。 </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乙方接受供水、排水、供电、供气、通讯、有线电视等市政公用事业服务单位委托代收上述费用的，可以向委托单位收取代办手续费，但不得向业主、物业使用人收取手续费等额外费用，不得限制或变相限制业主或物业使用人购买。</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未经供水、排水、供电、供气、通讯、有线电视等相关专营单位或者业主授权、行政决定或者司法裁决，乙方不得对共有物业或者物业专有部分实施停水、停电、停气等。但是，可能对业主利益或者公共安全造成重大损失的紧急情形除外。</w:t>
      </w:r>
    </w:p>
    <w:p>
      <w:pPr>
        <w:pStyle w:val="7"/>
        <w:keepNext w:val="0"/>
        <w:keepLines w:val="0"/>
        <w:pageBreakBefore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spacing w:val="-6"/>
          <w:sz w:val="32"/>
          <w:szCs w:val="32"/>
        </w:rPr>
      </w:pPr>
      <w:r>
        <w:rPr>
          <w:rFonts w:hint="eastAsia" w:ascii="黑体" w:hAnsi="黑体" w:eastAsia="黑体" w:cs="黑体"/>
          <w:b w:val="0"/>
          <w:bCs/>
          <w:sz w:val="32"/>
          <w:szCs w:val="32"/>
        </w:rPr>
        <w:t xml:space="preserve">第十六条 </w:t>
      </w:r>
      <w:r>
        <w:rPr>
          <w:rFonts w:hint="eastAsia" w:ascii="黑体" w:hAnsi="黑体" w:eastAsia="黑体" w:cs="黑体"/>
          <w:b w:val="0"/>
          <w:bCs/>
          <w:spacing w:val="-6"/>
          <w:sz w:val="32"/>
          <w:szCs w:val="32"/>
        </w:rPr>
        <w:t>共有部位、共有设施设备维修费用的承担方式</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（一）保修期内的，费用由建设单位承担。</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（二）</w:t>
      </w:r>
      <w:bookmarkStart w:id="78" w:name="_Hlk21433700"/>
      <w:r>
        <w:rPr>
          <w:rFonts w:hint="eastAsia" w:ascii="仿宋_GB2312" w:hAnsi="仿宋_GB2312" w:eastAsia="仿宋_GB2312" w:cs="仿宋_GB2312"/>
          <w:bCs/>
          <w:sz w:val="30"/>
          <w:szCs w:val="30"/>
        </w:rPr>
        <w:t>保修期满则由全体业主承担，费用从业主共有资金中予以列支。</w:t>
      </w:r>
      <w:bookmarkEnd w:id="78"/>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sz w:val="32"/>
          <w:szCs w:val="32"/>
        </w:rPr>
      </w:pPr>
      <w:bookmarkStart w:id="79" w:name="_Toc479"/>
      <w:bookmarkStart w:id="80" w:name="_Toc2782"/>
      <w:bookmarkStart w:id="81" w:name="_Toc14218"/>
      <w:bookmarkStart w:id="82" w:name="_Toc4654"/>
      <w:bookmarkStart w:id="83" w:name="_Toc5996"/>
      <w:bookmarkStart w:id="84" w:name="_Toc13236"/>
      <w:bookmarkStart w:id="85" w:name="_Toc18371"/>
      <w:r>
        <w:rPr>
          <w:rFonts w:hint="eastAsia" w:ascii="黑体" w:hAnsi="黑体" w:eastAsia="黑体" w:cs="黑体"/>
          <w:b w:val="0"/>
          <w:bCs/>
          <w:sz w:val="32"/>
          <w:szCs w:val="32"/>
        </w:rPr>
        <w:t>第十七条</w:t>
      </w:r>
      <w:bookmarkEnd w:id="79"/>
      <w:bookmarkEnd w:id="80"/>
      <w:r>
        <w:rPr>
          <w:rFonts w:hint="eastAsia" w:ascii="黑体" w:hAnsi="黑体" w:eastAsia="黑体" w:cs="黑体"/>
          <w:b w:val="0"/>
          <w:bCs/>
          <w:sz w:val="32"/>
          <w:szCs w:val="32"/>
        </w:rPr>
        <w:t xml:space="preserve"> 共有部位和共有设施设备保险费用</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bookmarkStart w:id="86" w:name="_Hlk21433762"/>
      <w:r>
        <w:rPr>
          <w:rFonts w:hint="eastAsia" w:ascii="仿宋_GB2312" w:hAnsi="仿宋_GB2312" w:eastAsia="仿宋_GB2312" w:cs="仿宋_GB2312"/>
          <w:sz w:val="30"/>
          <w:szCs w:val="30"/>
        </w:rPr>
        <w:t>本物业管理区域内物业共有部位、共有设施设备财产具体投保的保险险种为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，按以下第</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种方式筹集:</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（一）</w:t>
      </w:r>
      <w:r>
        <w:rPr>
          <w:rFonts w:hint="eastAsia" w:ascii="仿宋_GB2312" w:hAnsi="仿宋_GB2312" w:eastAsia="仿宋_GB2312" w:cs="仿宋_GB2312"/>
          <w:sz w:val="30"/>
          <w:szCs w:val="30"/>
        </w:rPr>
        <w:t>由甲方办理，保险费用从业主共有资金中支出；</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 w:hAnsi="仿宋" w:eastAsia="仿宋" w:cs="仿宋"/>
          <w:sz w:val="32"/>
          <w:szCs w:val="32"/>
        </w:rPr>
      </w:pP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由乙方代办，保险费用从业主共有资金中支出。</w:t>
      </w:r>
    </w:p>
    <w:bookmarkEnd w:id="81"/>
    <w:bookmarkEnd w:id="82"/>
    <w:bookmarkEnd w:id="83"/>
    <w:bookmarkEnd w:id="84"/>
    <w:bookmarkEnd w:id="85"/>
    <w:bookmarkEnd w:id="86"/>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sz w:val="32"/>
          <w:szCs w:val="32"/>
        </w:rPr>
      </w:pPr>
      <w:bookmarkStart w:id="87" w:name="_Hlk21433866"/>
      <w:r>
        <w:rPr>
          <w:rFonts w:hint="eastAsia" w:ascii="黑体" w:hAnsi="黑体" w:eastAsia="黑体" w:cs="黑体"/>
          <w:b w:val="0"/>
          <w:bCs/>
          <w:sz w:val="32"/>
          <w:szCs w:val="32"/>
        </w:rPr>
        <w:t>第十八条 业主特约服务收费</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乙方应业主、物业使用人的需求对专有部位、专有设施设备提供维修养护或其他特约服务的，收费以乙方公示的特约收费标准为基础，由乙方与具体业主、物业使用人另行约定收取。</w:t>
      </w:r>
    </w:p>
    <w:bookmarkEnd w:id="87"/>
    <w:p>
      <w:pPr>
        <w:pStyle w:val="4"/>
        <w:pageBreakBefore w:val="0"/>
        <w:kinsoku/>
        <w:wordWrap/>
        <w:overflowPunct/>
        <w:topLinePunct w:val="0"/>
        <w:autoSpaceDE/>
        <w:autoSpaceDN/>
        <w:bidi w:val="0"/>
        <w:adjustRightInd/>
        <w:snapToGrid w:val="0"/>
        <w:spacing w:before="0" w:beforeLines="0" w:after="0" w:afterLines="0" w:line="360" w:lineRule="auto"/>
        <w:jc w:val="center"/>
        <w:textAlignment w:val="auto"/>
        <w:rPr>
          <w:rFonts w:hint="eastAsia" w:ascii="华文中宋" w:hAnsi="华文中宋" w:eastAsia="华文中宋" w:cs="Times New Roman"/>
          <w:sz w:val="44"/>
          <w:szCs w:val="44"/>
        </w:rPr>
      </w:pPr>
      <w:bookmarkStart w:id="88" w:name="_Toc9355"/>
      <w:bookmarkStart w:id="89" w:name="_Toc26189"/>
      <w:bookmarkStart w:id="90" w:name="_Toc32304"/>
      <w:bookmarkStart w:id="91" w:name="_Toc12333"/>
      <w:bookmarkStart w:id="92" w:name="_Toc11115"/>
      <w:bookmarkStart w:id="93" w:name="_Toc5920"/>
      <w:bookmarkStart w:id="94" w:name="_Toc25594"/>
      <w:r>
        <w:rPr>
          <w:rFonts w:hint="eastAsia" w:ascii="华文中宋" w:hAnsi="华文中宋" w:eastAsia="华文中宋" w:cs="Times New Roman"/>
          <w:sz w:val="44"/>
          <w:szCs w:val="44"/>
        </w:rPr>
        <w:t>第五章  双方权利与义务</w:t>
      </w:r>
      <w:bookmarkEnd w:id="88"/>
      <w:bookmarkEnd w:id="89"/>
      <w:bookmarkEnd w:id="90"/>
      <w:bookmarkEnd w:id="91"/>
      <w:bookmarkEnd w:id="92"/>
      <w:bookmarkEnd w:id="93"/>
      <w:bookmarkEnd w:id="94"/>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sz w:val="32"/>
          <w:szCs w:val="32"/>
        </w:rPr>
      </w:pPr>
      <w:bookmarkStart w:id="95" w:name="_Toc17687"/>
      <w:bookmarkStart w:id="96" w:name="_Toc26800"/>
      <w:bookmarkStart w:id="97" w:name="_Toc14598"/>
      <w:bookmarkStart w:id="98" w:name="_Toc18704"/>
      <w:bookmarkStart w:id="99" w:name="_Toc25720"/>
      <w:bookmarkStart w:id="100" w:name="_Toc25237"/>
      <w:bookmarkStart w:id="101" w:name="_Toc19165"/>
      <w:r>
        <w:rPr>
          <w:rFonts w:hint="eastAsia" w:ascii="黑体" w:hAnsi="黑体" w:eastAsia="黑体" w:cs="黑体"/>
          <w:b w:val="0"/>
          <w:bCs/>
          <w:sz w:val="32"/>
          <w:szCs w:val="32"/>
        </w:rPr>
        <w:t>第十九条 甲方的权利义务</w:t>
      </w:r>
      <w:bookmarkEnd w:id="95"/>
      <w:bookmarkEnd w:id="96"/>
      <w:bookmarkEnd w:id="97"/>
      <w:bookmarkEnd w:id="98"/>
      <w:bookmarkEnd w:id="99"/>
      <w:bookmarkEnd w:id="100"/>
      <w:bookmarkEnd w:id="101"/>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（一）审核乙方制定的年度工作计划和预算方案，并监督实施。</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（二）对乙方物业管理服务有知情、建议、监督等权利。</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（三）审核本物业管理区域内共有部位、共有设施收益的使用情况。</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（四）不得要求乙方提供物业管理服务内容以外的无偿服务。</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（五）应在乙方办理接管</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日前，提供符合办公要求的物业服务办公用房，供乙方无偿使用。</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（六）负责协调、处理、解决本合同生效前发生的遗留问题。</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（七）</w:t>
      </w:r>
      <w:r>
        <w:rPr>
          <w:rFonts w:hint="eastAsia" w:ascii="仿宋_GB2312" w:hAnsi="仿宋_GB2312" w:eastAsia="仿宋_GB2312" w:cs="仿宋_GB2312"/>
          <w:sz w:val="30"/>
          <w:szCs w:val="30"/>
        </w:rPr>
        <w:t>本物业管理区域业主、物业使用人应当按照规定分类投放生活垃圾，减少生活垃圾产生量，促进资源节约。</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八</w:t>
      </w:r>
      <w:r>
        <w:rPr>
          <w:rFonts w:hint="eastAsia" w:ascii="仿宋_GB2312" w:hAnsi="仿宋_GB2312" w:eastAsia="仿宋_GB2312" w:cs="仿宋_GB2312"/>
          <w:sz w:val="30"/>
          <w:szCs w:val="30"/>
        </w:rPr>
        <w:t>）配合乙方实施物业管理服务活动。</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九</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十</w:t>
      </w:r>
      <w:r>
        <w:rPr>
          <w:rFonts w:hint="eastAsia" w:ascii="仿宋_GB2312" w:hAnsi="仿宋_GB2312" w:eastAsia="仿宋_GB2312" w:cs="仿宋_GB2312"/>
          <w:sz w:val="30"/>
          <w:szCs w:val="30"/>
        </w:rPr>
        <w:t>）法律、法规、规章和《管理规约》等物业管理制度规定的其他权利义务。</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第二十条 乙方权利义务</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（一）根据法律、法规和规章规定和《管理规约》、本合同及招标文件中的约定，制订物业管理服务方案、制度并组织实施。按照物业管理服务标准和内容提供物业服务，收取物业服务费用、特约服务费用、</w:t>
      </w:r>
      <w:r>
        <w:rPr>
          <w:rFonts w:hint="eastAsia" w:ascii="仿宋_GB2312" w:hAnsi="仿宋_GB2312" w:eastAsia="仿宋_GB2312" w:cs="仿宋_GB2312"/>
          <w:b w:val="0"/>
          <w:bCs w:val="0"/>
          <w:sz w:val="30"/>
          <w:szCs w:val="30"/>
          <w:u w:val="single"/>
        </w:rPr>
        <w:t xml:space="preserve">            </w:t>
      </w:r>
      <w:r>
        <w:rPr>
          <w:rFonts w:hint="eastAsia" w:ascii="仿宋_GB2312" w:hAnsi="仿宋_GB2312" w:eastAsia="仿宋_GB2312" w:cs="仿宋_GB2312"/>
          <w:b w:val="0"/>
          <w:bCs w:val="0"/>
          <w:sz w:val="30"/>
          <w:szCs w:val="30"/>
        </w:rPr>
        <w:t>等费用。</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sz w:val="30"/>
          <w:szCs w:val="30"/>
        </w:rPr>
      </w:pPr>
      <w:bookmarkStart w:id="102" w:name="_Hlk23422549"/>
      <w:r>
        <w:rPr>
          <w:rFonts w:hint="eastAsia" w:ascii="仿宋_GB2312" w:hAnsi="仿宋_GB2312" w:eastAsia="仿宋_GB2312" w:cs="仿宋_GB2312"/>
          <w:b w:val="0"/>
          <w:bCs w:val="0"/>
          <w:sz w:val="30"/>
          <w:szCs w:val="30"/>
        </w:rPr>
        <w:t>（二）</w:t>
      </w:r>
      <w:bookmarkStart w:id="103" w:name="_Hlk18585366"/>
      <w:r>
        <w:rPr>
          <w:rFonts w:hint="eastAsia" w:ascii="仿宋_GB2312" w:hAnsi="仿宋_GB2312" w:eastAsia="仿宋_GB2312" w:cs="仿宋_GB2312"/>
          <w:b w:val="0"/>
          <w:bCs w:val="0"/>
          <w:sz w:val="30"/>
          <w:szCs w:val="30"/>
        </w:rPr>
        <w:t>结合本物业管理区域的实际情况，制定物业管理服务计划，负责编制房屋、附属建筑物、设施设备、绿化的年度维修养护计划和年度费用预算和决算报告</w:t>
      </w:r>
      <w:bookmarkEnd w:id="103"/>
      <w:r>
        <w:rPr>
          <w:rFonts w:hint="eastAsia" w:ascii="仿宋_GB2312" w:hAnsi="仿宋_GB2312" w:eastAsia="仿宋_GB2312" w:cs="仿宋_GB2312"/>
          <w:b w:val="0"/>
          <w:bCs w:val="0"/>
          <w:sz w:val="30"/>
          <w:szCs w:val="30"/>
        </w:rPr>
        <w:t>。</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三）可以选聘专业机构承担本物业管理区域内的特种设备维修养护、清洁卫生、园林绿化、工程施工等专项服务。但是，不得将本物业管理区域内的全部物业服务一并委托给其他单位或个人。乙方与所选定的专业机构签订合同的服务标准不得低于本合同，并对专业机构的服务行为承担连带责任。</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（四）妥善保管和正确使用本物业管理区域的档案资料，及时记载变更信息。妥善管理业主和物业使用人的居住、物业档案信息，不得擅自向第三方提供或以任何方式泄露该信息。</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（五）及时向甲方、业主通报本物业管理区域内有关物业服务的重大事项，接受甲方和业主的监督。</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（六）对甲方、业主和物业使用人违反《管理规约》</w:t>
      </w:r>
      <w:bookmarkStart w:id="104" w:name="_Hlk18585521"/>
      <w:r>
        <w:rPr>
          <w:rFonts w:hint="eastAsia" w:ascii="仿宋_GB2312" w:hAnsi="仿宋_GB2312" w:eastAsia="仿宋_GB2312" w:cs="仿宋_GB2312"/>
          <w:b w:val="0"/>
          <w:bCs w:val="0"/>
          <w:sz w:val="30"/>
          <w:szCs w:val="30"/>
        </w:rPr>
        <w:t>等其他物业管理服务制度的行为</w:t>
      </w:r>
      <w:bookmarkEnd w:id="104"/>
      <w:r>
        <w:rPr>
          <w:rFonts w:hint="eastAsia" w:ascii="仿宋_GB2312" w:hAnsi="仿宋_GB2312" w:eastAsia="仿宋_GB2312" w:cs="仿宋_GB2312"/>
          <w:b w:val="0"/>
          <w:bCs w:val="0"/>
          <w:sz w:val="30"/>
          <w:szCs w:val="30"/>
        </w:rPr>
        <w:t>，采取告知、劝说和建议等方式督促甲方、业主和物业使用人改正。</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（七）不得擅自占用共有部位、共有设施设备或改变用途，不得擅自占用、挖掘道路、场地。</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确需临时占用、挖掘道路、场地的，应按规定办理相关手续，制定施工方案，开工前要在本物业管理区域内进行公示，施工过程中尽可能减少对正常秩序的影响，并及时恢复原状。</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在紧急情况下，乙方为了公共利益可以先行施工，但事后应予以说明。</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八）乙方应当加强对本物业管理区域内天面、外墙、楼梯间等共有物业的日常巡查。如发现业主、物业使用人使用的窗户、阳台、搁置物、悬挂物存在安全隐患的，应当通知业主或者物业使用人及时处理；发现有影响相关专营设施安全情形的，应当及时报告相关专营单位。</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（九）本物业管理区域内需另行配备相关设施设备的，乙方应与甲方协商解决。</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十）物业装饰装修前，乙方应当告知业主或物业使用人相关的禁止行为和注意事项，并将装饰装修的时间、地点等情况在该业主、物业使用人所在建筑物内进行公示。除法律法规规定收取装修保证金、垃圾清运费、</w:t>
      </w:r>
      <w:r>
        <w:rPr>
          <w:rFonts w:hint="eastAsia" w:ascii="仿宋_GB2312" w:hAnsi="仿宋_GB2312" w:eastAsia="仿宋_GB2312" w:cs="仿宋_GB2312"/>
          <w:b w:val="0"/>
          <w:bCs w:val="0"/>
          <w:sz w:val="30"/>
          <w:szCs w:val="30"/>
          <w:u w:val="single"/>
        </w:rPr>
        <w:t>　     　</w:t>
      </w:r>
      <w:r>
        <w:rPr>
          <w:rFonts w:hint="eastAsia" w:ascii="仿宋_GB2312" w:hAnsi="仿宋_GB2312" w:eastAsia="仿宋_GB2312" w:cs="仿宋_GB2312"/>
          <w:b w:val="0"/>
          <w:bCs w:val="0"/>
          <w:sz w:val="30"/>
          <w:szCs w:val="30"/>
        </w:rPr>
        <w:t>（费用名称）外，乙方不得以任何名目向业主、物业使用人另行收取其他费用。</w:t>
      </w:r>
      <w:bookmarkStart w:id="105" w:name="_Hlk21434648"/>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乙方依法依规按照相关政府部门的要求对装饰装修进行监督，对未经备案私自开工或存在安全隐患的项目，应采取进一步制止措施，告知甲方并上报物业所在地街道办事处。</w:t>
      </w:r>
      <w:bookmarkEnd w:id="105"/>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（十一）乙方按照法律、法规和规章的规定履行其在本物业管理区域的生活垃圾分类投放管理人职责，有权对任何单位和个人违反生活垃圾分类规定的行为予以劝阻、投诉和举报。</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b w:val="0"/>
          <w:bCs w:val="0"/>
          <w:sz w:val="30"/>
          <w:szCs w:val="30"/>
          <w:u w:val="single"/>
          <w:lang w:val="en-US" w:eastAsia="zh-CN"/>
        </w:rPr>
      </w:pPr>
      <w:r>
        <w:rPr>
          <w:rFonts w:hint="eastAsia" w:ascii="仿宋_GB2312" w:hAnsi="仿宋_GB2312" w:eastAsia="仿宋_GB2312" w:cs="仿宋_GB2312"/>
          <w:b w:val="0"/>
          <w:bCs w:val="0"/>
          <w:sz w:val="30"/>
          <w:szCs w:val="30"/>
        </w:rPr>
        <w:t>（十</w:t>
      </w:r>
      <w:r>
        <w:rPr>
          <w:rFonts w:hint="eastAsia" w:ascii="仿宋_GB2312" w:hAnsi="仿宋_GB2312" w:eastAsia="仿宋_GB2312" w:cs="仿宋_GB2312"/>
          <w:b w:val="0"/>
          <w:bCs w:val="0"/>
          <w:sz w:val="30"/>
          <w:szCs w:val="30"/>
          <w:lang w:eastAsia="zh-CN"/>
        </w:rPr>
        <w:t>二</w:t>
      </w:r>
      <w:r>
        <w:rPr>
          <w:rFonts w:hint="eastAsia" w:ascii="仿宋_GB2312" w:hAnsi="仿宋_GB2312" w:eastAsia="仿宋_GB2312" w:cs="仿宋_GB2312"/>
          <w:b w:val="0"/>
          <w:bCs w:val="0"/>
          <w:sz w:val="30"/>
          <w:szCs w:val="30"/>
        </w:rPr>
        <w:t>）乙方在不侵犯他人隐私的情况下，可通过在</w:t>
      </w:r>
      <w:r>
        <w:rPr>
          <w:rFonts w:hint="eastAsia" w:ascii="仿宋_GB2312" w:hAnsi="仿宋_GB2312" w:eastAsia="仿宋_GB2312" w:cs="仿宋_GB2312"/>
          <w:b w:val="0"/>
          <w:bCs w:val="0"/>
          <w:sz w:val="30"/>
          <w:szCs w:val="30"/>
          <w:u w:val="single"/>
          <w:lang w:val="en-US" w:eastAsia="zh-CN"/>
        </w:rPr>
        <w:t xml:space="preserve">    </w:t>
      </w:r>
    </w:p>
    <w:p>
      <w:pPr>
        <w:keepNext w:val="0"/>
        <w:keepLines w:val="0"/>
        <w:pageBreakBefore w:val="0"/>
        <w:kinsoku/>
        <w:wordWrap/>
        <w:overflowPunct/>
        <w:topLinePunct w:val="0"/>
        <w:autoSpaceDE/>
        <w:autoSpaceDN/>
        <w:bidi w:val="0"/>
        <w:adjustRightInd/>
        <w:snapToGrid w:val="0"/>
        <w:spacing w:line="360" w:lineRule="auto"/>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u w:val="single"/>
        </w:rPr>
        <w:t xml:space="preserve">                  </w:t>
      </w:r>
      <w:r>
        <w:rPr>
          <w:rFonts w:hint="eastAsia" w:ascii="仿宋_GB2312" w:hAnsi="仿宋_GB2312" w:eastAsia="仿宋_GB2312" w:cs="仿宋_GB2312"/>
          <w:b w:val="0"/>
          <w:bCs w:val="0"/>
          <w:sz w:val="30"/>
          <w:szCs w:val="30"/>
          <w:u w:val="none"/>
          <w:lang w:eastAsia="zh-CN"/>
        </w:rPr>
        <w:t>（位置）</w:t>
      </w:r>
      <w:r>
        <w:rPr>
          <w:rFonts w:hint="eastAsia" w:ascii="仿宋_GB2312" w:hAnsi="仿宋_GB2312" w:eastAsia="仿宋_GB2312" w:cs="仿宋_GB2312"/>
          <w:b w:val="0"/>
          <w:bCs w:val="0"/>
          <w:sz w:val="30"/>
          <w:szCs w:val="30"/>
        </w:rPr>
        <w:t>安装监控摄像头等方式就抛掷物品危害他人身财产安全、破坏环境卫生等行为收集相应证据。乙方需妥善保管录音录像等证据，不得擅自毁损破坏或未经法定程序擅自向第三方公开。</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（十</w:t>
      </w:r>
      <w:r>
        <w:rPr>
          <w:rFonts w:hint="eastAsia" w:ascii="仿宋_GB2312" w:hAnsi="仿宋_GB2312" w:eastAsia="仿宋_GB2312" w:cs="仿宋_GB2312"/>
          <w:b w:val="0"/>
          <w:bCs w:val="0"/>
          <w:sz w:val="30"/>
          <w:szCs w:val="30"/>
          <w:lang w:eastAsia="zh-CN"/>
        </w:rPr>
        <w:t>三</w:t>
      </w:r>
      <w:r>
        <w:rPr>
          <w:rFonts w:hint="eastAsia" w:ascii="仿宋_GB2312" w:hAnsi="仿宋_GB2312" w:eastAsia="仿宋_GB2312" w:cs="仿宋_GB2312"/>
          <w:b w:val="0"/>
          <w:bCs w:val="0"/>
          <w:sz w:val="30"/>
          <w:szCs w:val="30"/>
        </w:rPr>
        <w:t>）加强物业管理区域内物业安全使用管理，对因自身原因造成的安全事故承担责任并负责善后处理。</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（十</w:t>
      </w:r>
      <w:r>
        <w:rPr>
          <w:rFonts w:hint="eastAsia" w:ascii="仿宋_GB2312" w:hAnsi="仿宋_GB2312" w:eastAsia="仿宋_GB2312" w:cs="仿宋_GB2312"/>
          <w:b w:val="0"/>
          <w:bCs w:val="0"/>
          <w:sz w:val="30"/>
          <w:szCs w:val="30"/>
          <w:lang w:eastAsia="zh-CN"/>
        </w:rPr>
        <w:t>四</w:t>
      </w:r>
      <w:r>
        <w:rPr>
          <w:rFonts w:hint="eastAsia" w:ascii="仿宋_GB2312" w:hAnsi="仿宋_GB2312" w:eastAsia="仿宋_GB2312" w:cs="仿宋_GB2312"/>
          <w:b w:val="0"/>
          <w:bCs w:val="0"/>
          <w:sz w:val="30"/>
          <w:szCs w:val="30"/>
        </w:rPr>
        <w:t>）乙方应当遵守安全生产、公共卫生、治安消防、防灾管理等有关公共安全法律、法规的规定，制定本物业管理区域安全防范应急预案，在相关部门指导下做好本物业管理区域的安全管理工作。安全防范应急预案应当报区住房和建设部门备案。</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当本物业管理区域内发生安全事故或者其他突发事件时，乙方应当及时采取应急措施，并按照规定向有关政府部门或者相关专营单位报告，协助做好相关工作。</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（十</w:t>
      </w:r>
      <w:r>
        <w:rPr>
          <w:rFonts w:hint="eastAsia" w:ascii="仿宋_GB2312" w:hAnsi="仿宋_GB2312" w:eastAsia="仿宋_GB2312" w:cs="仿宋_GB2312"/>
          <w:b w:val="0"/>
          <w:bCs w:val="0"/>
          <w:sz w:val="30"/>
          <w:szCs w:val="30"/>
          <w:lang w:eastAsia="zh-CN"/>
        </w:rPr>
        <w:t>五</w:t>
      </w:r>
      <w:r>
        <w:rPr>
          <w:rFonts w:hint="eastAsia" w:ascii="仿宋_GB2312" w:hAnsi="仿宋_GB2312" w:eastAsia="仿宋_GB2312" w:cs="仿宋_GB2312"/>
          <w:b w:val="0"/>
          <w:bCs w:val="0"/>
          <w:sz w:val="30"/>
          <w:szCs w:val="30"/>
        </w:rPr>
        <w:t>）对相关政府部门需进入本物业管理区域的宣传、检查、执法、救援等公共事务，乙方应当予以积极配合。</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 w:val="0"/>
          <w:bCs w:val="0"/>
          <w:sz w:val="30"/>
          <w:szCs w:val="30"/>
          <w:u w:val="single"/>
          <w:lang w:eastAsia="zh-CN"/>
        </w:rPr>
      </w:pPr>
      <w:r>
        <w:rPr>
          <w:rFonts w:hint="eastAsia" w:ascii="仿宋_GB2312" w:hAnsi="仿宋_GB2312" w:eastAsia="仿宋_GB2312" w:cs="仿宋_GB2312"/>
          <w:b w:val="0"/>
          <w:bCs w:val="0"/>
          <w:sz w:val="30"/>
          <w:szCs w:val="30"/>
        </w:rPr>
        <w:t>（十</w:t>
      </w:r>
      <w:r>
        <w:rPr>
          <w:rFonts w:hint="eastAsia" w:ascii="仿宋_GB2312" w:hAnsi="仿宋_GB2312" w:eastAsia="仿宋_GB2312" w:cs="仿宋_GB2312"/>
          <w:b w:val="0"/>
          <w:bCs w:val="0"/>
          <w:sz w:val="30"/>
          <w:szCs w:val="30"/>
          <w:lang w:eastAsia="zh-CN"/>
        </w:rPr>
        <w:t>六</w:t>
      </w:r>
      <w:r>
        <w:rPr>
          <w:rFonts w:hint="eastAsia" w:ascii="仿宋_GB2312" w:hAnsi="仿宋_GB2312" w:eastAsia="仿宋_GB2312" w:cs="仿宋_GB2312"/>
          <w:b w:val="0"/>
          <w:bCs w:val="0"/>
          <w:sz w:val="30"/>
          <w:szCs w:val="30"/>
        </w:rPr>
        <w:t>）</w:t>
      </w:r>
      <w:r>
        <w:rPr>
          <w:rFonts w:hint="eastAsia" w:ascii="仿宋_GB2312" w:hAnsi="仿宋_GB2312" w:eastAsia="仿宋_GB2312" w:cs="仿宋_GB2312"/>
          <w:b w:val="0"/>
          <w:bCs w:val="0"/>
          <w:sz w:val="30"/>
          <w:szCs w:val="30"/>
          <w:u w:val="single"/>
        </w:rPr>
        <w:t xml:space="preserve">                                       </w:t>
      </w:r>
      <w:r>
        <w:rPr>
          <w:rFonts w:hint="eastAsia" w:ascii="仿宋_GB2312" w:hAnsi="仿宋_GB2312" w:eastAsia="仿宋_GB2312" w:cs="仿宋_GB2312"/>
          <w:b w:val="0"/>
          <w:bCs w:val="0"/>
          <w:sz w:val="30"/>
          <w:szCs w:val="30"/>
          <w:u w:val="none"/>
          <w:lang w:eastAsia="zh-CN"/>
        </w:rPr>
        <w:t>。</w:t>
      </w:r>
    </w:p>
    <w:bookmarkEnd w:id="102"/>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第二十一条 突发事件处理</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为维护公共利益，在不可预见的情况下，如发生煤气泄漏、漏电火灾、水管破裂、救助生命、协助相关政府部门处理突发事件等，乙方因采取紧急避险措施造成损失的，相关当事人应按有关规定处理。</w:t>
      </w:r>
    </w:p>
    <w:p>
      <w:pPr>
        <w:pStyle w:val="4"/>
        <w:pageBreakBefore w:val="0"/>
        <w:kinsoku/>
        <w:wordWrap/>
        <w:overflowPunct/>
        <w:topLinePunct w:val="0"/>
        <w:autoSpaceDE/>
        <w:autoSpaceDN/>
        <w:bidi w:val="0"/>
        <w:adjustRightInd/>
        <w:snapToGrid w:val="0"/>
        <w:spacing w:before="0" w:beforeLines="0" w:after="0" w:afterLines="0" w:line="360" w:lineRule="auto"/>
        <w:jc w:val="center"/>
        <w:textAlignment w:val="auto"/>
        <w:rPr>
          <w:rFonts w:hint="eastAsia" w:ascii="华文中宋" w:hAnsi="华文中宋" w:eastAsia="华文中宋" w:cs="Times New Roman"/>
          <w:sz w:val="44"/>
          <w:szCs w:val="44"/>
        </w:rPr>
      </w:pPr>
      <w:r>
        <w:rPr>
          <w:rFonts w:hint="eastAsia" w:ascii="华文中宋" w:hAnsi="华文中宋" w:eastAsia="华文中宋" w:cs="Times New Roman"/>
          <w:sz w:val="44"/>
          <w:szCs w:val="44"/>
        </w:rPr>
        <w:t>第六章  合同时效</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第二十二条 合同期限</w:t>
      </w:r>
    </w:p>
    <w:p>
      <w:pPr>
        <w:keepNext w:val="0"/>
        <w:keepLines w:val="0"/>
        <w:pageBreakBefore w:val="0"/>
        <w:numPr>
          <w:ilvl w:val="0"/>
          <w:numId w:val="1"/>
        </w:numPr>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本物业管理服务期限为</w:t>
      </w: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rPr>
        <w:t>年，自</w:t>
      </w: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rPr>
        <w:t>年</w:t>
      </w: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rPr>
        <w:t>月</w:t>
      </w:r>
    </w:p>
    <w:p>
      <w:pPr>
        <w:keepNext w:val="0"/>
        <w:keepLines w:val="0"/>
        <w:pageBreakBefore w:val="0"/>
        <w:numPr>
          <w:numId w:val="0"/>
        </w:numPr>
        <w:kinsoku/>
        <w:wordWrap/>
        <w:overflowPunct/>
        <w:topLinePunct w:val="0"/>
        <w:autoSpaceDE/>
        <w:autoSpaceDN/>
        <w:bidi w:val="0"/>
        <w:adjustRightInd/>
        <w:snapToGrid w:val="0"/>
        <w:spacing w:line="360" w:lineRule="auto"/>
        <w:jc w:val="left"/>
        <w:textAlignment w:val="auto"/>
        <w:outlineLvl w:val="9"/>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rPr>
        <w:t>日至</w:t>
      </w: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rPr>
        <w:t>年</w:t>
      </w: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rPr>
        <w:t>月</w:t>
      </w: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rPr>
        <w:t>日。</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（二）经甲、乙双方协商一致，可解除本合同，并及时办理交接手续。</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（三）乙方应当在办理交接至退出本物业管理区域期间，维持正常的物业管理秩序。</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第二十三条 物业交接</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乙方办理物业管理交接，应当同时移交下列资金、资料和物品：</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（一）业主共有资金共管账户内业主共有资金结余；</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（二）业主委员会办公用房、物业服务办公用房、物业管理设施设备用房；</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（三）物业承接查验资料；</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（四）提供物业服务期间形成的有关物业及设施设备改造、维修、运行、保养的资料；</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（五）利用共有物业从事经营活动的相关资料、公共水电分摊费用缴纳记录等资料；</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（六）</w:t>
      </w: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rPr>
        <w:t>；</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（七）其他应当移交的资金、资料和物品。</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第二十四条 接管前处理</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本合同终止后，在新物业服务企业接管本物业管理区域之前，乙方应当按甲方的要求暂时继续提供物业管理服务。双方的权利义务继续按照本合同执行。</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第二十五条 不可抗力的终止</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因不可抗力致使合同无法继续履行的，根据不可抗力的影响，部分或全部免除责任，其他事宜由甲、乙双方依法协商处理。</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第二十六条 终止后处理</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（一）本合同终止后，甲、乙双方应共同做好债权债务处理事宜，包括业主共有资金的结算、对外与第三方订立的协议进行处置等。</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（二）甲、乙双方应相互配合，做好物业管理服务的交接和善后工作。</w:t>
      </w:r>
    </w:p>
    <w:p>
      <w:pPr>
        <w:pStyle w:val="4"/>
        <w:pageBreakBefore w:val="0"/>
        <w:kinsoku/>
        <w:wordWrap/>
        <w:overflowPunct/>
        <w:topLinePunct w:val="0"/>
        <w:autoSpaceDE/>
        <w:autoSpaceDN/>
        <w:bidi w:val="0"/>
        <w:adjustRightInd/>
        <w:snapToGrid w:val="0"/>
        <w:spacing w:before="0" w:beforeLines="0" w:after="0" w:afterLines="0" w:line="360" w:lineRule="auto"/>
        <w:jc w:val="center"/>
        <w:textAlignment w:val="auto"/>
        <w:rPr>
          <w:rFonts w:hint="eastAsia" w:ascii="华文中宋" w:hAnsi="华文中宋" w:eastAsia="华文中宋" w:cs="Times New Roman"/>
          <w:sz w:val="44"/>
          <w:szCs w:val="44"/>
        </w:rPr>
      </w:pPr>
      <w:r>
        <w:rPr>
          <w:rFonts w:hint="eastAsia" w:ascii="华文中宋" w:hAnsi="华文中宋" w:eastAsia="华文中宋" w:cs="Times New Roman"/>
          <w:sz w:val="44"/>
          <w:szCs w:val="44"/>
        </w:rPr>
        <w:t>第七章  违约责任及免责约定</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第二十七条 甲方违约责任</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甲方违反本合同约定，导致乙方未能完成物业管理服务内容或物业管理服务内容无法达到约定的标准的，乙方有权要求甲方限期解决；逾期未解决的，乙方可按</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标准向甲方主张违约金；造成损失的，乙方可要求甲方承担相应的法律责任。</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第二十八条</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乙方违约责任</w:t>
      </w:r>
    </w:p>
    <w:p>
      <w:pPr>
        <w:keepNext w:val="0"/>
        <w:keepLines w:val="0"/>
        <w:pageBreakBefore w:val="0"/>
        <w:numPr>
          <w:ilvl w:val="0"/>
          <w:numId w:val="2"/>
        </w:numPr>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乙方违反本合同义务，或不能完成本合同约定的服务内容和标准的，甲方有权要求乙方在合理期限内进行整改，乙方未能逾期未完成整改的，甲方可按</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标准向乙方主张违约金。乙方违约行为给业主造成损失的，有关当事人可要求乙方承担相应的法律责任。</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w:t>
      </w:r>
      <w:bookmarkStart w:id="106" w:name="_Hlk21435153"/>
      <w:r>
        <w:rPr>
          <w:rFonts w:hint="eastAsia" w:ascii="仿宋_GB2312" w:hAnsi="仿宋_GB2312" w:eastAsia="仿宋_GB2312" w:cs="仿宋_GB2312"/>
          <w:sz w:val="30"/>
          <w:szCs w:val="30"/>
        </w:rPr>
        <w:t>乙方未按法律、法规、规章的规定向甲方或甲方指定主体进行移交业主共有资金、资料和物品，或拒不退出物业管理区域的，则按照</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标准向甲方支付违约金。</w:t>
      </w:r>
      <w:bookmarkEnd w:id="106"/>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（三）本款违约金均系业主共有资金，应纳入业主共有资金统一管理，违约方应直接支付至业主共有资金账户。</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第二十九条 提前解约责任</w:t>
      </w:r>
    </w:p>
    <w:p>
      <w:pPr>
        <w:keepNext w:val="0"/>
        <w:keepLines w:val="0"/>
        <w:pageBreakBefore w:val="0"/>
        <w:numPr>
          <w:ilvl w:val="255"/>
          <w:numId w:val="0"/>
        </w:numPr>
        <w:kinsoku/>
        <w:wordWrap/>
        <w:overflowPunct/>
        <w:topLinePunct w:val="0"/>
        <w:autoSpaceDE/>
        <w:autoSpaceDN/>
        <w:bidi w:val="0"/>
        <w:adjustRightInd/>
        <w:snapToGrid w:val="0"/>
        <w:spacing w:line="360" w:lineRule="auto"/>
        <w:ind w:firstLine="640" w:firstLineChars="200"/>
        <w:textAlignment w:val="auto"/>
        <w:outlineLvl w:val="9"/>
        <w:rPr>
          <w:rFonts w:hint="eastAsia" w:ascii="仿宋_GB2312" w:hAnsi="仿宋_GB2312" w:eastAsia="仿宋_GB2312" w:cs="仿宋_GB2312"/>
          <w:sz w:val="30"/>
          <w:szCs w:val="30"/>
        </w:rPr>
      </w:pPr>
      <w:r>
        <w:rPr>
          <w:rFonts w:hint="eastAsia" w:ascii="仿宋" w:hAnsi="仿宋" w:eastAsia="仿宋" w:cs="仿宋"/>
          <w:sz w:val="32"/>
          <w:szCs w:val="32"/>
        </w:rPr>
        <w:t>（</w:t>
      </w:r>
      <w:r>
        <w:rPr>
          <w:rFonts w:hint="eastAsia" w:ascii="仿宋_GB2312" w:hAnsi="仿宋_GB2312" w:eastAsia="仿宋_GB2312" w:cs="仿宋_GB2312"/>
          <w:sz w:val="30"/>
          <w:szCs w:val="30"/>
        </w:rPr>
        <w:t>一）除本合同第六章规定的合同终止情形外，双方均不得提前解除本合同，否则无过错方可要求按</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标准支付违约金；造成损失的，无过错方可要求其承担相应的法律责任。</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（二）前述违约金系业主共有资金，应纳入业主共有资金统一管理，违约方应直接支付至业主共有资金账户。</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第三十条</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本合同其他相关违约责任的约定：</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第三十一条 乙方免责条款</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下列情形之一的，乙方不承担违约责任：</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（一）由于甲方、业主或物业使用人的原因导致乙方的服务无法达到合同要求的。</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（二）因维修养护物业共有部位、共有设施设备需要且事先已告知业主和物业使用人，暂时停水、停电、供热、通讯、有线电视及其他共有设施设备运行造成损失的。</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（三）非乙方责任出现供水、排水、供电、供气、供热、通讯、有线电视及其他共有设施设备运行障碍造成损失，乙方已采取应急措施的。</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pPr>
        <w:pStyle w:val="4"/>
        <w:pageBreakBefore w:val="0"/>
        <w:kinsoku/>
        <w:wordWrap/>
        <w:overflowPunct/>
        <w:topLinePunct w:val="0"/>
        <w:autoSpaceDE/>
        <w:autoSpaceDN/>
        <w:bidi w:val="0"/>
        <w:adjustRightInd/>
        <w:snapToGrid w:val="0"/>
        <w:spacing w:before="0" w:beforeLines="0" w:after="0" w:afterLines="0" w:line="360" w:lineRule="auto"/>
        <w:jc w:val="center"/>
        <w:textAlignment w:val="auto"/>
        <w:rPr>
          <w:rFonts w:hint="eastAsia" w:ascii="华文中宋" w:hAnsi="华文中宋" w:eastAsia="华文中宋" w:cs="Times New Roman"/>
          <w:sz w:val="44"/>
          <w:szCs w:val="44"/>
        </w:rPr>
      </w:pPr>
      <w:r>
        <w:rPr>
          <w:rFonts w:hint="eastAsia" w:ascii="华文中宋" w:hAnsi="华文中宋" w:eastAsia="华文中宋" w:cs="Times New Roman"/>
          <w:sz w:val="44"/>
          <w:szCs w:val="44"/>
        </w:rPr>
        <w:t>第八章  争议解决</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第三十二条 争议解决</w:t>
      </w:r>
    </w:p>
    <w:p>
      <w:pPr>
        <w:keepNext w:val="0"/>
        <w:keepLines w:val="0"/>
        <w:pageBreakBefore w:val="0"/>
        <w:kinsoku/>
        <w:wordWrap/>
        <w:overflowPunct/>
        <w:topLinePunct w:val="0"/>
        <w:autoSpaceDE/>
        <w:autoSpaceDN/>
        <w:bidi w:val="0"/>
        <w:adjustRightInd/>
        <w:snapToGrid w:val="0"/>
        <w:spacing w:line="360" w:lineRule="auto"/>
        <w:ind w:firstLine="48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因合同的解释或履行发生争议，双方应协商解决。如协商不成的，可采取以下第</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方式进行处理：</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（一）向有管辖权的人民法院提起诉讼。</w:t>
      </w:r>
    </w:p>
    <w:p>
      <w:pPr>
        <w:keepNext w:val="0"/>
        <w:keepLines w:val="0"/>
        <w:pageBreakBefore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 w:hAnsi="仿宋" w:eastAsia="仿宋" w:cs="仿宋"/>
          <w:sz w:val="32"/>
          <w:szCs w:val="32"/>
        </w:rPr>
      </w:pPr>
      <w:r>
        <w:rPr>
          <w:rFonts w:hint="eastAsia" w:ascii="仿宋_GB2312" w:hAnsi="仿宋_GB2312" w:eastAsia="仿宋_GB2312" w:cs="仿宋_GB2312"/>
          <w:sz w:val="30"/>
          <w:szCs w:val="30"/>
        </w:rPr>
        <w:t>（二）向</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申请仲裁。</w:t>
      </w:r>
    </w:p>
    <w:p>
      <w:pPr>
        <w:pStyle w:val="4"/>
        <w:pageBreakBefore w:val="0"/>
        <w:kinsoku/>
        <w:wordWrap/>
        <w:overflowPunct/>
        <w:topLinePunct w:val="0"/>
        <w:autoSpaceDE/>
        <w:autoSpaceDN/>
        <w:bidi w:val="0"/>
        <w:adjustRightInd/>
        <w:snapToGrid w:val="0"/>
        <w:spacing w:before="0" w:beforeLines="0" w:after="0" w:afterLines="0" w:line="360" w:lineRule="auto"/>
        <w:jc w:val="center"/>
        <w:textAlignment w:val="auto"/>
        <w:rPr>
          <w:rFonts w:hint="eastAsia" w:ascii="华文中宋" w:hAnsi="华文中宋" w:eastAsia="华文中宋" w:cs="Times New Roman"/>
          <w:sz w:val="44"/>
          <w:szCs w:val="44"/>
        </w:rPr>
      </w:pPr>
      <w:r>
        <w:rPr>
          <w:rFonts w:hint="eastAsia" w:ascii="华文中宋" w:hAnsi="华文中宋" w:eastAsia="华文中宋" w:cs="Times New Roman"/>
          <w:sz w:val="44"/>
          <w:szCs w:val="44"/>
        </w:rPr>
        <w:t>第九章  附 则</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第三十三条 其他约定</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（一）本合同未尽事宜双方可另行以书面形式签订补充协议。</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（二）对本合同的任何修改、补充或变更应经双方书面确认,并作为本合同附件。附件、补充协议与本合同具有同等的法律效力。</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（三）本合同正文连同附件共</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页，一式</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份。本合同副本报区住房和建设部门备案，甲方、乙方、</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各执</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份，具有同等法律效力。</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（四）本合同经双方法定代表人或授权代表人签字并签章后生效。</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（正文完）</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br w:type="page"/>
      </w:r>
    </w:p>
    <w:p>
      <w:pPr>
        <w:keepNext w:val="0"/>
        <w:keepLines w:val="0"/>
        <w:pageBreakBefore w:val="0"/>
        <w:kinsoku/>
        <w:wordWrap/>
        <w:overflowPunct/>
        <w:topLinePunct w:val="0"/>
        <w:autoSpaceDE/>
        <w:autoSpaceDN/>
        <w:bidi w:val="0"/>
        <w:adjustRightInd/>
        <w:snapToGrid w:val="0"/>
        <w:spacing w:line="360" w:lineRule="auto"/>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本合同附件包含如下：</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附件一.规划平面图</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附件二.</w:t>
      </w:r>
      <w:bookmarkStart w:id="111" w:name="_GoBack"/>
      <w:bookmarkEnd w:id="111"/>
      <w:r>
        <w:rPr>
          <w:rFonts w:hint="eastAsia" w:ascii="仿宋_GB2312" w:hAnsi="仿宋_GB2312" w:eastAsia="仿宋_GB2312" w:cs="仿宋_GB2312"/>
          <w:sz w:val="30"/>
          <w:szCs w:val="30"/>
        </w:rPr>
        <w:t>物业构成明细</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附件三.物业共用部位、共有设施设备明细</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附件四.物业管理服务标准</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附件五.车位（库）物业管理服务及相关费用协议</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附件六.《管理规约》</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sz w:val="32"/>
          <w:szCs w:val="32"/>
        </w:rPr>
      </w:pPr>
      <w:bookmarkStart w:id="107" w:name="_Hlk18589278"/>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sz w:val="30"/>
          <w:szCs w:val="30"/>
        </w:rPr>
      </w:pPr>
      <w:r>
        <w:rPr>
          <w:rFonts w:hint="eastAsia" w:ascii="仿宋" w:hAnsi="仿宋" w:eastAsia="仿宋" w:cs="仿宋"/>
          <w:sz w:val="30"/>
          <w:szCs w:val="30"/>
        </w:rPr>
        <w:br w:type="page"/>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sz w:val="30"/>
          <w:szCs w:val="30"/>
        </w:rPr>
        <w:t>（本页无正文，系深圳市</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街道</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物业管理区域物业服务合同签字页）</w:t>
      </w:r>
    </w:p>
    <w:bookmarkEnd w:id="107"/>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9"/>
        <w:rPr>
          <w:rFonts w:hint="eastAsia" w:ascii="仿宋_GB2312" w:hAnsi="仿宋_GB2312" w:eastAsia="仿宋_GB2312" w:cs="仿宋_GB2312"/>
          <w:b/>
          <w:sz w:val="30"/>
          <w:szCs w:val="30"/>
        </w:rPr>
      </w:pP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甲方：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b/>
          <w:sz w:val="30"/>
          <w:szCs w:val="30"/>
        </w:rPr>
        <w:t xml:space="preserve">  乙方： </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授权代表：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 xml:space="preserve">                    授权代表：</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签订日期:   年  月  日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签订日期：  年  月  日</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签订地点：深圳市</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区</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br w:type="page"/>
      </w:r>
    </w:p>
    <w:p>
      <w:pPr>
        <w:keepNext w:val="0"/>
        <w:keepLines w:val="0"/>
        <w:pageBreakBefore w:val="0"/>
        <w:kinsoku/>
        <w:wordWrap/>
        <w:overflowPunct/>
        <w:topLinePunct w:val="0"/>
        <w:autoSpaceDE/>
        <w:autoSpaceDN/>
        <w:bidi w:val="0"/>
        <w:adjustRightInd/>
        <w:spacing w:line="360" w:lineRule="auto"/>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附件1</w:t>
      </w: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规划平面图</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br w:type="page"/>
      </w:r>
    </w:p>
    <w:p>
      <w:pPr>
        <w:keepNext w:val="0"/>
        <w:keepLines w:val="0"/>
        <w:pageBreakBefore w:val="0"/>
        <w:kinsoku/>
        <w:wordWrap/>
        <w:overflowPunct/>
        <w:topLinePunct w:val="0"/>
        <w:autoSpaceDE/>
        <w:autoSpaceDN/>
        <w:bidi w:val="0"/>
        <w:adjustRightInd/>
        <w:spacing w:line="360" w:lineRule="auto"/>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附件2</w:t>
      </w:r>
    </w:p>
    <w:p>
      <w:pPr>
        <w:keepNext w:val="0"/>
        <w:keepLines w:val="0"/>
        <w:pageBreakBefore w:val="0"/>
        <w:kinsoku/>
        <w:wordWrap/>
        <w:overflowPunct/>
        <w:topLinePunct w:val="0"/>
        <w:autoSpaceDE/>
        <w:autoSpaceDN/>
        <w:bidi w:val="0"/>
        <w:adjustRightInd/>
        <w:spacing w:before="156" w:beforeLines="50" w:after="156" w:afterLines="50" w:line="360" w:lineRule="auto"/>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物业构成明细</w:t>
      </w:r>
    </w:p>
    <w:tbl>
      <w:tblPr>
        <w:tblStyle w:val="25"/>
        <w:tblW w:w="8204" w:type="dxa"/>
        <w:tblInd w:w="3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036"/>
        <w:gridCol w:w="2161"/>
        <w:gridCol w:w="20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00" w:hRule="exact"/>
        </w:trPr>
        <w:tc>
          <w:tcPr>
            <w:tcW w:w="1941"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类  型</w:t>
            </w:r>
          </w:p>
        </w:tc>
        <w:tc>
          <w:tcPr>
            <w:tcW w:w="203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幢  数</w:t>
            </w:r>
          </w:p>
        </w:tc>
        <w:tc>
          <w:tcPr>
            <w:tcW w:w="2161"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套（单元）数</w:t>
            </w:r>
          </w:p>
        </w:tc>
        <w:tc>
          <w:tcPr>
            <w:tcW w:w="206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建筑面积</w:t>
            </w: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（平方米）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高层住宅</w:t>
            </w:r>
          </w:p>
        </w:tc>
        <w:tc>
          <w:tcPr>
            <w:tcW w:w="203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c>
          <w:tcPr>
            <w:tcW w:w="2161"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c>
          <w:tcPr>
            <w:tcW w:w="206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多层住宅</w:t>
            </w:r>
          </w:p>
        </w:tc>
        <w:tc>
          <w:tcPr>
            <w:tcW w:w="203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c>
          <w:tcPr>
            <w:tcW w:w="2161"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c>
          <w:tcPr>
            <w:tcW w:w="206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别  墅</w:t>
            </w:r>
          </w:p>
        </w:tc>
        <w:tc>
          <w:tcPr>
            <w:tcW w:w="203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c>
          <w:tcPr>
            <w:tcW w:w="2161"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c>
          <w:tcPr>
            <w:tcW w:w="206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商业用房</w:t>
            </w:r>
          </w:p>
        </w:tc>
        <w:tc>
          <w:tcPr>
            <w:tcW w:w="203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c>
          <w:tcPr>
            <w:tcW w:w="2161"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c>
          <w:tcPr>
            <w:tcW w:w="206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工业用房</w:t>
            </w:r>
          </w:p>
        </w:tc>
        <w:tc>
          <w:tcPr>
            <w:tcW w:w="203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c>
          <w:tcPr>
            <w:tcW w:w="2161"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c>
          <w:tcPr>
            <w:tcW w:w="206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办公楼</w:t>
            </w:r>
          </w:p>
        </w:tc>
        <w:tc>
          <w:tcPr>
            <w:tcW w:w="203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c>
          <w:tcPr>
            <w:tcW w:w="2161"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c>
          <w:tcPr>
            <w:tcW w:w="206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车  库</w:t>
            </w:r>
          </w:p>
        </w:tc>
        <w:tc>
          <w:tcPr>
            <w:tcW w:w="203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c>
          <w:tcPr>
            <w:tcW w:w="2161"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c>
          <w:tcPr>
            <w:tcW w:w="206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会  所</w:t>
            </w:r>
          </w:p>
        </w:tc>
        <w:tc>
          <w:tcPr>
            <w:tcW w:w="203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c>
          <w:tcPr>
            <w:tcW w:w="2161"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c>
          <w:tcPr>
            <w:tcW w:w="206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  校</w:t>
            </w:r>
          </w:p>
        </w:tc>
        <w:tc>
          <w:tcPr>
            <w:tcW w:w="203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c>
          <w:tcPr>
            <w:tcW w:w="2161"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c>
          <w:tcPr>
            <w:tcW w:w="206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幼儿园</w:t>
            </w:r>
          </w:p>
        </w:tc>
        <w:tc>
          <w:tcPr>
            <w:tcW w:w="203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c>
          <w:tcPr>
            <w:tcW w:w="2161"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c>
          <w:tcPr>
            <w:tcW w:w="206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用房</w:t>
            </w:r>
          </w:p>
        </w:tc>
        <w:tc>
          <w:tcPr>
            <w:tcW w:w="203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c>
          <w:tcPr>
            <w:tcW w:w="2161"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c>
          <w:tcPr>
            <w:tcW w:w="206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u w:val="single"/>
              </w:rPr>
            </w:pPr>
          </w:p>
        </w:tc>
        <w:tc>
          <w:tcPr>
            <w:tcW w:w="203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c>
          <w:tcPr>
            <w:tcW w:w="2161"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c>
          <w:tcPr>
            <w:tcW w:w="206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  计</w:t>
            </w:r>
          </w:p>
        </w:tc>
        <w:tc>
          <w:tcPr>
            <w:tcW w:w="203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c>
          <w:tcPr>
            <w:tcW w:w="2161"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c>
          <w:tcPr>
            <w:tcW w:w="206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  注</w:t>
            </w:r>
          </w:p>
        </w:tc>
        <w:tc>
          <w:tcPr>
            <w:tcW w:w="203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c>
          <w:tcPr>
            <w:tcW w:w="2161"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c>
          <w:tcPr>
            <w:tcW w:w="206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sz w:val="28"/>
                <w:szCs w:val="28"/>
              </w:rPr>
            </w:pPr>
          </w:p>
        </w:tc>
      </w:tr>
    </w:tbl>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br w:type="page"/>
      </w:r>
    </w:p>
    <w:p>
      <w:pPr>
        <w:keepNext w:val="0"/>
        <w:keepLines w:val="0"/>
        <w:pageBreakBefore w:val="0"/>
        <w:kinsoku/>
        <w:wordWrap/>
        <w:overflowPunct/>
        <w:topLinePunct w:val="0"/>
        <w:autoSpaceDE/>
        <w:autoSpaceDN/>
        <w:bidi w:val="0"/>
        <w:adjustRightInd/>
        <w:spacing w:before="156" w:beforeLines="50" w:after="156" w:afterLines="50" w:line="360" w:lineRule="auto"/>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附件3</w:t>
      </w:r>
    </w:p>
    <w:p>
      <w:pPr>
        <w:keepNext w:val="0"/>
        <w:keepLines w:val="0"/>
        <w:pageBreakBefore w:val="0"/>
        <w:kinsoku/>
        <w:wordWrap/>
        <w:overflowPunct/>
        <w:topLinePunct w:val="0"/>
        <w:autoSpaceDE/>
        <w:autoSpaceDN/>
        <w:bidi w:val="0"/>
        <w:adjustRightInd/>
        <w:spacing w:before="156" w:beforeLines="50" w:after="156" w:afterLines="50" w:line="360" w:lineRule="auto"/>
        <w:jc w:val="center"/>
        <w:textAlignment w:val="auto"/>
        <w:rPr>
          <w:rFonts w:hint="eastAsia" w:ascii="仿宋" w:hAnsi="仿宋" w:eastAsia="仿宋" w:cs="仿宋"/>
          <w:b/>
          <w:sz w:val="36"/>
          <w:szCs w:val="36"/>
        </w:rPr>
      </w:pPr>
      <w:r>
        <w:rPr>
          <w:rFonts w:hint="eastAsia" w:ascii="黑体" w:hAnsi="黑体" w:eastAsia="黑体" w:cs="黑体"/>
          <w:b w:val="0"/>
          <w:bCs/>
          <w:sz w:val="32"/>
          <w:szCs w:val="32"/>
        </w:rPr>
        <w:t>物业共有部位、共有设施设备明细</w:t>
      </w:r>
    </w:p>
    <w:tbl>
      <w:tblPr>
        <w:tblStyle w:val="25"/>
        <w:tblW w:w="9429" w:type="dxa"/>
        <w:jc w:val="center"/>
        <w:tblInd w:w="0" w:type="dxa"/>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
      <w:tblGrid>
        <w:gridCol w:w="1552"/>
        <w:gridCol w:w="1016"/>
        <w:gridCol w:w="7"/>
        <w:gridCol w:w="1061"/>
        <w:gridCol w:w="1461"/>
        <w:gridCol w:w="576"/>
        <w:gridCol w:w="898"/>
        <w:gridCol w:w="938"/>
        <w:gridCol w:w="376"/>
        <w:gridCol w:w="82"/>
        <w:gridCol w:w="1462"/>
      </w:tblGrid>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000000"/>
                <w:szCs w:val="21"/>
              </w:rPr>
            </w:pPr>
            <w:bookmarkStart w:id="108" w:name="_Hlk23424088"/>
            <w:r>
              <w:rPr>
                <w:rFonts w:hint="eastAsia" w:ascii="仿宋" w:hAnsi="仿宋" w:eastAsia="仿宋" w:cs="仿宋"/>
                <w:color w:val="000000"/>
                <w:szCs w:val="21"/>
              </w:rPr>
              <w:t xml:space="preserve">物业管理区域内房屋建筑本体之外的共有设施设备情况  </w:t>
            </w:r>
          </w:p>
        </w:tc>
        <w:tc>
          <w:tcPr>
            <w:tcW w:w="20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小区车辆出入口</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 w:hAnsi="仿宋" w:eastAsia="仿宋" w:cs="仿宋"/>
                <w:color w:val="000000"/>
                <w:szCs w:val="21"/>
              </w:rPr>
            </w:pPr>
            <w:r>
              <w:rPr>
                <w:rFonts w:hint="eastAsia" w:ascii="仿宋" w:hAnsi="仿宋" w:eastAsia="仿宋" w:cs="仿宋"/>
                <w:color w:val="000000"/>
                <w:szCs w:val="21"/>
              </w:rPr>
              <w:t>个</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人行出入口</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 w:hAnsi="仿宋" w:eastAsia="仿宋" w:cs="仿宋"/>
                <w:color w:val="000000"/>
                <w:szCs w:val="21"/>
              </w:rPr>
            </w:pPr>
            <w:r>
              <w:rPr>
                <w:rFonts w:hint="eastAsia" w:ascii="仿宋" w:hAnsi="仿宋" w:eastAsia="仿宋" w:cs="仿宋"/>
                <w:color w:val="000000"/>
                <w:szCs w:val="21"/>
              </w:rPr>
              <w:t>个</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道路</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 w:hAnsi="仿宋" w:eastAsia="仿宋" w:cs="仿宋"/>
                <w:color w:val="000000"/>
                <w:szCs w:val="21"/>
              </w:rPr>
            </w:pPr>
            <w:r>
              <w:rPr>
                <w:rFonts w:hint="eastAsia" w:ascii="仿宋" w:hAnsi="仿宋" w:eastAsia="仿宋" w:cs="仿宋"/>
                <w:color w:val="000000"/>
                <w:szCs w:val="21"/>
              </w:rPr>
              <w:t>㎡</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车行道</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绿化面积</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 w:hAnsi="仿宋" w:eastAsia="仿宋" w:cs="仿宋"/>
                <w:color w:val="000000"/>
                <w:szCs w:val="21"/>
              </w:rPr>
            </w:pPr>
            <w:r>
              <w:rPr>
                <w:rFonts w:hint="eastAsia" w:ascii="仿宋" w:hAnsi="仿宋" w:eastAsia="仿宋" w:cs="仿宋"/>
                <w:color w:val="000000"/>
                <w:szCs w:val="21"/>
              </w:rPr>
              <w:t>㎡</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园林建筑小品</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 w:hAnsi="仿宋" w:eastAsia="仿宋" w:cs="仿宋"/>
                <w:color w:val="000000"/>
                <w:szCs w:val="21"/>
              </w:rPr>
            </w:pPr>
            <w:r>
              <w:rPr>
                <w:rFonts w:hint="eastAsia" w:ascii="仿宋" w:hAnsi="仿宋" w:eastAsia="仿宋" w:cs="仿宋"/>
                <w:color w:val="000000"/>
                <w:szCs w:val="21"/>
              </w:rPr>
              <w:t>座</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污水管长</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 w:hAnsi="仿宋" w:eastAsia="仿宋" w:cs="仿宋"/>
                <w:color w:val="000000"/>
                <w:szCs w:val="21"/>
              </w:rPr>
            </w:pPr>
            <w:r>
              <w:rPr>
                <w:rFonts w:hint="eastAsia" w:ascii="仿宋" w:hAnsi="仿宋" w:eastAsia="仿宋" w:cs="仿宋"/>
                <w:color w:val="000000"/>
                <w:szCs w:val="21"/>
              </w:rPr>
              <w:t>m</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污水检查井</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 w:hAnsi="仿宋" w:eastAsia="仿宋" w:cs="仿宋"/>
                <w:color w:val="000000"/>
                <w:szCs w:val="21"/>
              </w:rPr>
            </w:pPr>
            <w:r>
              <w:rPr>
                <w:rFonts w:hint="eastAsia" w:ascii="仿宋" w:hAnsi="仿宋" w:eastAsia="仿宋" w:cs="仿宋"/>
                <w:color w:val="000000"/>
                <w:szCs w:val="21"/>
              </w:rPr>
              <w:t>座</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雨水管长</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 w:hAnsi="仿宋" w:eastAsia="仿宋" w:cs="仿宋"/>
                <w:color w:val="000000"/>
                <w:szCs w:val="21"/>
              </w:rPr>
            </w:pPr>
            <w:r>
              <w:rPr>
                <w:rFonts w:hint="eastAsia" w:ascii="仿宋" w:hAnsi="仿宋" w:eastAsia="仿宋" w:cs="仿宋"/>
                <w:color w:val="000000"/>
                <w:szCs w:val="21"/>
              </w:rPr>
              <w:t>m</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雨水检查井</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 w:hAnsi="仿宋" w:eastAsia="仿宋" w:cs="仿宋"/>
                <w:color w:val="000000"/>
                <w:szCs w:val="21"/>
              </w:rPr>
            </w:pPr>
            <w:r>
              <w:rPr>
                <w:rFonts w:hint="eastAsia" w:ascii="仿宋" w:hAnsi="仿宋" w:eastAsia="仿宋" w:cs="仿宋"/>
                <w:color w:val="000000"/>
                <w:szCs w:val="21"/>
              </w:rPr>
              <w:t>座</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雨水进水井</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 w:hAnsi="仿宋" w:eastAsia="仿宋" w:cs="仿宋"/>
                <w:color w:val="000000"/>
                <w:szCs w:val="21"/>
              </w:rPr>
            </w:pPr>
            <w:r>
              <w:rPr>
                <w:rFonts w:hint="eastAsia" w:ascii="仿宋" w:hAnsi="仿宋" w:eastAsia="仿宋" w:cs="仿宋"/>
                <w:color w:val="000000"/>
                <w:szCs w:val="21"/>
              </w:rPr>
              <w:t>m</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化粪池</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 w:hAnsi="仿宋" w:eastAsia="仿宋" w:cs="仿宋"/>
                <w:color w:val="000000"/>
                <w:szCs w:val="21"/>
              </w:rPr>
            </w:pPr>
            <w:r>
              <w:rPr>
                <w:rFonts w:hint="eastAsia" w:ascii="仿宋" w:hAnsi="仿宋" w:eastAsia="仿宋" w:cs="仿宋"/>
                <w:color w:val="000000"/>
                <w:szCs w:val="21"/>
              </w:rPr>
              <w:t>座</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路灯</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 w:hAnsi="仿宋" w:eastAsia="仿宋" w:cs="仿宋"/>
                <w:color w:val="000000"/>
                <w:sz w:val="18"/>
                <w:szCs w:val="18"/>
              </w:rPr>
            </w:pPr>
            <w:r>
              <w:rPr>
                <w:rFonts w:hint="eastAsia" w:ascii="仿宋" w:hAnsi="仿宋" w:eastAsia="仿宋" w:cs="仿宋"/>
                <w:color w:val="000000"/>
                <w:sz w:val="18"/>
                <w:szCs w:val="18"/>
              </w:rPr>
              <w:t>个</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地灯</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 w:hAnsi="仿宋" w:eastAsia="仿宋" w:cs="仿宋"/>
                <w:color w:val="000000"/>
                <w:szCs w:val="21"/>
              </w:rPr>
            </w:pPr>
            <w:r>
              <w:rPr>
                <w:rFonts w:hint="eastAsia" w:ascii="仿宋" w:hAnsi="仿宋" w:eastAsia="仿宋" w:cs="仿宋"/>
                <w:color w:val="000000"/>
                <w:sz w:val="18"/>
                <w:szCs w:val="18"/>
              </w:rPr>
              <w:t>个</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草坪灯</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 w:hAnsi="仿宋" w:eastAsia="仿宋" w:cs="仿宋"/>
                <w:color w:val="000000"/>
                <w:sz w:val="32"/>
                <w:szCs w:val="32"/>
              </w:rPr>
            </w:pPr>
            <w:r>
              <w:rPr>
                <w:rFonts w:hint="eastAsia" w:ascii="仿宋" w:hAnsi="仿宋" w:eastAsia="仿宋" w:cs="仿宋"/>
                <w:color w:val="000000"/>
                <w:sz w:val="18"/>
                <w:szCs w:val="18"/>
              </w:rPr>
              <w:t>个</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其他照明设施</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 w:hAnsi="仿宋" w:eastAsia="仿宋" w:cs="仿宋"/>
                <w:color w:val="000000"/>
                <w:szCs w:val="21"/>
              </w:rPr>
            </w:pPr>
            <w:r>
              <w:rPr>
                <w:rFonts w:hint="eastAsia" w:ascii="仿宋" w:hAnsi="仿宋" w:eastAsia="仿宋" w:cs="仿宋"/>
                <w:color w:val="000000"/>
                <w:sz w:val="18"/>
                <w:szCs w:val="18"/>
              </w:rPr>
              <w:t>个</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垃圾箱</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 w:hAnsi="仿宋" w:eastAsia="仿宋" w:cs="仿宋"/>
                <w:color w:val="000000"/>
                <w:sz w:val="32"/>
                <w:szCs w:val="32"/>
              </w:rPr>
            </w:pPr>
            <w:r>
              <w:rPr>
                <w:rFonts w:hint="eastAsia" w:ascii="仿宋" w:hAnsi="仿宋" w:eastAsia="仿宋" w:cs="仿宋"/>
                <w:color w:val="000000"/>
                <w:sz w:val="18"/>
                <w:szCs w:val="18"/>
              </w:rPr>
              <w:t>个</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垃圾房建筑面积</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 w:hAnsi="仿宋" w:eastAsia="仿宋" w:cs="仿宋"/>
                <w:color w:val="000000"/>
                <w:sz w:val="18"/>
                <w:szCs w:val="18"/>
              </w:rPr>
            </w:pPr>
            <w:r>
              <w:rPr>
                <w:rFonts w:hint="eastAsia" w:ascii="仿宋" w:hAnsi="仿宋" w:eastAsia="仿宋" w:cs="仿宋"/>
                <w:color w:val="000000"/>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体育设施</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儿童娱乐设施</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休闲设施</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ind w:left="113" w:right="113"/>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房屋建筑本体共有部位及本体共有设施设备</w:t>
            </w:r>
          </w:p>
        </w:tc>
        <w:tc>
          <w:tcPr>
            <w:tcW w:w="1023"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电梯</w:t>
            </w:r>
          </w:p>
        </w:tc>
        <w:tc>
          <w:tcPr>
            <w:tcW w:w="1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数量</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 w:hAnsi="仿宋" w:eastAsia="仿宋" w:cs="仿宋"/>
                <w:color w:val="000000"/>
                <w:szCs w:val="21"/>
              </w:rPr>
            </w:pPr>
            <w:r>
              <w:rPr>
                <w:rFonts w:hint="eastAsia" w:ascii="仿宋" w:hAnsi="仿宋" w:eastAsia="仿宋" w:cs="仿宋"/>
                <w:color w:val="000000"/>
                <w:szCs w:val="21"/>
              </w:rPr>
              <w:t>台</w:t>
            </w:r>
          </w:p>
        </w:tc>
        <w:tc>
          <w:tcPr>
            <w:tcW w:w="18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功率</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 w:hAnsi="仿宋" w:eastAsia="仿宋" w:cs="仿宋"/>
                <w:color w:val="000000"/>
                <w:szCs w:val="21"/>
              </w:rPr>
            </w:pPr>
            <w:r>
              <w:rPr>
                <w:rFonts w:hint="eastAsia" w:ascii="仿宋" w:hAnsi="仿宋" w:eastAsia="仿宋" w:cs="仿宋"/>
                <w:color w:val="000000"/>
                <w:szCs w:val="21"/>
              </w:rPr>
              <w:t>千瓦</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szCs w:val="21"/>
              </w:rPr>
            </w:pPr>
          </w:p>
        </w:tc>
        <w:tc>
          <w:tcPr>
            <w:tcW w:w="1023"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品牌型号</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 w:hAnsi="仿宋" w:eastAsia="仿宋" w:cs="仿宋"/>
                <w:color w:val="000000"/>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启用时间</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szCs w:val="21"/>
              </w:rPr>
            </w:pPr>
          </w:p>
        </w:tc>
        <w:tc>
          <w:tcPr>
            <w:tcW w:w="101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配电房变压器</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数量</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 w:hAnsi="仿宋" w:eastAsia="仿宋" w:cs="仿宋"/>
                <w:color w:val="000000"/>
                <w:szCs w:val="21"/>
              </w:rPr>
            </w:pPr>
            <w:r>
              <w:rPr>
                <w:rFonts w:hint="eastAsia" w:ascii="仿宋" w:hAnsi="仿宋" w:eastAsia="仿宋" w:cs="仿宋"/>
                <w:color w:val="000000"/>
                <w:szCs w:val="21"/>
              </w:rPr>
              <w:t>台</w:t>
            </w:r>
          </w:p>
        </w:tc>
        <w:tc>
          <w:tcPr>
            <w:tcW w:w="18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容量</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 w:hAnsi="仿宋" w:eastAsia="仿宋" w:cs="仿宋"/>
                <w:color w:val="000000"/>
                <w:szCs w:val="21"/>
              </w:rPr>
            </w:pPr>
            <w:r>
              <w:rPr>
                <w:rFonts w:hint="eastAsia" w:ascii="仿宋" w:hAnsi="仿宋" w:eastAsia="仿宋" w:cs="仿宋"/>
                <w:color w:val="000000"/>
                <w:szCs w:val="21"/>
              </w:rPr>
              <w:t>千瓦</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szCs w:val="21"/>
              </w:rPr>
            </w:pP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szCs w:val="21"/>
              </w:rPr>
            </w:pPr>
          </w:p>
        </w:tc>
        <w:tc>
          <w:tcPr>
            <w:tcW w:w="10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品牌型号</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 w:hAnsi="仿宋" w:eastAsia="仿宋" w:cs="仿宋"/>
                <w:color w:val="000000"/>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启用时间</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 w:hAnsi="仿宋" w:eastAsia="仿宋" w:cs="仿宋"/>
                <w:color w:val="000000"/>
                <w:szCs w:val="21"/>
              </w:rPr>
            </w:pPr>
            <w:r>
              <w:rPr>
                <w:rFonts w:hint="eastAsia" w:ascii="仿宋" w:hAnsi="仿宋" w:eastAsia="仿宋" w:cs="仿宋"/>
                <w:color w:val="000000"/>
                <w:szCs w:val="21"/>
              </w:rPr>
              <w:t>千瓦</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szCs w:val="21"/>
              </w:rPr>
            </w:pPr>
          </w:p>
        </w:tc>
        <w:tc>
          <w:tcPr>
            <w:tcW w:w="101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发电机组</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功率</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 w:hAnsi="仿宋" w:eastAsia="仿宋" w:cs="仿宋"/>
                <w:color w:val="000000"/>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品牌型号</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szCs w:val="21"/>
              </w:rPr>
            </w:pP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szCs w:val="21"/>
              </w:rPr>
            </w:pPr>
          </w:p>
        </w:tc>
        <w:tc>
          <w:tcPr>
            <w:tcW w:w="10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启用时间</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生活蓄水池</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 w:hAnsi="仿宋" w:eastAsia="仿宋" w:cs="仿宋"/>
                <w:color w:val="000000"/>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消防水池</w:t>
            </w:r>
          </w:p>
        </w:tc>
        <w:tc>
          <w:tcPr>
            <w:tcW w:w="147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 w:hAnsi="仿宋" w:eastAsia="仿宋" w:cs="仿宋"/>
                <w:color w:val="000000"/>
                <w:szCs w:val="21"/>
              </w:rPr>
            </w:pPr>
          </w:p>
        </w:tc>
        <w:tc>
          <w:tcPr>
            <w:tcW w:w="13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消防水箱</w:t>
            </w:r>
          </w:p>
        </w:tc>
        <w:tc>
          <w:tcPr>
            <w:tcW w:w="14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生活水泵</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 w:hAnsi="仿宋" w:eastAsia="仿宋" w:cs="仿宋"/>
                <w:color w:val="000000"/>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功率</w:t>
            </w:r>
          </w:p>
        </w:tc>
        <w:tc>
          <w:tcPr>
            <w:tcW w:w="147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 w:hAnsi="仿宋" w:eastAsia="仿宋" w:cs="仿宋"/>
                <w:color w:val="000000"/>
                <w:szCs w:val="21"/>
              </w:rPr>
            </w:pPr>
          </w:p>
        </w:tc>
        <w:tc>
          <w:tcPr>
            <w:tcW w:w="13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启用时间</w:t>
            </w:r>
          </w:p>
        </w:tc>
        <w:tc>
          <w:tcPr>
            <w:tcW w:w="14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消防水泵</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 w:hAnsi="仿宋" w:eastAsia="仿宋" w:cs="仿宋"/>
                <w:color w:val="000000"/>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功率</w:t>
            </w:r>
          </w:p>
        </w:tc>
        <w:tc>
          <w:tcPr>
            <w:tcW w:w="147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 w:hAnsi="仿宋" w:eastAsia="仿宋" w:cs="仿宋"/>
                <w:color w:val="000000"/>
                <w:szCs w:val="21"/>
              </w:rPr>
            </w:pPr>
          </w:p>
        </w:tc>
        <w:tc>
          <w:tcPr>
            <w:tcW w:w="13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启用时间</w:t>
            </w:r>
          </w:p>
        </w:tc>
        <w:tc>
          <w:tcPr>
            <w:tcW w:w="14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排污水泵</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 w:hAnsi="仿宋" w:eastAsia="仿宋" w:cs="仿宋"/>
                <w:color w:val="000000"/>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功率</w:t>
            </w:r>
          </w:p>
        </w:tc>
        <w:tc>
          <w:tcPr>
            <w:tcW w:w="147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 w:hAnsi="仿宋" w:eastAsia="仿宋" w:cs="仿宋"/>
                <w:color w:val="000000"/>
                <w:szCs w:val="21"/>
              </w:rPr>
            </w:pPr>
          </w:p>
        </w:tc>
        <w:tc>
          <w:tcPr>
            <w:tcW w:w="13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启用时间</w:t>
            </w:r>
          </w:p>
        </w:tc>
        <w:tc>
          <w:tcPr>
            <w:tcW w:w="14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消防系统情况</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智能化系统情况</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其他设施设备情况</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669"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业主委员会活动用房</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ind w:right="420"/>
              <w:textAlignment w:val="auto"/>
              <w:rPr>
                <w:rFonts w:hint="eastAsia" w:ascii="仿宋" w:hAnsi="仿宋" w:eastAsia="仿宋" w:cs="仿宋"/>
                <w:color w:val="000000"/>
                <w:szCs w:val="21"/>
                <w:u w:val="single"/>
              </w:rPr>
            </w:pPr>
            <w:r>
              <w:rPr>
                <w:rFonts w:hint="eastAsia" w:ascii="仿宋" w:hAnsi="仿宋" w:eastAsia="仿宋" w:cs="仿宋"/>
                <w:color w:val="000000"/>
                <w:szCs w:val="21"/>
              </w:rPr>
              <w:t>坐落位置</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物业服务办公用房</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ind w:right="420"/>
              <w:textAlignment w:val="auto"/>
              <w:rPr>
                <w:rFonts w:hint="eastAsia" w:ascii="仿宋" w:hAnsi="仿宋" w:eastAsia="仿宋" w:cs="仿宋"/>
                <w:color w:val="000000"/>
                <w:szCs w:val="21"/>
              </w:rPr>
            </w:pPr>
            <w:r>
              <w:rPr>
                <w:rFonts w:hint="eastAsia" w:ascii="仿宋" w:hAnsi="仿宋" w:eastAsia="仿宋" w:cs="仿宋"/>
                <w:color w:val="000000"/>
                <w:szCs w:val="21"/>
              </w:rPr>
              <w:t>坐落位置</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物业管理员工宿舍</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ind w:right="420"/>
              <w:textAlignment w:val="auto"/>
              <w:rPr>
                <w:rFonts w:hint="eastAsia" w:ascii="仿宋" w:hAnsi="仿宋" w:eastAsia="仿宋" w:cs="仿宋"/>
                <w:color w:val="000000"/>
                <w:szCs w:val="21"/>
                <w:u w:val="single"/>
              </w:rPr>
            </w:pPr>
            <w:r>
              <w:rPr>
                <w:rFonts w:hint="eastAsia" w:ascii="仿宋" w:hAnsi="仿宋" w:eastAsia="仿宋" w:cs="仿宋"/>
                <w:color w:val="000000"/>
                <w:szCs w:val="21"/>
              </w:rPr>
              <w:t>坐落位置</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tc>
      </w:tr>
      <w:bookmarkEnd w:id="108"/>
    </w:tbl>
    <w:p>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br w:type="page"/>
      </w:r>
    </w:p>
    <w:p>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32"/>
          <w:szCs w:val="32"/>
        </w:rPr>
      </w:pPr>
      <w:r>
        <w:rPr>
          <w:rFonts w:hint="eastAsia" w:ascii="仿宋_GB2312" w:hAnsi="仿宋_GB2312" w:eastAsia="仿宋_GB2312" w:cs="仿宋_GB2312"/>
          <w:sz w:val="30"/>
          <w:szCs w:val="30"/>
        </w:rPr>
        <w:t>附件4</w:t>
      </w:r>
      <w:r>
        <w:rPr>
          <w:rFonts w:hint="eastAsia"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pacing w:before="156" w:beforeLines="50" w:after="156" w:afterLines="50" w:line="360" w:lineRule="auto"/>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物业管理服务标准</w:t>
      </w:r>
    </w:p>
    <w:p>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br w:type="page"/>
      </w:r>
    </w:p>
    <w:p>
      <w:pPr>
        <w:keepNext w:val="0"/>
        <w:keepLines w:val="0"/>
        <w:pageBreakBefore w:val="0"/>
        <w:kinsoku/>
        <w:wordWrap/>
        <w:overflowPunct/>
        <w:topLinePunct w:val="0"/>
        <w:autoSpaceDE/>
        <w:autoSpaceDN/>
        <w:bidi w:val="0"/>
        <w:adjustRightInd/>
        <w:spacing w:line="360" w:lineRule="auto"/>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附件5</w:t>
      </w:r>
    </w:p>
    <w:p>
      <w:pPr>
        <w:keepNext w:val="0"/>
        <w:keepLines w:val="0"/>
        <w:pageBreakBefore w:val="0"/>
        <w:kinsoku/>
        <w:wordWrap/>
        <w:overflowPunct/>
        <w:topLinePunct w:val="0"/>
        <w:autoSpaceDE/>
        <w:autoSpaceDN/>
        <w:bidi w:val="0"/>
        <w:adjustRightInd/>
        <w:spacing w:before="156" w:beforeLines="50" w:after="156" w:afterLines="50" w:line="360" w:lineRule="auto"/>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车位（库）物业管理服务及相关费用协议</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ascii="Times New Roman" w:hAnsi="Times New Roman" w:eastAsia="仿宋_GB2312"/>
          <w:color w:val="000000"/>
          <w:sz w:val="30"/>
          <w:szCs w:val="30"/>
        </w:rPr>
      </w:pPr>
      <w:r>
        <w:rPr>
          <w:rFonts w:hint="eastAsia" w:ascii="Times New Roman" w:hAnsi="Times New Roman" w:eastAsia="仿宋_GB2312"/>
          <w:color w:val="000000"/>
          <w:sz w:val="30"/>
          <w:szCs w:val="30"/>
          <w:lang w:eastAsia="zh-CN"/>
        </w:rPr>
        <w:t>甲方</w:t>
      </w:r>
      <w:r>
        <w:rPr>
          <w:rFonts w:ascii="Times New Roman" w:hAnsi="Times New Roman" w:eastAsia="仿宋_GB2312"/>
          <w:color w:val="000000"/>
          <w:sz w:val="30"/>
          <w:szCs w:val="30"/>
        </w:rPr>
        <w:t>（全称）：</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ascii="Times New Roman" w:hAnsi="Times New Roman" w:eastAsia="仿宋_GB2312"/>
          <w:color w:val="000000"/>
          <w:sz w:val="30"/>
          <w:szCs w:val="30"/>
        </w:rPr>
      </w:pPr>
      <w:r>
        <w:rPr>
          <w:rFonts w:ascii="Times New Roman" w:hAnsi="Times New Roman" w:eastAsia="仿宋_GB2312"/>
          <w:color w:val="000000"/>
          <w:sz w:val="30"/>
          <w:szCs w:val="30"/>
        </w:rPr>
        <w:t>　　</w:t>
      </w:r>
      <w:r>
        <w:rPr>
          <w:rFonts w:hint="eastAsia" w:ascii="Times New Roman" w:hAnsi="Times New Roman" w:eastAsia="仿宋_GB2312"/>
          <w:color w:val="000000"/>
          <w:sz w:val="30"/>
          <w:szCs w:val="30"/>
          <w:lang w:eastAsia="zh-CN"/>
        </w:rPr>
        <w:t>乙方</w:t>
      </w:r>
      <w:r>
        <w:rPr>
          <w:rFonts w:ascii="Times New Roman" w:hAnsi="Times New Roman" w:eastAsia="仿宋_GB2312"/>
          <w:color w:val="000000"/>
          <w:sz w:val="30"/>
          <w:szCs w:val="30"/>
        </w:rPr>
        <w:t>（全称）：</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Times New Roman" w:hAnsi="Times New Roman" w:eastAsia="仿宋_GB2312"/>
          <w:color w:val="000000"/>
          <w:sz w:val="30"/>
          <w:szCs w:val="30"/>
          <w:u w:val="single"/>
          <w:lang w:val="en-US" w:eastAsia="zh-CN"/>
        </w:rPr>
      </w:pPr>
      <w:r>
        <w:rPr>
          <w:rFonts w:hint="eastAsia" w:ascii="Times New Roman" w:hAnsi="Times New Roman" w:eastAsia="仿宋_GB2312"/>
          <w:color w:val="000000"/>
          <w:sz w:val="30"/>
          <w:szCs w:val="30"/>
          <w:lang w:eastAsia="zh-CN"/>
        </w:rPr>
        <w:t>甲方</w:t>
      </w:r>
      <w:r>
        <w:rPr>
          <w:rFonts w:ascii="Times New Roman" w:hAnsi="Times New Roman" w:eastAsia="仿宋_GB2312"/>
          <w:color w:val="000000"/>
          <w:sz w:val="30"/>
          <w:szCs w:val="30"/>
        </w:rPr>
        <w:t>和</w:t>
      </w:r>
      <w:r>
        <w:rPr>
          <w:rFonts w:hint="eastAsia" w:ascii="Times New Roman" w:hAnsi="Times New Roman" w:eastAsia="仿宋_GB2312"/>
          <w:color w:val="000000"/>
          <w:sz w:val="30"/>
          <w:szCs w:val="30"/>
          <w:lang w:eastAsia="zh-CN"/>
        </w:rPr>
        <w:t>乙方</w:t>
      </w:r>
      <w:r>
        <w:rPr>
          <w:rFonts w:ascii="Times New Roman" w:hAnsi="Times New Roman" w:eastAsia="仿宋_GB2312"/>
          <w:color w:val="000000"/>
          <w:sz w:val="30"/>
          <w:szCs w:val="30"/>
        </w:rPr>
        <w:t>根据</w:t>
      </w:r>
      <w:r>
        <w:rPr>
          <w:rFonts w:hint="eastAsia" w:ascii="仿宋_GB2312" w:hAnsi="仿宋_GB2312" w:eastAsia="仿宋_GB2312" w:cs="仿宋_GB2312"/>
          <w:sz w:val="30"/>
          <w:szCs w:val="30"/>
        </w:rPr>
        <w:t>《深圳经济特区物业管理条例》《深圳市停车场规划建设和机动车停放管理条例》</w:t>
      </w:r>
      <w:r>
        <w:rPr>
          <w:rFonts w:ascii="Times New Roman" w:hAnsi="Times New Roman" w:eastAsia="仿宋_GB2312"/>
          <w:color w:val="000000"/>
          <w:sz w:val="30"/>
          <w:szCs w:val="30"/>
        </w:rPr>
        <w:t>，经协商一致就</w:t>
      </w:r>
      <w:r>
        <w:rPr>
          <w:rFonts w:hint="eastAsia" w:ascii="Times New Roman" w:hAnsi="Times New Roman" w:eastAsia="仿宋_GB2312"/>
          <w:color w:val="000000"/>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ascii="Times New Roman" w:hAnsi="Times New Roman" w:eastAsia="仿宋_GB2312"/>
          <w:color w:val="000000"/>
          <w:sz w:val="30"/>
          <w:szCs w:val="30"/>
        </w:rPr>
      </w:pP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w:t>
      </w:r>
      <w:r>
        <w:rPr>
          <w:rFonts w:hint="eastAsia" w:ascii="Times New Roman" w:hAnsi="Times New Roman" w:eastAsia="仿宋_GB2312"/>
          <w:color w:val="000000"/>
          <w:sz w:val="30"/>
          <w:szCs w:val="30"/>
          <w:lang w:eastAsia="zh-CN"/>
        </w:rPr>
        <w:t>物业项目</w:t>
      </w:r>
      <w:r>
        <w:rPr>
          <w:rFonts w:ascii="Times New Roman" w:hAnsi="Times New Roman" w:eastAsia="仿宋_GB2312"/>
          <w:color w:val="000000"/>
          <w:sz w:val="30"/>
          <w:szCs w:val="30"/>
        </w:rPr>
        <w:t>全称）签订</w:t>
      </w:r>
      <w:r>
        <w:rPr>
          <w:rFonts w:hint="eastAsia" w:ascii="Times New Roman" w:hAnsi="Times New Roman" w:eastAsia="仿宋_GB2312"/>
          <w:color w:val="000000"/>
          <w:sz w:val="30"/>
          <w:szCs w:val="30"/>
        </w:rPr>
        <w:t>车位（库）物业管理服务及相关费用协议</w:t>
      </w:r>
      <w:r>
        <w:rPr>
          <w:rFonts w:ascii="Times New Roman" w:hAnsi="Times New Roman" w:eastAsia="仿宋_GB2312"/>
          <w:color w:val="000000"/>
          <w:sz w:val="30"/>
          <w:szCs w:val="30"/>
        </w:rPr>
        <w:t>。</w:t>
      </w:r>
    </w:p>
    <w:p>
      <w:pPr>
        <w:keepNext w:val="0"/>
        <w:keepLines w:val="0"/>
        <w:pageBreakBefore w:val="0"/>
        <w:kinsoku/>
        <w:wordWrap/>
        <w:overflowPunct/>
        <w:topLinePunct w:val="0"/>
        <w:autoSpaceDE/>
        <w:autoSpaceDN/>
        <w:bidi w:val="0"/>
        <w:adjustRightInd/>
        <w:spacing w:line="360" w:lineRule="auto"/>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一、车位（库）物业使用及物业管理服务原则</w:t>
      </w:r>
    </w:p>
    <w:p>
      <w:pPr>
        <w:keepNext w:val="0"/>
        <w:keepLines w:val="0"/>
        <w:pageBreakBefore w:val="0"/>
        <w:kinsoku/>
        <w:wordWrap/>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（一）</w:t>
      </w:r>
      <w:r>
        <w:rPr>
          <w:rFonts w:hint="eastAsia" w:ascii="仿宋_GB2312" w:hAnsi="仿宋_GB2312" w:eastAsia="仿宋_GB2312" w:cs="仿宋_GB2312"/>
          <w:sz w:val="30"/>
          <w:szCs w:val="30"/>
        </w:rPr>
        <w:t>本物业管理区域内停车位、停车库（以下简称“车位（库）”）交由乙方统一进行管理。</w:t>
      </w:r>
    </w:p>
    <w:p>
      <w:pPr>
        <w:keepNext w:val="0"/>
        <w:keepLines w:val="0"/>
        <w:pageBreakBefore w:val="0"/>
        <w:kinsoku/>
        <w:wordWrap/>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任何单位和个人不得擅自改变经批准建成的车位（库）的功能或挪作他用。</w:t>
      </w:r>
    </w:p>
    <w:p>
      <w:pPr>
        <w:keepNext w:val="0"/>
        <w:keepLines w:val="0"/>
        <w:pageBreakBefore w:val="0"/>
        <w:kinsoku/>
        <w:wordWrap/>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本物业管理区域内车位（库）按照《中华人民共和国物权法》《深圳经济特区物业管理条例》等法律规定优先满足本物业管理区域内业主使用。</w:t>
      </w:r>
    </w:p>
    <w:p>
      <w:pPr>
        <w:keepNext w:val="0"/>
        <w:keepLines w:val="0"/>
        <w:pageBreakBefore w:val="0"/>
        <w:kinsoku/>
        <w:wordWrap/>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本物业管理区域内车位（库）管理情况接受全体业主的监督。</w:t>
      </w:r>
    </w:p>
    <w:p>
      <w:pPr>
        <w:keepNext w:val="0"/>
        <w:keepLines w:val="0"/>
        <w:pageBreakBefore w:val="0"/>
        <w:kinsoku/>
        <w:wordWrap/>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甲、乙双方及业主应严格遵守本物业管理区域内相关车位（库）管理制度。</w:t>
      </w:r>
    </w:p>
    <w:p>
      <w:pPr>
        <w:keepNext w:val="0"/>
        <w:keepLines w:val="0"/>
        <w:pageBreakBefore w:val="0"/>
        <w:kinsoku/>
        <w:wordWrap/>
        <w:overflowPunct/>
        <w:topLinePunct w:val="0"/>
        <w:autoSpaceDE/>
        <w:autoSpaceDN/>
        <w:bidi w:val="0"/>
        <w:adjustRightInd/>
        <w:spacing w:line="360" w:lineRule="auto"/>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二、车位（库）情况、费用标准及收益分配</w:t>
      </w:r>
    </w:p>
    <w:p>
      <w:pPr>
        <w:keepNext w:val="0"/>
        <w:keepLines w:val="0"/>
        <w:pageBreakBefore w:val="0"/>
        <w:kinsoku/>
        <w:wordWrap/>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（一）本物业管理区域内车位（库）总数</w:t>
      </w:r>
      <w:bookmarkStart w:id="109" w:name="_Hlk23417013"/>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个</w:t>
      </w:r>
      <w:bookmarkEnd w:id="109"/>
      <w:r>
        <w:rPr>
          <w:rFonts w:hint="eastAsia" w:ascii="仿宋_GB2312" w:hAnsi="仿宋_GB2312" w:eastAsia="仿宋_GB2312" w:cs="仿宋_GB2312"/>
          <w:sz w:val="30"/>
          <w:szCs w:val="30"/>
        </w:rPr>
        <w:t>，其中地面</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个，地下</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个。</w:t>
      </w:r>
    </w:p>
    <w:p>
      <w:pPr>
        <w:keepNext w:val="0"/>
        <w:keepLines w:val="0"/>
        <w:pageBreakBefore w:val="0"/>
        <w:kinsoku/>
        <w:wordWrap/>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（二）业主按以下标准支付车位使用费</w:t>
      </w:r>
    </w:p>
    <w:p>
      <w:pPr>
        <w:keepNext w:val="0"/>
        <w:keepLines w:val="0"/>
        <w:pageBreakBefore w:val="0"/>
        <w:kinsoku/>
        <w:wordWrap/>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1.月卡车位标准</w:t>
      </w:r>
    </w:p>
    <w:p>
      <w:pPr>
        <w:keepNext w:val="0"/>
        <w:keepLines w:val="0"/>
        <w:pageBreakBefore w:val="0"/>
        <w:kinsoku/>
        <w:wordWrap/>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室内车位：</w:t>
      </w: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0"/>
          <w:szCs w:val="30"/>
        </w:rPr>
        <w:t> 元/月，露天车位：</w:t>
      </w: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0"/>
          <w:szCs w:val="30"/>
        </w:rPr>
        <w:t> 元/月</w:t>
      </w:r>
    </w:p>
    <w:p>
      <w:pPr>
        <w:keepNext w:val="0"/>
        <w:keepLines w:val="0"/>
        <w:pageBreakBefore w:val="0"/>
        <w:kinsoku/>
        <w:wordWrap/>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2.临时停车收费标准</w:t>
      </w:r>
    </w:p>
    <w:p>
      <w:pPr>
        <w:keepNext w:val="0"/>
        <w:keepLines w:val="0"/>
        <w:pageBreakBefore w:val="0"/>
        <w:kinsoku/>
        <w:wordWrap/>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室内车位：</w:t>
      </w: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0"/>
          <w:szCs w:val="30"/>
        </w:rPr>
        <w:t> 元/月，每辆每天最高不超过</w:t>
      </w: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0"/>
          <w:szCs w:val="30"/>
        </w:rPr>
        <w:t> 元；</w:t>
      </w:r>
    </w:p>
    <w:p>
      <w:pPr>
        <w:keepNext w:val="0"/>
        <w:keepLines w:val="0"/>
        <w:pageBreakBefore w:val="0"/>
        <w:kinsoku/>
        <w:wordWrap/>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露天车位：</w:t>
      </w: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0"/>
          <w:szCs w:val="30"/>
        </w:rPr>
        <w:t> 元/月，每辆每天最高不超过</w:t>
      </w: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0"/>
          <w:szCs w:val="30"/>
        </w:rPr>
        <w:t> 元。</w:t>
      </w:r>
    </w:p>
    <w:p>
      <w:pPr>
        <w:keepNext w:val="0"/>
        <w:keepLines w:val="0"/>
        <w:pageBreakBefore w:val="0"/>
        <w:kinsoku/>
        <w:wordWrap/>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3.大车及摩托车等机动车收费标准见本物业管理区域公示的《停车场收费标价牌》。本物业管理区域可通过业主大会决议的模式，根据市场调节车位使用费。</w:t>
      </w:r>
    </w:p>
    <w:p>
      <w:pPr>
        <w:keepNext w:val="0"/>
        <w:keepLines w:val="0"/>
        <w:pageBreakBefore w:val="0"/>
        <w:kinsoku/>
        <w:wordWrap/>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（三）费用分配</w:t>
      </w:r>
    </w:p>
    <w:p>
      <w:pPr>
        <w:keepNext w:val="0"/>
        <w:keepLines w:val="0"/>
        <w:pageBreakBefore w:val="0"/>
        <w:kinsoku/>
        <w:wordWrap/>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sz w:val="30"/>
          <w:szCs w:val="30"/>
        </w:rPr>
      </w:pPr>
      <w:bookmarkStart w:id="110" w:name="_Hlk21438553"/>
      <w:r>
        <w:rPr>
          <w:rFonts w:hint="eastAsia" w:ascii="仿宋_GB2312" w:hAnsi="仿宋_GB2312" w:eastAsia="仿宋_GB2312" w:cs="仿宋_GB2312"/>
          <w:sz w:val="30"/>
          <w:szCs w:val="30"/>
        </w:rPr>
        <w:t>1.</w:t>
      </w:r>
      <w:bookmarkEnd w:id="110"/>
      <w:r>
        <w:rPr>
          <w:rFonts w:hint="eastAsia" w:ascii="仿宋_GB2312" w:hAnsi="仿宋_GB2312" w:eastAsia="仿宋_GB2312" w:cs="仿宋_GB2312"/>
          <w:sz w:val="30"/>
          <w:szCs w:val="30"/>
        </w:rPr>
        <w:t>车位使用费统一由本物业管理区域业主大会进行管理。</w:t>
      </w:r>
    </w:p>
    <w:p>
      <w:pPr>
        <w:keepNext w:val="0"/>
        <w:keepLines w:val="0"/>
        <w:pageBreakBefore w:val="0"/>
        <w:kinsoku/>
        <w:wordWrap/>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2.如车位（库）收益权属于建设单位的，则按照建设单位与业主大会订立的协议进行分配。</w:t>
      </w:r>
    </w:p>
    <w:p>
      <w:pPr>
        <w:keepNext w:val="0"/>
        <w:keepLines w:val="0"/>
        <w:pageBreakBefore w:val="0"/>
        <w:kinsoku/>
        <w:wordWrap/>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3.乙方可从车位使用费中归属于业主共有资金的部分按</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为标准收取车位物业管理服务费。</w:t>
      </w:r>
    </w:p>
    <w:p>
      <w:pPr>
        <w:keepNext w:val="0"/>
        <w:keepLines w:val="0"/>
        <w:pageBreakBefore w:val="0"/>
        <w:kinsoku/>
        <w:wordWrap/>
        <w:overflowPunct/>
        <w:topLinePunct w:val="0"/>
        <w:autoSpaceDE/>
        <w:autoSpaceDN/>
        <w:bidi w:val="0"/>
        <w:adjustRightInd/>
        <w:spacing w:line="360" w:lineRule="auto"/>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三、车位（库）物业管理服务具体要求</w:t>
      </w:r>
    </w:p>
    <w:p>
      <w:pPr>
        <w:keepNext w:val="0"/>
        <w:keepLines w:val="0"/>
        <w:pageBreakBefore w:val="0"/>
        <w:kinsoku/>
        <w:wordWrap/>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（一）</w:t>
      </w:r>
      <w:r>
        <w:rPr>
          <w:rFonts w:hint="eastAsia" w:ascii="仿宋_GB2312" w:hAnsi="仿宋_GB2312" w:eastAsia="仿宋_GB2312" w:cs="仿宋_GB2312"/>
          <w:sz w:val="30"/>
          <w:szCs w:val="30"/>
        </w:rPr>
        <w:t>乙方应依据《深圳经济特区物业管理条例》《深圳市停车场规划建设和机动车停放管理条例》《深圳市经营性停车场设施管理办法》等法律法规的规定，遵照本合同和《管理规约》等物业管理制度和业主大会决议对本物业管理区域车位（库）进行统一的物业管理服务。</w:t>
      </w:r>
    </w:p>
    <w:p>
      <w:pPr>
        <w:keepNext w:val="0"/>
        <w:keepLines w:val="0"/>
        <w:pageBreakBefore w:val="0"/>
        <w:kinsoku/>
        <w:wordWrap/>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乙方与车位（库）使用人签订的车位（库）服务协议，明确双方相应的权利义务。</w:t>
      </w:r>
    </w:p>
    <w:p>
      <w:pPr>
        <w:keepNext w:val="0"/>
        <w:keepLines w:val="0"/>
        <w:pageBreakBefore w:val="0"/>
        <w:kinsoku/>
        <w:wordWrap/>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车位（库）的照明、排水、通风、消防应当符合国家标准和行业规范的要求，乙方应保持前述条件或者必要的设施的正常运转。</w:t>
      </w:r>
    </w:p>
    <w:p>
      <w:pPr>
        <w:keepNext w:val="0"/>
        <w:keepLines w:val="0"/>
        <w:pageBreakBefore w:val="0"/>
        <w:kinsoku/>
        <w:wordWrap/>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乙方应当在车位（库）设置值班岗亭、道闸、监控设备等封闭式安全管理设施。</w:t>
      </w:r>
    </w:p>
    <w:p>
      <w:pPr>
        <w:keepNext w:val="0"/>
        <w:keepLines w:val="0"/>
        <w:pageBreakBefore w:val="0"/>
        <w:kinsoku/>
        <w:wordWrap/>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乙方应在车位（库）出入口的显著位置明示停车场标志、费用标准和管理制度。</w:t>
      </w:r>
    </w:p>
    <w:p>
      <w:pPr>
        <w:keepNext w:val="0"/>
        <w:keepLines w:val="0"/>
        <w:pageBreakBefore w:val="0"/>
        <w:kinsoku/>
        <w:wordWrap/>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乙方负责进出车辆的登记。</w:t>
      </w:r>
    </w:p>
    <w:p>
      <w:pPr>
        <w:keepNext w:val="0"/>
        <w:keepLines w:val="0"/>
        <w:pageBreakBefore w:val="0"/>
        <w:kinsoku/>
        <w:wordWrap/>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（六）</w:t>
      </w:r>
      <w:r>
        <w:rPr>
          <w:rFonts w:hint="eastAsia" w:ascii="仿宋_GB2312" w:hAnsi="仿宋_GB2312" w:eastAsia="仿宋_GB2312" w:cs="仿宋_GB2312"/>
          <w:sz w:val="30"/>
          <w:szCs w:val="30"/>
        </w:rPr>
        <w:t>乙方维护场内车辆停放秩序和行使秩序，疏导停车场出入口交通。</w:t>
      </w:r>
    </w:p>
    <w:p>
      <w:pPr>
        <w:keepNext w:val="0"/>
        <w:keepLines w:val="0"/>
        <w:pageBreakBefore w:val="0"/>
        <w:kinsoku/>
        <w:wordWrap/>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（七）</w:t>
      </w:r>
      <w:r>
        <w:rPr>
          <w:rFonts w:hint="eastAsia" w:ascii="仿宋_GB2312" w:hAnsi="仿宋_GB2312" w:eastAsia="仿宋_GB2312" w:cs="仿宋_GB2312"/>
          <w:sz w:val="30"/>
          <w:szCs w:val="30"/>
        </w:rPr>
        <w:t>乙方应做好停车场防火、防水等安全防范工作。对装载危险品的机动车，乙方不得同意其进入本物业管理区域停放。</w:t>
      </w:r>
    </w:p>
    <w:p>
      <w:pPr>
        <w:keepNext w:val="0"/>
        <w:keepLines w:val="0"/>
        <w:pageBreakBefore w:val="0"/>
        <w:kinsoku/>
        <w:wordWrap/>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（八）</w:t>
      </w:r>
      <w:r>
        <w:rPr>
          <w:rFonts w:hint="eastAsia" w:ascii="仿宋_GB2312" w:hAnsi="仿宋_GB2312" w:eastAsia="仿宋_GB2312" w:cs="仿宋_GB2312"/>
          <w:sz w:val="30"/>
          <w:szCs w:val="30"/>
        </w:rPr>
        <w:t>乙方应对临时停放车辆进行登记后方可放行，登记内容包括车主联系方式、到访事项等，以便紧急联络。</w:t>
      </w:r>
    </w:p>
    <w:p>
      <w:pPr>
        <w:keepNext w:val="0"/>
        <w:keepLines w:val="0"/>
        <w:pageBreakBefore w:val="0"/>
        <w:kinsoku/>
        <w:wordWrap/>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（九）</w:t>
      </w:r>
      <w:r>
        <w:rPr>
          <w:rFonts w:hint="eastAsia" w:ascii="仿宋_GB2312" w:hAnsi="仿宋_GB2312" w:eastAsia="仿宋_GB2312" w:cs="仿宋_GB2312"/>
          <w:sz w:val="30"/>
          <w:szCs w:val="30"/>
        </w:rPr>
        <w:t>乙方应执行市公安交管部门制定的停车场管理规定。</w:t>
      </w:r>
    </w:p>
    <w:p>
      <w:pPr>
        <w:keepNext w:val="0"/>
        <w:keepLines w:val="0"/>
        <w:pageBreakBefore w:val="0"/>
        <w:kinsoku/>
        <w:wordWrap/>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none"/>
          <w:lang w:eastAsia="zh-CN"/>
        </w:rPr>
        <w:t>（十）</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none"/>
          <w:lang w:eastAsia="zh-CN"/>
        </w:rPr>
        <w:t>。</w:t>
      </w:r>
    </w:p>
    <w:p>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kinsoku/>
        <w:wordWrap/>
        <w:overflowPunct/>
        <w:topLinePunct w:val="0"/>
        <w:autoSpaceDE/>
        <w:autoSpaceDN/>
        <w:bidi w:val="0"/>
        <w:adjustRightInd/>
        <w:spacing w:line="360" w:lineRule="auto"/>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附件6</w:t>
      </w: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《管理规约》</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_GB2312">
    <w:panose1 w:val="02010609030101010101"/>
    <w:charset w:val="86"/>
    <w:family w:val="auto"/>
    <w:pitch w:val="default"/>
    <w:sig w:usb0="00000001" w:usb1="080E0000" w:usb2="00000000" w:usb3="00000000" w:csb0="00040000" w:csb1="00000000"/>
  </w:font>
  <w:font w:name="微软简楷体">
    <w:altName w:val="黑体"/>
    <w:panose1 w:val="00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default"/>
      </w:rPr>
    </w:pPr>
    <w:r>
      <w:rPr>
        <w:rFonts w:hint="default"/>
      </w:rPr>
      <w:pict>
        <v:shape id="_x0000_s2049" o:spid="_x0000_s2049" o:spt="202" type="#_x0000_t202" style="position:absolute;left:0pt;margin-top:0.05pt;height:10.45pt;width:9pt;mso-position-horizontal:center;mso-position-horizontal-relative:margin;z-index:25165824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">
          <v:path/>
          <v:fill opacity="0f" focussize="0,0"/>
          <v:stroke on="f" joinstyle="miter"/>
          <v:imagedata o:title=""/>
          <o:lock v:ext="edit"/>
          <v:textbox inset="0mm,0mm,0mm,0mm">
            <w:txbxContent>
              <w:p>
                <w:pPr>
                  <w:pStyle w:val="11"/>
                  <w:rPr>
                    <w:rFonts w:hint="default"/>
                  </w:rPr>
                </w:pPr>
                <w:r>
                  <w:fldChar w:fldCharType="begin"/>
                </w:r>
                <w:r>
                  <w:rPr>
                    <w:rStyle w:val="21"/>
                  </w:rPr>
                  <w:instrText xml:space="preserve"> PAGE </w:instrText>
                </w:r>
                <w:r>
                  <w:fldChar w:fldCharType="separate"/>
                </w:r>
                <w:r>
                  <w:rPr>
                    <w:rStyle w:val="21"/>
                    <w:rFonts w:hint="default"/>
                  </w:rPr>
                  <w:t>25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B69A18"/>
    <w:multiLevelType w:val="singleLevel"/>
    <w:tmpl w:val="99B69A18"/>
    <w:lvl w:ilvl="0" w:tentative="0">
      <w:start w:val="1"/>
      <w:numFmt w:val="chineseCounting"/>
      <w:suff w:val="nothing"/>
      <w:lvlText w:val="（%1）"/>
      <w:lvlJc w:val="left"/>
      <w:rPr>
        <w:rFonts w:hint="eastAsia"/>
      </w:rPr>
    </w:lvl>
  </w:abstractNum>
  <w:abstractNum w:abstractNumId="1">
    <w:nsid w:val="CAA861C8"/>
    <w:multiLevelType w:val="singleLevel"/>
    <w:tmpl w:val="CAA861C8"/>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829"/>
    <w:rsid w:val="00002CCB"/>
    <w:rsid w:val="00006F91"/>
    <w:rsid w:val="0001705A"/>
    <w:rsid w:val="00021696"/>
    <w:rsid w:val="00022984"/>
    <w:rsid w:val="0002499C"/>
    <w:rsid w:val="00026945"/>
    <w:rsid w:val="00031765"/>
    <w:rsid w:val="000356D4"/>
    <w:rsid w:val="000360D2"/>
    <w:rsid w:val="0004198C"/>
    <w:rsid w:val="000420D7"/>
    <w:rsid w:val="0005289B"/>
    <w:rsid w:val="00061918"/>
    <w:rsid w:val="00062822"/>
    <w:rsid w:val="0006348F"/>
    <w:rsid w:val="00064A97"/>
    <w:rsid w:val="00065428"/>
    <w:rsid w:val="00066D5F"/>
    <w:rsid w:val="000679C6"/>
    <w:rsid w:val="0008100A"/>
    <w:rsid w:val="0008307B"/>
    <w:rsid w:val="00083252"/>
    <w:rsid w:val="0008333E"/>
    <w:rsid w:val="00085B1F"/>
    <w:rsid w:val="00095059"/>
    <w:rsid w:val="000953F8"/>
    <w:rsid w:val="00097D21"/>
    <w:rsid w:val="000A1710"/>
    <w:rsid w:val="000A27A2"/>
    <w:rsid w:val="000A4393"/>
    <w:rsid w:val="000B00FA"/>
    <w:rsid w:val="000B0C4B"/>
    <w:rsid w:val="000B2405"/>
    <w:rsid w:val="000B3906"/>
    <w:rsid w:val="000B5F27"/>
    <w:rsid w:val="000C1A0C"/>
    <w:rsid w:val="000C6E74"/>
    <w:rsid w:val="000D0244"/>
    <w:rsid w:val="000D31E6"/>
    <w:rsid w:val="000D70A5"/>
    <w:rsid w:val="000E48DD"/>
    <w:rsid w:val="000E59C8"/>
    <w:rsid w:val="000E5BA4"/>
    <w:rsid w:val="000E6177"/>
    <w:rsid w:val="000F5037"/>
    <w:rsid w:val="000F5046"/>
    <w:rsid w:val="000F56C5"/>
    <w:rsid w:val="000F5C18"/>
    <w:rsid w:val="000F5D77"/>
    <w:rsid w:val="001102FF"/>
    <w:rsid w:val="00111719"/>
    <w:rsid w:val="00111B42"/>
    <w:rsid w:val="00111BE8"/>
    <w:rsid w:val="00112871"/>
    <w:rsid w:val="0011759E"/>
    <w:rsid w:val="0012008E"/>
    <w:rsid w:val="001201FF"/>
    <w:rsid w:val="00126283"/>
    <w:rsid w:val="00127AAD"/>
    <w:rsid w:val="0014462C"/>
    <w:rsid w:val="00151A16"/>
    <w:rsid w:val="00151BFF"/>
    <w:rsid w:val="001525EF"/>
    <w:rsid w:val="00152B50"/>
    <w:rsid w:val="001543DF"/>
    <w:rsid w:val="00154C2B"/>
    <w:rsid w:val="001559BF"/>
    <w:rsid w:val="00155F91"/>
    <w:rsid w:val="00156777"/>
    <w:rsid w:val="00160EA4"/>
    <w:rsid w:val="001610A5"/>
    <w:rsid w:val="00172A27"/>
    <w:rsid w:val="001769F6"/>
    <w:rsid w:val="00180353"/>
    <w:rsid w:val="001841A0"/>
    <w:rsid w:val="00187D09"/>
    <w:rsid w:val="001946A5"/>
    <w:rsid w:val="001A0A40"/>
    <w:rsid w:val="001A1E3B"/>
    <w:rsid w:val="001A4F31"/>
    <w:rsid w:val="001B39C6"/>
    <w:rsid w:val="001B4874"/>
    <w:rsid w:val="001B5F06"/>
    <w:rsid w:val="001C0915"/>
    <w:rsid w:val="001C15FC"/>
    <w:rsid w:val="001C4DA7"/>
    <w:rsid w:val="001D1400"/>
    <w:rsid w:val="001D31F3"/>
    <w:rsid w:val="001D3E9E"/>
    <w:rsid w:val="001D614C"/>
    <w:rsid w:val="001D7EF2"/>
    <w:rsid w:val="001E10EE"/>
    <w:rsid w:val="001E20C1"/>
    <w:rsid w:val="001E21AB"/>
    <w:rsid w:val="001E2E0F"/>
    <w:rsid w:val="001E5351"/>
    <w:rsid w:val="001E6DC3"/>
    <w:rsid w:val="001F0E92"/>
    <w:rsid w:val="001F175C"/>
    <w:rsid w:val="001F1CA6"/>
    <w:rsid w:val="001F1D61"/>
    <w:rsid w:val="001F535F"/>
    <w:rsid w:val="001F5368"/>
    <w:rsid w:val="001F61ED"/>
    <w:rsid w:val="00200B5B"/>
    <w:rsid w:val="00211BE3"/>
    <w:rsid w:val="00212016"/>
    <w:rsid w:val="002127A1"/>
    <w:rsid w:val="00214CC7"/>
    <w:rsid w:val="002154D5"/>
    <w:rsid w:val="00222434"/>
    <w:rsid w:val="0022413E"/>
    <w:rsid w:val="00226572"/>
    <w:rsid w:val="002338B1"/>
    <w:rsid w:val="002353F8"/>
    <w:rsid w:val="00235B86"/>
    <w:rsid w:val="0024355F"/>
    <w:rsid w:val="00243F7A"/>
    <w:rsid w:val="00244705"/>
    <w:rsid w:val="0025466B"/>
    <w:rsid w:val="00254D17"/>
    <w:rsid w:val="00255948"/>
    <w:rsid w:val="00255FEB"/>
    <w:rsid w:val="00256746"/>
    <w:rsid w:val="002601F9"/>
    <w:rsid w:val="00261617"/>
    <w:rsid w:val="00263532"/>
    <w:rsid w:val="00265F2C"/>
    <w:rsid w:val="002669E4"/>
    <w:rsid w:val="00267BFB"/>
    <w:rsid w:val="00272390"/>
    <w:rsid w:val="002765AE"/>
    <w:rsid w:val="002765FA"/>
    <w:rsid w:val="00281D2B"/>
    <w:rsid w:val="00283D98"/>
    <w:rsid w:val="00284216"/>
    <w:rsid w:val="00284A71"/>
    <w:rsid w:val="00291773"/>
    <w:rsid w:val="00291F91"/>
    <w:rsid w:val="00294B06"/>
    <w:rsid w:val="00296E0C"/>
    <w:rsid w:val="002A0427"/>
    <w:rsid w:val="002A3FFB"/>
    <w:rsid w:val="002A74AB"/>
    <w:rsid w:val="002B3AB5"/>
    <w:rsid w:val="002B7993"/>
    <w:rsid w:val="002B7C41"/>
    <w:rsid w:val="002C4694"/>
    <w:rsid w:val="002C4860"/>
    <w:rsid w:val="002C6B89"/>
    <w:rsid w:val="002C7582"/>
    <w:rsid w:val="002D04C9"/>
    <w:rsid w:val="002D103A"/>
    <w:rsid w:val="002D320A"/>
    <w:rsid w:val="002E4F7A"/>
    <w:rsid w:val="002F2D5D"/>
    <w:rsid w:val="002F5776"/>
    <w:rsid w:val="002F5A79"/>
    <w:rsid w:val="002F7E1B"/>
    <w:rsid w:val="00301D78"/>
    <w:rsid w:val="00302D10"/>
    <w:rsid w:val="00311C3A"/>
    <w:rsid w:val="00312736"/>
    <w:rsid w:val="003161A3"/>
    <w:rsid w:val="00325FD7"/>
    <w:rsid w:val="0032735D"/>
    <w:rsid w:val="00327F55"/>
    <w:rsid w:val="00331D5D"/>
    <w:rsid w:val="00340E94"/>
    <w:rsid w:val="00340EDB"/>
    <w:rsid w:val="00344AEF"/>
    <w:rsid w:val="003468BC"/>
    <w:rsid w:val="00346F56"/>
    <w:rsid w:val="00347E05"/>
    <w:rsid w:val="00351ECC"/>
    <w:rsid w:val="00356AF6"/>
    <w:rsid w:val="0036030A"/>
    <w:rsid w:val="0036099E"/>
    <w:rsid w:val="00361138"/>
    <w:rsid w:val="00364EF9"/>
    <w:rsid w:val="00367B06"/>
    <w:rsid w:val="00371629"/>
    <w:rsid w:val="00373D80"/>
    <w:rsid w:val="00374EFD"/>
    <w:rsid w:val="00376D3F"/>
    <w:rsid w:val="00377751"/>
    <w:rsid w:val="00382F97"/>
    <w:rsid w:val="00383054"/>
    <w:rsid w:val="003954A8"/>
    <w:rsid w:val="003965E0"/>
    <w:rsid w:val="003A0A40"/>
    <w:rsid w:val="003A1D63"/>
    <w:rsid w:val="003A23B4"/>
    <w:rsid w:val="003B0B69"/>
    <w:rsid w:val="003B10FB"/>
    <w:rsid w:val="003B1796"/>
    <w:rsid w:val="003B210B"/>
    <w:rsid w:val="003B3E48"/>
    <w:rsid w:val="003B4AA3"/>
    <w:rsid w:val="003B5FC0"/>
    <w:rsid w:val="003C03DD"/>
    <w:rsid w:val="003C0CB8"/>
    <w:rsid w:val="003C574D"/>
    <w:rsid w:val="003C6083"/>
    <w:rsid w:val="003D0CCE"/>
    <w:rsid w:val="003D1975"/>
    <w:rsid w:val="003D30ED"/>
    <w:rsid w:val="003D4390"/>
    <w:rsid w:val="003D61BF"/>
    <w:rsid w:val="003D77D4"/>
    <w:rsid w:val="003E07C4"/>
    <w:rsid w:val="003E1668"/>
    <w:rsid w:val="003E1F76"/>
    <w:rsid w:val="003E4475"/>
    <w:rsid w:val="003F0B3F"/>
    <w:rsid w:val="003F2AAB"/>
    <w:rsid w:val="003F4C02"/>
    <w:rsid w:val="003F56D7"/>
    <w:rsid w:val="003F7CA7"/>
    <w:rsid w:val="0040020B"/>
    <w:rsid w:val="004034C0"/>
    <w:rsid w:val="00414034"/>
    <w:rsid w:val="00417EB7"/>
    <w:rsid w:val="00421535"/>
    <w:rsid w:val="00421D14"/>
    <w:rsid w:val="00421E6E"/>
    <w:rsid w:val="0042409D"/>
    <w:rsid w:val="004246FE"/>
    <w:rsid w:val="0043444A"/>
    <w:rsid w:val="004355BF"/>
    <w:rsid w:val="00443FCC"/>
    <w:rsid w:val="0044546B"/>
    <w:rsid w:val="004470A1"/>
    <w:rsid w:val="00454584"/>
    <w:rsid w:val="00464426"/>
    <w:rsid w:val="00464A5C"/>
    <w:rsid w:val="004706DA"/>
    <w:rsid w:val="0047223C"/>
    <w:rsid w:val="004746AD"/>
    <w:rsid w:val="0047514F"/>
    <w:rsid w:val="00475AA9"/>
    <w:rsid w:val="00481CA9"/>
    <w:rsid w:val="004824BE"/>
    <w:rsid w:val="004827C5"/>
    <w:rsid w:val="0048428F"/>
    <w:rsid w:val="0048570D"/>
    <w:rsid w:val="004902DE"/>
    <w:rsid w:val="0049061F"/>
    <w:rsid w:val="004933FC"/>
    <w:rsid w:val="004A0215"/>
    <w:rsid w:val="004A150C"/>
    <w:rsid w:val="004A1B59"/>
    <w:rsid w:val="004A1E39"/>
    <w:rsid w:val="004A4BC8"/>
    <w:rsid w:val="004A5BEA"/>
    <w:rsid w:val="004A6984"/>
    <w:rsid w:val="004A6FA2"/>
    <w:rsid w:val="004B0B98"/>
    <w:rsid w:val="004B293F"/>
    <w:rsid w:val="004B7007"/>
    <w:rsid w:val="004C0A16"/>
    <w:rsid w:val="004C1C49"/>
    <w:rsid w:val="004C36AB"/>
    <w:rsid w:val="004C39CC"/>
    <w:rsid w:val="004D03BD"/>
    <w:rsid w:val="004D189F"/>
    <w:rsid w:val="004D49EC"/>
    <w:rsid w:val="004E6320"/>
    <w:rsid w:val="004F4B81"/>
    <w:rsid w:val="004F6377"/>
    <w:rsid w:val="004F6523"/>
    <w:rsid w:val="004F7108"/>
    <w:rsid w:val="00503EC3"/>
    <w:rsid w:val="0050739F"/>
    <w:rsid w:val="00511DF6"/>
    <w:rsid w:val="00513F2E"/>
    <w:rsid w:val="00517BBC"/>
    <w:rsid w:val="00522DD6"/>
    <w:rsid w:val="005260D7"/>
    <w:rsid w:val="005262CA"/>
    <w:rsid w:val="00526881"/>
    <w:rsid w:val="00526EA0"/>
    <w:rsid w:val="00533F4A"/>
    <w:rsid w:val="005377B5"/>
    <w:rsid w:val="00540AB4"/>
    <w:rsid w:val="00543A19"/>
    <w:rsid w:val="00546037"/>
    <w:rsid w:val="00546515"/>
    <w:rsid w:val="0056048A"/>
    <w:rsid w:val="005619BC"/>
    <w:rsid w:val="005638A5"/>
    <w:rsid w:val="00563FDB"/>
    <w:rsid w:val="00564267"/>
    <w:rsid w:val="00565046"/>
    <w:rsid w:val="00565D53"/>
    <w:rsid w:val="005678AF"/>
    <w:rsid w:val="00572218"/>
    <w:rsid w:val="005728C4"/>
    <w:rsid w:val="00574F3C"/>
    <w:rsid w:val="005775D0"/>
    <w:rsid w:val="00577753"/>
    <w:rsid w:val="00582CB7"/>
    <w:rsid w:val="00583363"/>
    <w:rsid w:val="00583A2D"/>
    <w:rsid w:val="0059168B"/>
    <w:rsid w:val="005919B9"/>
    <w:rsid w:val="00593329"/>
    <w:rsid w:val="0059389B"/>
    <w:rsid w:val="005940E6"/>
    <w:rsid w:val="0059660E"/>
    <w:rsid w:val="005969DB"/>
    <w:rsid w:val="005A4AF6"/>
    <w:rsid w:val="005A4F7C"/>
    <w:rsid w:val="005A5CBC"/>
    <w:rsid w:val="005A603E"/>
    <w:rsid w:val="005B1473"/>
    <w:rsid w:val="005B2F6D"/>
    <w:rsid w:val="005C28B7"/>
    <w:rsid w:val="005C371D"/>
    <w:rsid w:val="005C39D4"/>
    <w:rsid w:val="005C51A4"/>
    <w:rsid w:val="005D09B7"/>
    <w:rsid w:val="005D47D4"/>
    <w:rsid w:val="005D6440"/>
    <w:rsid w:val="005E1303"/>
    <w:rsid w:val="005E4A42"/>
    <w:rsid w:val="005E4CEE"/>
    <w:rsid w:val="005E4DA4"/>
    <w:rsid w:val="005E576E"/>
    <w:rsid w:val="005F05B0"/>
    <w:rsid w:val="005F0D24"/>
    <w:rsid w:val="005F1E0A"/>
    <w:rsid w:val="005F3B88"/>
    <w:rsid w:val="005F5AE3"/>
    <w:rsid w:val="005F5BED"/>
    <w:rsid w:val="005F6B52"/>
    <w:rsid w:val="006017D7"/>
    <w:rsid w:val="00605145"/>
    <w:rsid w:val="00605293"/>
    <w:rsid w:val="00606228"/>
    <w:rsid w:val="00610EAD"/>
    <w:rsid w:val="0061429D"/>
    <w:rsid w:val="00616DCF"/>
    <w:rsid w:val="0062538C"/>
    <w:rsid w:val="00627D20"/>
    <w:rsid w:val="006316F1"/>
    <w:rsid w:val="00631E0B"/>
    <w:rsid w:val="00632087"/>
    <w:rsid w:val="00632AC5"/>
    <w:rsid w:val="00635551"/>
    <w:rsid w:val="0063706D"/>
    <w:rsid w:val="0064001D"/>
    <w:rsid w:val="006408BF"/>
    <w:rsid w:val="00640E50"/>
    <w:rsid w:val="00652172"/>
    <w:rsid w:val="0065353C"/>
    <w:rsid w:val="006548E6"/>
    <w:rsid w:val="00655145"/>
    <w:rsid w:val="00663909"/>
    <w:rsid w:val="00665257"/>
    <w:rsid w:val="006701F3"/>
    <w:rsid w:val="00670951"/>
    <w:rsid w:val="0067298B"/>
    <w:rsid w:val="00674813"/>
    <w:rsid w:val="006755E3"/>
    <w:rsid w:val="00681298"/>
    <w:rsid w:val="0068134C"/>
    <w:rsid w:val="00685D65"/>
    <w:rsid w:val="00687099"/>
    <w:rsid w:val="006876E9"/>
    <w:rsid w:val="00694FE7"/>
    <w:rsid w:val="00695EB2"/>
    <w:rsid w:val="00696ABF"/>
    <w:rsid w:val="00697236"/>
    <w:rsid w:val="006A1BCA"/>
    <w:rsid w:val="006A2607"/>
    <w:rsid w:val="006A3BE7"/>
    <w:rsid w:val="006A5BCD"/>
    <w:rsid w:val="006A6735"/>
    <w:rsid w:val="006A690A"/>
    <w:rsid w:val="006A76E2"/>
    <w:rsid w:val="006B092B"/>
    <w:rsid w:val="006B32C5"/>
    <w:rsid w:val="006B3B0E"/>
    <w:rsid w:val="006B772F"/>
    <w:rsid w:val="006B7E0A"/>
    <w:rsid w:val="006C0DE6"/>
    <w:rsid w:val="006C2CA1"/>
    <w:rsid w:val="006C79D7"/>
    <w:rsid w:val="006D20E1"/>
    <w:rsid w:val="006D2253"/>
    <w:rsid w:val="006D2926"/>
    <w:rsid w:val="006D322F"/>
    <w:rsid w:val="006D446F"/>
    <w:rsid w:val="006D5C72"/>
    <w:rsid w:val="006D7933"/>
    <w:rsid w:val="006E0DC5"/>
    <w:rsid w:val="006E1CAF"/>
    <w:rsid w:val="006E4323"/>
    <w:rsid w:val="006E6240"/>
    <w:rsid w:val="006E7485"/>
    <w:rsid w:val="006E7BCC"/>
    <w:rsid w:val="006F41B7"/>
    <w:rsid w:val="006F50AB"/>
    <w:rsid w:val="006F5F00"/>
    <w:rsid w:val="006F61FB"/>
    <w:rsid w:val="006F7E67"/>
    <w:rsid w:val="00700C29"/>
    <w:rsid w:val="00702F3A"/>
    <w:rsid w:val="0071438B"/>
    <w:rsid w:val="00717515"/>
    <w:rsid w:val="007215D4"/>
    <w:rsid w:val="00723FDF"/>
    <w:rsid w:val="00727122"/>
    <w:rsid w:val="00730F04"/>
    <w:rsid w:val="0073421B"/>
    <w:rsid w:val="00736822"/>
    <w:rsid w:val="00737BF6"/>
    <w:rsid w:val="007414D3"/>
    <w:rsid w:val="00746979"/>
    <w:rsid w:val="007509ED"/>
    <w:rsid w:val="00750FEB"/>
    <w:rsid w:val="0075461A"/>
    <w:rsid w:val="00755740"/>
    <w:rsid w:val="00755F94"/>
    <w:rsid w:val="00757153"/>
    <w:rsid w:val="00760C38"/>
    <w:rsid w:val="00762788"/>
    <w:rsid w:val="00762E32"/>
    <w:rsid w:val="00763B04"/>
    <w:rsid w:val="00763D12"/>
    <w:rsid w:val="0076619C"/>
    <w:rsid w:val="00767C9A"/>
    <w:rsid w:val="00770E2E"/>
    <w:rsid w:val="007755B1"/>
    <w:rsid w:val="00781997"/>
    <w:rsid w:val="007825A3"/>
    <w:rsid w:val="007827D1"/>
    <w:rsid w:val="00784103"/>
    <w:rsid w:val="00785EE5"/>
    <w:rsid w:val="0079031D"/>
    <w:rsid w:val="00790D79"/>
    <w:rsid w:val="00791785"/>
    <w:rsid w:val="007938F5"/>
    <w:rsid w:val="007955F0"/>
    <w:rsid w:val="007960CF"/>
    <w:rsid w:val="00796425"/>
    <w:rsid w:val="007A11A4"/>
    <w:rsid w:val="007A3A37"/>
    <w:rsid w:val="007A79A9"/>
    <w:rsid w:val="007B11E6"/>
    <w:rsid w:val="007B139B"/>
    <w:rsid w:val="007B41A4"/>
    <w:rsid w:val="007C45D3"/>
    <w:rsid w:val="007C47B0"/>
    <w:rsid w:val="007C519A"/>
    <w:rsid w:val="007C5FF6"/>
    <w:rsid w:val="007D070E"/>
    <w:rsid w:val="007D46F5"/>
    <w:rsid w:val="007E24DC"/>
    <w:rsid w:val="007E2DFD"/>
    <w:rsid w:val="007E3BC5"/>
    <w:rsid w:val="007E60E3"/>
    <w:rsid w:val="007E63C5"/>
    <w:rsid w:val="007E67D0"/>
    <w:rsid w:val="007E6F69"/>
    <w:rsid w:val="007E7E5B"/>
    <w:rsid w:val="007F2078"/>
    <w:rsid w:val="007F466D"/>
    <w:rsid w:val="007F54D9"/>
    <w:rsid w:val="007F633A"/>
    <w:rsid w:val="007F697E"/>
    <w:rsid w:val="007F7A52"/>
    <w:rsid w:val="00800CD8"/>
    <w:rsid w:val="00803E61"/>
    <w:rsid w:val="00804059"/>
    <w:rsid w:val="0080627F"/>
    <w:rsid w:val="00807623"/>
    <w:rsid w:val="00811547"/>
    <w:rsid w:val="008117A7"/>
    <w:rsid w:val="0081568A"/>
    <w:rsid w:val="008158CD"/>
    <w:rsid w:val="00821CA3"/>
    <w:rsid w:val="00821DED"/>
    <w:rsid w:val="008232EE"/>
    <w:rsid w:val="00823686"/>
    <w:rsid w:val="008249AD"/>
    <w:rsid w:val="00826D6D"/>
    <w:rsid w:val="0083172E"/>
    <w:rsid w:val="00834FBA"/>
    <w:rsid w:val="00844377"/>
    <w:rsid w:val="00844AA8"/>
    <w:rsid w:val="00847C99"/>
    <w:rsid w:val="00851205"/>
    <w:rsid w:val="00851D81"/>
    <w:rsid w:val="00851E8C"/>
    <w:rsid w:val="008568CC"/>
    <w:rsid w:val="00867CC3"/>
    <w:rsid w:val="008730B5"/>
    <w:rsid w:val="008737FF"/>
    <w:rsid w:val="00873F4B"/>
    <w:rsid w:val="00874710"/>
    <w:rsid w:val="00874BAC"/>
    <w:rsid w:val="00875BAB"/>
    <w:rsid w:val="00880240"/>
    <w:rsid w:val="0088028B"/>
    <w:rsid w:val="00884710"/>
    <w:rsid w:val="0088779A"/>
    <w:rsid w:val="008913C4"/>
    <w:rsid w:val="00891DCC"/>
    <w:rsid w:val="00893C5A"/>
    <w:rsid w:val="00894311"/>
    <w:rsid w:val="0089657C"/>
    <w:rsid w:val="00897537"/>
    <w:rsid w:val="008A2E99"/>
    <w:rsid w:val="008B188A"/>
    <w:rsid w:val="008B4F8A"/>
    <w:rsid w:val="008B568E"/>
    <w:rsid w:val="008B641D"/>
    <w:rsid w:val="008B6423"/>
    <w:rsid w:val="008C5002"/>
    <w:rsid w:val="008C683F"/>
    <w:rsid w:val="008C6C3F"/>
    <w:rsid w:val="008D5037"/>
    <w:rsid w:val="008D73DA"/>
    <w:rsid w:val="008D7E22"/>
    <w:rsid w:val="008E1BC4"/>
    <w:rsid w:val="008E3006"/>
    <w:rsid w:val="008E3177"/>
    <w:rsid w:val="008E645A"/>
    <w:rsid w:val="008E6A7E"/>
    <w:rsid w:val="008F099B"/>
    <w:rsid w:val="008F2B72"/>
    <w:rsid w:val="008F2CB5"/>
    <w:rsid w:val="008F3FBD"/>
    <w:rsid w:val="009061FD"/>
    <w:rsid w:val="009108AF"/>
    <w:rsid w:val="009164F2"/>
    <w:rsid w:val="0091678C"/>
    <w:rsid w:val="0091783D"/>
    <w:rsid w:val="00920BBE"/>
    <w:rsid w:val="00923E03"/>
    <w:rsid w:val="00924E3B"/>
    <w:rsid w:val="0092597F"/>
    <w:rsid w:val="0093525E"/>
    <w:rsid w:val="009371A6"/>
    <w:rsid w:val="0093768B"/>
    <w:rsid w:val="009402C9"/>
    <w:rsid w:val="0094260E"/>
    <w:rsid w:val="00947E85"/>
    <w:rsid w:val="009556D7"/>
    <w:rsid w:val="009617C8"/>
    <w:rsid w:val="009647BD"/>
    <w:rsid w:val="009655B4"/>
    <w:rsid w:val="00966180"/>
    <w:rsid w:val="00970199"/>
    <w:rsid w:val="00972694"/>
    <w:rsid w:val="00973630"/>
    <w:rsid w:val="0098709A"/>
    <w:rsid w:val="0099262D"/>
    <w:rsid w:val="0099544D"/>
    <w:rsid w:val="00995763"/>
    <w:rsid w:val="009A10F4"/>
    <w:rsid w:val="009B2FF7"/>
    <w:rsid w:val="009B7D7B"/>
    <w:rsid w:val="009B7DFA"/>
    <w:rsid w:val="009C0393"/>
    <w:rsid w:val="009C0ADA"/>
    <w:rsid w:val="009C345E"/>
    <w:rsid w:val="009C3959"/>
    <w:rsid w:val="009C3E58"/>
    <w:rsid w:val="009D1D21"/>
    <w:rsid w:val="009D3E66"/>
    <w:rsid w:val="009D440C"/>
    <w:rsid w:val="009E1062"/>
    <w:rsid w:val="009E3C34"/>
    <w:rsid w:val="009F077F"/>
    <w:rsid w:val="009F68ED"/>
    <w:rsid w:val="00A059DC"/>
    <w:rsid w:val="00A067D1"/>
    <w:rsid w:val="00A07B99"/>
    <w:rsid w:val="00A12D3C"/>
    <w:rsid w:val="00A13C9A"/>
    <w:rsid w:val="00A15653"/>
    <w:rsid w:val="00A15DF6"/>
    <w:rsid w:val="00A21899"/>
    <w:rsid w:val="00A227CF"/>
    <w:rsid w:val="00A248BF"/>
    <w:rsid w:val="00A313F5"/>
    <w:rsid w:val="00A3528E"/>
    <w:rsid w:val="00A4311E"/>
    <w:rsid w:val="00A432D2"/>
    <w:rsid w:val="00A454BB"/>
    <w:rsid w:val="00A4791F"/>
    <w:rsid w:val="00A51062"/>
    <w:rsid w:val="00A513E7"/>
    <w:rsid w:val="00A52716"/>
    <w:rsid w:val="00A55348"/>
    <w:rsid w:val="00A55DEB"/>
    <w:rsid w:val="00A57A56"/>
    <w:rsid w:val="00A57DDA"/>
    <w:rsid w:val="00A618F9"/>
    <w:rsid w:val="00A709EC"/>
    <w:rsid w:val="00A71655"/>
    <w:rsid w:val="00A71F56"/>
    <w:rsid w:val="00A744AB"/>
    <w:rsid w:val="00A75D92"/>
    <w:rsid w:val="00A77902"/>
    <w:rsid w:val="00A80A16"/>
    <w:rsid w:val="00A8262A"/>
    <w:rsid w:val="00A850F7"/>
    <w:rsid w:val="00A87E05"/>
    <w:rsid w:val="00A91A67"/>
    <w:rsid w:val="00A937D9"/>
    <w:rsid w:val="00A95BED"/>
    <w:rsid w:val="00AA0BB0"/>
    <w:rsid w:val="00AA178C"/>
    <w:rsid w:val="00AA2EA2"/>
    <w:rsid w:val="00AA30E3"/>
    <w:rsid w:val="00AA4C84"/>
    <w:rsid w:val="00AA4EB5"/>
    <w:rsid w:val="00AA6644"/>
    <w:rsid w:val="00AA6E37"/>
    <w:rsid w:val="00AB1022"/>
    <w:rsid w:val="00AB5867"/>
    <w:rsid w:val="00AB591D"/>
    <w:rsid w:val="00AC3828"/>
    <w:rsid w:val="00AC477D"/>
    <w:rsid w:val="00AC54C7"/>
    <w:rsid w:val="00AC5A47"/>
    <w:rsid w:val="00AC7275"/>
    <w:rsid w:val="00AD0FB8"/>
    <w:rsid w:val="00AD1A33"/>
    <w:rsid w:val="00AD1CF2"/>
    <w:rsid w:val="00AE1256"/>
    <w:rsid w:val="00AE23E1"/>
    <w:rsid w:val="00AE4895"/>
    <w:rsid w:val="00AE56C7"/>
    <w:rsid w:val="00AE641A"/>
    <w:rsid w:val="00AE7FC9"/>
    <w:rsid w:val="00B0059C"/>
    <w:rsid w:val="00B05725"/>
    <w:rsid w:val="00B05E61"/>
    <w:rsid w:val="00B0629A"/>
    <w:rsid w:val="00B10601"/>
    <w:rsid w:val="00B11621"/>
    <w:rsid w:val="00B1427E"/>
    <w:rsid w:val="00B16E6F"/>
    <w:rsid w:val="00B20020"/>
    <w:rsid w:val="00B20A91"/>
    <w:rsid w:val="00B2422E"/>
    <w:rsid w:val="00B2433F"/>
    <w:rsid w:val="00B2501C"/>
    <w:rsid w:val="00B274CC"/>
    <w:rsid w:val="00B3257E"/>
    <w:rsid w:val="00B3344C"/>
    <w:rsid w:val="00B37437"/>
    <w:rsid w:val="00B37F78"/>
    <w:rsid w:val="00B451CB"/>
    <w:rsid w:val="00B45308"/>
    <w:rsid w:val="00B46147"/>
    <w:rsid w:val="00B46BF1"/>
    <w:rsid w:val="00B47A3B"/>
    <w:rsid w:val="00B47ED3"/>
    <w:rsid w:val="00B500D4"/>
    <w:rsid w:val="00B51966"/>
    <w:rsid w:val="00B5249E"/>
    <w:rsid w:val="00B52B39"/>
    <w:rsid w:val="00B60AB0"/>
    <w:rsid w:val="00B60BD1"/>
    <w:rsid w:val="00B64E06"/>
    <w:rsid w:val="00B66603"/>
    <w:rsid w:val="00B66FCA"/>
    <w:rsid w:val="00B7607B"/>
    <w:rsid w:val="00B77B53"/>
    <w:rsid w:val="00B801B3"/>
    <w:rsid w:val="00B83DEF"/>
    <w:rsid w:val="00B9435D"/>
    <w:rsid w:val="00B94CC0"/>
    <w:rsid w:val="00B97913"/>
    <w:rsid w:val="00B97944"/>
    <w:rsid w:val="00BA0B39"/>
    <w:rsid w:val="00BA377B"/>
    <w:rsid w:val="00BA43CF"/>
    <w:rsid w:val="00BA43D4"/>
    <w:rsid w:val="00BA6A0E"/>
    <w:rsid w:val="00BA6C25"/>
    <w:rsid w:val="00BA6E72"/>
    <w:rsid w:val="00BB0A00"/>
    <w:rsid w:val="00BB3018"/>
    <w:rsid w:val="00BB362C"/>
    <w:rsid w:val="00BB4E34"/>
    <w:rsid w:val="00BB680C"/>
    <w:rsid w:val="00BB6CC5"/>
    <w:rsid w:val="00BB6FE1"/>
    <w:rsid w:val="00BC0F59"/>
    <w:rsid w:val="00BC3F0F"/>
    <w:rsid w:val="00BC412B"/>
    <w:rsid w:val="00BC4F29"/>
    <w:rsid w:val="00BC5B21"/>
    <w:rsid w:val="00BC76E2"/>
    <w:rsid w:val="00BD0B8B"/>
    <w:rsid w:val="00BD40C6"/>
    <w:rsid w:val="00BD488E"/>
    <w:rsid w:val="00BD4C73"/>
    <w:rsid w:val="00BD67F3"/>
    <w:rsid w:val="00BE22E8"/>
    <w:rsid w:val="00BE361D"/>
    <w:rsid w:val="00BE46F9"/>
    <w:rsid w:val="00BE69E7"/>
    <w:rsid w:val="00BE7BEA"/>
    <w:rsid w:val="00BF37E1"/>
    <w:rsid w:val="00C0044C"/>
    <w:rsid w:val="00C024F9"/>
    <w:rsid w:val="00C06F36"/>
    <w:rsid w:val="00C10EFC"/>
    <w:rsid w:val="00C1361F"/>
    <w:rsid w:val="00C13FC6"/>
    <w:rsid w:val="00C15948"/>
    <w:rsid w:val="00C17A37"/>
    <w:rsid w:val="00C21672"/>
    <w:rsid w:val="00C247CF"/>
    <w:rsid w:val="00C2658C"/>
    <w:rsid w:val="00C328E9"/>
    <w:rsid w:val="00C32A3A"/>
    <w:rsid w:val="00C3436A"/>
    <w:rsid w:val="00C3454F"/>
    <w:rsid w:val="00C36270"/>
    <w:rsid w:val="00C4169A"/>
    <w:rsid w:val="00C42C4B"/>
    <w:rsid w:val="00C453DF"/>
    <w:rsid w:val="00C46E23"/>
    <w:rsid w:val="00C47618"/>
    <w:rsid w:val="00C51EDD"/>
    <w:rsid w:val="00C52991"/>
    <w:rsid w:val="00C557F5"/>
    <w:rsid w:val="00C5609F"/>
    <w:rsid w:val="00C570FE"/>
    <w:rsid w:val="00C70B41"/>
    <w:rsid w:val="00C72082"/>
    <w:rsid w:val="00C73591"/>
    <w:rsid w:val="00C744A3"/>
    <w:rsid w:val="00C779E4"/>
    <w:rsid w:val="00C80A05"/>
    <w:rsid w:val="00C85605"/>
    <w:rsid w:val="00C90FEE"/>
    <w:rsid w:val="00C92877"/>
    <w:rsid w:val="00C9351E"/>
    <w:rsid w:val="00C93EE2"/>
    <w:rsid w:val="00CA0372"/>
    <w:rsid w:val="00CA1D4B"/>
    <w:rsid w:val="00CA2231"/>
    <w:rsid w:val="00CA28CE"/>
    <w:rsid w:val="00CA3368"/>
    <w:rsid w:val="00CA6619"/>
    <w:rsid w:val="00CB1979"/>
    <w:rsid w:val="00CB509E"/>
    <w:rsid w:val="00CC07EF"/>
    <w:rsid w:val="00CC1095"/>
    <w:rsid w:val="00CC6623"/>
    <w:rsid w:val="00CD131B"/>
    <w:rsid w:val="00CD4EC0"/>
    <w:rsid w:val="00CD61ED"/>
    <w:rsid w:val="00CD7D0A"/>
    <w:rsid w:val="00CE4171"/>
    <w:rsid w:val="00CE4999"/>
    <w:rsid w:val="00CE6A6C"/>
    <w:rsid w:val="00CF1EC6"/>
    <w:rsid w:val="00CF5B21"/>
    <w:rsid w:val="00CF65A7"/>
    <w:rsid w:val="00CF69D2"/>
    <w:rsid w:val="00D00F3C"/>
    <w:rsid w:val="00D029FA"/>
    <w:rsid w:val="00D02B05"/>
    <w:rsid w:val="00D06AAC"/>
    <w:rsid w:val="00D1063C"/>
    <w:rsid w:val="00D1155B"/>
    <w:rsid w:val="00D11763"/>
    <w:rsid w:val="00D14013"/>
    <w:rsid w:val="00D15AD3"/>
    <w:rsid w:val="00D16C06"/>
    <w:rsid w:val="00D30D9F"/>
    <w:rsid w:val="00D32157"/>
    <w:rsid w:val="00D344A2"/>
    <w:rsid w:val="00D41E3F"/>
    <w:rsid w:val="00D427FD"/>
    <w:rsid w:val="00D43780"/>
    <w:rsid w:val="00D4561D"/>
    <w:rsid w:val="00D46B13"/>
    <w:rsid w:val="00D46FF7"/>
    <w:rsid w:val="00D47B60"/>
    <w:rsid w:val="00D51082"/>
    <w:rsid w:val="00D51161"/>
    <w:rsid w:val="00D530E3"/>
    <w:rsid w:val="00D70F4B"/>
    <w:rsid w:val="00D83AD0"/>
    <w:rsid w:val="00D841EF"/>
    <w:rsid w:val="00D90B57"/>
    <w:rsid w:val="00D9196A"/>
    <w:rsid w:val="00D9318A"/>
    <w:rsid w:val="00D936EB"/>
    <w:rsid w:val="00D94FBE"/>
    <w:rsid w:val="00D95200"/>
    <w:rsid w:val="00D97132"/>
    <w:rsid w:val="00DA2C14"/>
    <w:rsid w:val="00DA7137"/>
    <w:rsid w:val="00DA7B81"/>
    <w:rsid w:val="00DB52B2"/>
    <w:rsid w:val="00DC0EC6"/>
    <w:rsid w:val="00DD040C"/>
    <w:rsid w:val="00DD3136"/>
    <w:rsid w:val="00DD336E"/>
    <w:rsid w:val="00DE01B9"/>
    <w:rsid w:val="00DE05B7"/>
    <w:rsid w:val="00DE0C9D"/>
    <w:rsid w:val="00DE2F30"/>
    <w:rsid w:val="00DE7858"/>
    <w:rsid w:val="00DF164D"/>
    <w:rsid w:val="00DF1FBB"/>
    <w:rsid w:val="00DF2745"/>
    <w:rsid w:val="00DF450B"/>
    <w:rsid w:val="00E06342"/>
    <w:rsid w:val="00E12265"/>
    <w:rsid w:val="00E127D2"/>
    <w:rsid w:val="00E1292E"/>
    <w:rsid w:val="00E13B0E"/>
    <w:rsid w:val="00E13DBA"/>
    <w:rsid w:val="00E14E2C"/>
    <w:rsid w:val="00E17468"/>
    <w:rsid w:val="00E20B35"/>
    <w:rsid w:val="00E20C1B"/>
    <w:rsid w:val="00E210B1"/>
    <w:rsid w:val="00E211E3"/>
    <w:rsid w:val="00E21AF1"/>
    <w:rsid w:val="00E274D2"/>
    <w:rsid w:val="00E2788B"/>
    <w:rsid w:val="00E27B14"/>
    <w:rsid w:val="00E27B4B"/>
    <w:rsid w:val="00E305D6"/>
    <w:rsid w:val="00E344CF"/>
    <w:rsid w:val="00E36A81"/>
    <w:rsid w:val="00E51A4B"/>
    <w:rsid w:val="00E549BC"/>
    <w:rsid w:val="00E55609"/>
    <w:rsid w:val="00E60B29"/>
    <w:rsid w:val="00E60D0B"/>
    <w:rsid w:val="00E61DB8"/>
    <w:rsid w:val="00E65538"/>
    <w:rsid w:val="00E65B8D"/>
    <w:rsid w:val="00E71C09"/>
    <w:rsid w:val="00E77534"/>
    <w:rsid w:val="00E80569"/>
    <w:rsid w:val="00E80A00"/>
    <w:rsid w:val="00E82572"/>
    <w:rsid w:val="00E82586"/>
    <w:rsid w:val="00E825E3"/>
    <w:rsid w:val="00E90FAD"/>
    <w:rsid w:val="00E914B2"/>
    <w:rsid w:val="00E93F6D"/>
    <w:rsid w:val="00E95141"/>
    <w:rsid w:val="00E9586F"/>
    <w:rsid w:val="00EA26ED"/>
    <w:rsid w:val="00EA787F"/>
    <w:rsid w:val="00EB06C3"/>
    <w:rsid w:val="00EB2762"/>
    <w:rsid w:val="00EB2DDD"/>
    <w:rsid w:val="00EB45FE"/>
    <w:rsid w:val="00EB4BF6"/>
    <w:rsid w:val="00EB5F25"/>
    <w:rsid w:val="00EB6ED6"/>
    <w:rsid w:val="00EC0AB4"/>
    <w:rsid w:val="00EC503D"/>
    <w:rsid w:val="00EC76C6"/>
    <w:rsid w:val="00ED1958"/>
    <w:rsid w:val="00ED6F76"/>
    <w:rsid w:val="00EE1EDF"/>
    <w:rsid w:val="00EE3392"/>
    <w:rsid w:val="00EE4CFE"/>
    <w:rsid w:val="00EF415F"/>
    <w:rsid w:val="00EF4685"/>
    <w:rsid w:val="00EF6970"/>
    <w:rsid w:val="00EF766B"/>
    <w:rsid w:val="00F04191"/>
    <w:rsid w:val="00F07EE0"/>
    <w:rsid w:val="00F1105B"/>
    <w:rsid w:val="00F134D5"/>
    <w:rsid w:val="00F2188D"/>
    <w:rsid w:val="00F235BD"/>
    <w:rsid w:val="00F24B9F"/>
    <w:rsid w:val="00F35D04"/>
    <w:rsid w:val="00F35EF5"/>
    <w:rsid w:val="00F40ACB"/>
    <w:rsid w:val="00F43592"/>
    <w:rsid w:val="00F45F13"/>
    <w:rsid w:val="00F47782"/>
    <w:rsid w:val="00F53B3B"/>
    <w:rsid w:val="00F54AE7"/>
    <w:rsid w:val="00F55449"/>
    <w:rsid w:val="00F5677B"/>
    <w:rsid w:val="00F57AE1"/>
    <w:rsid w:val="00F60EFC"/>
    <w:rsid w:val="00F70252"/>
    <w:rsid w:val="00F70FD5"/>
    <w:rsid w:val="00F71486"/>
    <w:rsid w:val="00F73191"/>
    <w:rsid w:val="00F75D85"/>
    <w:rsid w:val="00F76D4B"/>
    <w:rsid w:val="00F8087D"/>
    <w:rsid w:val="00F81ECD"/>
    <w:rsid w:val="00F82F1A"/>
    <w:rsid w:val="00F84AAB"/>
    <w:rsid w:val="00F90009"/>
    <w:rsid w:val="00F904EC"/>
    <w:rsid w:val="00F93EF8"/>
    <w:rsid w:val="00F946BA"/>
    <w:rsid w:val="00F95927"/>
    <w:rsid w:val="00FA1DCE"/>
    <w:rsid w:val="00FA3123"/>
    <w:rsid w:val="00FA7FA6"/>
    <w:rsid w:val="00FB1E92"/>
    <w:rsid w:val="00FB5738"/>
    <w:rsid w:val="00FC2188"/>
    <w:rsid w:val="00FC2E3F"/>
    <w:rsid w:val="00FC3C10"/>
    <w:rsid w:val="00FC40D8"/>
    <w:rsid w:val="00FC7735"/>
    <w:rsid w:val="00FD1472"/>
    <w:rsid w:val="00FD79CA"/>
    <w:rsid w:val="00FE1E8D"/>
    <w:rsid w:val="00FF4341"/>
    <w:rsid w:val="016261D3"/>
    <w:rsid w:val="016D5014"/>
    <w:rsid w:val="01E532FC"/>
    <w:rsid w:val="0231661E"/>
    <w:rsid w:val="031431FC"/>
    <w:rsid w:val="047B5C3F"/>
    <w:rsid w:val="04AD2103"/>
    <w:rsid w:val="054E1013"/>
    <w:rsid w:val="05801903"/>
    <w:rsid w:val="05F744C0"/>
    <w:rsid w:val="06EF2BE4"/>
    <w:rsid w:val="08276139"/>
    <w:rsid w:val="0946357F"/>
    <w:rsid w:val="0A281212"/>
    <w:rsid w:val="0A8A4E78"/>
    <w:rsid w:val="0AC73AA2"/>
    <w:rsid w:val="0AD37B5F"/>
    <w:rsid w:val="0B09292C"/>
    <w:rsid w:val="0B4D0048"/>
    <w:rsid w:val="0C3B1534"/>
    <w:rsid w:val="0CE53888"/>
    <w:rsid w:val="0D3816DB"/>
    <w:rsid w:val="0ECB623C"/>
    <w:rsid w:val="10551837"/>
    <w:rsid w:val="10B21950"/>
    <w:rsid w:val="117D1E1F"/>
    <w:rsid w:val="124962D7"/>
    <w:rsid w:val="125609DE"/>
    <w:rsid w:val="135F5287"/>
    <w:rsid w:val="13A25BBA"/>
    <w:rsid w:val="13FC1601"/>
    <w:rsid w:val="13FC53B8"/>
    <w:rsid w:val="1416618F"/>
    <w:rsid w:val="14833B08"/>
    <w:rsid w:val="151A12AC"/>
    <w:rsid w:val="15445F41"/>
    <w:rsid w:val="160F7AB4"/>
    <w:rsid w:val="16F879E8"/>
    <w:rsid w:val="1750339A"/>
    <w:rsid w:val="176A67CC"/>
    <w:rsid w:val="17A53ED4"/>
    <w:rsid w:val="18354A6F"/>
    <w:rsid w:val="18466F13"/>
    <w:rsid w:val="1883124F"/>
    <w:rsid w:val="18B80461"/>
    <w:rsid w:val="18F50AE7"/>
    <w:rsid w:val="194461F4"/>
    <w:rsid w:val="198D5BF1"/>
    <w:rsid w:val="19F958AB"/>
    <w:rsid w:val="1AAA13EC"/>
    <w:rsid w:val="1ABA2621"/>
    <w:rsid w:val="1ACC64FC"/>
    <w:rsid w:val="1B3D7121"/>
    <w:rsid w:val="1B527ACC"/>
    <w:rsid w:val="1BD77C76"/>
    <w:rsid w:val="1C1F3292"/>
    <w:rsid w:val="1DCA4B46"/>
    <w:rsid w:val="1EDD5583"/>
    <w:rsid w:val="1EDD6F77"/>
    <w:rsid w:val="1FEB42D1"/>
    <w:rsid w:val="20CF180D"/>
    <w:rsid w:val="21066F21"/>
    <w:rsid w:val="212D70FE"/>
    <w:rsid w:val="218237F8"/>
    <w:rsid w:val="21954A2F"/>
    <w:rsid w:val="21D428DF"/>
    <w:rsid w:val="2206714C"/>
    <w:rsid w:val="22896F69"/>
    <w:rsid w:val="22923219"/>
    <w:rsid w:val="231F25ED"/>
    <w:rsid w:val="23336278"/>
    <w:rsid w:val="23E81C34"/>
    <w:rsid w:val="24037406"/>
    <w:rsid w:val="248C3ECF"/>
    <w:rsid w:val="24CD4CC3"/>
    <w:rsid w:val="251033B9"/>
    <w:rsid w:val="25340780"/>
    <w:rsid w:val="25642116"/>
    <w:rsid w:val="25876B51"/>
    <w:rsid w:val="26044E07"/>
    <w:rsid w:val="26147F44"/>
    <w:rsid w:val="262173A2"/>
    <w:rsid w:val="26833376"/>
    <w:rsid w:val="26AE42B7"/>
    <w:rsid w:val="26C82250"/>
    <w:rsid w:val="270D4901"/>
    <w:rsid w:val="27143985"/>
    <w:rsid w:val="2827569E"/>
    <w:rsid w:val="286B1F92"/>
    <w:rsid w:val="288A3CAF"/>
    <w:rsid w:val="2925363B"/>
    <w:rsid w:val="2A8D17A9"/>
    <w:rsid w:val="2AA01BE8"/>
    <w:rsid w:val="2C084C05"/>
    <w:rsid w:val="2C0F5ACE"/>
    <w:rsid w:val="2C3B3658"/>
    <w:rsid w:val="2CBA34E1"/>
    <w:rsid w:val="2CBF14B0"/>
    <w:rsid w:val="2CF85640"/>
    <w:rsid w:val="2E56654E"/>
    <w:rsid w:val="2E5C08E5"/>
    <w:rsid w:val="2E886217"/>
    <w:rsid w:val="2F6F0DFC"/>
    <w:rsid w:val="2F7D365C"/>
    <w:rsid w:val="2FEE6328"/>
    <w:rsid w:val="30212084"/>
    <w:rsid w:val="302F6B13"/>
    <w:rsid w:val="304D4D6E"/>
    <w:rsid w:val="313F3BC4"/>
    <w:rsid w:val="32645629"/>
    <w:rsid w:val="32E74F46"/>
    <w:rsid w:val="331077EF"/>
    <w:rsid w:val="335B2F72"/>
    <w:rsid w:val="33A217D1"/>
    <w:rsid w:val="34BD43B9"/>
    <w:rsid w:val="34E51B4B"/>
    <w:rsid w:val="35037071"/>
    <w:rsid w:val="352465E4"/>
    <w:rsid w:val="356562EF"/>
    <w:rsid w:val="36166DBA"/>
    <w:rsid w:val="365D30D2"/>
    <w:rsid w:val="36A26A75"/>
    <w:rsid w:val="36C66353"/>
    <w:rsid w:val="37830E23"/>
    <w:rsid w:val="37C42A2D"/>
    <w:rsid w:val="393510C1"/>
    <w:rsid w:val="395270F4"/>
    <w:rsid w:val="39E10B94"/>
    <w:rsid w:val="3A131A20"/>
    <w:rsid w:val="3A4243F2"/>
    <w:rsid w:val="3A623A15"/>
    <w:rsid w:val="3A764818"/>
    <w:rsid w:val="3A976C96"/>
    <w:rsid w:val="3B872EB1"/>
    <w:rsid w:val="3C2D7E0C"/>
    <w:rsid w:val="3DEF2116"/>
    <w:rsid w:val="3DF6716B"/>
    <w:rsid w:val="3E3A2C4D"/>
    <w:rsid w:val="40524483"/>
    <w:rsid w:val="40A51D27"/>
    <w:rsid w:val="40CC4F8D"/>
    <w:rsid w:val="40DF0D11"/>
    <w:rsid w:val="4180797C"/>
    <w:rsid w:val="41A1048E"/>
    <w:rsid w:val="41C06C34"/>
    <w:rsid w:val="4257758F"/>
    <w:rsid w:val="42964242"/>
    <w:rsid w:val="43764872"/>
    <w:rsid w:val="44327D98"/>
    <w:rsid w:val="4459020E"/>
    <w:rsid w:val="447544EF"/>
    <w:rsid w:val="44B45CB0"/>
    <w:rsid w:val="450757ED"/>
    <w:rsid w:val="45094B16"/>
    <w:rsid w:val="458E1747"/>
    <w:rsid w:val="45EF72B1"/>
    <w:rsid w:val="4601128C"/>
    <w:rsid w:val="46520A85"/>
    <w:rsid w:val="466000E9"/>
    <w:rsid w:val="46676131"/>
    <w:rsid w:val="46E61B55"/>
    <w:rsid w:val="46E81CFE"/>
    <w:rsid w:val="4764105E"/>
    <w:rsid w:val="478F356D"/>
    <w:rsid w:val="47D44123"/>
    <w:rsid w:val="47F0549B"/>
    <w:rsid w:val="482F0993"/>
    <w:rsid w:val="48D86BA8"/>
    <w:rsid w:val="493A1612"/>
    <w:rsid w:val="494D17F6"/>
    <w:rsid w:val="49B67A92"/>
    <w:rsid w:val="4B516902"/>
    <w:rsid w:val="4BD742DE"/>
    <w:rsid w:val="4C411E17"/>
    <w:rsid w:val="4C9F1AEC"/>
    <w:rsid w:val="4CD4537E"/>
    <w:rsid w:val="4DD97A06"/>
    <w:rsid w:val="4E861CE7"/>
    <w:rsid w:val="4EDF60E5"/>
    <w:rsid w:val="4F6B0398"/>
    <w:rsid w:val="4F946F1F"/>
    <w:rsid w:val="50E71058"/>
    <w:rsid w:val="51071FFB"/>
    <w:rsid w:val="51655767"/>
    <w:rsid w:val="51EF06F9"/>
    <w:rsid w:val="51EF5DDA"/>
    <w:rsid w:val="520B03A7"/>
    <w:rsid w:val="52F43C15"/>
    <w:rsid w:val="52F62B56"/>
    <w:rsid w:val="53F970D9"/>
    <w:rsid w:val="54165BFF"/>
    <w:rsid w:val="54456F2D"/>
    <w:rsid w:val="54DC2FC7"/>
    <w:rsid w:val="54E80CEB"/>
    <w:rsid w:val="55F5321D"/>
    <w:rsid w:val="56013F5B"/>
    <w:rsid w:val="56E06A90"/>
    <w:rsid w:val="57356E88"/>
    <w:rsid w:val="5744163D"/>
    <w:rsid w:val="58AB52A3"/>
    <w:rsid w:val="593A10D1"/>
    <w:rsid w:val="594D4BF9"/>
    <w:rsid w:val="59B4120F"/>
    <w:rsid w:val="59E33522"/>
    <w:rsid w:val="5A0E521C"/>
    <w:rsid w:val="5A7E642D"/>
    <w:rsid w:val="5AD740B7"/>
    <w:rsid w:val="5B7833A9"/>
    <w:rsid w:val="5BEF2B12"/>
    <w:rsid w:val="5CF637CB"/>
    <w:rsid w:val="5D0B1CB9"/>
    <w:rsid w:val="5D311224"/>
    <w:rsid w:val="5D881626"/>
    <w:rsid w:val="5DB71474"/>
    <w:rsid w:val="5DE97A49"/>
    <w:rsid w:val="5E46142A"/>
    <w:rsid w:val="5E7C6CA3"/>
    <w:rsid w:val="5EAF558A"/>
    <w:rsid w:val="5F2A3AB0"/>
    <w:rsid w:val="60641259"/>
    <w:rsid w:val="608527B5"/>
    <w:rsid w:val="61125749"/>
    <w:rsid w:val="612146E8"/>
    <w:rsid w:val="61726813"/>
    <w:rsid w:val="62DD6C9D"/>
    <w:rsid w:val="630761C3"/>
    <w:rsid w:val="63164F47"/>
    <w:rsid w:val="63485281"/>
    <w:rsid w:val="63710DA1"/>
    <w:rsid w:val="63931CD9"/>
    <w:rsid w:val="639B7F40"/>
    <w:rsid w:val="641A4942"/>
    <w:rsid w:val="65E03B76"/>
    <w:rsid w:val="66C10A22"/>
    <w:rsid w:val="6757170B"/>
    <w:rsid w:val="693576F7"/>
    <w:rsid w:val="69F46E20"/>
    <w:rsid w:val="6A10084E"/>
    <w:rsid w:val="6BA63E3C"/>
    <w:rsid w:val="6BE50912"/>
    <w:rsid w:val="6D3339CC"/>
    <w:rsid w:val="6D49002E"/>
    <w:rsid w:val="6EC62971"/>
    <w:rsid w:val="6EF204BE"/>
    <w:rsid w:val="6F5D0E11"/>
    <w:rsid w:val="6FB4360F"/>
    <w:rsid w:val="6FBA39C6"/>
    <w:rsid w:val="6FDA208C"/>
    <w:rsid w:val="6FEF69AE"/>
    <w:rsid w:val="70332B2C"/>
    <w:rsid w:val="709F4716"/>
    <w:rsid w:val="715F3412"/>
    <w:rsid w:val="72523351"/>
    <w:rsid w:val="7333212C"/>
    <w:rsid w:val="73C70D91"/>
    <w:rsid w:val="742C6D68"/>
    <w:rsid w:val="745D7F0B"/>
    <w:rsid w:val="74902C74"/>
    <w:rsid w:val="74BE6266"/>
    <w:rsid w:val="75007374"/>
    <w:rsid w:val="75192C2C"/>
    <w:rsid w:val="75476133"/>
    <w:rsid w:val="75716361"/>
    <w:rsid w:val="760B6635"/>
    <w:rsid w:val="761D0506"/>
    <w:rsid w:val="765853D5"/>
    <w:rsid w:val="76A1194B"/>
    <w:rsid w:val="77184B14"/>
    <w:rsid w:val="773E21C1"/>
    <w:rsid w:val="77531D43"/>
    <w:rsid w:val="77547EE4"/>
    <w:rsid w:val="77857FE1"/>
    <w:rsid w:val="77DA6304"/>
    <w:rsid w:val="78BB62D2"/>
    <w:rsid w:val="78E5006E"/>
    <w:rsid w:val="791B33E7"/>
    <w:rsid w:val="791D648D"/>
    <w:rsid w:val="795F44F2"/>
    <w:rsid w:val="79AB1017"/>
    <w:rsid w:val="7A346F25"/>
    <w:rsid w:val="7A546A20"/>
    <w:rsid w:val="7A647C5A"/>
    <w:rsid w:val="7B2423C5"/>
    <w:rsid w:val="7B413511"/>
    <w:rsid w:val="7B476648"/>
    <w:rsid w:val="7B8C4602"/>
    <w:rsid w:val="7C546969"/>
    <w:rsid w:val="7C5C24DA"/>
    <w:rsid w:val="7C672339"/>
    <w:rsid w:val="7C6C352A"/>
    <w:rsid w:val="7C8A5791"/>
    <w:rsid w:val="7C93729F"/>
    <w:rsid w:val="7D2E5D75"/>
    <w:rsid w:val="7DC7772B"/>
    <w:rsid w:val="7DF15216"/>
    <w:rsid w:val="7E1605C3"/>
    <w:rsid w:val="7E7D77C7"/>
    <w:rsid w:val="7F4436A6"/>
    <w:rsid w:val="7F491C5B"/>
    <w:rsid w:val="7F7D37D3"/>
    <w:rsid w:val="7F986941"/>
    <w:rsid w:val="7F9B6A9D"/>
    <w:rsid w:val="7FF51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iPriority="0" w:name="heading 4"/>
    <w:lsdException w:uiPriority="0" w:name="heading 5"/>
    <w:lsdException w:uiPriority="0" w:name="heading 6"/>
    <w:lsdException w:uiPriority="0" w:name="heading 7"/>
    <w:lsdException w:uiPriority="0" w:name="heading 8"/>
    <w:lsdException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uiPriority="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eastAsia="华文仿宋"/>
      <w:b/>
      <w:kern w:val="44"/>
      <w:sz w:val="32"/>
    </w:rPr>
  </w:style>
  <w:style w:type="paragraph" w:styleId="3">
    <w:name w:val="heading 2"/>
    <w:basedOn w:val="1"/>
    <w:next w:val="1"/>
    <w:link w:val="28"/>
    <w:qFormat/>
    <w:uiPriority w:val="0"/>
    <w:pPr>
      <w:keepNext/>
      <w:keepLines/>
      <w:spacing w:before="260" w:after="260" w:line="413" w:lineRule="auto"/>
      <w:jc w:val="left"/>
      <w:outlineLvl w:val="1"/>
    </w:pPr>
    <w:rPr>
      <w:rFonts w:ascii="Arial" w:hAnsi="Arial" w:eastAsia="仿宋_GB2312"/>
      <w:b/>
      <w:sz w:val="32"/>
    </w:rPr>
  </w:style>
  <w:style w:type="paragraph" w:styleId="4">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19">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3"/>
    <w:qFormat/>
    <w:uiPriority w:val="0"/>
    <w:rPr>
      <w:b/>
      <w:bCs/>
    </w:rPr>
  </w:style>
  <w:style w:type="paragraph" w:styleId="6">
    <w:name w:val="annotation text"/>
    <w:basedOn w:val="1"/>
    <w:link w:val="32"/>
    <w:qFormat/>
    <w:uiPriority w:val="0"/>
    <w:pPr>
      <w:jc w:val="left"/>
    </w:pPr>
  </w:style>
  <w:style w:type="paragraph" w:styleId="7">
    <w:name w:val="Body Text"/>
    <w:basedOn w:val="1"/>
    <w:qFormat/>
    <w:uiPriority w:val="0"/>
    <w:rPr>
      <w:sz w:val="30"/>
    </w:rPr>
  </w:style>
  <w:style w:type="paragraph" w:styleId="8">
    <w:name w:val="Body Text Indent"/>
    <w:basedOn w:val="1"/>
    <w:qFormat/>
    <w:uiPriority w:val="0"/>
    <w:pPr>
      <w:ind w:firstLine="643" w:firstLineChars="200"/>
    </w:pPr>
    <w:rPr>
      <w:b/>
      <w:bCs/>
      <w:sz w:val="32"/>
    </w:rPr>
  </w:style>
  <w:style w:type="paragraph" w:styleId="9">
    <w:name w:val="Body Text Indent 2"/>
    <w:basedOn w:val="1"/>
    <w:qFormat/>
    <w:uiPriority w:val="0"/>
    <w:pPr>
      <w:ind w:firstLine="705"/>
    </w:pPr>
    <w:rPr>
      <w:rFonts w:ascii="仿宋_GB2312" w:eastAsia="仿宋_GB2312"/>
      <w:sz w:val="28"/>
    </w:rPr>
  </w:style>
  <w:style w:type="paragraph" w:styleId="10">
    <w:name w:val="Balloon Text"/>
    <w:basedOn w:val="1"/>
    <w:semiHidden/>
    <w:qFormat/>
    <w:uiPriority w:val="0"/>
    <w:rPr>
      <w:sz w:val="18"/>
      <w:szCs w:val="18"/>
    </w:rPr>
  </w:style>
  <w:style w:type="paragraph" w:styleId="11">
    <w:name w:val="footer"/>
    <w:basedOn w:val="1"/>
    <w:qFormat/>
    <w:uiPriority w:val="0"/>
    <w:pPr>
      <w:tabs>
        <w:tab w:val="center" w:pos="4153"/>
        <w:tab w:val="right" w:pos="8306"/>
      </w:tabs>
      <w:suppressAutoHyphens/>
      <w:snapToGrid w:val="0"/>
      <w:jc w:val="left"/>
    </w:pPr>
    <w:rPr>
      <w:rFonts w:hint="eastAsia"/>
      <w:kern w:val="1"/>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footnote text"/>
    <w:basedOn w:val="1"/>
    <w:unhideWhenUsed/>
    <w:qFormat/>
    <w:uiPriority w:val="99"/>
    <w:rPr>
      <w:sz w:val="18"/>
      <w:szCs w:val="18"/>
    </w:rPr>
  </w:style>
  <w:style w:type="paragraph" w:styleId="15">
    <w:name w:val="Body Text Indent 3"/>
    <w:basedOn w:val="1"/>
    <w:qFormat/>
    <w:uiPriority w:val="0"/>
    <w:pPr>
      <w:spacing w:line="600" w:lineRule="exact"/>
      <w:ind w:firstLine="560" w:firstLineChars="200"/>
    </w:pPr>
    <w:rPr>
      <w:rFonts w:ascii="仿宋_GB2312" w:eastAsia="仿宋_GB2312"/>
      <w:sz w:val="28"/>
    </w:rPr>
  </w:style>
  <w:style w:type="paragraph" w:styleId="16">
    <w:name w:val="toc 2"/>
    <w:basedOn w:val="1"/>
    <w:next w:val="1"/>
    <w:qFormat/>
    <w:uiPriority w:val="0"/>
    <w:pPr>
      <w:ind w:left="420" w:leftChars="200"/>
    </w:pPr>
  </w:style>
  <w:style w:type="paragraph" w:styleId="17">
    <w:name w:val="Normal (Web)"/>
    <w:basedOn w:val="1"/>
    <w:qFormat/>
    <w:uiPriority w:val="0"/>
    <w:pPr>
      <w:spacing w:before="100" w:beforeAutospacing="1" w:after="100" w:afterAutospacing="1"/>
      <w:jc w:val="left"/>
    </w:pPr>
    <w:rPr>
      <w:kern w:val="0"/>
      <w:sz w:val="24"/>
    </w:rPr>
  </w:style>
  <w:style w:type="paragraph" w:styleId="18">
    <w:name w:val="Title"/>
    <w:basedOn w:val="1"/>
    <w:next w:val="1"/>
    <w:qFormat/>
    <w:uiPriority w:val="0"/>
    <w:pPr>
      <w:jc w:val="center"/>
      <w:outlineLvl w:val="0"/>
    </w:pPr>
    <w:rPr>
      <w:rFonts w:ascii="Arial" w:hAnsi="Arial"/>
      <w:b/>
      <w:sz w:val="28"/>
      <w:szCs w:val="20"/>
    </w:rPr>
  </w:style>
  <w:style w:type="character" w:styleId="20">
    <w:name w:val="Strong"/>
    <w:basedOn w:val="19"/>
    <w:qFormat/>
    <w:uiPriority w:val="0"/>
    <w:rPr>
      <w:b/>
    </w:rPr>
  </w:style>
  <w:style w:type="character" w:styleId="21">
    <w:name w:val="page number"/>
    <w:basedOn w:val="22"/>
    <w:qFormat/>
    <w:uiPriority w:val="0"/>
  </w:style>
  <w:style w:type="character" w:customStyle="1" w:styleId="22">
    <w:name w:val="默认段落字体1"/>
    <w:qFormat/>
    <w:uiPriority w:val="0"/>
  </w:style>
  <w:style w:type="character" w:styleId="23">
    <w:name w:val="annotation reference"/>
    <w:basedOn w:val="19"/>
    <w:qFormat/>
    <w:uiPriority w:val="0"/>
    <w:rPr>
      <w:sz w:val="21"/>
      <w:szCs w:val="21"/>
    </w:rPr>
  </w:style>
  <w:style w:type="character" w:styleId="24">
    <w:name w:val="footnote reference"/>
    <w:basedOn w:val="19"/>
    <w:unhideWhenUsed/>
    <w:qFormat/>
    <w:uiPriority w:val="99"/>
    <w:rPr>
      <w:vertAlign w:val="superscript"/>
    </w:r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7">
    <w:name w:val="Header Base"/>
    <w:basedOn w:val="7"/>
    <w:qFormat/>
    <w:uiPriority w:val="0"/>
    <w:pPr>
      <w:keepLines/>
      <w:widowControl/>
      <w:tabs>
        <w:tab w:val="center" w:pos="4320"/>
        <w:tab w:val="right" w:pos="8640"/>
      </w:tabs>
      <w:suppressAutoHyphens/>
      <w:spacing w:line="180" w:lineRule="atLeast"/>
    </w:pPr>
    <w:rPr>
      <w:rFonts w:ascii="Arial" w:hAnsi="Arial" w:eastAsia="微软简楷体"/>
      <w:spacing w:val="-5"/>
      <w:kern w:val="0"/>
      <w:sz w:val="24"/>
      <w:szCs w:val="20"/>
    </w:rPr>
  </w:style>
  <w:style w:type="character" w:customStyle="1" w:styleId="28">
    <w:name w:val="标题 2 字符"/>
    <w:link w:val="3"/>
    <w:qFormat/>
    <w:uiPriority w:val="0"/>
    <w:rPr>
      <w:rFonts w:ascii="Arial" w:hAnsi="Arial" w:eastAsia="仿宋_GB2312"/>
      <w:b/>
      <w:sz w:val="32"/>
    </w:rPr>
  </w:style>
  <w:style w:type="paragraph" w:styleId="29">
    <w:name w:val="List Paragraph"/>
    <w:basedOn w:val="1"/>
    <w:unhideWhenUsed/>
    <w:qFormat/>
    <w:uiPriority w:val="99"/>
    <w:pPr>
      <w:ind w:firstLine="420" w:firstLineChars="200"/>
    </w:pPr>
  </w:style>
  <w:style w:type="paragraph" w:styleId="30">
    <w:name w:val="No Spacing"/>
    <w:qFormat/>
    <w:uiPriority w:val="1"/>
    <w:rPr>
      <w:rFonts w:asciiTheme="minorHAnsi" w:hAnsiTheme="minorHAnsi" w:eastAsiaTheme="minorEastAsia" w:cstheme="minorBidi"/>
      <w:sz w:val="22"/>
      <w:szCs w:val="22"/>
      <w:lang w:val="en-US" w:eastAsia="en-US" w:bidi="ar-SA"/>
    </w:rPr>
  </w:style>
  <w:style w:type="table" w:customStyle="1" w:styleId="31">
    <w:name w:val="Table Normal"/>
    <w:semiHidden/>
    <w:unhideWhenUsed/>
    <w:qFormat/>
    <w:uiPriority w:val="2"/>
    <w:tblPr>
      <w:tblLayout w:type="fixed"/>
      <w:tblCellMar>
        <w:top w:w="0" w:type="dxa"/>
        <w:left w:w="0" w:type="dxa"/>
        <w:bottom w:w="0" w:type="dxa"/>
        <w:right w:w="0" w:type="dxa"/>
      </w:tblCellMar>
    </w:tblPr>
  </w:style>
  <w:style w:type="character" w:customStyle="1" w:styleId="32">
    <w:name w:val="批注文字 字符"/>
    <w:basedOn w:val="19"/>
    <w:link w:val="6"/>
    <w:qFormat/>
    <w:uiPriority w:val="0"/>
    <w:rPr>
      <w:rFonts w:ascii="Calibri" w:hAnsi="Calibri"/>
      <w:kern w:val="2"/>
      <w:sz w:val="21"/>
      <w:szCs w:val="24"/>
    </w:rPr>
  </w:style>
  <w:style w:type="character" w:customStyle="1" w:styleId="33">
    <w:name w:val="批注主题 字符"/>
    <w:basedOn w:val="32"/>
    <w:link w:val="5"/>
    <w:qFormat/>
    <w:uiPriority w:val="0"/>
    <w:rPr>
      <w:rFonts w:ascii="Calibri" w:hAnsi="Calibri"/>
      <w:b/>
      <w:bCs/>
      <w:kern w:val="2"/>
      <w:sz w:val="21"/>
      <w:szCs w:val="24"/>
    </w:rPr>
  </w:style>
  <w:style w:type="paragraph" w:customStyle="1" w:styleId="34">
    <w:name w:val="修订1"/>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AB3825-85F1-4A20-8A42-AE1D66AC5CAB}">
  <ds:schemaRefs/>
</ds:datastoreItem>
</file>

<file path=docProps/app.xml><?xml version="1.0" encoding="utf-8"?>
<Properties xmlns="http://schemas.openxmlformats.org/officeDocument/2006/extended-properties" xmlns:vt="http://schemas.openxmlformats.org/officeDocument/2006/docPropsVTypes">
  <Template>Normal</Template>
  <Company>MS User</Company>
  <Pages>30</Pages>
  <Words>1928</Words>
  <Characters>10992</Characters>
  <Lines>91</Lines>
  <Paragraphs>25</Paragraphs>
  <TotalTime>5</TotalTime>
  <ScaleCrop>false</ScaleCrop>
  <LinksUpToDate>false</LinksUpToDate>
  <CharactersWithSpaces>12895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2008-10-14T01:13:00Z</dcterms:created>
  <dc:creator>合同科科长</dc:creator>
  <cp:lastModifiedBy>慢先生</cp:lastModifiedBy>
  <cp:lastPrinted>2018-09-17T06:25:00Z</cp:lastPrinted>
  <dcterms:modified xsi:type="dcterms:W3CDTF">2019-11-20T03:33:22Z</dcterms:modified>
  <dc:title>**——[年度]——****           合同编号：**区（县）****号</dc:title>
  <cp:revision>584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