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tbl>
      <w:tblPr>
        <w:tblStyle w:val="18"/>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6" w:hRule="atLeast"/>
          <w:jc w:val="center"/>
        </w:trPr>
        <w:tc>
          <w:tcPr>
            <w:tcW w:w="9286" w:type="dxa"/>
            <w:tcBorders>
              <w:bottom w:val="single" w:color="4F81BD" w:sz="4" w:space="0"/>
            </w:tcBorders>
            <w:vAlign w:val="center"/>
          </w:tcPr>
          <w:p>
            <w:pPr>
              <w:pStyle w:val="23"/>
              <w:jc w:val="center"/>
              <w:rPr>
                <w:rFonts w:hint="eastAsia" w:ascii="宋体" w:hAnsi="宋体"/>
                <w:b/>
                <w:sz w:val="44"/>
                <w:szCs w:val="52"/>
              </w:rPr>
            </w:pPr>
            <w:r>
              <w:rPr>
                <w:rFonts w:hint="eastAsia" w:ascii="宋体" w:hAnsi="宋体"/>
                <w:b/>
                <w:sz w:val="44"/>
                <w:szCs w:val="52"/>
              </w:rPr>
              <w:t>业主</w:t>
            </w:r>
            <w:r>
              <w:rPr>
                <w:rFonts w:hint="eastAsia" w:ascii="宋体" w:hAnsi="宋体"/>
                <w:b/>
                <w:sz w:val="44"/>
                <w:szCs w:val="52"/>
                <w:lang w:eastAsia="zh-CN"/>
              </w:rPr>
              <w:t>共有资金</w:t>
            </w:r>
            <w:r>
              <w:rPr>
                <w:rFonts w:hint="eastAsia" w:ascii="宋体" w:hAnsi="宋体"/>
                <w:b/>
                <w:sz w:val="44"/>
                <w:szCs w:val="52"/>
              </w:rPr>
              <w:t>会计核算手册</w:t>
            </w:r>
          </w:p>
          <w:p>
            <w:pPr>
              <w:pStyle w:val="23"/>
              <w:jc w:val="center"/>
              <w:rPr>
                <w:rFonts w:hint="eastAsia" w:ascii="宋体" w:hAnsi="宋体" w:eastAsia="宋体"/>
                <w:b/>
                <w:sz w:val="44"/>
                <w:szCs w:val="52"/>
                <w:lang w:eastAsia="zh-CN"/>
              </w:rPr>
            </w:pPr>
            <w:r>
              <w:rPr>
                <w:rFonts w:hint="eastAsia" w:ascii="宋体" w:hAnsi="宋体"/>
                <w:b/>
                <w:sz w:val="44"/>
                <w:szCs w:val="52"/>
                <w:lang w:eastAsia="zh-CN"/>
              </w:rPr>
              <w:t>（征求意见稿）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4" w:hRule="atLeast"/>
          <w:jc w:val="center"/>
        </w:trPr>
        <w:tc>
          <w:tcPr>
            <w:tcW w:w="9286" w:type="dxa"/>
            <w:tcBorders>
              <w:top w:val="single" w:color="4F81BD" w:sz="4" w:space="0"/>
            </w:tcBorders>
            <w:vAlign w:val="center"/>
          </w:tcPr>
          <w:p>
            <w:pPr>
              <w:pStyle w:val="23"/>
              <w:jc w:val="center"/>
              <w:rPr>
                <w:rFonts w:ascii="宋体" w:hAnsi="宋体" w:cs="黑体"/>
                <w:sz w:val="32"/>
                <w:szCs w:val="32"/>
              </w:rPr>
            </w:pPr>
            <w:r>
              <w:rPr>
                <w:rFonts w:hint="eastAsia" w:ascii="宋体" w:hAnsi="宋体" w:cs="黑体"/>
                <w:sz w:val="32"/>
                <w:szCs w:val="32"/>
              </w:rPr>
              <w:t>【2019版】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286" w:type="dxa"/>
            <w:vAlign w:val="center"/>
          </w:tcPr>
          <w:p>
            <w:pPr>
              <w:pStyle w:val="23"/>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286" w:type="dxa"/>
            <w:vAlign w:val="center"/>
          </w:tcPr>
          <w:p>
            <w:pPr>
              <w:pStyle w:val="23"/>
              <w:jc w:val="center"/>
              <w:rPr>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9286" w:type="dxa"/>
            <w:vAlign w:val="center"/>
          </w:tcPr>
          <w:p>
            <w:pPr>
              <w:pStyle w:val="23"/>
              <w:jc w:val="center"/>
              <w:rPr>
                <w:b/>
                <w:bCs/>
              </w:rPr>
            </w:pPr>
          </w:p>
        </w:tc>
      </w:tr>
    </w:tbl>
    <w:p/>
    <w:p/>
    <w:p/>
    <w:tbl>
      <w:tblPr>
        <w:tblStyle w:val="18"/>
        <w:tblpPr w:leftFromText="187" w:rightFromText="187" w:vertAnchor="page" w:horzAnchor="margin" w:tblpXSpec="left" w:tblpY="13216"/>
        <w:tblW w:w="9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286" w:type="dxa"/>
            <w:vAlign w:val="top"/>
          </w:tcPr>
          <w:p>
            <w:pPr>
              <w:pStyle w:val="23"/>
              <w:jc w:val="center"/>
              <w:rPr>
                <w:rFonts w:ascii="宋体" w:hAnsi="宋体"/>
                <w:b/>
                <w:sz w:val="24"/>
              </w:rPr>
            </w:pPr>
            <w:r>
              <w:rPr>
                <w:rFonts w:hint="eastAsia" w:ascii="宋体" w:hAnsi="宋体"/>
                <w:b/>
                <w:sz w:val="24"/>
              </w:rPr>
              <w:t>2019年X月</w:t>
            </w:r>
          </w:p>
        </w:tc>
      </w:tr>
    </w:tbl>
    <w:p>
      <w:pPr>
        <w:widowControl/>
        <w:jc w:val="left"/>
        <w:rPr>
          <w:rFonts w:ascii="黑体" w:hAnsi="黑体" w:eastAsia="黑体"/>
          <w:sz w:val="52"/>
          <w:szCs w:val="52"/>
        </w:rPr>
      </w:pPr>
      <w:r>
        <w:rPr>
          <w:rFonts w:ascii="黑体" w:hAnsi="黑体" w:eastAsia="黑体"/>
          <w:sz w:val="52"/>
          <w:szCs w:val="52"/>
        </w:rPr>
        <w:t xml:space="preserve"> </w:t>
      </w:r>
      <w:r>
        <w:rPr>
          <w:rFonts w:ascii="黑体" w:hAnsi="黑体" w:eastAsia="黑体"/>
          <w:sz w:val="52"/>
          <w:szCs w:val="52"/>
        </w:rPr>
        <w:br w:type="page"/>
      </w:r>
    </w:p>
    <w:p/>
    <w:p>
      <w:pPr>
        <w:pStyle w:val="24"/>
        <w:spacing w:before="0" w:line="240" w:lineRule="auto"/>
        <w:jc w:val="center"/>
        <w:rPr>
          <w:rFonts w:hint="eastAsia" w:ascii="宋体" w:hAnsi="宋体" w:eastAsia="宋体" w:cs="宋体"/>
          <w:color w:val="auto"/>
          <w:sz w:val="44"/>
          <w:szCs w:val="44"/>
        </w:rPr>
      </w:pPr>
      <w:bookmarkStart w:id="29" w:name="_GoBack"/>
      <w:r>
        <w:rPr>
          <w:rFonts w:hint="eastAsia" w:ascii="宋体" w:hAnsi="宋体" w:eastAsia="宋体" w:cs="宋体"/>
          <w:color w:val="auto"/>
          <w:sz w:val="44"/>
          <w:szCs w:val="44"/>
          <w:lang w:val="zh-CN"/>
        </w:rPr>
        <w:t>目    录</w:t>
      </w:r>
    </w:p>
    <w:bookmarkEnd w:id="29"/>
    <w:p>
      <w:pPr>
        <w:pStyle w:val="11"/>
        <w:spacing w:line="360" w:lineRule="exact"/>
        <w:rPr>
          <w:kern w:val="2"/>
          <w:sz w:val="21"/>
        </w:rPr>
      </w:pPr>
      <w:r>
        <w:fldChar w:fldCharType="begin"/>
      </w:r>
      <w:r>
        <w:instrText xml:space="preserve"> TOC \o "1-3" \h \z \u </w:instrText>
      </w:r>
      <w:r>
        <w:fldChar w:fldCharType="separate"/>
      </w:r>
      <w:r>
        <w:fldChar w:fldCharType="begin"/>
      </w:r>
      <w:r>
        <w:instrText xml:space="preserve">HYPERLINK  \l "_Toc15388344" </w:instrText>
      </w:r>
      <w:r>
        <w:fldChar w:fldCharType="separate"/>
      </w:r>
      <w:r>
        <w:rPr>
          <w:rStyle w:val="16"/>
          <w:rFonts w:hint="eastAsia"/>
        </w:rPr>
        <w:t>前</w:t>
      </w:r>
      <w:r>
        <w:rPr>
          <w:rStyle w:val="16"/>
        </w:rPr>
        <w:t xml:space="preserve">  </w:t>
      </w:r>
      <w:r>
        <w:rPr>
          <w:rStyle w:val="16"/>
          <w:rFonts w:hint="eastAsia"/>
        </w:rPr>
        <w:t>言</w:t>
      </w:r>
      <w:r>
        <w:tab/>
      </w:r>
      <w:r>
        <w:fldChar w:fldCharType="begin"/>
      </w:r>
      <w:r>
        <w:instrText xml:space="preserve"> PAGEREF _Toc15388344 \h </w:instrText>
      </w:r>
      <w:r>
        <w:fldChar w:fldCharType="separate"/>
      </w:r>
      <w:r>
        <w:t>2</w:t>
      </w:r>
      <w:r>
        <w:fldChar w:fldCharType="end"/>
      </w:r>
      <w:r>
        <w:fldChar w:fldCharType="end"/>
      </w:r>
    </w:p>
    <w:p>
      <w:pPr>
        <w:pStyle w:val="11"/>
        <w:spacing w:line="360" w:lineRule="exact"/>
        <w:rPr>
          <w:kern w:val="2"/>
          <w:sz w:val="21"/>
        </w:rPr>
      </w:pPr>
      <w:r>
        <w:fldChar w:fldCharType="begin"/>
      </w:r>
      <w:r>
        <w:instrText xml:space="preserve">HYPERLINK  \l "_Toc15388345" </w:instrText>
      </w:r>
      <w:r>
        <w:fldChar w:fldCharType="separate"/>
      </w:r>
      <w:r>
        <w:rPr>
          <w:rStyle w:val="16"/>
          <w:rFonts w:hint="eastAsia"/>
        </w:rPr>
        <w:t>第一部分</w:t>
      </w:r>
      <w:r>
        <w:rPr>
          <w:rStyle w:val="16"/>
        </w:rPr>
        <w:t xml:space="preserve">  </w:t>
      </w:r>
      <w:r>
        <w:rPr>
          <w:rStyle w:val="16"/>
          <w:rFonts w:hint="eastAsia"/>
        </w:rPr>
        <w:t>会计制度</w:t>
      </w:r>
      <w:r>
        <w:tab/>
      </w:r>
      <w:r>
        <w:fldChar w:fldCharType="begin"/>
      </w:r>
      <w:r>
        <w:instrText xml:space="preserve"> PAGEREF _Toc15388345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"_Toc15388346" </w:instrText>
      </w:r>
      <w:r>
        <w:fldChar w:fldCharType="separate"/>
      </w:r>
      <w:r>
        <w:rPr>
          <w:rStyle w:val="16"/>
          <w:rFonts w:hint="eastAsia"/>
        </w:rPr>
        <w:t>第一章</w:t>
      </w:r>
      <w:r>
        <w:rPr>
          <w:rStyle w:val="16"/>
        </w:rPr>
        <w:t xml:space="preserve">  </w:t>
      </w:r>
      <w:r>
        <w:rPr>
          <w:rStyle w:val="16"/>
          <w:rFonts w:hint="eastAsia"/>
        </w:rPr>
        <w:t>总则</w:t>
      </w:r>
      <w:r>
        <w:tab/>
      </w:r>
      <w:r>
        <w:fldChar w:fldCharType="begin"/>
      </w:r>
      <w:r>
        <w:instrText xml:space="preserve"> PAGEREF _Toc15388346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"_Toc15388347" </w:instrText>
      </w:r>
      <w:r>
        <w:fldChar w:fldCharType="separate"/>
      </w:r>
      <w:r>
        <w:rPr>
          <w:rStyle w:val="16"/>
          <w:rFonts w:hint="eastAsia"/>
        </w:rPr>
        <w:t>第二章</w:t>
      </w:r>
      <w:r>
        <w:rPr>
          <w:rStyle w:val="16"/>
        </w:rPr>
        <w:t xml:space="preserve">  </w:t>
      </w:r>
      <w:r>
        <w:rPr>
          <w:rStyle w:val="16"/>
          <w:rFonts w:hint="eastAsia"/>
        </w:rPr>
        <w:t>资产</w:t>
      </w:r>
      <w:r>
        <w:tab/>
      </w:r>
      <w:r>
        <w:fldChar w:fldCharType="begin"/>
      </w:r>
      <w:r>
        <w:instrText xml:space="preserve"> PAGEREF _Toc15388347 \h </w:instrText>
      </w:r>
      <w:r>
        <w:fldChar w:fldCharType="separate"/>
      </w:r>
      <w:r>
        <w:t>4</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"_Toc15388348" </w:instrText>
      </w:r>
      <w:r>
        <w:fldChar w:fldCharType="separate"/>
      </w:r>
      <w:r>
        <w:rPr>
          <w:rStyle w:val="16"/>
          <w:rFonts w:hint="eastAsia"/>
        </w:rPr>
        <w:t>第三章</w:t>
      </w:r>
      <w:r>
        <w:rPr>
          <w:rStyle w:val="16"/>
        </w:rPr>
        <w:t xml:space="preserve">  </w:t>
      </w:r>
      <w:r>
        <w:rPr>
          <w:rStyle w:val="16"/>
          <w:rFonts w:hint="eastAsia"/>
        </w:rPr>
        <w:t>负债</w:t>
      </w:r>
      <w:r>
        <w:tab/>
      </w:r>
      <w:r>
        <w:fldChar w:fldCharType="begin"/>
      </w:r>
      <w:r>
        <w:instrText xml:space="preserve"> PAGEREF _Toc15388348 \h </w:instrText>
      </w:r>
      <w:r>
        <w:fldChar w:fldCharType="separate"/>
      </w:r>
      <w:r>
        <w:t>9</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"_Toc15388349" </w:instrText>
      </w:r>
      <w:r>
        <w:fldChar w:fldCharType="separate"/>
      </w:r>
      <w:r>
        <w:rPr>
          <w:rStyle w:val="16"/>
          <w:rFonts w:hint="eastAsia"/>
        </w:rPr>
        <w:t>第四章</w:t>
      </w:r>
      <w:r>
        <w:rPr>
          <w:rStyle w:val="16"/>
        </w:rPr>
        <w:t xml:space="preserve">  </w:t>
      </w:r>
      <w:r>
        <w:rPr>
          <w:rStyle w:val="16"/>
          <w:rFonts w:hint="eastAsia"/>
        </w:rPr>
        <w:t>净资产</w:t>
      </w:r>
      <w:r>
        <w:tab/>
      </w:r>
      <w:r>
        <w:fldChar w:fldCharType="begin"/>
      </w:r>
      <w:r>
        <w:instrText xml:space="preserve"> PAGEREF _Toc15388349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"_Toc15388350" </w:instrText>
      </w:r>
      <w:r>
        <w:fldChar w:fldCharType="separate"/>
      </w:r>
      <w:r>
        <w:rPr>
          <w:rStyle w:val="16"/>
          <w:rFonts w:hint="eastAsia"/>
        </w:rPr>
        <w:t>第五章</w:t>
      </w:r>
      <w:r>
        <w:rPr>
          <w:rStyle w:val="16"/>
        </w:rPr>
        <w:t xml:space="preserve">  </w:t>
      </w:r>
      <w:r>
        <w:rPr>
          <w:rStyle w:val="16"/>
          <w:rFonts w:hint="eastAsia"/>
        </w:rPr>
        <w:t>收入</w:t>
      </w:r>
      <w:r>
        <w:tab/>
      </w:r>
      <w:r>
        <w:fldChar w:fldCharType="begin"/>
      </w:r>
      <w:r>
        <w:instrText xml:space="preserve"> PAGEREF _Toc15388350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"_Toc15388351" </w:instrText>
      </w:r>
      <w:r>
        <w:fldChar w:fldCharType="separate"/>
      </w:r>
      <w:r>
        <w:rPr>
          <w:rStyle w:val="16"/>
          <w:rFonts w:hint="eastAsia"/>
        </w:rPr>
        <w:t>第六章</w:t>
      </w:r>
      <w:r>
        <w:rPr>
          <w:rStyle w:val="16"/>
        </w:rPr>
        <w:t xml:space="preserve">  </w:t>
      </w:r>
      <w:r>
        <w:rPr>
          <w:rStyle w:val="16"/>
          <w:rFonts w:hint="eastAsia"/>
        </w:rPr>
        <w:t>费用</w:t>
      </w:r>
      <w:r>
        <w:tab/>
      </w:r>
      <w:r>
        <w:fldChar w:fldCharType="begin"/>
      </w:r>
      <w:r>
        <w:instrText xml:space="preserve"> PAGEREF _Toc15388351 \h </w:instrText>
      </w:r>
      <w:r>
        <w:fldChar w:fldCharType="separate"/>
      </w:r>
      <w:r>
        <w:t>12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"_Toc15388352" </w:instrText>
      </w:r>
      <w:r>
        <w:fldChar w:fldCharType="separate"/>
      </w:r>
      <w:r>
        <w:rPr>
          <w:rStyle w:val="16"/>
          <w:rFonts w:hint="eastAsia"/>
        </w:rPr>
        <w:t>第七章</w:t>
      </w:r>
      <w:r>
        <w:rPr>
          <w:rStyle w:val="16"/>
        </w:rPr>
        <w:t xml:space="preserve">  </w:t>
      </w:r>
      <w:r>
        <w:rPr>
          <w:rStyle w:val="16"/>
          <w:rFonts w:hint="eastAsia"/>
        </w:rPr>
        <w:t>财务会计报告</w:t>
      </w:r>
      <w:r>
        <w:tab/>
      </w:r>
      <w:r>
        <w:fldChar w:fldCharType="begin"/>
      </w:r>
      <w:r>
        <w:instrText xml:space="preserve"> PAGEREF _Toc15388352 \h </w:instrText>
      </w:r>
      <w:r>
        <w:fldChar w:fldCharType="separate"/>
      </w:r>
      <w:r>
        <w:t>13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"_Toc15388353" </w:instrText>
      </w:r>
      <w:r>
        <w:fldChar w:fldCharType="separate"/>
      </w:r>
      <w:r>
        <w:rPr>
          <w:rStyle w:val="16"/>
          <w:rFonts w:hint="eastAsia"/>
        </w:rPr>
        <w:t>第八章</w:t>
      </w:r>
      <w:r>
        <w:rPr>
          <w:rStyle w:val="16"/>
        </w:rPr>
        <w:t xml:space="preserve">  </w:t>
      </w:r>
      <w:r>
        <w:rPr>
          <w:rStyle w:val="16"/>
          <w:rFonts w:hint="eastAsia"/>
        </w:rPr>
        <w:t>附则</w:t>
      </w:r>
      <w:r>
        <w:tab/>
      </w:r>
      <w:r>
        <w:fldChar w:fldCharType="begin"/>
      </w:r>
      <w:r>
        <w:instrText xml:space="preserve"> PAGEREF _Toc15388353 \h </w:instrText>
      </w:r>
      <w:r>
        <w:fldChar w:fldCharType="separate"/>
      </w:r>
      <w:r>
        <w:t>16</w:t>
      </w:r>
      <w:r>
        <w:fldChar w:fldCharType="end"/>
      </w:r>
      <w:r>
        <w:fldChar w:fldCharType="end"/>
      </w:r>
    </w:p>
    <w:p>
      <w:pPr>
        <w:pStyle w:val="11"/>
        <w:spacing w:line="360" w:lineRule="exact"/>
        <w:rPr>
          <w:kern w:val="2"/>
          <w:sz w:val="21"/>
        </w:rPr>
      </w:pPr>
      <w:r>
        <w:fldChar w:fldCharType="begin"/>
      </w:r>
      <w:r>
        <w:instrText xml:space="preserve">HYPERLINK  \l "_Toc15388354" </w:instrText>
      </w:r>
      <w:r>
        <w:fldChar w:fldCharType="separate"/>
      </w:r>
      <w:r>
        <w:rPr>
          <w:rStyle w:val="16"/>
          <w:rFonts w:hint="eastAsia"/>
        </w:rPr>
        <w:t>第二部分</w:t>
      </w:r>
      <w:r>
        <w:rPr>
          <w:rStyle w:val="16"/>
        </w:rPr>
        <w:t xml:space="preserve">  </w:t>
      </w:r>
      <w:r>
        <w:rPr>
          <w:rStyle w:val="16"/>
          <w:rFonts w:hint="eastAsia"/>
        </w:rPr>
        <w:t>会计科目使用说明</w:t>
      </w:r>
      <w:r>
        <w:tab/>
      </w:r>
      <w:r>
        <w:fldChar w:fldCharType="begin"/>
      </w:r>
      <w:r>
        <w:instrText xml:space="preserve"> PAGEREF _Toc15388354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"_Toc15388355"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_Toc15388355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"_Toc15388356" </w:instrText>
      </w:r>
      <w:r>
        <w:fldChar w:fldCharType="separate"/>
      </w:r>
      <w:r>
        <w:rPr>
          <w:rStyle w:val="16"/>
          <w:rFonts w:hint="eastAsia"/>
        </w:rPr>
        <w:t>第二章</w:t>
      </w:r>
      <w:r>
        <w:rPr>
          <w:rStyle w:val="16"/>
        </w:rPr>
        <w:t xml:space="preserve">  </w:t>
      </w:r>
      <w:r>
        <w:rPr>
          <w:rStyle w:val="16"/>
          <w:rFonts w:hint="eastAsia"/>
        </w:rPr>
        <w:t>会计科目名称和编号</w:t>
      </w:r>
      <w:r>
        <w:tab/>
      </w:r>
      <w:r>
        <w:fldChar w:fldCharType="begin"/>
      </w:r>
      <w:r>
        <w:instrText xml:space="preserve"> PAGEREF _Toc15388356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"_Toc15388357" </w:instrText>
      </w:r>
      <w:r>
        <w:fldChar w:fldCharType="separate"/>
      </w:r>
      <w:r>
        <w:rPr>
          <w:rStyle w:val="16"/>
          <w:rFonts w:hint="eastAsia"/>
        </w:rPr>
        <w:t>第三章</w:t>
      </w:r>
      <w:r>
        <w:rPr>
          <w:rStyle w:val="16"/>
        </w:rPr>
        <w:t xml:space="preserve">  </w:t>
      </w:r>
      <w:r>
        <w:rPr>
          <w:rStyle w:val="16"/>
          <w:rFonts w:hint="eastAsia"/>
        </w:rPr>
        <w:t>资产类会计科目</w:t>
      </w:r>
      <w:r>
        <w:tab/>
      </w:r>
      <w:r>
        <w:fldChar w:fldCharType="begin"/>
      </w:r>
      <w:r>
        <w:instrText xml:space="preserve"> PAGEREF _Toc15388357 \h </w:instrText>
      </w:r>
      <w:r>
        <w:fldChar w:fldCharType="separate"/>
      </w:r>
      <w:r>
        <w:t>18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"_Toc15388358" </w:instrText>
      </w:r>
      <w:r>
        <w:fldChar w:fldCharType="separate"/>
      </w:r>
      <w:r>
        <w:rPr>
          <w:rStyle w:val="16"/>
          <w:rFonts w:hint="eastAsia"/>
        </w:rPr>
        <w:t>第四章</w:t>
      </w:r>
      <w:r>
        <w:rPr>
          <w:rStyle w:val="16"/>
        </w:rPr>
        <w:t xml:space="preserve">  </w:t>
      </w:r>
      <w:r>
        <w:rPr>
          <w:rStyle w:val="16"/>
          <w:rFonts w:hint="eastAsia"/>
        </w:rPr>
        <w:t>负债类会计科目</w:t>
      </w:r>
      <w:r>
        <w:tab/>
      </w:r>
      <w:r>
        <w:fldChar w:fldCharType="begin"/>
      </w:r>
      <w:r>
        <w:instrText xml:space="preserve"> PAGEREF _Toc15388358 \h </w:instrText>
      </w:r>
      <w:r>
        <w:fldChar w:fldCharType="separate"/>
      </w:r>
      <w:r>
        <w:t>28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"_Toc15388359" </w:instrText>
      </w:r>
      <w:r>
        <w:fldChar w:fldCharType="separate"/>
      </w:r>
      <w:r>
        <w:rPr>
          <w:rStyle w:val="16"/>
          <w:rFonts w:hint="eastAsia"/>
        </w:rPr>
        <w:t>第五章</w:t>
      </w:r>
      <w:r>
        <w:rPr>
          <w:rStyle w:val="16"/>
        </w:rPr>
        <w:t xml:space="preserve">  </w:t>
      </w:r>
      <w:r>
        <w:rPr>
          <w:rStyle w:val="16"/>
          <w:rFonts w:hint="eastAsia"/>
        </w:rPr>
        <w:t>净资产类会计科目</w:t>
      </w:r>
      <w:r>
        <w:tab/>
      </w:r>
      <w:r>
        <w:fldChar w:fldCharType="begin"/>
      </w:r>
      <w:r>
        <w:instrText xml:space="preserve"> PAGEREF _Toc15388359 \h </w:instrText>
      </w:r>
      <w:r>
        <w:fldChar w:fldCharType="separate"/>
      </w:r>
      <w:r>
        <w:t>31</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"_Toc15388360" </w:instrText>
      </w:r>
      <w:r>
        <w:fldChar w:fldCharType="separate"/>
      </w:r>
      <w:r>
        <w:rPr>
          <w:rStyle w:val="16"/>
          <w:rFonts w:hint="eastAsia"/>
        </w:rPr>
        <w:t>第六章</w:t>
      </w:r>
      <w:r>
        <w:rPr>
          <w:rStyle w:val="16"/>
        </w:rPr>
        <w:t xml:space="preserve">  </w:t>
      </w:r>
      <w:r>
        <w:rPr>
          <w:rStyle w:val="16"/>
          <w:rFonts w:hint="eastAsia"/>
        </w:rPr>
        <w:t>收入类会计科目</w:t>
      </w:r>
      <w:r>
        <w:tab/>
      </w:r>
      <w:r>
        <w:fldChar w:fldCharType="begin"/>
      </w:r>
      <w:r>
        <w:instrText xml:space="preserve"> PAGEREF _Toc15388360 \h </w:instrText>
      </w:r>
      <w:r>
        <w:fldChar w:fldCharType="separate"/>
      </w:r>
      <w:r>
        <w:t>32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"_Toc15388361" </w:instrText>
      </w:r>
      <w:r>
        <w:fldChar w:fldCharType="separate"/>
      </w:r>
      <w:r>
        <w:rPr>
          <w:rStyle w:val="16"/>
          <w:rFonts w:hint="eastAsia"/>
        </w:rPr>
        <w:t>第七章</w:t>
      </w:r>
      <w:r>
        <w:rPr>
          <w:rStyle w:val="16"/>
        </w:rPr>
        <w:t xml:space="preserve">  </w:t>
      </w:r>
      <w:r>
        <w:rPr>
          <w:rStyle w:val="16"/>
          <w:rFonts w:hint="eastAsia"/>
        </w:rPr>
        <w:t>费用类会计科目</w:t>
      </w:r>
      <w:r>
        <w:tab/>
      </w:r>
      <w:r>
        <w:fldChar w:fldCharType="begin"/>
      </w:r>
      <w:r>
        <w:instrText xml:space="preserve"> PAGEREF _Toc15388361 \h </w:instrText>
      </w:r>
      <w:r>
        <w:fldChar w:fldCharType="separate"/>
      </w:r>
      <w:r>
        <w:t>34</w:t>
      </w:r>
      <w:r>
        <w:fldChar w:fldCharType="end"/>
      </w:r>
      <w:r>
        <w:fldChar w:fldCharType="end"/>
      </w:r>
    </w:p>
    <w:p>
      <w:pPr>
        <w:pStyle w:val="11"/>
        <w:spacing w:line="360" w:lineRule="exact"/>
        <w:rPr>
          <w:kern w:val="2"/>
          <w:sz w:val="21"/>
        </w:rPr>
      </w:pPr>
      <w:r>
        <w:fldChar w:fldCharType="begin"/>
      </w:r>
      <w:r>
        <w:instrText xml:space="preserve">HYPERLINK  \l "_Toc15388362" </w:instrText>
      </w:r>
      <w:r>
        <w:fldChar w:fldCharType="separate"/>
      </w:r>
      <w:r>
        <w:rPr>
          <w:rStyle w:val="16"/>
          <w:rFonts w:hint="eastAsia"/>
        </w:rPr>
        <w:t>第三部分</w:t>
      </w:r>
      <w:r>
        <w:rPr>
          <w:rStyle w:val="16"/>
        </w:rPr>
        <w:t xml:space="preserve">  </w:t>
      </w:r>
      <w:r>
        <w:rPr>
          <w:rStyle w:val="16"/>
          <w:rFonts w:hint="eastAsia"/>
        </w:rPr>
        <w:t>会计报表编制说明</w:t>
      </w:r>
      <w:r>
        <w:tab/>
      </w:r>
      <w:r>
        <w:fldChar w:fldCharType="begin"/>
      </w:r>
      <w:r>
        <w:instrText xml:space="preserve"> PAGEREF _Toc15388362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"_Toc15388363" </w:instrText>
      </w:r>
      <w:r>
        <w:fldChar w:fldCharType="separate"/>
      </w:r>
      <w:r>
        <w:rPr>
          <w:rStyle w:val="16"/>
          <w:rFonts w:hint="eastAsia"/>
        </w:rPr>
        <w:t>第一章</w:t>
      </w:r>
      <w:r>
        <w:rPr>
          <w:rStyle w:val="16"/>
        </w:rPr>
        <w:t xml:space="preserve">  </w:t>
      </w:r>
      <w:r>
        <w:rPr>
          <w:rStyle w:val="16"/>
          <w:rFonts w:hint="eastAsia"/>
        </w:rPr>
        <w:t>资产负债表编制说明</w:t>
      </w:r>
      <w:r>
        <w:tab/>
      </w:r>
      <w:r>
        <w:fldChar w:fldCharType="begin"/>
      </w:r>
      <w:r>
        <w:instrText xml:space="preserve"> PAGEREF _Toc15388363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"_Toc15388364" </w:instrText>
      </w:r>
      <w:r>
        <w:fldChar w:fldCharType="separate"/>
      </w:r>
      <w:r>
        <w:rPr>
          <w:rStyle w:val="16"/>
          <w:rFonts w:hint="eastAsia"/>
        </w:rPr>
        <w:t>第二章</w:t>
      </w:r>
      <w:r>
        <w:rPr>
          <w:rStyle w:val="16"/>
        </w:rPr>
        <w:t xml:space="preserve">  </w:t>
      </w:r>
      <w:r>
        <w:rPr>
          <w:rStyle w:val="16"/>
          <w:rFonts w:hint="eastAsia"/>
        </w:rPr>
        <w:t>业务活动表编制说明</w:t>
      </w:r>
      <w:r>
        <w:tab/>
      </w:r>
      <w:r>
        <w:fldChar w:fldCharType="begin"/>
      </w:r>
      <w:r>
        <w:instrText xml:space="preserve"> PAGEREF _Toc15388364 \h </w:instrText>
      </w:r>
      <w:r>
        <w:fldChar w:fldCharType="separate"/>
      </w:r>
      <w:r>
        <w:t>42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"_Toc15388365" </w:instrText>
      </w:r>
      <w:r>
        <w:fldChar w:fldCharType="separate"/>
      </w:r>
      <w:r>
        <w:rPr>
          <w:rStyle w:val="16"/>
          <w:rFonts w:hint="eastAsia"/>
        </w:rPr>
        <w:t>第三章</w:t>
      </w:r>
      <w:r>
        <w:rPr>
          <w:rStyle w:val="16"/>
        </w:rPr>
        <w:t xml:space="preserve">  </w:t>
      </w:r>
      <w:r>
        <w:rPr>
          <w:rStyle w:val="16"/>
          <w:rFonts w:hint="eastAsia"/>
        </w:rPr>
        <w:t>现金流量表编制说明</w:t>
      </w:r>
      <w:r>
        <w:tab/>
      </w:r>
      <w:r>
        <w:fldChar w:fldCharType="begin"/>
      </w:r>
      <w:r>
        <w:instrText xml:space="preserve"> PAGEREF _Toc15388365 \h </w:instrText>
      </w:r>
      <w:r>
        <w:fldChar w:fldCharType="separate"/>
      </w:r>
      <w:r>
        <w:t>43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"_Toc15388366" </w:instrText>
      </w:r>
      <w:r>
        <w:fldChar w:fldCharType="separate"/>
      </w:r>
      <w:r>
        <w:rPr>
          <w:rStyle w:val="16"/>
          <w:rFonts w:hint="eastAsia"/>
        </w:rPr>
        <w:t>第四章</w:t>
      </w:r>
      <w:r>
        <w:rPr>
          <w:rStyle w:val="16"/>
        </w:rPr>
        <w:t xml:space="preserve">  </w:t>
      </w:r>
      <w:r>
        <w:rPr>
          <w:rStyle w:val="16"/>
          <w:rFonts w:hint="eastAsia"/>
        </w:rPr>
        <w:t>会计报表附注</w:t>
      </w:r>
      <w:r>
        <w:tab/>
      </w:r>
      <w:r>
        <w:fldChar w:fldCharType="begin"/>
      </w:r>
      <w:r>
        <w:instrText xml:space="preserve"> PAGEREF _Toc15388366 \h </w:instrText>
      </w:r>
      <w:r>
        <w:fldChar w:fldCharType="separate"/>
      </w:r>
      <w:r>
        <w:t>45</w:t>
      </w:r>
      <w:r>
        <w:fldChar w:fldCharType="end"/>
      </w:r>
      <w:r>
        <w:fldChar w:fldCharType="end"/>
      </w:r>
    </w:p>
    <w:p>
      <w:pPr>
        <w:pStyle w:val="11"/>
        <w:spacing w:line="360" w:lineRule="exact"/>
        <w:rPr>
          <w:kern w:val="2"/>
          <w:sz w:val="21"/>
        </w:rPr>
      </w:pPr>
      <w:r>
        <w:fldChar w:fldCharType="begin"/>
      </w:r>
      <w:r>
        <w:instrText xml:space="preserve">HYPERLINK  \l "_Toc15388367" </w:instrText>
      </w:r>
      <w:r>
        <w:fldChar w:fldCharType="separate"/>
      </w:r>
      <w:r>
        <w:rPr>
          <w:rStyle w:val="16"/>
          <w:rFonts w:hint="eastAsia"/>
        </w:rPr>
        <w:t>第四部分</w:t>
      </w:r>
      <w:r>
        <w:rPr>
          <w:rStyle w:val="16"/>
        </w:rPr>
        <w:t xml:space="preserve">  </w:t>
      </w:r>
      <w:r>
        <w:rPr>
          <w:rStyle w:val="16"/>
          <w:rFonts w:hint="eastAsia"/>
        </w:rPr>
        <w:t>业务报表编制说明</w:t>
      </w:r>
      <w:r>
        <w:tab/>
      </w:r>
      <w:r>
        <w:fldChar w:fldCharType="begin"/>
      </w:r>
      <w:r>
        <w:instrText xml:space="preserve"> PAGEREF _Toc15388367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"_Toc15388368"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_Toc15388368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"_Toc15388369" </w:instrText>
      </w:r>
      <w:r>
        <w:fldChar w:fldCharType="separate"/>
      </w:r>
      <w:r>
        <w:rPr>
          <w:rStyle w:val="16"/>
          <w:rFonts w:hint="eastAsia"/>
        </w:rPr>
        <w:t>第二章</w:t>
      </w:r>
      <w:r>
        <w:rPr>
          <w:rStyle w:val="16"/>
        </w:rPr>
        <w:t xml:space="preserve">  </w:t>
      </w:r>
      <w:r>
        <w:rPr>
          <w:rStyle w:val="16"/>
          <w:rFonts w:hint="eastAsia"/>
        </w:rPr>
        <w:t>应收账款（应收业主款）明细表填列说明</w:t>
      </w:r>
      <w:r>
        <w:tab/>
      </w:r>
      <w:r>
        <w:fldChar w:fldCharType="begin"/>
      </w:r>
      <w:r>
        <w:instrText xml:space="preserve"> PAGEREF _Toc15388369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"_Toc15388370" </w:instrText>
      </w:r>
      <w:r>
        <w:fldChar w:fldCharType="separate"/>
      </w:r>
      <w:r>
        <w:rPr>
          <w:rStyle w:val="16"/>
          <w:rFonts w:hint="eastAsia"/>
        </w:rPr>
        <w:t>第三章</w:t>
      </w:r>
      <w:r>
        <w:rPr>
          <w:rStyle w:val="16"/>
        </w:rPr>
        <w:t xml:space="preserve">  </w:t>
      </w:r>
      <w:r>
        <w:rPr>
          <w:rStyle w:val="16"/>
          <w:rFonts w:hint="eastAsia"/>
        </w:rPr>
        <w:t>业务收支情况明细表填列说明</w:t>
      </w:r>
      <w:r>
        <w:tab/>
      </w:r>
      <w:r>
        <w:fldChar w:fldCharType="begin"/>
      </w:r>
      <w:r>
        <w:instrText xml:space="preserve"> PAGEREF _Toc15388370 \h </w:instrText>
      </w:r>
      <w:r>
        <w:fldChar w:fldCharType="separate"/>
      </w:r>
      <w:r>
        <w:t>47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"_Toc15388371" </w:instrText>
      </w:r>
      <w:r>
        <w:fldChar w:fldCharType="separate"/>
      </w:r>
      <w:r>
        <w:rPr>
          <w:rStyle w:val="16"/>
          <w:rFonts w:hint="eastAsia" w:ascii="宋体" w:hAnsi="宋体"/>
        </w:rPr>
        <w:t>第四章</w:t>
      </w:r>
      <w:r>
        <w:rPr>
          <w:rStyle w:val="16"/>
          <w:rFonts w:ascii="宋体" w:hAnsi="宋体"/>
        </w:rPr>
        <w:t xml:space="preserve">  </w:t>
      </w:r>
      <w:r>
        <w:rPr>
          <w:rStyle w:val="16"/>
          <w:rFonts w:hint="eastAsia" w:ascii="宋体" w:hAnsi="宋体"/>
        </w:rPr>
        <w:t>日常收取的物业专项维修资金收支明细表</w:t>
      </w:r>
      <w:r>
        <w:tab/>
      </w:r>
      <w:r>
        <w:fldChar w:fldCharType="begin"/>
      </w:r>
      <w:r>
        <w:instrText xml:space="preserve"> PAGEREF _Toc15388371 \h </w:instrText>
      </w:r>
      <w:r>
        <w:fldChar w:fldCharType="separate"/>
      </w:r>
      <w:r>
        <w:t>52</w:t>
      </w:r>
      <w:r>
        <w:fldChar w:fldCharType="end"/>
      </w:r>
      <w:r>
        <w:fldChar w:fldCharType="end"/>
      </w:r>
    </w:p>
    <w:p>
      <w:pPr>
        <w:pStyle w:val="11"/>
        <w:spacing w:line="360" w:lineRule="exact"/>
        <w:rPr>
          <w:kern w:val="2"/>
          <w:sz w:val="21"/>
        </w:rPr>
      </w:pPr>
      <w:r>
        <w:fldChar w:fldCharType="begin"/>
      </w:r>
      <w:r>
        <w:instrText xml:space="preserve">HYPERLINK  \l "_Toc15388372" </w:instrText>
      </w:r>
      <w:r>
        <w:fldChar w:fldCharType="separate"/>
      </w:r>
      <w:r>
        <w:rPr>
          <w:rStyle w:val="16"/>
          <w:rFonts w:hint="eastAsia"/>
        </w:rPr>
        <w:t>第五部分</w:t>
      </w:r>
      <w:r>
        <w:rPr>
          <w:rStyle w:val="16"/>
        </w:rPr>
        <w:t xml:space="preserve">  </w:t>
      </w:r>
      <w:r>
        <w:rPr>
          <w:rStyle w:val="16"/>
          <w:rFonts w:hint="eastAsia"/>
        </w:rPr>
        <w:t>附件</w:t>
      </w:r>
      <w:r>
        <w:tab/>
      </w:r>
      <w:r>
        <w:fldChar w:fldCharType="begin"/>
      </w:r>
      <w:r>
        <w:instrText xml:space="preserve"> PAGEREF _Toc15388372 \h </w:instrText>
      </w:r>
      <w:r>
        <w:fldChar w:fldCharType="separate"/>
      </w:r>
      <w:r>
        <w:t>54</w:t>
      </w:r>
      <w:r>
        <w:fldChar w:fldCharType="end"/>
      </w:r>
      <w:r>
        <w:fldChar w:fldCharType="end"/>
      </w:r>
    </w:p>
    <w:p>
      <w:pPr>
        <w:spacing w:line="360" w:lineRule="exact"/>
      </w:pPr>
      <w:r>
        <w:rPr>
          <w:b/>
          <w:bCs/>
          <w:lang w:val="zh-CN"/>
        </w:rPr>
        <w:fldChar w:fldCharType="end"/>
      </w:r>
    </w:p>
    <w:p>
      <w:pPr>
        <w:widowControl/>
        <w:jc w:val="left"/>
        <w:rPr>
          <w:rFonts w:ascii="宋体" w:hAnsi="宋体"/>
          <w:sz w:val="24"/>
          <w:szCs w:val="32"/>
        </w:rPr>
      </w:pPr>
      <w:r>
        <w:rPr>
          <w:rFonts w:ascii="宋体" w:hAnsi="宋体"/>
          <w:sz w:val="24"/>
          <w:szCs w:val="32"/>
        </w:rPr>
        <w:br w:type="page"/>
      </w:r>
    </w:p>
    <w:p>
      <w:pPr>
        <w:widowControl/>
        <w:jc w:val="left"/>
        <w:rPr>
          <w:rFonts w:ascii="宋体" w:hAnsi="宋体"/>
          <w:szCs w:val="21"/>
        </w:rPr>
      </w:pPr>
    </w:p>
    <w:p>
      <w:pPr>
        <w:spacing w:line="400" w:lineRule="exact"/>
        <w:jc w:val="center"/>
        <w:rPr>
          <w:rFonts w:ascii="宋体" w:hAnsi="宋体"/>
          <w:b/>
          <w:sz w:val="36"/>
          <w:szCs w:val="24"/>
        </w:rPr>
      </w:pPr>
    </w:p>
    <w:p>
      <w:pPr>
        <w:spacing w:line="400" w:lineRule="exact"/>
        <w:jc w:val="center"/>
        <w:rPr>
          <w:rFonts w:ascii="宋体" w:hAnsi="宋体"/>
          <w:b/>
          <w:sz w:val="36"/>
          <w:szCs w:val="24"/>
        </w:rPr>
      </w:pPr>
    </w:p>
    <w:p>
      <w:pPr>
        <w:pStyle w:val="2"/>
        <w:spacing w:before="156" w:beforeLines="50" w:after="156" w:afterLines="50" w:line="360" w:lineRule="auto"/>
        <w:jc w:val="center"/>
        <w:rPr>
          <w:sz w:val="32"/>
        </w:rPr>
      </w:pPr>
      <w:bookmarkStart w:id="0" w:name="_Toc15388344"/>
      <w:r>
        <w:rPr>
          <w:rFonts w:hint="eastAsia"/>
          <w:sz w:val="32"/>
        </w:rPr>
        <w:t>前  言</w:t>
      </w:r>
      <w:bookmarkEnd w:id="0"/>
    </w:p>
    <w:p>
      <w:pPr>
        <w:spacing w:line="400" w:lineRule="exact"/>
        <w:jc w:val="center"/>
        <w:rPr>
          <w:rFonts w:ascii="宋体" w:hAnsi="宋体"/>
          <w:b/>
          <w:sz w:val="36"/>
          <w:szCs w:val="24"/>
        </w:rPr>
      </w:pPr>
    </w:p>
    <w:p>
      <w:pPr>
        <w:spacing w:line="400" w:lineRule="exact"/>
        <w:jc w:val="center"/>
        <w:rPr>
          <w:rFonts w:ascii="宋体" w:hAnsi="宋体"/>
          <w:b/>
          <w:sz w:val="36"/>
          <w:szCs w:val="24"/>
        </w:rPr>
      </w:pPr>
    </w:p>
    <w:p>
      <w:pPr>
        <w:tabs>
          <w:tab w:val="left" w:pos="5812"/>
        </w:tabs>
        <w:spacing w:line="360" w:lineRule="auto"/>
        <w:ind w:firstLine="420" w:firstLineChars="200"/>
        <w:rPr>
          <w:rFonts w:ascii="宋体" w:hAnsi="宋体"/>
          <w:color w:val="auto"/>
          <w:szCs w:val="21"/>
          <w:highlight w:val="none"/>
        </w:rPr>
      </w:pPr>
      <w:r>
        <w:rPr>
          <w:rFonts w:hint="eastAsia" w:ascii="宋体" w:hAnsi="宋体"/>
          <w:szCs w:val="21"/>
        </w:rPr>
        <w:t>《深圳经济特区物业管理条例》第六章第七十二条规定，“业主共有资金账户开户单位应当按照</w:t>
      </w:r>
      <w:r>
        <w:rPr>
          <w:rFonts w:hint="eastAsia" w:ascii="宋体" w:hAnsi="宋体"/>
          <w:color w:val="auto"/>
          <w:szCs w:val="21"/>
          <w:highlight w:val="none"/>
        </w:rPr>
        <w:t>国家有关规定建立健全财务管理制度，保证资金安全，并通过物业管理信息平台，向全体业主实时公开业主共有资金基本账户或者共管账户信息。”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本会计核算手册根据物业管理相关法律法规和相关会计制度编写，参照《民间非营利组织会计制度》框架编制，综合考虑各种情形，具有可操作性。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本会计核算手册的适用范围：业主大会或物业服务企业，开设业主共有资金基本账户或共管账户管理和使用业主共有资金的会计核算，均适用本手册。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本核算手册共分五个部分。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第一部分：会计制度。结合业主大会的特点并参照《民间非营利组织会计制度》编制，精简了《民间非营利组织会计制度》中不适合业主大会的部分，本手册没有规定的内容可参照《民间非营利组织会计制度》；</w:t>
      </w:r>
    </w:p>
    <w:p>
      <w:pPr>
        <w:spacing w:line="360" w:lineRule="auto"/>
        <w:ind w:firstLine="420" w:firstLineChars="200"/>
        <w:jc w:val="left"/>
        <w:rPr>
          <w:rFonts w:ascii="宋体" w:hAnsi="宋体"/>
          <w:szCs w:val="21"/>
        </w:rPr>
      </w:pPr>
      <w:r>
        <w:rPr>
          <w:rFonts w:hint="eastAsia" w:ascii="宋体" w:hAnsi="宋体"/>
          <w:szCs w:val="21"/>
        </w:rPr>
        <w:t>第二部分：会计科目使用说明。除一级科目外，在《民间非营利组织会计制度》总体框架下，根据业主大会的业务活动特点，细化了业主大会可能经常使用的会计科目，比如：货币资金、往来类科目、收支类科目、物业专项维修资金等；</w:t>
      </w:r>
    </w:p>
    <w:p>
      <w:pPr>
        <w:spacing w:line="360" w:lineRule="auto"/>
        <w:ind w:firstLine="420" w:firstLineChars="200"/>
        <w:jc w:val="left"/>
        <w:rPr>
          <w:rFonts w:ascii="宋体" w:hAnsi="宋体"/>
          <w:szCs w:val="21"/>
        </w:rPr>
      </w:pPr>
      <w:r>
        <w:rPr>
          <w:rFonts w:hint="eastAsia" w:ascii="宋体" w:hAnsi="宋体"/>
          <w:szCs w:val="21"/>
        </w:rPr>
        <w:t>第三部分：会计报表编制说明。详细说明会计报表编制和列示；</w:t>
      </w:r>
    </w:p>
    <w:p>
      <w:pPr>
        <w:spacing w:line="360" w:lineRule="auto"/>
        <w:ind w:firstLine="420" w:firstLineChars="200"/>
        <w:jc w:val="left"/>
        <w:rPr>
          <w:rFonts w:ascii="宋体" w:hAnsi="宋体"/>
          <w:szCs w:val="21"/>
        </w:rPr>
      </w:pPr>
      <w:r>
        <w:rPr>
          <w:rFonts w:hint="eastAsia" w:ascii="宋体" w:hAnsi="宋体"/>
          <w:szCs w:val="21"/>
        </w:rPr>
        <w:t>第四部分：业务报表编制说明。解释业务报表各项目的含义，详细说明如何利用会计数据编制业务报表以及业务报表与会计科目之间的勾稽关系；</w:t>
      </w:r>
    </w:p>
    <w:p>
      <w:pPr>
        <w:spacing w:line="360" w:lineRule="auto"/>
        <w:ind w:firstLine="420" w:firstLineChars="200"/>
        <w:jc w:val="left"/>
        <w:rPr>
          <w:rFonts w:ascii="宋体" w:hAnsi="宋体"/>
          <w:szCs w:val="21"/>
        </w:rPr>
      </w:pPr>
      <w:r>
        <w:rPr>
          <w:rFonts w:hint="eastAsia" w:ascii="宋体" w:hAnsi="宋体"/>
          <w:szCs w:val="21"/>
        </w:rPr>
        <w:t>第五部分：附件。列示了会计报表、会计科目表和业务报表的格式。</w:t>
      </w:r>
    </w:p>
    <w:p>
      <w:pPr>
        <w:spacing w:line="360" w:lineRule="auto"/>
        <w:ind w:firstLine="480" w:firstLineChars="200"/>
        <w:jc w:val="left"/>
        <w:rPr>
          <w:rFonts w:ascii="宋体" w:hAnsi="宋体"/>
          <w:sz w:val="24"/>
          <w:szCs w:val="24"/>
        </w:rPr>
      </w:pPr>
    </w:p>
    <w:p>
      <w:pPr>
        <w:widowControl/>
        <w:jc w:val="left"/>
        <w:rPr>
          <w:rFonts w:ascii="宋体" w:hAnsi="宋体"/>
          <w:b/>
          <w:sz w:val="36"/>
          <w:szCs w:val="24"/>
        </w:rPr>
      </w:pPr>
      <w:r>
        <w:rPr>
          <w:rFonts w:ascii="宋体" w:hAnsi="宋体"/>
          <w:b/>
          <w:sz w:val="36"/>
          <w:szCs w:val="24"/>
        </w:rPr>
        <w:br w:type="page"/>
      </w:r>
    </w:p>
    <w:p>
      <w:pPr>
        <w:spacing w:line="360" w:lineRule="auto"/>
        <w:jc w:val="center"/>
        <w:rPr>
          <w:rFonts w:ascii="宋体" w:hAnsi="宋体"/>
          <w:b/>
          <w:sz w:val="36"/>
          <w:szCs w:val="24"/>
        </w:rPr>
      </w:pPr>
    </w:p>
    <w:p>
      <w:pPr>
        <w:pStyle w:val="2"/>
        <w:spacing w:before="0" w:after="0" w:line="360" w:lineRule="auto"/>
        <w:jc w:val="center"/>
        <w:rPr>
          <w:sz w:val="36"/>
        </w:rPr>
      </w:pPr>
      <w:bookmarkStart w:id="1" w:name="_Toc15388345"/>
      <w:r>
        <w:rPr>
          <w:rFonts w:hint="eastAsia"/>
          <w:sz w:val="36"/>
        </w:rPr>
        <w:t>第一部分  会计制度</w:t>
      </w:r>
      <w:bookmarkEnd w:id="1"/>
    </w:p>
    <w:p>
      <w:pPr>
        <w:spacing w:line="360" w:lineRule="auto"/>
        <w:jc w:val="center"/>
        <w:rPr>
          <w:rFonts w:ascii="宋体" w:hAnsi="宋体"/>
          <w:sz w:val="24"/>
          <w:szCs w:val="24"/>
        </w:rPr>
      </w:pPr>
    </w:p>
    <w:p>
      <w:pPr>
        <w:pStyle w:val="3"/>
        <w:spacing w:before="0" w:after="0" w:line="360" w:lineRule="auto"/>
        <w:jc w:val="center"/>
        <w:rPr>
          <w:sz w:val="24"/>
        </w:rPr>
      </w:pPr>
      <w:bookmarkStart w:id="2" w:name="_Toc15388346"/>
      <w:r>
        <w:rPr>
          <w:rFonts w:hint="eastAsia"/>
          <w:sz w:val="24"/>
        </w:rPr>
        <w:t>第一章  总则</w:t>
      </w:r>
      <w:bookmarkEnd w:id="2"/>
    </w:p>
    <w:p>
      <w:pPr>
        <w:pStyle w:val="19"/>
        <w:spacing w:line="360" w:lineRule="auto"/>
        <w:ind w:left="420" w:firstLine="0" w:firstLineChars="0"/>
        <w:jc w:val="center"/>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本制度是根据《中华人民共和国会计法》、《民间非营利组织会计制度》、《会计基础工作规范》、《深圳经济特区物业管理条例》等法律、法规、文件</w:t>
      </w:r>
      <w:r>
        <w:rPr>
          <w:rFonts w:ascii="宋体" w:hAnsi="宋体"/>
          <w:szCs w:val="21"/>
        </w:rPr>
        <w:t>的原则性规定而制定的</w:t>
      </w:r>
      <w:r>
        <w:rPr>
          <w:rFonts w:hint="eastAsia" w:ascii="宋体" w:hAnsi="宋体"/>
          <w:szCs w:val="21"/>
        </w:rPr>
        <w:t>。</w:t>
      </w:r>
    </w:p>
    <w:p>
      <w:pPr>
        <w:pStyle w:val="19"/>
        <w:numPr>
          <w:ilvl w:val="0"/>
          <w:numId w:val="1"/>
        </w:numPr>
        <w:spacing w:line="360" w:lineRule="auto"/>
        <w:ind w:left="0" w:firstLine="420" w:firstLineChars="0"/>
        <w:rPr>
          <w:szCs w:val="21"/>
        </w:rPr>
      </w:pPr>
      <w:r>
        <w:rPr>
          <w:rFonts w:hint="eastAsia" w:ascii="宋体" w:hAnsi="宋体"/>
          <w:szCs w:val="21"/>
        </w:rPr>
        <w:t>会计核算应当以业主大会（包括共有资金）的交易或者事项为对象，记录和反映业主大会的各项业务活动。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会计核算应当以权责发生制为基础。</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会计核算应当以业主大会的持续存续为前提。</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会计核算应当划分会计期间，分期结算账目和编制财务会计报告。</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会计核算应当以人民币作为记账本位币。</w:t>
      </w:r>
    </w:p>
    <w:p>
      <w:pPr>
        <w:pStyle w:val="7"/>
        <w:numPr>
          <w:ilvl w:val="0"/>
          <w:numId w:val="1"/>
        </w:numPr>
        <w:spacing w:line="360" w:lineRule="auto"/>
        <w:ind w:left="1259" w:hanging="839"/>
        <w:rPr>
          <w:rFonts w:ascii="宋体" w:hAnsi="宋体" w:eastAsia="宋体"/>
        </w:rPr>
      </w:pPr>
      <w:r>
        <w:rPr>
          <w:rFonts w:hint="eastAsia" w:ascii="宋体" w:hAnsi="宋体" w:eastAsia="宋体"/>
        </w:rPr>
        <w:t>业主大会在会计核算时，应当遵循以下基本原则：</w:t>
      </w:r>
    </w:p>
    <w:p>
      <w:pPr>
        <w:pStyle w:val="7"/>
        <w:spacing w:line="360" w:lineRule="auto"/>
        <w:ind w:firstLine="420" w:firstLineChars="200"/>
        <w:rPr>
          <w:rFonts w:ascii="宋体" w:hAnsi="宋体" w:eastAsia="宋体"/>
        </w:rPr>
      </w:pPr>
      <w:r>
        <w:rPr>
          <w:rFonts w:hint="eastAsia" w:ascii="宋体" w:hAnsi="宋体" w:eastAsia="宋体"/>
        </w:rPr>
        <w:t>（一）会计核算应当以实际发生的交易或者事项为依据，如实反映业主大会的财务状况、业务活动情况和现金流量等信息。</w:t>
      </w:r>
    </w:p>
    <w:p>
      <w:pPr>
        <w:pStyle w:val="7"/>
        <w:spacing w:line="360" w:lineRule="auto"/>
        <w:ind w:firstLine="420" w:firstLineChars="200"/>
        <w:rPr>
          <w:rFonts w:ascii="宋体" w:hAnsi="宋体" w:eastAsia="宋体"/>
        </w:rPr>
      </w:pPr>
      <w:r>
        <w:rPr>
          <w:rFonts w:hint="eastAsia" w:ascii="宋体" w:hAnsi="宋体" w:eastAsia="宋体"/>
        </w:rPr>
        <w:t>（二）会计核算所提供的信息应当能够满足会计信息使用者（如全体业主、物业使用人、监管机构等）的需要。</w:t>
      </w:r>
    </w:p>
    <w:p>
      <w:pPr>
        <w:pStyle w:val="7"/>
        <w:spacing w:line="360" w:lineRule="auto"/>
        <w:ind w:firstLine="420" w:firstLineChars="200"/>
        <w:rPr>
          <w:rFonts w:ascii="宋体" w:hAnsi="宋体" w:eastAsia="宋体"/>
        </w:rPr>
      </w:pPr>
      <w:r>
        <w:rPr>
          <w:rFonts w:hint="eastAsia" w:ascii="宋体" w:hAnsi="宋体" w:eastAsia="宋体"/>
        </w:rPr>
        <w:t>（三）会计核算应当按照交易或者事项的实质进行，而不应当仅仅按照它们的法律形式作为其依据。</w:t>
      </w:r>
    </w:p>
    <w:p>
      <w:pPr>
        <w:pStyle w:val="7"/>
        <w:spacing w:line="360" w:lineRule="auto"/>
        <w:ind w:firstLine="420" w:firstLineChars="200"/>
        <w:rPr>
          <w:rFonts w:ascii="宋体" w:hAnsi="宋体" w:eastAsia="宋体"/>
        </w:rPr>
      </w:pPr>
      <w:r>
        <w:rPr>
          <w:rFonts w:hint="eastAsia" w:ascii="宋体" w:hAnsi="宋体" w:eastAsia="宋体"/>
        </w:rPr>
        <w:t>（四）会计政策前后各期应当保持一致，不得随意变更。如有必要变更，应当在会计报表附注中披露变更的内容和理由、变更的累积影响数，以及累积影响数不能合理确定的理由等。</w:t>
      </w:r>
    </w:p>
    <w:p>
      <w:pPr>
        <w:pStyle w:val="7"/>
        <w:spacing w:line="360" w:lineRule="auto"/>
        <w:ind w:firstLine="420" w:firstLineChars="200"/>
        <w:rPr>
          <w:rFonts w:ascii="宋体" w:hAnsi="宋体" w:eastAsia="宋体"/>
        </w:rPr>
      </w:pPr>
      <w:r>
        <w:rPr>
          <w:rFonts w:hint="eastAsia" w:ascii="宋体" w:hAnsi="宋体" w:eastAsia="宋体"/>
        </w:rPr>
        <w:t>（五）会计核算应当按照规定的会计处理方法进行，会计信息应当口径一致、相互可比。</w:t>
      </w:r>
    </w:p>
    <w:p>
      <w:pPr>
        <w:pStyle w:val="7"/>
        <w:spacing w:line="360" w:lineRule="auto"/>
        <w:ind w:firstLine="420" w:firstLineChars="200"/>
        <w:rPr>
          <w:rFonts w:ascii="宋体" w:hAnsi="宋体" w:eastAsia="宋体"/>
        </w:rPr>
      </w:pPr>
      <w:r>
        <w:rPr>
          <w:rFonts w:hint="eastAsia" w:ascii="宋体" w:hAnsi="宋体" w:eastAsia="宋体"/>
        </w:rPr>
        <w:t>（六）会计核算应当及时进行，不得提前或延后。</w:t>
      </w:r>
    </w:p>
    <w:p>
      <w:pPr>
        <w:pStyle w:val="7"/>
        <w:spacing w:line="360" w:lineRule="auto"/>
        <w:ind w:firstLine="420" w:firstLineChars="200"/>
        <w:rPr>
          <w:rFonts w:ascii="宋体" w:hAnsi="宋体" w:eastAsia="宋体"/>
        </w:rPr>
      </w:pPr>
      <w:r>
        <w:rPr>
          <w:rFonts w:hint="eastAsia" w:ascii="宋体" w:hAnsi="宋体" w:eastAsia="宋体"/>
        </w:rPr>
        <w:t>（七）会计核算和编制的财务会计报告应当清晰明了，便于理解和使用。</w:t>
      </w:r>
    </w:p>
    <w:p>
      <w:pPr>
        <w:pStyle w:val="7"/>
        <w:spacing w:line="360" w:lineRule="auto"/>
        <w:ind w:firstLine="420" w:firstLineChars="200"/>
        <w:rPr>
          <w:rFonts w:ascii="宋体" w:hAnsi="宋体" w:eastAsia="宋体"/>
        </w:rPr>
      </w:pPr>
      <w:r>
        <w:rPr>
          <w:rFonts w:hint="eastAsia" w:ascii="宋体" w:hAnsi="宋体" w:eastAsia="宋体"/>
        </w:rPr>
        <w:t>（八）在会计核算中，所发生的费用应当与其相关的收入相配比，同一会计期间内的各项收入和与其相关的费用，应当在该会计期间内确认。</w:t>
      </w:r>
    </w:p>
    <w:p>
      <w:pPr>
        <w:pStyle w:val="7"/>
        <w:spacing w:line="360" w:lineRule="auto"/>
        <w:ind w:firstLine="420" w:firstLineChars="200"/>
        <w:rPr>
          <w:rFonts w:ascii="宋体" w:hAnsi="宋体" w:eastAsia="宋体"/>
        </w:rPr>
      </w:pPr>
      <w:r>
        <w:rPr>
          <w:rFonts w:hint="eastAsia" w:ascii="宋体" w:hAnsi="宋体" w:eastAsia="宋体"/>
        </w:rPr>
        <w:t>（九）资产在取得时应当按照实际成本计量，但本制度有特别规定的，按照特别规定的计量基础进行计量。其后，资产账面价值的调整，应当按照本制度的规定执行；除法律、行政法规和国家统一的会计制度另有规定外，业主大会一律不得自行调整资产账面价值。</w:t>
      </w:r>
    </w:p>
    <w:p>
      <w:pPr>
        <w:pStyle w:val="7"/>
        <w:spacing w:line="360" w:lineRule="auto"/>
        <w:ind w:firstLine="420" w:firstLineChars="200"/>
        <w:rPr>
          <w:rFonts w:ascii="宋体" w:hAnsi="宋体" w:eastAsia="宋体"/>
        </w:rPr>
      </w:pPr>
      <w:r>
        <w:rPr>
          <w:rFonts w:hint="eastAsia" w:ascii="宋体" w:hAnsi="宋体" w:eastAsia="宋体"/>
        </w:rPr>
        <w:t>（十）会计核算应当遵循谨慎性原则。</w:t>
      </w:r>
    </w:p>
    <w:p>
      <w:pPr>
        <w:pStyle w:val="7"/>
        <w:spacing w:line="360" w:lineRule="auto"/>
        <w:ind w:firstLine="420" w:firstLineChars="200"/>
        <w:rPr>
          <w:rFonts w:ascii="宋体" w:hAnsi="宋体" w:eastAsia="宋体"/>
        </w:rPr>
      </w:pPr>
      <w:r>
        <w:rPr>
          <w:rFonts w:hint="eastAsia" w:ascii="宋体" w:hAnsi="宋体" w:eastAsia="宋体"/>
        </w:rPr>
        <w:t>（十一）会计核算应当合理划分应当计入当期费用的支出和应当予以资本化的支出。</w:t>
      </w:r>
    </w:p>
    <w:p>
      <w:pPr>
        <w:pStyle w:val="7"/>
        <w:spacing w:line="360" w:lineRule="auto"/>
        <w:ind w:firstLine="420" w:firstLineChars="200"/>
        <w:rPr>
          <w:rFonts w:ascii="宋体" w:hAnsi="宋体" w:eastAsia="宋体"/>
        </w:rPr>
      </w:pPr>
      <w:r>
        <w:rPr>
          <w:rFonts w:hint="eastAsia" w:ascii="宋体" w:hAnsi="宋体" w:eastAsia="宋体"/>
        </w:rPr>
        <w:t>（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至于误导会计信息使用者做出正确判断的前提下，可适当简化处理。</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会计记账应当采用借贷记账法。</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会计记录的文字应当使用中文。</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业主大会填制会计凭证、登记会计账簿、管理会计档案等，按照《中华人民共和国会计法》、《会计基础工作规范》和《会计档案管理办法》等规定执行。</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业主大会使用会计软件对业主共有资金进行会计核算的，应当参考《企业会计信息化工作制度》的有关规定执行。</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业主大会应当根据国家有关法律、行政法规和内部会计控制制度，结合自身的特点，制定相适应的内部控制制度，以加强内部会计监督，提高会计信息质量和管理水平。</w:t>
      </w:r>
    </w:p>
    <w:p>
      <w:pPr>
        <w:spacing w:line="360" w:lineRule="auto"/>
        <w:rPr>
          <w:rFonts w:ascii="宋体" w:hAnsi="宋体"/>
          <w:szCs w:val="21"/>
        </w:rPr>
      </w:pPr>
    </w:p>
    <w:p>
      <w:pPr>
        <w:pStyle w:val="3"/>
        <w:spacing w:before="0" w:after="0" w:line="360" w:lineRule="auto"/>
        <w:jc w:val="center"/>
        <w:rPr>
          <w:sz w:val="24"/>
        </w:rPr>
      </w:pPr>
      <w:bookmarkStart w:id="3" w:name="_Toc15388347"/>
      <w:r>
        <w:rPr>
          <w:rFonts w:hint="eastAsia"/>
          <w:sz w:val="24"/>
        </w:rPr>
        <w:t>第二章  资产</w:t>
      </w:r>
      <w:bookmarkEnd w:id="3"/>
    </w:p>
    <w:p>
      <w:pPr>
        <w:spacing w:line="360" w:lineRule="auto"/>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资产是指过去的交易或者事项形成并由全体业主拥有或者控制的资源，该资源预期会给全体业主带来经济利益或者服务潜力。资产按其流动性分为流动资产和固定资产、无形资产等。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定期或者至少于每年年度终了，对应收款项、存货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对于业主大会收到业主或其他单位交来的现金资产，应当按照实际收到的金额入账。对于业主大会收到业主或其他单位交来的非现金资产，如接受捐赠、维权取得的存货、房产车位、固定资产和无形资产等，应当按照以下方法确定其入账价值：</w:t>
      </w:r>
    </w:p>
    <w:p>
      <w:pPr>
        <w:spacing w:line="360" w:lineRule="auto"/>
        <w:ind w:firstLine="420" w:firstLineChars="200"/>
        <w:rPr>
          <w:rFonts w:ascii="宋体" w:hAnsi="宋体"/>
          <w:szCs w:val="21"/>
        </w:rPr>
      </w:pPr>
      <w:r>
        <w:rPr>
          <w:rFonts w:hint="eastAsia" w:ascii="宋体" w:hAnsi="宋体"/>
          <w:szCs w:val="21"/>
        </w:rPr>
        <w:t>（一）如果资产提供方提供了有关凭据（如发票、有关协议等）的，应当按照凭据上标明的金额作为入账价值。如果凭据上标明的金额与所接受资产公允价值相差较大，应当以其公允价值作为其入账价值。</w:t>
      </w:r>
    </w:p>
    <w:p>
      <w:pPr>
        <w:spacing w:line="360" w:lineRule="auto"/>
        <w:ind w:firstLine="420" w:firstLineChars="200"/>
        <w:rPr>
          <w:rFonts w:ascii="宋体" w:hAnsi="宋体"/>
          <w:szCs w:val="21"/>
        </w:rPr>
      </w:pPr>
      <w:r>
        <w:rPr>
          <w:rFonts w:hint="eastAsia" w:ascii="宋体" w:hAnsi="宋体"/>
          <w:szCs w:val="21"/>
        </w:rPr>
        <w:t>（二）如果资产提供方没有提供有关凭据的，所接受资产应当以其公允价值作为入账价值。</w:t>
      </w:r>
    </w:p>
    <w:p>
      <w:pPr>
        <w:pStyle w:val="19"/>
        <w:spacing w:line="360" w:lineRule="auto"/>
        <w:ind w:left="420" w:firstLine="0" w:firstLineChars="0"/>
        <w:rPr>
          <w:rFonts w:ascii="宋体" w:hAnsi="宋体"/>
          <w:szCs w:val="21"/>
        </w:rPr>
      </w:pPr>
      <w:r>
        <w:rPr>
          <w:rFonts w:hint="eastAsia" w:ascii="宋体" w:hAnsi="宋体"/>
          <w:szCs w:val="21"/>
        </w:rPr>
        <w:t>对于业主大会接受的劳务捐赠，不予确认，但应当在会计报表附注中作相关披露。</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本制度中所称的公允价值是指在公平交易中，熟悉情况的交易双方自愿进行资产交换或者债务清偿的金额。公允价值的确定顺序如下：</w:t>
      </w:r>
    </w:p>
    <w:p>
      <w:pPr>
        <w:spacing w:line="360" w:lineRule="auto"/>
        <w:ind w:firstLine="420" w:firstLineChars="200"/>
        <w:rPr>
          <w:rFonts w:ascii="宋体" w:hAnsi="宋体"/>
          <w:szCs w:val="21"/>
        </w:rPr>
      </w:pPr>
      <w:r>
        <w:rPr>
          <w:rFonts w:hint="eastAsia" w:ascii="宋体" w:hAnsi="宋体"/>
          <w:szCs w:val="21"/>
        </w:rPr>
        <w:t>（一）如果同类或者类似资产存在活跃市场的，应当按照同类或者类似资产的市场价格确定公允价值。</w:t>
      </w:r>
    </w:p>
    <w:p>
      <w:pPr>
        <w:spacing w:line="360" w:lineRule="auto"/>
        <w:ind w:firstLine="420" w:firstLineChars="200"/>
        <w:rPr>
          <w:rFonts w:ascii="宋体" w:hAnsi="宋体"/>
          <w:szCs w:val="21"/>
        </w:rPr>
      </w:pPr>
      <w:r>
        <w:rPr>
          <w:rFonts w:hint="eastAsia" w:ascii="宋体" w:hAnsi="宋体"/>
          <w:szCs w:val="21"/>
        </w:rPr>
        <w:t>（二）如果同类或者类似资产不存在活跃市场，或者无法找到同类或者类似资产的，应当采用合理的计价方法确定资产的公允价值。</w:t>
      </w:r>
    </w:p>
    <w:p>
      <w:pPr>
        <w:spacing w:line="360" w:lineRule="auto"/>
        <w:ind w:firstLine="420" w:firstLineChars="200"/>
        <w:rPr>
          <w:rFonts w:ascii="宋体" w:hAnsi="宋体"/>
          <w:szCs w:val="21"/>
        </w:rPr>
      </w:pPr>
      <w:r>
        <w:rPr>
          <w:rFonts w:hint="eastAsia" w:ascii="宋体" w:hAnsi="宋体"/>
          <w:szCs w:val="21"/>
        </w:rPr>
        <w:t>在本制度规定应当采用公允价值的情况下，如果有确凿的证据表明资产的公允价值确实无法可靠计量，则业主大会应当设置辅助账，单独登记所取得资产的名称、数量、来源、用途等情况，并在会计报表附注中作相关披露。在以后会计期间，如果该资产的公允价值能够可靠计量，业主大会应当在其能够可靠计量的会计期间予以确认，并以公允价值计量。</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业主大会如发生非货币性交易，应当按照以下原则处理：</w:t>
      </w:r>
    </w:p>
    <w:p>
      <w:pPr>
        <w:spacing w:line="360" w:lineRule="auto"/>
        <w:ind w:firstLine="420" w:firstLineChars="200"/>
        <w:rPr>
          <w:rFonts w:ascii="宋体" w:hAnsi="宋体"/>
          <w:szCs w:val="21"/>
        </w:rPr>
      </w:pPr>
      <w:r>
        <w:rPr>
          <w:rFonts w:hint="eastAsia" w:ascii="宋体" w:hAnsi="宋体"/>
          <w:szCs w:val="21"/>
        </w:rPr>
        <w:t>（一）以换出资产的账面价值，加上应支付的相关税费，作为换入资产的入账价值。</w:t>
      </w:r>
    </w:p>
    <w:p>
      <w:pPr>
        <w:spacing w:line="360" w:lineRule="auto"/>
        <w:ind w:firstLine="420" w:firstLineChars="200"/>
        <w:rPr>
          <w:rFonts w:ascii="宋体" w:hAnsi="宋体"/>
          <w:szCs w:val="21"/>
        </w:rPr>
      </w:pPr>
      <w:r>
        <w:rPr>
          <w:rFonts w:hint="eastAsia" w:ascii="宋体" w:hAnsi="宋体"/>
          <w:szCs w:val="21"/>
        </w:rPr>
        <w:t>（二）非货币性交易中如果发生补价，应区别不同情况处理：</w:t>
      </w:r>
    </w:p>
    <w:p>
      <w:pPr>
        <w:spacing w:line="360" w:lineRule="auto"/>
        <w:ind w:firstLine="420" w:firstLineChars="200"/>
        <w:rPr>
          <w:rFonts w:ascii="宋体" w:hAnsi="宋体"/>
          <w:szCs w:val="21"/>
        </w:rPr>
      </w:pPr>
      <w:r>
        <w:rPr>
          <w:rFonts w:hint="eastAsia" w:ascii="宋体" w:hAnsi="宋体"/>
          <w:szCs w:val="21"/>
        </w:rPr>
        <w:t>1．支付补价的，应以换出资产的账面价值加上补价和应支付的相关税费，作为换入资产的入账价值。</w:t>
      </w:r>
    </w:p>
    <w:p>
      <w:pPr>
        <w:spacing w:line="360" w:lineRule="auto"/>
        <w:ind w:firstLine="420" w:firstLineChars="200"/>
        <w:rPr>
          <w:rFonts w:ascii="宋体" w:hAnsi="宋体"/>
          <w:szCs w:val="21"/>
        </w:rPr>
      </w:pPr>
      <w:r>
        <w:rPr>
          <w:rFonts w:hint="eastAsia" w:ascii="宋体" w:hAnsi="宋体"/>
          <w:szCs w:val="21"/>
        </w:rPr>
        <w:t>2．收到补价的，应按以下公式确定换入资产的入账价值和应确认的收入或费用：</w:t>
      </w:r>
    </w:p>
    <w:p>
      <w:pPr>
        <w:spacing w:line="360" w:lineRule="auto"/>
        <w:ind w:firstLine="420" w:firstLineChars="200"/>
        <w:rPr>
          <w:rFonts w:ascii="宋体" w:hAnsi="宋体"/>
          <w:szCs w:val="21"/>
        </w:rPr>
      </w:pPr>
      <w:r>
        <w:rPr>
          <w:rFonts w:hint="eastAsia" w:ascii="宋体" w:hAnsi="宋体"/>
          <w:szCs w:val="21"/>
        </w:rPr>
        <w:t>换入资产入账价值＝换出资产账面价值－补价÷换出资产公允价值×换出资产账面价值－补价÷换出资产公允价值×应交税金＋应支付的相关税费</w:t>
      </w:r>
    </w:p>
    <w:p>
      <w:pPr>
        <w:spacing w:line="360" w:lineRule="auto"/>
        <w:ind w:firstLine="420" w:firstLineChars="200"/>
        <w:rPr>
          <w:rFonts w:ascii="宋体" w:hAnsi="宋体"/>
          <w:szCs w:val="21"/>
        </w:rPr>
      </w:pPr>
      <w:r>
        <w:rPr>
          <w:rFonts w:hint="eastAsia" w:ascii="宋体" w:hAnsi="宋体"/>
          <w:szCs w:val="21"/>
        </w:rPr>
        <w:t>应确认的收入或费用＝补价×[1－（换出资产账面价值＋应交税金）÷换出资产公允价值]</w:t>
      </w:r>
    </w:p>
    <w:p>
      <w:pPr>
        <w:spacing w:line="360" w:lineRule="auto"/>
        <w:ind w:firstLine="420" w:firstLineChars="200"/>
        <w:rPr>
          <w:rFonts w:ascii="宋体" w:hAnsi="宋体"/>
          <w:szCs w:val="21"/>
        </w:rPr>
      </w:pPr>
      <w:r>
        <w:rPr>
          <w:rFonts w:hint="eastAsia" w:ascii="宋体" w:hAnsi="宋体"/>
          <w:szCs w:val="21"/>
        </w:rPr>
        <w:t>（三）在非货币性交易中，如果同时换入多项资产，应按换入各项资产的公允价值占换入资产公允价值总额的比例，对换出资产的账面价值总额和应支付的相关税费进行分配，以确定各项换入资产的入账价值。</w:t>
      </w:r>
    </w:p>
    <w:p>
      <w:pPr>
        <w:spacing w:line="360" w:lineRule="auto"/>
        <w:ind w:firstLine="420" w:firstLineChars="200"/>
        <w:rPr>
          <w:rFonts w:ascii="宋体" w:hAnsi="宋体"/>
          <w:szCs w:val="21"/>
        </w:rPr>
      </w:pPr>
      <w:r>
        <w:rPr>
          <w:rFonts w:hint="eastAsia" w:ascii="宋体" w:hAnsi="宋体"/>
          <w:szCs w:val="21"/>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流动资产是指预期可在1年内（含1年）变现或者耗用的资产，主要包括现金、银行存款、应收款项、预付账款、存货、待摊费用等。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业主大会应当设置现金和银行存款日记账，按照业务发生顺序逐日逐笔登记。</w:t>
      </w:r>
    </w:p>
    <w:p>
      <w:pPr>
        <w:spacing w:line="360" w:lineRule="auto"/>
        <w:ind w:firstLine="420" w:firstLineChars="200"/>
        <w:rPr>
          <w:rFonts w:ascii="宋体" w:hAnsi="宋体"/>
          <w:szCs w:val="21"/>
        </w:rPr>
      </w:pPr>
      <w:r>
        <w:rPr>
          <w:rFonts w:hint="eastAsia" w:ascii="宋体" w:hAnsi="宋体"/>
          <w:szCs w:val="21"/>
        </w:rPr>
        <w:t>现金的核算应当做到日清月结，其账面余额必须与库存数相符；银行存款的账面余额应当与银行对账单定期核对，并与按月编制的银行存款余额调节表调节相符。</w:t>
      </w:r>
    </w:p>
    <w:p>
      <w:pPr>
        <w:spacing w:line="360" w:lineRule="auto"/>
        <w:ind w:firstLine="420" w:firstLineChars="200"/>
        <w:rPr>
          <w:rFonts w:ascii="宋体" w:hAnsi="宋体"/>
          <w:szCs w:val="21"/>
        </w:rPr>
      </w:pPr>
      <w:r>
        <w:rPr>
          <w:rFonts w:hint="eastAsia" w:ascii="宋体" w:hAnsi="宋体"/>
          <w:szCs w:val="21"/>
        </w:rPr>
        <w:t>本制度所称的账面余额是指会计科目的账面实际余额，不扣除作为该科目备抵的项目（如累计折旧、资产减值准备等）。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应收款项是指业主大会在日常业务活动过程中发生的各项应收未收债权，包括应收账款和其他应收款等。</w:t>
      </w:r>
    </w:p>
    <w:p>
      <w:pPr>
        <w:spacing w:line="360" w:lineRule="auto"/>
        <w:ind w:firstLine="420" w:firstLineChars="200"/>
        <w:rPr>
          <w:rFonts w:ascii="宋体" w:hAnsi="宋体"/>
          <w:szCs w:val="21"/>
        </w:rPr>
      </w:pPr>
      <w:r>
        <w:rPr>
          <w:rFonts w:hint="eastAsia" w:ascii="宋体" w:hAnsi="宋体"/>
          <w:szCs w:val="21"/>
        </w:rPr>
        <w:t>（一）应收款项应当按照实际发生额入账，并按照往来单位或个人等设置明细账，进行明细核算。</w:t>
      </w:r>
    </w:p>
    <w:p>
      <w:pPr>
        <w:spacing w:line="360" w:lineRule="auto"/>
        <w:ind w:firstLine="420" w:firstLineChars="200"/>
        <w:rPr>
          <w:rFonts w:ascii="宋体" w:hAnsi="宋体"/>
          <w:szCs w:val="21"/>
        </w:rPr>
      </w:pPr>
      <w:r>
        <w:rPr>
          <w:rFonts w:hint="eastAsia" w:ascii="宋体" w:hAnsi="宋体"/>
          <w:szCs w:val="21"/>
        </w:rPr>
        <w:t>（二）期末，应当分析应收款项的可收回性，对预计可能产生的坏账损失计提坏账准备，确认坏账损失并计入当期费用。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预付账款是指业主大会预付给商品供应单位或者服务提供单位的款项。</w:t>
      </w:r>
    </w:p>
    <w:p>
      <w:pPr>
        <w:spacing w:line="360" w:lineRule="auto"/>
        <w:ind w:firstLine="420" w:firstLineChars="200"/>
        <w:rPr>
          <w:rFonts w:ascii="宋体" w:hAnsi="宋体"/>
          <w:szCs w:val="21"/>
        </w:rPr>
      </w:pPr>
      <w:r>
        <w:rPr>
          <w:rFonts w:hint="eastAsia" w:ascii="宋体" w:hAnsi="宋体"/>
          <w:szCs w:val="21"/>
        </w:rPr>
        <w:t>预付账款应当按照实际发生额入账，并按照往来单位或个人等设置明细账，进行明细核算。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存货是指业主大会在日常业务活动中持有以备使用或消耗的材料、物资、商品等。</w:t>
      </w:r>
    </w:p>
    <w:p>
      <w:pPr>
        <w:spacing w:line="360" w:lineRule="auto"/>
        <w:ind w:firstLine="420" w:firstLineChars="200"/>
        <w:rPr>
          <w:rFonts w:ascii="宋体" w:hAnsi="宋体"/>
          <w:szCs w:val="21"/>
        </w:rPr>
      </w:pPr>
      <w:r>
        <w:rPr>
          <w:rFonts w:hint="eastAsia" w:ascii="宋体" w:hAnsi="宋体"/>
          <w:szCs w:val="21"/>
        </w:rPr>
        <w:t>（一）存货在取得时，应当以其实际成本入账。存货成本包括采购成本、加工成本和其他成本。其中，采购成本一般包括实际支付的采购价款、相关税费、运输费、装卸费、保险费以及其他可直接归属于存货采购的费用。其他成本是指除采购成本、加工成本以外的，使存货达到目前场所和状态所发生的其他支出。接受捐赠的存货，按照本制度第十五条的规定确定其成本。通过非货币性交易换入的存货，按照本制度第十七条的规定确定其成本。</w:t>
      </w:r>
    </w:p>
    <w:p>
      <w:pPr>
        <w:spacing w:line="360" w:lineRule="auto"/>
        <w:ind w:firstLine="420" w:firstLineChars="200"/>
        <w:rPr>
          <w:rFonts w:ascii="宋体" w:hAnsi="宋体"/>
          <w:szCs w:val="21"/>
        </w:rPr>
      </w:pPr>
      <w:r>
        <w:rPr>
          <w:rFonts w:hint="eastAsia" w:ascii="宋体" w:hAnsi="宋体"/>
          <w:szCs w:val="21"/>
        </w:rPr>
        <w:t>（二）存货在发出时，应当根据实际情况采用个别计价法、先进先出法或者加权平均法，确定发出存货的实际成本。</w:t>
      </w:r>
    </w:p>
    <w:p>
      <w:pPr>
        <w:spacing w:line="360" w:lineRule="auto"/>
        <w:ind w:firstLine="420" w:firstLineChars="200"/>
        <w:rPr>
          <w:rFonts w:ascii="宋体" w:hAnsi="宋体"/>
          <w:szCs w:val="21"/>
        </w:rPr>
      </w:pPr>
      <w:r>
        <w:rPr>
          <w:rFonts w:hint="eastAsia" w:ascii="宋体" w:hAnsi="宋体"/>
          <w:szCs w:val="21"/>
        </w:rPr>
        <w:t>（三）存货应当定期进行清查盘点，每年至少盘点一次。对于发生的盘盈、盘亏以及变质、毁损等存货，应当及时查明原因，并根据业主大会的议事规则，经相应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pPr>
        <w:spacing w:line="360" w:lineRule="auto"/>
        <w:ind w:firstLine="420" w:firstLineChars="200"/>
        <w:rPr>
          <w:rFonts w:ascii="宋体" w:hAnsi="宋体"/>
          <w:szCs w:val="21"/>
        </w:rPr>
      </w:pPr>
      <w:r>
        <w:rPr>
          <w:rFonts w:hint="eastAsia" w:ascii="宋体" w:hAnsi="宋体"/>
          <w:szCs w:val="21"/>
        </w:rPr>
        <w:t>（四）期末，业主大会应当按照本制度第十四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pPr>
        <w:spacing w:line="360" w:lineRule="auto"/>
        <w:ind w:firstLine="420" w:firstLineChars="200"/>
        <w:rPr>
          <w:rFonts w:ascii="宋体" w:hAnsi="宋体"/>
          <w:szCs w:val="21"/>
        </w:rPr>
      </w:pPr>
      <w:r>
        <w:rPr>
          <w:rFonts w:hint="eastAsia" w:ascii="宋体" w:hAnsi="宋体"/>
          <w:szCs w:val="21"/>
        </w:rPr>
        <w:t>本制度所称的可变现净值是指在正常业务活动中，以存货的估计售价减去至完工将要发生的成本以及销售所必需的费用后的金额。</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待摊费用是指业主大会已经支出，但应当由本期和以后各期分别负担的，分摊期在1年以内（含1年）的各项费用，如预付保险费、预付租金等。</w:t>
      </w:r>
    </w:p>
    <w:p>
      <w:pPr>
        <w:pStyle w:val="19"/>
        <w:spacing w:line="360" w:lineRule="auto"/>
        <w:ind w:left="420" w:firstLine="0" w:firstLineChars="0"/>
        <w:rPr>
          <w:rFonts w:ascii="宋体" w:hAnsi="宋体"/>
          <w:szCs w:val="21"/>
        </w:rPr>
      </w:pPr>
      <w:r>
        <w:rPr>
          <w:rFonts w:hint="eastAsia" w:ascii="宋体" w:hAnsi="宋体"/>
          <w:szCs w:val="21"/>
        </w:rPr>
        <w:t>待摊费用应当按其受益期限分期平均摊销，计入有关费用。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固定资产是指同时具有以下特征的有形资产：</w:t>
      </w:r>
    </w:p>
    <w:p>
      <w:pPr>
        <w:spacing w:line="360" w:lineRule="auto"/>
        <w:ind w:firstLine="420" w:firstLineChars="200"/>
        <w:rPr>
          <w:rFonts w:ascii="宋体" w:hAnsi="宋体"/>
          <w:szCs w:val="21"/>
        </w:rPr>
      </w:pPr>
      <w:r>
        <w:rPr>
          <w:rFonts w:hint="eastAsia" w:ascii="宋体" w:hAnsi="宋体"/>
          <w:szCs w:val="21"/>
        </w:rPr>
        <w:t>（一）为开展行政管理、业务活动、提供服务或者出租目的而持有的；</w:t>
      </w:r>
    </w:p>
    <w:p>
      <w:pPr>
        <w:spacing w:line="360" w:lineRule="auto"/>
        <w:ind w:firstLine="420" w:firstLineChars="200"/>
        <w:rPr>
          <w:rFonts w:ascii="宋体" w:hAnsi="宋体"/>
          <w:szCs w:val="21"/>
        </w:rPr>
      </w:pPr>
      <w:r>
        <w:rPr>
          <w:rFonts w:hint="eastAsia" w:ascii="宋体" w:hAnsi="宋体"/>
          <w:szCs w:val="21"/>
        </w:rPr>
        <w:t>（二）预计使用年限超过1年；</w:t>
      </w:r>
    </w:p>
    <w:p>
      <w:pPr>
        <w:pStyle w:val="19"/>
        <w:spacing w:line="360" w:lineRule="auto"/>
        <w:ind w:left="420" w:firstLine="0" w:firstLineChars="0"/>
        <w:rPr>
          <w:rFonts w:hAnsi="宋体"/>
          <w:szCs w:val="21"/>
        </w:rPr>
      </w:pPr>
      <w:r>
        <w:rPr>
          <w:rFonts w:hint="eastAsia" w:hAnsi="宋体"/>
          <w:szCs w:val="21"/>
        </w:rPr>
        <w:t>（三）单位价值较高。</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固定资产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w:t>
      </w:r>
    </w:p>
    <w:p>
      <w:pPr>
        <w:pStyle w:val="7"/>
        <w:spacing w:line="360" w:lineRule="auto"/>
        <w:ind w:firstLine="420" w:firstLineChars="200"/>
        <w:rPr>
          <w:rFonts w:hAnsi="宋体"/>
        </w:rPr>
      </w:pPr>
      <w:r>
        <w:rPr>
          <w:rFonts w:hint="eastAsia" w:hAnsi="宋体"/>
        </w:rPr>
        <w:t>（一）外购的固定资产，按照实际支付的买价、相关税费以及为使固定资产达到预定可使用状态前所发生的可直接归属于该固定资产的其他支出（如运输费、安装费、装卸费等）确定其成本。</w:t>
      </w:r>
    </w:p>
    <w:p>
      <w:pPr>
        <w:pStyle w:val="7"/>
        <w:spacing w:line="360" w:lineRule="auto"/>
        <w:ind w:firstLine="420" w:firstLineChars="200"/>
        <w:rPr>
          <w:rFonts w:hAnsi="宋体"/>
        </w:rPr>
      </w:pPr>
      <w:r>
        <w:rPr>
          <w:rFonts w:hint="eastAsia" w:hAnsi="宋体"/>
        </w:rPr>
        <w:t>如果以一笔款项购入多项没有单独标价的固定资产，按各项固定资产公允价值的比例对总成本进行分配，分别确定各项固定资产的成本。</w:t>
      </w:r>
    </w:p>
    <w:p>
      <w:pPr>
        <w:pStyle w:val="7"/>
        <w:spacing w:line="360" w:lineRule="auto"/>
        <w:ind w:firstLine="420" w:firstLineChars="200"/>
        <w:rPr>
          <w:rFonts w:hAnsi="宋体"/>
        </w:rPr>
      </w:pPr>
      <w:r>
        <w:rPr>
          <w:rFonts w:hint="eastAsia" w:hAnsi="宋体"/>
        </w:rPr>
        <w:t>（二）自行建造的固定资产，按照建造该项资产达到预定可使用状态前所发生的全部必要支出确定其成本。</w:t>
      </w:r>
    </w:p>
    <w:p>
      <w:pPr>
        <w:pStyle w:val="7"/>
        <w:spacing w:line="360" w:lineRule="auto"/>
        <w:ind w:firstLine="420" w:firstLineChars="200"/>
        <w:rPr>
          <w:rFonts w:hAnsi="宋体"/>
        </w:rPr>
      </w:pPr>
      <w:r>
        <w:rPr>
          <w:rFonts w:hint="eastAsia" w:hAnsi="宋体"/>
        </w:rPr>
        <w:t>（三）接受捐赠、维权索回的固定资产，按照本制度第十五条的规定确定其成本。</w:t>
      </w:r>
    </w:p>
    <w:p>
      <w:pPr>
        <w:pStyle w:val="7"/>
        <w:spacing w:line="360" w:lineRule="auto"/>
        <w:ind w:firstLine="420" w:firstLineChars="200"/>
        <w:rPr>
          <w:rFonts w:hAnsi="宋体"/>
        </w:rPr>
      </w:pPr>
      <w:r>
        <w:rPr>
          <w:rFonts w:hint="eastAsia" w:hAnsi="宋体"/>
        </w:rPr>
        <w:t>（四）通过非货币性交易换入的固定资产，按照本制度第十七条的规定确定其成本。</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在建工程，包括施工前期准备、正在施工中的建筑工程、安装工程、技术改造工程等。工程项目较多且工程支出较大的，应当按照工程项目的性质分项核算。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在建工程应当按照所建造工程达到预定可使用状态前实际发生的全部必要支出确定其工程成本，并单独核算。在建工程的工程成本应当根据以下具体情况分别确定：</w:t>
      </w:r>
    </w:p>
    <w:p>
      <w:pPr>
        <w:pStyle w:val="7"/>
        <w:spacing w:line="360" w:lineRule="auto"/>
        <w:ind w:firstLine="420" w:firstLineChars="200"/>
        <w:rPr>
          <w:rFonts w:hAnsi="宋体"/>
        </w:rPr>
      </w:pPr>
      <w:r>
        <w:rPr>
          <w:rFonts w:hint="eastAsia" w:hAnsi="宋体"/>
        </w:rPr>
        <w:t>（一）对于自营工程，按照直接材料、直接人工、直接机械使用费等确定其成本。</w:t>
      </w:r>
    </w:p>
    <w:p>
      <w:pPr>
        <w:pStyle w:val="7"/>
        <w:spacing w:line="360" w:lineRule="auto"/>
        <w:ind w:firstLine="420" w:firstLineChars="200"/>
        <w:rPr>
          <w:rFonts w:hAnsi="宋体"/>
        </w:rPr>
      </w:pPr>
      <w:r>
        <w:rPr>
          <w:rFonts w:hint="eastAsia" w:hAnsi="宋体"/>
        </w:rPr>
        <w:t>（二）对于出包工程，按照应支付的工程价款等确定其成本。</w:t>
      </w:r>
    </w:p>
    <w:p>
      <w:pPr>
        <w:pStyle w:val="19"/>
        <w:numPr>
          <w:ilvl w:val="0"/>
          <w:numId w:val="1"/>
        </w:numPr>
        <w:spacing w:line="360" w:lineRule="auto"/>
        <w:ind w:left="0" w:firstLine="480" w:firstLineChars="0"/>
        <w:rPr>
          <w:rFonts w:ascii="宋体" w:hAnsi="宋体"/>
          <w:szCs w:val="21"/>
        </w:rPr>
      </w:pPr>
      <w:r>
        <w:rPr>
          <w:rFonts w:hint="eastAsia" w:ascii="宋体" w:hAnsi="宋体"/>
          <w:szCs w:val="21"/>
        </w:rPr>
        <w:t>所购建的固定资产已达到预定可使用状态时，应当自达到预定可使用状态之日起，将在建工程成本转入固定资产核算。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业主大会应当对固定资产计提折旧，在固定资产的预计使用寿命内合理分摊固定资产的成本。</w:t>
      </w:r>
    </w:p>
    <w:p>
      <w:pPr>
        <w:pStyle w:val="7"/>
        <w:spacing w:line="360" w:lineRule="auto"/>
        <w:ind w:firstLine="420" w:firstLineChars="200"/>
        <w:rPr>
          <w:rFonts w:hAnsi="宋体"/>
        </w:rPr>
      </w:pPr>
      <w:r>
        <w:rPr>
          <w:rFonts w:hint="eastAsia" w:hAnsi="宋体"/>
        </w:rPr>
        <w:t>业主大会应当根据固定资产的性质和消耗方式，合理确定固定资产的预计使用年限和预计净残值。</w:t>
      </w:r>
    </w:p>
    <w:p>
      <w:pPr>
        <w:pStyle w:val="7"/>
        <w:spacing w:line="360" w:lineRule="auto"/>
        <w:ind w:firstLine="420" w:firstLineChars="200"/>
        <w:rPr>
          <w:rFonts w:hAnsi="宋体"/>
        </w:rPr>
      </w:pPr>
      <w:r>
        <w:rPr>
          <w:rFonts w:hint="eastAsia" w:hAnsi="宋体"/>
        </w:rPr>
        <w:t>业主大会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业主大会应当按月提取折旧，当月增加的固定资产，当月不提折旧，从下月起计提折旧；当月减少的固定资产，当月照提折旧，从下月起不提折旧。</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业主大会由于出售、报废或者毁损等原因而发生的固定资产清理净损益，应当计入当期收入或者费用。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用于展览、教育、文体活动或研究等目的的历史文物、艺术品以及其他具有文化或者历史价值并作长期或者永久保存的典藏等，作为固定资产核算，但不必计提折旧。在资产负债表中，应当单列“文物文化资产”项目予以反映。</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业主大会对固定资产应当定期或者至少每年实地盘点一次。对盘盈、盘亏的固定资产，应当及时查明原因，写出书面报告，并根据管理权限经</w:t>
      </w:r>
      <w:r>
        <w:rPr>
          <w:rFonts w:hint="eastAsia"/>
        </w:rPr>
        <w:t>业委会</w:t>
      </w:r>
      <w:r>
        <w:rPr>
          <w:rFonts w:hint="eastAsia" w:ascii="宋体" w:hAnsi="宋体"/>
          <w:szCs w:val="21"/>
        </w:rPr>
        <w:t>或类似权力机构批准后，在期末结账前处理完毕。盘盈的固定资产应当按照其公允价值入账，并计入当期收入；盘亏的固定资产在减去过失人或者保险公司等赔款和残料价值之后计入当期费用。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业主大会对固定资产的购建、出售、清理、报废等都应当办理会计手续，并应当设置固定资产明细账（或者固定资产卡片）进行明细核算。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无形资产是指业主大会为开展业务活动、出租给他人或为管理目的而持有的且没有实物形态的非货币性长期资产，包括商标权、软件、土地使用权等。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无形资产在取得时，应当按照取得时的实际成本入账。</w:t>
      </w:r>
    </w:p>
    <w:p>
      <w:pPr>
        <w:pStyle w:val="7"/>
        <w:spacing w:line="360" w:lineRule="auto"/>
        <w:ind w:firstLine="420"/>
        <w:rPr>
          <w:rFonts w:hAnsi="宋体"/>
        </w:rPr>
      </w:pPr>
      <w:r>
        <w:rPr>
          <w:rFonts w:hint="eastAsia" w:hAnsi="宋体"/>
        </w:rPr>
        <w:t>（一）购入的无形资产，按照实际支付的价款确定其实际成本。</w:t>
      </w:r>
    </w:p>
    <w:p>
      <w:pPr>
        <w:pStyle w:val="7"/>
        <w:spacing w:line="360" w:lineRule="auto"/>
        <w:ind w:firstLine="420"/>
        <w:rPr>
          <w:rFonts w:hAnsi="宋体"/>
        </w:rPr>
      </w:pPr>
      <w:r>
        <w:rPr>
          <w:rFonts w:hint="eastAsia" w:hAnsi="宋体"/>
        </w:rPr>
        <w:t>（二）接受捐赠或维权取得的无形资产，按照本制度第十五条的规定确定其实际成本。</w:t>
      </w:r>
    </w:p>
    <w:p>
      <w:pPr>
        <w:pStyle w:val="7"/>
        <w:spacing w:line="360" w:lineRule="auto"/>
        <w:ind w:firstLine="420"/>
        <w:rPr>
          <w:rFonts w:hAnsi="宋体"/>
        </w:rPr>
      </w:pPr>
      <w:r>
        <w:rPr>
          <w:rFonts w:hint="eastAsia" w:hAnsi="宋体"/>
        </w:rPr>
        <w:t>（三）通过非货币性交易换入的无形资产，按照本制度第十七条的规定确定其实际成本。</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无形资产应当自取得当月起在预计使用年限内分期平均摊销，计入当期费用。如预计使用年限超过了相关合同规定的受益年限或法律规定的有效年限，该无形资产的摊销年限按如下原则确定：</w:t>
      </w:r>
    </w:p>
    <w:p>
      <w:pPr>
        <w:pStyle w:val="7"/>
        <w:spacing w:line="360" w:lineRule="auto"/>
        <w:ind w:firstLine="420"/>
        <w:rPr>
          <w:rFonts w:hAnsi="宋体"/>
        </w:rPr>
      </w:pPr>
      <w:r>
        <w:rPr>
          <w:rFonts w:hint="eastAsia" w:hAnsi="宋体"/>
        </w:rPr>
        <w:t>（一）合同规定了受益年限但法律没有规定有效年限的，摊销期不应超过合同规定的受益年限；</w:t>
      </w:r>
    </w:p>
    <w:p>
      <w:pPr>
        <w:pStyle w:val="7"/>
        <w:spacing w:line="360" w:lineRule="auto"/>
        <w:ind w:firstLine="420"/>
        <w:rPr>
          <w:rFonts w:hAnsi="宋体"/>
        </w:rPr>
      </w:pPr>
      <w:r>
        <w:rPr>
          <w:rFonts w:hint="eastAsia" w:hAnsi="宋体"/>
        </w:rPr>
        <w:t>（二）合同没有规定受益年限但法律规定了有效年限的，摊销期不应超过法律规定的有效年限；</w:t>
      </w:r>
    </w:p>
    <w:p>
      <w:pPr>
        <w:pStyle w:val="7"/>
        <w:spacing w:line="360" w:lineRule="auto"/>
        <w:ind w:firstLine="420"/>
        <w:rPr>
          <w:rFonts w:hAnsi="宋体"/>
        </w:rPr>
      </w:pPr>
      <w:r>
        <w:rPr>
          <w:rFonts w:hint="eastAsia" w:hAnsi="宋体"/>
        </w:rPr>
        <w:t>（三）合同规定了受益年限，法律也规定了有效年限的，摊销期不应超过受益年限和有效年限两者之中较短者。</w:t>
      </w:r>
    </w:p>
    <w:p>
      <w:pPr>
        <w:pStyle w:val="7"/>
        <w:spacing w:line="360" w:lineRule="auto"/>
        <w:ind w:firstLine="420"/>
        <w:rPr>
          <w:rFonts w:hAnsi="宋体"/>
        </w:rPr>
      </w:pPr>
      <w:r>
        <w:rPr>
          <w:rFonts w:hint="eastAsia" w:hAnsi="宋体"/>
        </w:rPr>
        <w:t>如果合同没有规定受益年限，法律也没有规定有效年限的，摊销期不应超过10年。</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业主大会处置无形资产，应当将实际取得的价款与该项无形资产的账面价值之间的差额，计入当期收入或者费用。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受托代理资产是指业主大会接受委托方委托从事受托代理业务而收到的资产。在受托代理过程中，业主大会通常只是从委托方收到受托资产，并按照委托人的意愿将资产转赠给指定的其他组织或者个人，或者按照有关规定将资产转交给指定的其他组织或者个人。业主大会本身只是在委托代理过程中起中介作用，无权改变受托代理资产的用途或者变更受益人。</w:t>
      </w:r>
    </w:p>
    <w:p>
      <w:pPr>
        <w:pStyle w:val="7"/>
        <w:spacing w:line="360" w:lineRule="auto"/>
        <w:ind w:firstLine="420"/>
        <w:rPr>
          <w:rFonts w:hAnsi="宋体"/>
        </w:rPr>
      </w:pPr>
      <w:r>
        <w:rPr>
          <w:rFonts w:hint="eastAsia" w:hAnsi="宋体"/>
        </w:rPr>
        <w:t>业主大会应当对受托代理资产比照接受捐赠资产的原则进行确认和计量，但在确认一项受托代理资产时，应当同时确认一项受托代理负债。</w:t>
      </w:r>
    </w:p>
    <w:p>
      <w:pPr>
        <w:spacing w:line="360" w:lineRule="auto"/>
        <w:jc w:val="center"/>
        <w:rPr>
          <w:rFonts w:ascii="宋体" w:hAnsi="宋体"/>
          <w:b/>
          <w:szCs w:val="21"/>
        </w:rPr>
      </w:pPr>
    </w:p>
    <w:p>
      <w:pPr>
        <w:pStyle w:val="3"/>
        <w:spacing w:before="0" w:after="0" w:line="360" w:lineRule="auto"/>
        <w:jc w:val="center"/>
        <w:rPr>
          <w:sz w:val="24"/>
        </w:rPr>
      </w:pPr>
      <w:bookmarkStart w:id="4" w:name="_Toc15388348"/>
      <w:r>
        <w:rPr>
          <w:rFonts w:hint="eastAsia"/>
          <w:sz w:val="24"/>
        </w:rPr>
        <w:t>第三章  负债</w:t>
      </w:r>
      <w:bookmarkEnd w:id="4"/>
    </w:p>
    <w:p>
      <w:pPr>
        <w:pStyle w:val="19"/>
        <w:spacing w:line="360" w:lineRule="auto"/>
        <w:ind w:left="840" w:firstLine="0" w:firstLineChars="0"/>
        <w:jc w:val="left"/>
        <w:rPr>
          <w:rFonts w:ascii="宋体" w:hAnsi="宋体"/>
          <w:b/>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负债是指过去的交易或者事项形成的现时义务，履行该义务预期会导致含有经济利益或者服务潜力的资源流出业主大会。业主大会的负债</w:t>
      </w:r>
      <w:r>
        <w:rPr>
          <w:rFonts w:hint="eastAsia" w:hAnsi="宋体"/>
          <w:szCs w:val="21"/>
        </w:rPr>
        <w:t>包括流动负债、长期负债和受托代理负债等。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或有事项是指过去的交易或者事项形成的一种状况，其结果须通过未来不确定事项的发生或不发生予以证实。</w:t>
      </w:r>
    </w:p>
    <w:p>
      <w:pPr>
        <w:pStyle w:val="7"/>
        <w:spacing w:line="360" w:lineRule="auto"/>
        <w:ind w:firstLine="420"/>
        <w:rPr>
          <w:rFonts w:hAnsi="宋体"/>
        </w:rPr>
      </w:pPr>
      <w:r>
        <w:rPr>
          <w:rFonts w:hint="eastAsia" w:hAnsi="宋体"/>
        </w:rPr>
        <w:t>如果与或有事项相关的义务同时符合以下条件，应当将其确认为负债，以清偿该负债所需支出的最佳估计数予以计量，并在资产负债表中单列项目予以反映：</w:t>
      </w:r>
    </w:p>
    <w:p>
      <w:pPr>
        <w:pStyle w:val="7"/>
        <w:spacing w:line="360" w:lineRule="auto"/>
        <w:ind w:firstLine="420"/>
        <w:rPr>
          <w:rFonts w:hAnsi="宋体"/>
        </w:rPr>
      </w:pPr>
      <w:r>
        <w:rPr>
          <w:rFonts w:hint="eastAsia" w:hAnsi="宋体"/>
        </w:rPr>
        <w:t>（一）该义务是业主大会承担的现时义务；</w:t>
      </w:r>
    </w:p>
    <w:p>
      <w:pPr>
        <w:pStyle w:val="7"/>
        <w:spacing w:line="360" w:lineRule="auto"/>
        <w:ind w:firstLine="420"/>
        <w:rPr>
          <w:rFonts w:hAnsi="宋体"/>
        </w:rPr>
      </w:pPr>
      <w:r>
        <w:rPr>
          <w:rFonts w:hint="eastAsia" w:hAnsi="宋体"/>
        </w:rPr>
        <w:t>（二）该义务的履行很可能导致含有经济利益或者服务潜力的资源流出业主大会；</w:t>
      </w:r>
    </w:p>
    <w:p>
      <w:pPr>
        <w:pStyle w:val="7"/>
        <w:spacing w:line="360" w:lineRule="auto"/>
        <w:ind w:firstLine="420"/>
        <w:rPr>
          <w:rFonts w:hAnsi="宋体"/>
        </w:rPr>
      </w:pPr>
      <w:r>
        <w:rPr>
          <w:rFonts w:hint="eastAsia" w:hAnsi="宋体"/>
        </w:rPr>
        <w:t>（三）该义务的金额能够可靠地计量。</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流动负债是指将在1年内（含1年）偿还的负债，包括应付款项、应付工资、应交税金、预收账款、预提费用和预计负债等。</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应付款项是指业主大会在日常业务活动过程中发生的各项应付账款和其他应付款等应付未付款项。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应付工资是指业主大会应付未付的员工工资、奖金、津贴或劳务报酬等工资性质的支出。</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应交税金是指业主大会应交未交的各种税费。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预收账款是指业主大会向服务和商品购买单位预收的各种款项。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预提费用是指业主大会预先提取的已经发生但尚未支付的费用，如预提的租金、保险费、管理费、服务费等。</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预计负债是指业主大会对因或有事项所产生的现时义务而确认的负债。</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各项流动负债应当按实际发生额入账。</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长期负债是指偿还期限在1年以上（不含1年）的负债，包括长期应付款和其他长期负债。</w:t>
      </w:r>
    </w:p>
    <w:p>
      <w:pPr>
        <w:pStyle w:val="19"/>
        <w:numPr>
          <w:ilvl w:val="0"/>
          <w:numId w:val="3"/>
        </w:numPr>
        <w:spacing w:line="360" w:lineRule="auto"/>
        <w:ind w:firstLineChars="0"/>
        <w:rPr>
          <w:rFonts w:ascii="宋体" w:hAnsi="宋体"/>
          <w:szCs w:val="21"/>
        </w:rPr>
      </w:pPr>
      <w:r>
        <w:rPr>
          <w:rFonts w:hint="eastAsia" w:ascii="宋体" w:hAnsi="宋体"/>
          <w:szCs w:val="21"/>
        </w:rPr>
        <w:t>长期应付款主要是指业主大会融资租入固定资产发生的应付租赁款。</w:t>
      </w:r>
    </w:p>
    <w:p>
      <w:pPr>
        <w:pStyle w:val="19"/>
        <w:numPr>
          <w:ilvl w:val="0"/>
          <w:numId w:val="3"/>
        </w:numPr>
        <w:spacing w:line="360" w:lineRule="auto"/>
        <w:ind w:firstLineChars="0"/>
        <w:rPr>
          <w:rFonts w:ascii="宋体" w:hAnsi="宋体"/>
          <w:szCs w:val="21"/>
        </w:rPr>
      </w:pPr>
      <w:r>
        <w:rPr>
          <w:rFonts w:hint="eastAsia" w:ascii="宋体" w:hAnsi="宋体"/>
          <w:szCs w:val="21"/>
        </w:rPr>
        <w:t>其他长期负债是指除长期应付款外的长期负债。</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各项长期负债应当按实际发生额入账。</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受托代理负债是指业主大会因从事受托代理业务、接受受托代理资产而产生的负债。受托代理负债应当按照相对应的受托代理资产的金额予以确认和计量。</w:t>
      </w:r>
    </w:p>
    <w:p>
      <w:pPr>
        <w:pStyle w:val="19"/>
        <w:spacing w:line="360" w:lineRule="auto"/>
        <w:ind w:left="840" w:firstLine="0" w:firstLineChars="0"/>
        <w:rPr>
          <w:rFonts w:ascii="宋体" w:hAnsi="宋体"/>
          <w:szCs w:val="21"/>
        </w:rPr>
      </w:pPr>
    </w:p>
    <w:p>
      <w:pPr>
        <w:pStyle w:val="3"/>
        <w:spacing w:before="0" w:after="0" w:line="360" w:lineRule="auto"/>
        <w:jc w:val="center"/>
        <w:rPr>
          <w:sz w:val="24"/>
        </w:rPr>
      </w:pPr>
      <w:bookmarkStart w:id="5" w:name="_Toc15388349"/>
      <w:r>
        <w:rPr>
          <w:rFonts w:hint="eastAsia"/>
          <w:sz w:val="24"/>
        </w:rPr>
        <w:t>第四章  净资产</w:t>
      </w:r>
      <w:bookmarkEnd w:id="5"/>
    </w:p>
    <w:p>
      <w:pPr>
        <w:pStyle w:val="19"/>
        <w:spacing w:line="360" w:lineRule="auto"/>
        <w:ind w:left="426" w:firstLine="0" w:firstLineChars="0"/>
        <w:jc w:val="left"/>
        <w:rPr>
          <w:rFonts w:ascii="宋体" w:hAnsi="宋体"/>
          <w:b/>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业主大会的净资产是指资产减去负债后的余额，暂定为非限定性净资产，如果国家相关法律、法规和规定明确业主大会的净资产类型，再按照相关规定执行。</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业主大会的净资产分为非专项资金净资产和专项资金净资产，非专项资金净资产核算除物业专项维修资金以外的净资产，专项资金净资产核算物业专项维修资金收支及结余。</w:t>
      </w:r>
    </w:p>
    <w:p>
      <w:pPr>
        <w:pStyle w:val="19"/>
        <w:spacing w:line="360" w:lineRule="auto"/>
        <w:ind w:left="420" w:firstLine="0" w:firstLineChars="0"/>
        <w:jc w:val="left"/>
        <w:rPr>
          <w:rFonts w:ascii="宋体" w:hAnsi="宋体"/>
          <w:szCs w:val="21"/>
          <w:highlight w:val="yellow"/>
        </w:rPr>
      </w:pPr>
    </w:p>
    <w:p>
      <w:pPr>
        <w:pStyle w:val="3"/>
        <w:spacing w:before="0" w:after="0" w:line="360" w:lineRule="auto"/>
        <w:jc w:val="center"/>
        <w:rPr>
          <w:sz w:val="24"/>
        </w:rPr>
      </w:pPr>
      <w:bookmarkStart w:id="6" w:name="_Toc15388350"/>
      <w:r>
        <w:rPr>
          <w:rFonts w:hint="eastAsia"/>
          <w:sz w:val="24"/>
        </w:rPr>
        <w:t>第五章  收入</w:t>
      </w:r>
      <w:bookmarkEnd w:id="6"/>
    </w:p>
    <w:p>
      <w:pPr>
        <w:spacing w:line="360" w:lineRule="auto"/>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收入是指业主大会开展业务活动取得的、导致本期净资产增加的经济利益或者服务潜力的流入。收入按其来源分为捐赠收入、会费收入、提供服务收入、政府补助收入、投资收益、商品销售收入等主要业务活动收入和其他收入等。</w:t>
      </w:r>
    </w:p>
    <w:p>
      <w:pPr>
        <w:pStyle w:val="19"/>
        <w:spacing w:line="360" w:lineRule="auto"/>
        <w:ind w:firstLine="424" w:firstLineChars="202"/>
        <w:rPr>
          <w:rFonts w:ascii="宋体" w:hAnsi="宋体"/>
          <w:szCs w:val="21"/>
        </w:rPr>
      </w:pPr>
      <w:r>
        <w:rPr>
          <w:rFonts w:hint="eastAsia" w:ascii="宋体" w:hAnsi="宋体"/>
          <w:szCs w:val="21"/>
        </w:rPr>
        <w:t>（一）捐赠收入是指业主大会接受其他单位或者个人捐赠所取得的收入。</w:t>
      </w:r>
    </w:p>
    <w:p>
      <w:pPr>
        <w:pStyle w:val="19"/>
        <w:spacing w:line="360" w:lineRule="auto"/>
        <w:ind w:firstLine="424" w:firstLineChars="202"/>
        <w:rPr>
          <w:rFonts w:ascii="宋体" w:hAnsi="宋体"/>
          <w:szCs w:val="21"/>
        </w:rPr>
      </w:pPr>
      <w:r>
        <w:rPr>
          <w:rFonts w:hint="eastAsia" w:ascii="宋体" w:hAnsi="宋体"/>
          <w:szCs w:val="21"/>
        </w:rPr>
        <w:t>（二）会费收入是指业主大会根据章程等的规定向会员收取的会费。</w:t>
      </w:r>
    </w:p>
    <w:p>
      <w:pPr>
        <w:pStyle w:val="19"/>
        <w:spacing w:line="360" w:lineRule="auto"/>
        <w:ind w:firstLine="424" w:firstLineChars="202"/>
        <w:rPr>
          <w:rFonts w:ascii="宋体" w:hAnsi="宋体"/>
          <w:szCs w:val="21"/>
        </w:rPr>
      </w:pPr>
      <w:r>
        <w:rPr>
          <w:rFonts w:hint="eastAsia" w:ascii="宋体" w:hAnsi="宋体"/>
          <w:szCs w:val="21"/>
        </w:rPr>
        <w:t>（三）提供服务收入是指业主大会根据有关规定向物业管理区域的服务对象提供服务取得的收入等。</w:t>
      </w:r>
    </w:p>
    <w:p>
      <w:pPr>
        <w:pStyle w:val="19"/>
        <w:spacing w:line="360" w:lineRule="auto"/>
        <w:ind w:firstLine="424" w:firstLineChars="202"/>
        <w:rPr>
          <w:rFonts w:ascii="宋体" w:hAnsi="宋体"/>
          <w:szCs w:val="21"/>
        </w:rPr>
      </w:pPr>
      <w:r>
        <w:rPr>
          <w:rFonts w:hint="eastAsia" w:ascii="宋体" w:hAnsi="宋体"/>
          <w:szCs w:val="21"/>
        </w:rPr>
        <w:t>（四）政府补助收入是指业主大会接受政府拨款或者政府机构给予的补助而取得的收入。</w:t>
      </w:r>
    </w:p>
    <w:p>
      <w:pPr>
        <w:pStyle w:val="19"/>
        <w:spacing w:line="360" w:lineRule="auto"/>
        <w:ind w:firstLine="424" w:firstLineChars="202"/>
        <w:rPr>
          <w:rFonts w:ascii="宋体" w:hAnsi="宋体"/>
          <w:szCs w:val="21"/>
        </w:rPr>
      </w:pPr>
      <w:r>
        <w:rPr>
          <w:rFonts w:hint="eastAsia" w:ascii="宋体" w:hAnsi="宋体"/>
          <w:szCs w:val="21"/>
        </w:rPr>
        <w:t>（五）商品销售收入是指业主大会销售商品等所形成的收入。</w:t>
      </w:r>
    </w:p>
    <w:p>
      <w:pPr>
        <w:pStyle w:val="19"/>
        <w:spacing w:line="360" w:lineRule="auto"/>
        <w:ind w:firstLine="424" w:firstLineChars="202"/>
        <w:rPr>
          <w:rFonts w:ascii="宋体" w:hAnsi="宋体"/>
          <w:szCs w:val="21"/>
        </w:rPr>
      </w:pPr>
      <w:r>
        <w:rPr>
          <w:rFonts w:hint="eastAsia" w:ascii="宋体" w:hAnsi="宋体"/>
          <w:szCs w:val="21"/>
        </w:rPr>
        <w:t>（六）其他收入是指除上述主要业务活动收入以外的其他收入，如滞纳金和罚款、非专项共有资金利息等。</w:t>
      </w:r>
    </w:p>
    <w:p>
      <w:pPr>
        <w:pStyle w:val="19"/>
        <w:spacing w:line="360" w:lineRule="auto"/>
        <w:ind w:left="420" w:firstLine="0" w:firstLineChars="0"/>
        <w:rPr>
          <w:rFonts w:ascii="宋体" w:hAnsi="宋体"/>
          <w:szCs w:val="21"/>
        </w:rPr>
      </w:pPr>
      <w:r>
        <w:rPr>
          <w:rFonts w:hint="eastAsia" w:ascii="宋体" w:hAnsi="宋体"/>
          <w:szCs w:val="21"/>
        </w:rPr>
        <w:t>根据业主大会的主体特征，业主大会主要的收入类型是提供服务收入和其他收入。</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业主大会提供服务收入包括：物业管理费收入、车位（库）收入、共有物业出租收入、公共场地及设备设施出租收入、广告费收入、水电费、其他服务收入等。</w:t>
      </w:r>
    </w:p>
    <w:p>
      <w:pPr>
        <w:pStyle w:val="7"/>
        <w:numPr>
          <w:ilvl w:val="1"/>
          <w:numId w:val="1"/>
        </w:numPr>
        <w:spacing w:line="360" w:lineRule="auto"/>
        <w:ind w:left="0" w:firstLine="426"/>
        <w:rPr>
          <w:rFonts w:hAnsi="宋体"/>
          <w:szCs w:val="24"/>
        </w:rPr>
      </w:pPr>
      <w:r>
        <w:rPr>
          <w:rFonts w:hint="eastAsia" w:hAnsi="宋体"/>
          <w:szCs w:val="24"/>
        </w:rPr>
        <w:t>物业管理费收入是指业主大会根据国家有关规定和协议约定向业主收取的物业管理费所取得的收入；包括业主大会按照议事规则向业主收取因业主迟缴物业管理费等产生的违约金、滞纳金等。</w:t>
      </w:r>
    </w:p>
    <w:p>
      <w:pPr>
        <w:pStyle w:val="7"/>
        <w:numPr>
          <w:ilvl w:val="1"/>
          <w:numId w:val="1"/>
        </w:numPr>
        <w:spacing w:line="360" w:lineRule="auto"/>
        <w:ind w:left="0" w:firstLine="426"/>
        <w:rPr>
          <w:rFonts w:hAnsi="宋体"/>
          <w:szCs w:val="24"/>
        </w:rPr>
      </w:pPr>
      <w:r>
        <w:rPr>
          <w:rFonts w:hint="eastAsia" w:hAnsi="宋体"/>
          <w:szCs w:val="24"/>
        </w:rPr>
        <w:t>车位（库）收入是指业主大会向产权或收益权全部或部分属于业主共有的停车位（库</w:t>
      </w:r>
      <w:r>
        <w:rPr>
          <w:rFonts w:hAnsi="宋体"/>
          <w:szCs w:val="24"/>
        </w:rPr>
        <w:t>）</w:t>
      </w:r>
      <w:r>
        <w:rPr>
          <w:rFonts w:hint="eastAsia" w:hAnsi="宋体"/>
          <w:szCs w:val="24"/>
        </w:rPr>
        <w:t>收取车位（库）租赁费、固定或临时停车费、车位管理费、服务费以及收入分成等形成的收入；</w:t>
      </w:r>
    </w:p>
    <w:p>
      <w:pPr>
        <w:pStyle w:val="7"/>
        <w:numPr>
          <w:ilvl w:val="1"/>
          <w:numId w:val="1"/>
        </w:numPr>
        <w:spacing w:line="360" w:lineRule="auto"/>
        <w:ind w:left="0" w:firstLine="426"/>
        <w:rPr>
          <w:rFonts w:hAnsi="宋体"/>
          <w:szCs w:val="24"/>
        </w:rPr>
      </w:pPr>
      <w:r>
        <w:rPr>
          <w:rFonts w:hint="eastAsia" w:hAnsi="宋体"/>
          <w:szCs w:val="24"/>
        </w:rPr>
        <w:t>共有物业出租收入是指业主大会将产权、收益权全部或部分属于业主共有的物业出租所取得的收入；</w:t>
      </w:r>
    </w:p>
    <w:p>
      <w:pPr>
        <w:pStyle w:val="7"/>
        <w:numPr>
          <w:ilvl w:val="1"/>
          <w:numId w:val="1"/>
        </w:numPr>
        <w:spacing w:line="360" w:lineRule="auto"/>
        <w:ind w:left="0" w:firstLine="426"/>
        <w:rPr>
          <w:rFonts w:hAnsi="宋体"/>
          <w:szCs w:val="24"/>
        </w:rPr>
      </w:pPr>
      <w:r>
        <w:rPr>
          <w:rFonts w:hint="eastAsia" w:hAnsi="宋体"/>
          <w:szCs w:val="24"/>
        </w:rPr>
        <w:t>公共场地及设备设施出租收入是指业主大会将产权或收益权全部或部分属于业主共有的公共场地及设备设施出租所取得的收入；</w:t>
      </w:r>
    </w:p>
    <w:p>
      <w:pPr>
        <w:pStyle w:val="7"/>
        <w:numPr>
          <w:ilvl w:val="1"/>
          <w:numId w:val="1"/>
        </w:numPr>
        <w:spacing w:line="360" w:lineRule="auto"/>
        <w:ind w:left="0" w:firstLine="426"/>
        <w:rPr>
          <w:rFonts w:hAnsi="宋体"/>
          <w:szCs w:val="24"/>
        </w:rPr>
      </w:pPr>
      <w:r>
        <w:rPr>
          <w:rFonts w:hint="eastAsia" w:hAnsi="宋体"/>
          <w:szCs w:val="24"/>
        </w:rPr>
        <w:t>广告收入是指业主大会利用本物业管理区域的公共资源，向外提供广告服务取得的收入；</w:t>
      </w:r>
    </w:p>
    <w:p>
      <w:pPr>
        <w:pStyle w:val="7"/>
        <w:numPr>
          <w:ilvl w:val="1"/>
          <w:numId w:val="1"/>
        </w:numPr>
        <w:spacing w:line="360" w:lineRule="auto"/>
        <w:ind w:left="0" w:firstLine="426"/>
        <w:rPr>
          <w:rFonts w:hAnsi="宋体"/>
          <w:szCs w:val="24"/>
        </w:rPr>
      </w:pPr>
      <w:r>
        <w:rPr>
          <w:rFonts w:hint="eastAsia" w:hAnsi="宋体"/>
          <w:szCs w:val="24"/>
        </w:rPr>
        <w:t>水电费收入是指业主大会向本物业管理区域的水、电使用人收取或代收的水电费取得的收入；</w:t>
      </w:r>
    </w:p>
    <w:p>
      <w:pPr>
        <w:pStyle w:val="7"/>
        <w:numPr>
          <w:ilvl w:val="1"/>
          <w:numId w:val="1"/>
        </w:numPr>
        <w:spacing w:line="360" w:lineRule="auto"/>
        <w:ind w:left="0" w:firstLine="426"/>
        <w:rPr>
          <w:rFonts w:hAnsi="宋体"/>
          <w:szCs w:val="24"/>
        </w:rPr>
      </w:pPr>
      <w:r>
        <w:rPr>
          <w:rFonts w:hint="eastAsia" w:hAnsi="宋体"/>
          <w:szCs w:val="24"/>
        </w:rPr>
        <w:t>其他收入是指除上述主要服务活动收入以外的其他收入，如固定资产处置净收入、无形资产处置净收入、维权收入等。</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其他收入包括：滞纳金和罚款、非专项共有资金利息等。</w:t>
      </w:r>
    </w:p>
    <w:p>
      <w:pPr>
        <w:pStyle w:val="19"/>
        <w:spacing w:line="360" w:lineRule="auto"/>
        <w:ind w:left="420" w:firstLine="0" w:firstLineChars="0"/>
        <w:jc w:val="left"/>
        <w:rPr>
          <w:rFonts w:ascii="宋体" w:hAnsi="宋体"/>
          <w:szCs w:val="21"/>
        </w:rPr>
      </w:pPr>
      <w:r>
        <w:rPr>
          <w:rFonts w:hint="eastAsia" w:ascii="宋体" w:hAnsi="宋体"/>
          <w:szCs w:val="21"/>
        </w:rPr>
        <w:t>对于业主大会接受的劳务捐赠，不予确认，但应当在会计报表附注中作相关披露。</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业主大会在确认收入时，应当区分交换交易所形成的收入和非交换交易所形成的收入。</w:t>
      </w:r>
    </w:p>
    <w:p>
      <w:pPr>
        <w:spacing w:line="360" w:lineRule="auto"/>
        <w:ind w:firstLine="210" w:firstLineChars="100"/>
        <w:jc w:val="left"/>
        <w:rPr>
          <w:rFonts w:ascii="宋体" w:hAnsi="宋体"/>
          <w:szCs w:val="21"/>
        </w:rPr>
      </w:pPr>
      <w:r>
        <w:rPr>
          <w:rFonts w:hint="eastAsia" w:ascii="宋体" w:hAnsi="宋体"/>
          <w:szCs w:val="21"/>
        </w:rPr>
        <w:t>（一）</w:t>
      </w:r>
      <w:r>
        <w:rPr>
          <w:rFonts w:ascii="宋体" w:hAnsi="宋体"/>
          <w:szCs w:val="21"/>
        </w:rPr>
        <w:t xml:space="preserve"> </w:t>
      </w:r>
      <w:r>
        <w:rPr>
          <w:rFonts w:hint="eastAsia" w:ascii="宋体" w:hAnsi="宋体"/>
          <w:szCs w:val="21"/>
        </w:rPr>
        <w:t>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属于交换交易。</w:t>
      </w:r>
    </w:p>
    <w:p>
      <w:pPr>
        <w:pStyle w:val="19"/>
        <w:spacing w:line="360" w:lineRule="auto"/>
        <w:ind w:left="420" w:firstLine="0" w:firstLineChars="0"/>
        <w:jc w:val="left"/>
        <w:rPr>
          <w:rFonts w:ascii="宋体" w:hAnsi="宋体"/>
          <w:szCs w:val="21"/>
        </w:rPr>
      </w:pPr>
      <w:r>
        <w:rPr>
          <w:rFonts w:hint="eastAsia" w:ascii="宋体" w:hAnsi="宋体"/>
          <w:szCs w:val="21"/>
        </w:rPr>
        <w:t>对于因交换交易所形成的商品销售收入，应当在下列条件同时满足时予以确认：</w:t>
      </w:r>
    </w:p>
    <w:p>
      <w:pPr>
        <w:pStyle w:val="19"/>
        <w:spacing w:line="360" w:lineRule="auto"/>
        <w:ind w:left="420" w:firstLine="0" w:firstLineChars="0"/>
        <w:jc w:val="left"/>
        <w:rPr>
          <w:rFonts w:ascii="宋体" w:hAnsi="宋体"/>
          <w:szCs w:val="21"/>
        </w:rPr>
      </w:pPr>
      <w:r>
        <w:rPr>
          <w:rFonts w:ascii="宋体" w:hAnsi="宋体"/>
          <w:szCs w:val="21"/>
        </w:rPr>
        <w:t>1．已将商品所有权上的主要风险和报酬转移给购货方；</w:t>
      </w:r>
    </w:p>
    <w:p>
      <w:pPr>
        <w:pStyle w:val="19"/>
        <w:spacing w:line="360" w:lineRule="auto"/>
        <w:ind w:left="420" w:firstLine="0" w:firstLineChars="0"/>
        <w:jc w:val="left"/>
        <w:rPr>
          <w:rFonts w:ascii="宋体" w:hAnsi="宋体"/>
          <w:szCs w:val="21"/>
        </w:rPr>
      </w:pPr>
      <w:r>
        <w:rPr>
          <w:rFonts w:ascii="宋体" w:hAnsi="宋体"/>
          <w:szCs w:val="21"/>
        </w:rPr>
        <w:t>2．既没有保留通常与所有权相联系的继续管理权，也没有对已售出的商品实施控制；</w:t>
      </w:r>
    </w:p>
    <w:p>
      <w:pPr>
        <w:pStyle w:val="19"/>
        <w:spacing w:line="360" w:lineRule="auto"/>
        <w:ind w:left="420" w:firstLine="0" w:firstLineChars="0"/>
        <w:jc w:val="left"/>
        <w:rPr>
          <w:rFonts w:ascii="宋体" w:hAnsi="宋体"/>
          <w:szCs w:val="21"/>
        </w:rPr>
      </w:pPr>
      <w:r>
        <w:rPr>
          <w:rFonts w:ascii="宋体" w:hAnsi="宋体"/>
          <w:szCs w:val="21"/>
        </w:rPr>
        <w:t>3．与交易相关的经济利益能够流入</w:t>
      </w:r>
      <w:r>
        <w:rPr>
          <w:rFonts w:hint="eastAsia" w:ascii="宋体" w:hAnsi="宋体"/>
          <w:szCs w:val="21"/>
        </w:rPr>
        <w:t>业主大会；</w:t>
      </w:r>
    </w:p>
    <w:p>
      <w:pPr>
        <w:pStyle w:val="19"/>
        <w:spacing w:line="360" w:lineRule="auto"/>
        <w:ind w:left="420" w:firstLine="0" w:firstLineChars="0"/>
        <w:jc w:val="left"/>
        <w:rPr>
          <w:rFonts w:ascii="宋体" w:hAnsi="宋体"/>
          <w:szCs w:val="21"/>
        </w:rPr>
      </w:pPr>
      <w:r>
        <w:rPr>
          <w:rFonts w:ascii="宋体" w:hAnsi="宋体"/>
          <w:szCs w:val="21"/>
        </w:rPr>
        <w:t>4．相关的收入和成本能够可靠地计量。</w:t>
      </w:r>
    </w:p>
    <w:p>
      <w:pPr>
        <w:pStyle w:val="19"/>
        <w:spacing w:line="360" w:lineRule="auto"/>
        <w:ind w:left="420" w:firstLine="0" w:firstLineChars="0"/>
        <w:jc w:val="left"/>
        <w:rPr>
          <w:rFonts w:ascii="宋体" w:hAnsi="宋体"/>
          <w:szCs w:val="21"/>
        </w:rPr>
      </w:pPr>
      <w:r>
        <w:rPr>
          <w:rFonts w:hint="eastAsia" w:ascii="宋体" w:hAnsi="宋体"/>
          <w:szCs w:val="21"/>
        </w:rPr>
        <w:t>对于因交换交易所形成的提供劳务收入，应当按以下规定予以确认：</w:t>
      </w:r>
    </w:p>
    <w:p>
      <w:pPr>
        <w:pStyle w:val="19"/>
        <w:spacing w:line="360" w:lineRule="auto"/>
        <w:ind w:left="420" w:firstLine="0" w:firstLineChars="0"/>
        <w:jc w:val="left"/>
        <w:rPr>
          <w:rFonts w:ascii="宋体" w:hAnsi="宋体"/>
          <w:szCs w:val="21"/>
        </w:rPr>
      </w:pPr>
      <w:r>
        <w:rPr>
          <w:rFonts w:ascii="宋体" w:hAnsi="宋体"/>
          <w:szCs w:val="21"/>
        </w:rPr>
        <w:t>1．在同一会计年度内开始并完成的劳务，应当在完成劳务时确认收入；</w:t>
      </w:r>
    </w:p>
    <w:p>
      <w:pPr>
        <w:spacing w:line="360" w:lineRule="auto"/>
        <w:ind w:firstLine="372" w:firstLineChars="177"/>
        <w:jc w:val="left"/>
        <w:rPr>
          <w:rFonts w:ascii="宋体" w:hAnsi="宋体"/>
          <w:szCs w:val="21"/>
        </w:rPr>
      </w:pPr>
      <w:r>
        <w:rPr>
          <w:rFonts w:ascii="宋体" w:hAnsi="宋体"/>
          <w:szCs w:val="21"/>
        </w:rPr>
        <w:t>2．如果劳务的开始和完成分属不同的会计年度，可以按完工进度或完成的工作量确认收入。</w:t>
      </w:r>
    </w:p>
    <w:p>
      <w:pPr>
        <w:spacing w:line="360" w:lineRule="auto"/>
        <w:ind w:firstLine="420" w:firstLineChars="200"/>
        <w:jc w:val="left"/>
        <w:rPr>
          <w:rFonts w:ascii="宋体" w:hAnsi="宋体"/>
          <w:szCs w:val="21"/>
        </w:rPr>
      </w:pPr>
      <w:r>
        <w:rPr>
          <w:rFonts w:hint="eastAsia" w:ascii="宋体" w:hAnsi="宋体"/>
          <w:szCs w:val="21"/>
        </w:rPr>
        <w:t>对于因交换交易所形成的因让渡资产使用权而发生的收入应当在下列条件同时满足时予以确认：</w:t>
      </w:r>
    </w:p>
    <w:p>
      <w:pPr>
        <w:pStyle w:val="19"/>
        <w:spacing w:line="360" w:lineRule="auto"/>
        <w:ind w:left="420" w:firstLine="0" w:firstLineChars="0"/>
        <w:jc w:val="left"/>
        <w:rPr>
          <w:rFonts w:ascii="宋体" w:hAnsi="宋体"/>
          <w:szCs w:val="21"/>
        </w:rPr>
      </w:pPr>
      <w:r>
        <w:rPr>
          <w:rFonts w:ascii="宋体" w:hAnsi="宋体"/>
          <w:szCs w:val="21"/>
        </w:rPr>
        <w:t>1．与交易相关的经济利益能够流入</w:t>
      </w:r>
      <w:r>
        <w:rPr>
          <w:rFonts w:hint="eastAsia" w:ascii="宋体" w:hAnsi="宋体"/>
          <w:szCs w:val="21"/>
        </w:rPr>
        <w:t>业主大会；</w:t>
      </w:r>
    </w:p>
    <w:p>
      <w:pPr>
        <w:pStyle w:val="19"/>
        <w:spacing w:line="360" w:lineRule="auto"/>
        <w:ind w:left="420" w:firstLine="0" w:firstLineChars="0"/>
        <w:jc w:val="left"/>
        <w:rPr>
          <w:rFonts w:ascii="宋体" w:hAnsi="宋体"/>
          <w:szCs w:val="21"/>
        </w:rPr>
      </w:pPr>
      <w:r>
        <w:rPr>
          <w:rFonts w:hint="eastAsia" w:ascii="宋体" w:hAnsi="宋体"/>
          <w:szCs w:val="21"/>
        </w:rPr>
        <w:t>2. 收入的金额能够可靠地计量。</w:t>
      </w:r>
    </w:p>
    <w:p>
      <w:pPr>
        <w:pStyle w:val="19"/>
        <w:spacing w:line="360" w:lineRule="auto"/>
        <w:ind w:left="120" w:leftChars="57" w:firstLine="315" w:firstLineChars="150"/>
        <w:jc w:val="left"/>
        <w:rPr>
          <w:rFonts w:ascii="宋体" w:hAnsi="宋体"/>
          <w:szCs w:val="21"/>
        </w:rPr>
      </w:pPr>
      <w:r>
        <w:rPr>
          <w:rFonts w:hint="eastAsia" w:ascii="宋体" w:hAnsi="宋体"/>
          <w:szCs w:val="21"/>
        </w:rPr>
        <w:t>（二）</w:t>
      </w:r>
      <w:r>
        <w:rPr>
          <w:rFonts w:ascii="宋体" w:hAnsi="宋体"/>
          <w:szCs w:val="21"/>
        </w:rPr>
        <w:t xml:space="preserve"> </w:t>
      </w:r>
      <w:r>
        <w:rPr>
          <w:rFonts w:hint="eastAsia" w:ascii="宋体" w:hAnsi="宋体"/>
          <w:szCs w:val="21"/>
        </w:rPr>
        <w:t>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属于非交换交易。</w:t>
      </w:r>
    </w:p>
    <w:p>
      <w:pPr>
        <w:pStyle w:val="19"/>
        <w:spacing w:line="360" w:lineRule="auto"/>
        <w:ind w:left="420" w:firstLine="0" w:firstLineChars="0"/>
        <w:jc w:val="left"/>
        <w:rPr>
          <w:rFonts w:ascii="宋体" w:hAnsi="宋体"/>
          <w:szCs w:val="21"/>
        </w:rPr>
      </w:pPr>
      <w:r>
        <w:rPr>
          <w:rFonts w:hint="eastAsia" w:ascii="宋体" w:hAnsi="宋体"/>
          <w:szCs w:val="21"/>
        </w:rPr>
        <w:t>对于因非交换交易所形成的收入，应当在同时满足下列条件时予以确认：</w:t>
      </w:r>
    </w:p>
    <w:p>
      <w:pPr>
        <w:spacing w:line="360" w:lineRule="auto"/>
        <w:ind w:firstLine="420" w:firstLineChars="200"/>
        <w:jc w:val="left"/>
        <w:rPr>
          <w:rFonts w:ascii="宋体" w:hAnsi="宋体"/>
          <w:szCs w:val="21"/>
        </w:rPr>
      </w:pPr>
      <w:r>
        <w:rPr>
          <w:rFonts w:ascii="宋体" w:hAnsi="宋体"/>
          <w:szCs w:val="21"/>
        </w:rPr>
        <w:t>1．与交易相关的含有经济利益或者服务潜力的资源能够流入</w:t>
      </w:r>
      <w:r>
        <w:rPr>
          <w:rFonts w:hint="eastAsia" w:ascii="宋体" w:hAnsi="宋体"/>
          <w:szCs w:val="21"/>
        </w:rPr>
        <w:t>业主大会并为其所控制，或者相关的债务能够得到解除；</w:t>
      </w:r>
    </w:p>
    <w:p>
      <w:pPr>
        <w:pStyle w:val="19"/>
        <w:spacing w:line="360" w:lineRule="auto"/>
        <w:ind w:left="420" w:leftChars="200" w:firstLine="4" w:firstLineChars="2"/>
        <w:jc w:val="left"/>
        <w:rPr>
          <w:rFonts w:ascii="宋体" w:hAnsi="宋体"/>
          <w:szCs w:val="21"/>
        </w:rPr>
      </w:pPr>
      <w:r>
        <w:rPr>
          <w:rFonts w:ascii="宋体" w:hAnsi="宋体"/>
          <w:szCs w:val="21"/>
        </w:rPr>
        <w:t>2．交易能够引起净资产的增加；</w:t>
      </w:r>
    </w:p>
    <w:p>
      <w:pPr>
        <w:pStyle w:val="19"/>
        <w:spacing w:line="360" w:lineRule="auto"/>
        <w:ind w:left="420" w:firstLine="0" w:firstLineChars="0"/>
        <w:jc w:val="left"/>
        <w:rPr>
          <w:rFonts w:ascii="宋体" w:hAnsi="宋体"/>
          <w:szCs w:val="21"/>
        </w:rPr>
      </w:pPr>
      <w:r>
        <w:rPr>
          <w:rFonts w:ascii="宋体" w:hAnsi="宋体"/>
          <w:szCs w:val="21"/>
        </w:rPr>
        <w:t>3．收入的金额能够可靠地计量。</w:t>
      </w:r>
    </w:p>
    <w:p>
      <w:pPr>
        <w:spacing w:line="360" w:lineRule="auto"/>
        <w:ind w:firstLine="372" w:firstLineChars="177"/>
        <w:jc w:val="left"/>
        <w:rPr>
          <w:rFonts w:ascii="宋体" w:hAnsi="宋体"/>
          <w:szCs w:val="21"/>
        </w:rPr>
      </w:pPr>
      <w:r>
        <w:rPr>
          <w:rFonts w:hint="eastAsia" w:ascii="宋体" w:hAnsi="宋体"/>
          <w:szCs w:val="21"/>
        </w:rPr>
        <w:t>4.一般情况下，对于无条件的捐赠或政府补助，应当在捐赠或政府补助收到时确认收入；对于附条件的捐赠或政府补助，应当在取得捐赠资产或政府补助资产控制权时确认收入，但当业主大会存在需要偿还全部或部分捐赠资产（或者政府补助资产）或者相应金额的现时义务时，应当根据需要偿还的金额同时确认一项负债和费用。</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7" w:name="_Toc15388351"/>
      <w:r>
        <w:rPr>
          <w:rFonts w:hint="eastAsia"/>
          <w:sz w:val="24"/>
        </w:rPr>
        <w:t>第六章  费用</w:t>
      </w:r>
      <w:bookmarkEnd w:id="7"/>
    </w:p>
    <w:p>
      <w:pPr>
        <w:pStyle w:val="19"/>
        <w:spacing w:line="360" w:lineRule="auto"/>
        <w:ind w:left="840" w:firstLine="0" w:firstLineChars="0"/>
        <w:jc w:val="left"/>
        <w:rPr>
          <w:rFonts w:ascii="宋体" w:hAnsi="宋体"/>
          <w:b/>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费用是指业主大会为开展业务活动所发生的、导致本期净资产减少的经济利益或者服务潜力的流出。费用应当按照其功能分为业务活动成本、管理费用、筹资费用和其他费用等，其中：业主大会经常核算的费用类型是业务活动成本、管理费用和其他费用。</w:t>
      </w:r>
    </w:p>
    <w:p>
      <w:pPr>
        <w:pStyle w:val="19"/>
        <w:numPr>
          <w:ilvl w:val="0"/>
          <w:numId w:val="1"/>
        </w:numPr>
        <w:spacing w:line="360" w:lineRule="auto"/>
        <w:ind w:left="0" w:firstLine="424" w:firstLineChars="202"/>
        <w:jc w:val="left"/>
        <w:rPr>
          <w:rFonts w:ascii="宋体" w:hAnsi="宋体"/>
          <w:szCs w:val="21"/>
        </w:rPr>
      </w:pPr>
      <w:r>
        <w:rPr>
          <w:rFonts w:hint="eastAsia" w:ascii="宋体" w:hAnsi="宋体"/>
          <w:szCs w:val="21"/>
        </w:rPr>
        <w:t>业务活动成本是指业主大会为了实现其业务活动目标、开展其项目活动或者提供服务所发生的费用。业务活动成本按与收入的关系，分为物业服务成本、车位（库）支出、共有物业出租支出、公共场地及设备设施支出、广告相关支出、水电费支出、其他支出等。</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物业服务成本，是指业主大会及常设机构委托物业服务单位对物业管理区域内的房屋建筑及其设备、公用设施、绿化、卫生、交通、治安和环境等项目进行日常维护、修缮、整治等必需服务所发生的费用。</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车位（库）支出，是指业主大会为管理、维护本物业管理区域内的车位（库）以使其达到可使用状态而发生的直接支出；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共有物业出租支出，是指业主大会为管理、维护本物业管理区域内的共有物业，以取得出租收入而发生的直接支出；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公共场地及设备设施支出，是指业主大会为管理、维护本物业管理区域内的公共场地及设备设施以使其达到可使用状态而发生的直接支出；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与取得广告收入相关的支出，是指业主大会利用本物业管理区域内的公共场地等取得广告收入而发生的直接支出；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水电费支出，是指业主大会取得水电费收入发生的直接支出；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其他支出，是指业主大会为取得赞助收入、政府补助收入、商品销售收入、固定资产处置净收入、无形资产处置净收入、维权收入等收入而发生的支出。</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管理费用是指业主大会及其常设机构为组织和管理其业务活动所发生的各项费用，包括业主大会及其常设机构按照业主大会的议事规则所支付的日常经费和管理人员的工资薪金与补助，以及办公费、水电费、邮电费、差旅费、折旧费、修理费、租赁费、无形资产摊销费、资产盘亏损失、资产减值损失、因预计负债所产生的损失、聘请中介机构费等。其中，福利费应当依法根据业主大会的管理权限，按照规定或权力机构的规定据实列支。</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业主大会发生的业务活动成本、管理费用、筹资费用和其他费用，应当在实际发生时按其发生额计入当期费用。</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8" w:name="_Toc15388352"/>
      <w:r>
        <w:rPr>
          <w:rFonts w:hint="eastAsia"/>
          <w:sz w:val="24"/>
        </w:rPr>
        <w:t>第七章  财务会计报告</w:t>
      </w:r>
      <w:bookmarkEnd w:id="8"/>
    </w:p>
    <w:p>
      <w:pPr>
        <w:pStyle w:val="19"/>
        <w:spacing w:line="360" w:lineRule="auto"/>
        <w:ind w:left="420" w:firstLine="0" w:firstLineChars="0"/>
        <w:jc w:val="left"/>
        <w:rPr>
          <w:rFonts w:ascii="宋体" w:hAnsi="宋体"/>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财务会计报告是反映业主大会财务状况、业务活动情况和现金流量等的书面文件。</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由会计报表、会计报表附注和财务情况说明书组成。业主大会对外提供的财务会计报告的内容、会计报表的种类和格式、会计报表附注应予披露的主要内容等，由本制度规定；业主大会内部管理需要的报表由单位自行规定。</w:t>
      </w:r>
    </w:p>
    <w:p>
      <w:pPr>
        <w:spacing w:line="360" w:lineRule="auto"/>
        <w:ind w:firstLine="420" w:firstLineChars="200"/>
        <w:jc w:val="left"/>
        <w:rPr>
          <w:rFonts w:ascii="宋体" w:hAnsi="宋体"/>
          <w:szCs w:val="21"/>
        </w:rPr>
      </w:pPr>
      <w:r>
        <w:rPr>
          <w:rFonts w:hint="eastAsia" w:ascii="宋体" w:hAnsi="宋体"/>
          <w:szCs w:val="21"/>
        </w:rPr>
        <w:t>业主大会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业主大会采用的会计政策前后各期应当保持一致，不得随意变更，除非符合下列条件之一：</w:t>
      </w:r>
    </w:p>
    <w:p>
      <w:pPr>
        <w:spacing w:line="360" w:lineRule="auto"/>
        <w:ind w:firstLine="315" w:firstLineChars="150"/>
        <w:jc w:val="left"/>
        <w:rPr>
          <w:rFonts w:ascii="宋体" w:hAnsi="宋体"/>
          <w:szCs w:val="21"/>
        </w:rPr>
      </w:pPr>
      <w:r>
        <w:rPr>
          <w:rFonts w:hint="eastAsia" w:ascii="宋体" w:hAnsi="宋体"/>
          <w:szCs w:val="21"/>
        </w:rPr>
        <w:t>（一）法律或会计制度、会计制度等行政法规、规章的要求；</w:t>
      </w:r>
    </w:p>
    <w:p>
      <w:pPr>
        <w:spacing w:line="360" w:lineRule="auto"/>
        <w:ind w:firstLine="315" w:firstLineChars="150"/>
        <w:jc w:val="left"/>
        <w:rPr>
          <w:rFonts w:ascii="宋体" w:hAnsi="宋体"/>
          <w:szCs w:val="21"/>
        </w:rPr>
      </w:pPr>
      <w:r>
        <w:rPr>
          <w:rFonts w:hint="eastAsia" w:ascii="宋体" w:hAnsi="宋体"/>
          <w:szCs w:val="21"/>
        </w:rPr>
        <w:t>（二）这种变更能够提供业主大会财务状况、业务活动情况和现金流量等更可靠、更相关的会计信息。</w:t>
      </w:r>
    </w:p>
    <w:p>
      <w:pPr>
        <w:spacing w:line="360" w:lineRule="auto"/>
        <w:ind w:firstLine="372" w:firstLineChars="177"/>
        <w:jc w:val="left"/>
        <w:rPr>
          <w:rFonts w:ascii="宋体" w:hAnsi="宋体"/>
          <w:szCs w:val="21"/>
        </w:rPr>
      </w:pPr>
      <w:r>
        <w:rPr>
          <w:rFonts w:hint="eastAsia" w:ascii="宋体" w:hAnsi="宋体"/>
          <w:szCs w:val="21"/>
        </w:rPr>
        <w:t>业主大会应当采用追溯调整法核算会计政策的变更，如果追溯调整法不可行，则应当采用未来适用法核算；如果相关法律或会计制度、会计制度等另有规定，则应当按照相关规定进行核算。</w:t>
      </w:r>
    </w:p>
    <w:p>
      <w:pPr>
        <w:spacing w:line="360" w:lineRule="auto"/>
        <w:ind w:firstLine="372" w:firstLineChars="177"/>
        <w:jc w:val="left"/>
        <w:rPr>
          <w:rFonts w:ascii="宋体" w:hAnsi="宋体"/>
          <w:szCs w:val="21"/>
        </w:rPr>
      </w:pPr>
      <w:r>
        <w:rPr>
          <w:rFonts w:hint="eastAsia" w:ascii="宋体" w:hAnsi="宋体"/>
          <w:szCs w:val="21"/>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资产负债表日至财务会计报告批准报出日之间发生的需要调整或说明的有利或不利事项，属于资产负债表日后事项。对于资产负债表日后事项，应当区分调整事项和非调整事项进行处理。</w:t>
      </w:r>
    </w:p>
    <w:p>
      <w:pPr>
        <w:spacing w:line="360" w:lineRule="auto"/>
        <w:ind w:firstLine="372" w:firstLineChars="177"/>
        <w:jc w:val="left"/>
        <w:rPr>
          <w:rFonts w:ascii="宋体" w:hAnsi="宋体"/>
          <w:szCs w:val="21"/>
        </w:rPr>
      </w:pPr>
      <w:r>
        <w:rPr>
          <w:rFonts w:hint="eastAsia" w:ascii="宋体" w:hAnsi="宋体"/>
          <w:szCs w:val="21"/>
        </w:rPr>
        <w:t>调整事项，是指资产负债表日后至财务会计报告批准报出日之间发生的，为资产负债表日已经存在的情况提供了新的或进一步证据，有助于对资产负债表日存在情况有关的金额做出重新估计的事项。业主大会应当就调整事项，对资产负债表日所确认的相关资产、负债和净资产，以及资产负债表日所属期间的相关收入、费用等进行调整。</w:t>
      </w:r>
    </w:p>
    <w:p>
      <w:pPr>
        <w:spacing w:line="360" w:lineRule="auto"/>
        <w:ind w:firstLine="372" w:firstLineChars="177"/>
        <w:jc w:val="left"/>
        <w:rPr>
          <w:rFonts w:ascii="宋体" w:hAnsi="宋体"/>
          <w:szCs w:val="21"/>
        </w:rPr>
      </w:pPr>
      <w:r>
        <w:rPr>
          <w:rFonts w:hint="eastAsia" w:ascii="宋体" w:hAnsi="宋体"/>
          <w:szCs w:val="21"/>
        </w:rPr>
        <w:t>非调整事项，是指资产负债表日后至财务会计报告批准报出日之间发生的，不影响资产负债表日的存在情况，但不加以说明将会影响财务会计报告使用者做出正确估计和决策的事项。业主大会应当在会计报表附注中披露非调整事项的性质、内容，以及对财务状况和业务活动情况的影响。如无法估计其影响，应当说明理由。</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财务会计报告中的会计报表至少应当包括以下三张报表：</w:t>
      </w:r>
    </w:p>
    <w:p>
      <w:pPr>
        <w:spacing w:line="360" w:lineRule="auto"/>
        <w:ind w:firstLine="372" w:firstLineChars="177"/>
        <w:jc w:val="left"/>
        <w:rPr>
          <w:rFonts w:ascii="宋体" w:hAnsi="宋体"/>
          <w:szCs w:val="21"/>
        </w:rPr>
      </w:pPr>
      <w:r>
        <w:rPr>
          <w:rFonts w:hint="eastAsia" w:ascii="宋体" w:hAnsi="宋体"/>
          <w:szCs w:val="21"/>
        </w:rPr>
        <w:t>（一）资产负债表；</w:t>
      </w:r>
    </w:p>
    <w:p>
      <w:pPr>
        <w:spacing w:line="360" w:lineRule="auto"/>
        <w:ind w:firstLine="372" w:firstLineChars="177"/>
        <w:jc w:val="left"/>
        <w:rPr>
          <w:rFonts w:ascii="宋体" w:hAnsi="宋体"/>
          <w:szCs w:val="21"/>
        </w:rPr>
      </w:pPr>
      <w:r>
        <w:rPr>
          <w:rFonts w:hint="eastAsia" w:ascii="宋体" w:hAnsi="宋体"/>
          <w:szCs w:val="21"/>
        </w:rPr>
        <w:t>（二）业务活动表；</w:t>
      </w:r>
    </w:p>
    <w:p>
      <w:pPr>
        <w:spacing w:line="360" w:lineRule="auto"/>
        <w:ind w:firstLine="372" w:firstLineChars="177"/>
        <w:jc w:val="left"/>
        <w:rPr>
          <w:rFonts w:ascii="宋体" w:hAnsi="宋体"/>
          <w:szCs w:val="21"/>
        </w:rPr>
      </w:pPr>
      <w:r>
        <w:rPr>
          <w:rFonts w:hint="eastAsia" w:ascii="宋体" w:hAnsi="宋体"/>
          <w:szCs w:val="21"/>
        </w:rPr>
        <w:t>（三）现金流量表。</w:t>
      </w:r>
    </w:p>
    <w:p>
      <w:pPr>
        <w:spacing w:line="360" w:lineRule="auto"/>
        <w:ind w:firstLine="372" w:firstLineChars="177"/>
        <w:jc w:val="left"/>
        <w:rPr>
          <w:rFonts w:ascii="宋体" w:hAnsi="宋体"/>
          <w:szCs w:val="21"/>
        </w:rPr>
      </w:pPr>
      <w:r>
        <w:rPr>
          <w:rFonts w:hint="eastAsia" w:ascii="宋体" w:hAnsi="宋体"/>
          <w:szCs w:val="21"/>
        </w:rPr>
        <w:t xml:space="preserve"> 业主大会可根据主管部门规定和自身权力机构的要求，编制统一的报表供主管部门和全体业主使用。</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会计报表附注至少应当包括下列内容：</w:t>
      </w:r>
    </w:p>
    <w:p>
      <w:pPr>
        <w:pStyle w:val="19"/>
        <w:numPr>
          <w:ilvl w:val="0"/>
          <w:numId w:val="5"/>
        </w:numPr>
        <w:spacing w:line="360" w:lineRule="auto"/>
        <w:ind w:firstLineChars="0"/>
        <w:jc w:val="left"/>
        <w:rPr>
          <w:rFonts w:ascii="宋体" w:hAnsi="宋体"/>
          <w:szCs w:val="21"/>
        </w:rPr>
      </w:pPr>
      <w:r>
        <w:rPr>
          <w:rFonts w:hint="eastAsia" w:ascii="宋体" w:hAnsi="宋体"/>
          <w:szCs w:val="21"/>
        </w:rPr>
        <w:t>重要会计政策及其变更情况的说明；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业委会成员和员工的数量、变动情况以及获得的薪金等报酬情况的说明；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会计报表重要项目及其增减变动情况的说明；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受托代理业务情况的说明，包括受托代理资产的构成、计价基础和依据、用途等；</w:t>
      </w:r>
    </w:p>
    <w:p>
      <w:pPr>
        <w:pStyle w:val="19"/>
        <w:numPr>
          <w:ilvl w:val="0"/>
          <w:numId w:val="5"/>
        </w:numPr>
        <w:spacing w:line="360" w:lineRule="auto"/>
        <w:ind w:firstLineChars="0"/>
        <w:jc w:val="left"/>
        <w:rPr>
          <w:rFonts w:ascii="宋体" w:hAnsi="宋体"/>
          <w:szCs w:val="21"/>
        </w:rPr>
      </w:pPr>
      <w:r>
        <w:rPr>
          <w:rFonts w:hint="eastAsia" w:ascii="宋体" w:hAnsi="宋体"/>
          <w:szCs w:val="21"/>
        </w:rPr>
        <w:t>重大资产减值情况的说明；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公允价值无法可靠取得的资产的名称、数量、来源和用途等情况的说明；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对外承诺和或有事项情况的说明；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接受劳务捐赠情况的说明；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资产负债表日后非调整事项的说明；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有助于理解和分析会计报表需要说明的其他事项。</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财务情况说明书至少应当对下列情况做出说明：</w:t>
      </w:r>
    </w:p>
    <w:p>
      <w:pPr>
        <w:spacing w:line="360" w:lineRule="auto"/>
        <w:ind w:firstLine="372" w:firstLineChars="177"/>
        <w:jc w:val="left"/>
        <w:rPr>
          <w:rFonts w:ascii="宋体" w:hAnsi="宋体"/>
          <w:szCs w:val="21"/>
        </w:rPr>
      </w:pPr>
      <w:r>
        <w:rPr>
          <w:rFonts w:hint="eastAsia" w:ascii="宋体" w:hAnsi="宋体"/>
          <w:szCs w:val="21"/>
        </w:rPr>
        <w:t>（一）业主大会的宗旨、组织结构以及人员配备等情况；</w:t>
      </w:r>
    </w:p>
    <w:p>
      <w:pPr>
        <w:spacing w:line="360" w:lineRule="auto"/>
        <w:ind w:firstLine="372" w:firstLineChars="177"/>
        <w:jc w:val="left"/>
        <w:rPr>
          <w:rFonts w:ascii="宋体" w:hAnsi="宋体"/>
          <w:szCs w:val="21"/>
        </w:rPr>
      </w:pPr>
      <w:r>
        <w:rPr>
          <w:rFonts w:hint="eastAsia" w:ascii="宋体" w:hAnsi="宋体"/>
          <w:szCs w:val="21"/>
        </w:rPr>
        <w:t>（二）业主大会开展业务活动基本情况，年度计划和预算完成情况，产生差异的原因分析，下一会计期间业务活动计划和预算等；</w:t>
      </w:r>
    </w:p>
    <w:p>
      <w:pPr>
        <w:spacing w:line="360" w:lineRule="auto"/>
        <w:ind w:firstLine="372" w:firstLineChars="177"/>
        <w:jc w:val="left"/>
        <w:rPr>
          <w:rFonts w:ascii="宋体" w:hAnsi="宋体"/>
          <w:szCs w:val="21"/>
        </w:rPr>
      </w:pPr>
      <w:r>
        <w:rPr>
          <w:rFonts w:hint="eastAsia" w:ascii="宋体" w:hAnsi="宋体"/>
          <w:szCs w:val="21"/>
        </w:rPr>
        <w:t>（三）对业主大会业务活动有重大影响的其他事项。</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的年度财务会计报告至少应当于年度终了后4个月内对外提供。如果业主大会被要求对外提供中期财务会计报告的，应当在规定的时间内对外提供。如果其他法律法规和主管部门有特别规定的，从其规定。</w:t>
      </w:r>
    </w:p>
    <w:p>
      <w:pPr>
        <w:spacing w:line="360" w:lineRule="auto"/>
        <w:ind w:firstLine="372" w:firstLineChars="177"/>
        <w:jc w:val="left"/>
        <w:rPr>
          <w:rFonts w:ascii="宋体" w:hAnsi="宋体"/>
          <w:szCs w:val="21"/>
        </w:rPr>
      </w:pPr>
      <w:r>
        <w:rPr>
          <w:rFonts w:hint="eastAsia" w:ascii="宋体" w:hAnsi="宋体"/>
          <w:szCs w:val="21"/>
        </w:rPr>
        <w:t>会计报表的填列，以人民币“元”为金额单位，“元”以下填至“分”。</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对外提供的财务会计报告应当依次编定页数，加具封面，装订成册，加盖公章。封面上应当注明：业主大会名称、登记证号、地址、报表所属年度或者中期、报出日期，并由单位负责人和主管会计工作的负责人、会计机构负责人（会计主管人员）签名并盖章。</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9" w:name="_Toc15388353"/>
      <w:r>
        <w:rPr>
          <w:rFonts w:hint="eastAsia"/>
          <w:sz w:val="24"/>
        </w:rPr>
        <w:t>第八章  附则</w:t>
      </w:r>
      <w:bookmarkEnd w:id="9"/>
    </w:p>
    <w:p>
      <w:pPr>
        <w:spacing w:line="360" w:lineRule="auto"/>
        <w:rPr>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本制度未作规定事项，参照《民间非营利组织会计制度》执行。</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本制度由XX业主大会解释和修订。</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本制度自XX年X月X日起执行。</w:t>
      </w:r>
    </w:p>
    <w:p>
      <w:pPr>
        <w:pStyle w:val="19"/>
        <w:spacing w:line="360" w:lineRule="auto"/>
        <w:ind w:left="420" w:firstLine="0" w:firstLineChars="0"/>
        <w:jc w:val="left"/>
      </w:pPr>
    </w:p>
    <w:p>
      <w:pPr>
        <w:widowControl/>
        <w:jc w:val="left"/>
      </w:pPr>
      <w:r>
        <w:br w:type="page"/>
      </w:r>
    </w:p>
    <w:p>
      <w:pPr>
        <w:spacing w:line="360" w:lineRule="auto"/>
        <w:jc w:val="center"/>
        <w:rPr>
          <w:rFonts w:ascii="宋体" w:hAnsi="宋体"/>
          <w:sz w:val="24"/>
          <w:szCs w:val="24"/>
        </w:rPr>
      </w:pPr>
    </w:p>
    <w:p>
      <w:pPr>
        <w:pStyle w:val="2"/>
        <w:spacing w:before="0" w:after="0" w:line="360" w:lineRule="auto"/>
        <w:jc w:val="center"/>
        <w:rPr>
          <w:sz w:val="36"/>
        </w:rPr>
      </w:pPr>
      <w:bookmarkStart w:id="10" w:name="_Toc15388354"/>
      <w:r>
        <w:rPr>
          <w:rFonts w:hint="eastAsia"/>
          <w:sz w:val="36"/>
        </w:rPr>
        <w:t xml:space="preserve">第二部分 </w:t>
      </w:r>
      <w:r>
        <w:rPr>
          <w:sz w:val="36"/>
        </w:rPr>
        <w:t xml:space="preserve"> </w:t>
      </w:r>
      <w:r>
        <w:rPr>
          <w:rFonts w:hint="eastAsia"/>
          <w:sz w:val="36"/>
        </w:rPr>
        <w:t>会计科目使用说明</w:t>
      </w:r>
      <w:bookmarkEnd w:id="10"/>
    </w:p>
    <w:p>
      <w:pPr>
        <w:spacing w:line="360" w:lineRule="auto"/>
        <w:jc w:val="center"/>
        <w:rPr>
          <w:rFonts w:ascii="宋体" w:hAnsi="宋体"/>
          <w:sz w:val="24"/>
          <w:szCs w:val="24"/>
        </w:rPr>
      </w:pPr>
    </w:p>
    <w:p>
      <w:pPr>
        <w:pStyle w:val="3"/>
        <w:spacing w:before="0" w:after="0" w:line="360" w:lineRule="auto"/>
        <w:jc w:val="center"/>
        <w:rPr>
          <w:sz w:val="24"/>
        </w:rPr>
      </w:pPr>
      <w:bookmarkStart w:id="11" w:name="_Toc15388355"/>
      <w:r>
        <w:rPr>
          <w:rFonts w:hint="eastAsia"/>
          <w:sz w:val="24"/>
        </w:rPr>
        <w:t>第一章  总说明</w:t>
      </w:r>
      <w:bookmarkEnd w:id="11"/>
    </w:p>
    <w:p>
      <w:pPr>
        <w:pStyle w:val="19"/>
        <w:spacing w:line="360" w:lineRule="auto"/>
        <w:ind w:left="1266" w:firstLine="0" w:firstLineChars="0"/>
        <w:rPr>
          <w:rFonts w:ascii="宋体" w:hAnsi="宋体"/>
          <w:b/>
          <w:szCs w:val="21"/>
        </w:rPr>
      </w:pPr>
    </w:p>
    <w:p>
      <w:pPr>
        <w:spacing w:line="360" w:lineRule="auto"/>
        <w:rPr>
          <w:rFonts w:ascii="宋体" w:hAnsi="宋体"/>
          <w:szCs w:val="21"/>
        </w:rPr>
      </w:pPr>
      <w:r>
        <w:rPr>
          <w:rFonts w:hint="eastAsia" w:ascii="宋体" w:hAnsi="宋体"/>
          <w:szCs w:val="21"/>
        </w:rPr>
        <w:t>　　一、本制度统一规定会计科目的编号，以便于编制会计凭证，登记账簿，查阅账目，实行会计电算化。业主大会不得随意打乱重编。某些会计科目之间留有空号，供增设会计科目之用。</w:t>
      </w:r>
    </w:p>
    <w:p>
      <w:pPr>
        <w:spacing w:line="360" w:lineRule="auto"/>
        <w:rPr>
          <w:rFonts w:ascii="宋体" w:hAnsi="宋体"/>
          <w:szCs w:val="21"/>
        </w:rPr>
      </w:pPr>
      <w:r>
        <w:rPr>
          <w:rFonts w:hint="eastAsia" w:ascii="宋体" w:hAnsi="宋体"/>
          <w:szCs w:val="21"/>
        </w:rPr>
        <w:t>　　二、业主大会应当按照本制度的规定，设置和使用会计科目。在不影响会计核算要求和会计报表指标汇总，以及对外提供统一的财务会计报告的前提下，可以根据实际情况自行增设、减少或合并某些会计科目。</w:t>
      </w:r>
    </w:p>
    <w:p>
      <w:pPr>
        <w:spacing w:line="360" w:lineRule="auto"/>
        <w:rPr>
          <w:rFonts w:ascii="宋体" w:hAnsi="宋体"/>
          <w:szCs w:val="21"/>
        </w:rPr>
      </w:pPr>
      <w:r>
        <w:rPr>
          <w:rFonts w:hint="eastAsia" w:ascii="宋体" w:hAnsi="宋体"/>
          <w:szCs w:val="21"/>
        </w:rPr>
        <w:t>　　明细科目的设置，除本制度已有规定者外，在不违反统一会计核算要求的前提下，业主大会可以根据需要自行确定。</w:t>
      </w:r>
    </w:p>
    <w:p>
      <w:pPr>
        <w:spacing w:line="360" w:lineRule="auto"/>
        <w:rPr>
          <w:rFonts w:ascii="宋体" w:hAnsi="宋体"/>
          <w:szCs w:val="21"/>
        </w:rPr>
      </w:pPr>
      <w:r>
        <w:rPr>
          <w:rFonts w:hint="eastAsia" w:ascii="宋体" w:hAnsi="宋体"/>
          <w:szCs w:val="21"/>
        </w:rPr>
        <w:t>　　三、对于会计科目名称，业主大会可以根据自身具体情况，在不违背会计科目使用原则的基础上，确定适合于自身的会计科目名称。</w:t>
      </w:r>
    </w:p>
    <w:p>
      <w:pPr>
        <w:spacing w:line="360" w:lineRule="auto"/>
        <w:rPr>
          <w:rFonts w:ascii="宋体" w:hAnsi="宋体"/>
          <w:szCs w:val="21"/>
        </w:rPr>
      </w:pPr>
      <w:r>
        <w:rPr>
          <w:rFonts w:hint="eastAsia" w:ascii="宋体" w:hAnsi="宋体"/>
          <w:szCs w:val="21"/>
        </w:rPr>
        <w:t>　　四、业主大会在填制会计凭证、登记会计账簿时，应当填列会计科目的名称，或者同时填列会计科目的名称和编号，不得只填科目编号，不填列科目名称。</w:t>
      </w:r>
    </w:p>
    <w:p>
      <w:pPr>
        <w:spacing w:line="360" w:lineRule="auto"/>
        <w:rPr>
          <w:rFonts w:ascii="宋体" w:hAnsi="宋体"/>
          <w:szCs w:val="21"/>
        </w:rPr>
      </w:pPr>
      <w:r>
        <w:rPr>
          <w:rFonts w:hint="eastAsia" w:ascii="宋体" w:hAnsi="宋体"/>
          <w:szCs w:val="21"/>
        </w:rPr>
        <w:t>　　五、业主大会应当根据本制度有关财务会计报告的编制基础、编制依据、编制原则和方法的要求，对外提供真实、完整的财务会计报告。业主大会不得违反规定，随意改变财务会计报告的编制基础、编制依据、编制原则和方法，不得随意改变本制度规定的财务会计报告有关数据的会计口径。</w:t>
      </w:r>
    </w:p>
    <w:p>
      <w:pPr>
        <w:spacing w:line="360" w:lineRule="auto"/>
        <w:rPr>
          <w:rFonts w:ascii="宋体" w:hAnsi="宋体"/>
          <w:szCs w:val="21"/>
        </w:rPr>
      </w:pPr>
      <w:r>
        <w:rPr>
          <w:rFonts w:hint="eastAsia" w:ascii="宋体" w:hAnsi="宋体"/>
          <w:szCs w:val="21"/>
        </w:rPr>
        <w:t>　　六、业主大会的年度和中期财务会计报告，至少应当反映两个年度或两个相关会计期间的比较数据。</w:t>
      </w:r>
    </w:p>
    <w:p>
      <w:pPr>
        <w:spacing w:line="360" w:lineRule="auto"/>
        <w:rPr>
          <w:rFonts w:ascii="宋体" w:hAnsi="宋体"/>
          <w:szCs w:val="21"/>
        </w:rPr>
      </w:pPr>
      <w:r>
        <w:rPr>
          <w:rFonts w:hint="eastAsia" w:ascii="宋体" w:hAnsi="宋体"/>
          <w:szCs w:val="21"/>
        </w:rPr>
        <w:t xml:space="preserve">    七、本部分主要说明和解释业主大会经常使用的会计科目核算和相关财务管理内容，未尽内容可参考《民间非营利组织会计制度——会计科目和会计报表》（财会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p>
    <w:p>
      <w:pPr>
        <w:pStyle w:val="3"/>
        <w:spacing w:before="0" w:after="0" w:line="360" w:lineRule="auto"/>
        <w:jc w:val="center"/>
        <w:rPr>
          <w:sz w:val="24"/>
        </w:rPr>
      </w:pPr>
      <w:bookmarkStart w:id="12" w:name="_Toc15388356"/>
      <w:r>
        <w:rPr>
          <w:rFonts w:hint="eastAsia"/>
          <w:sz w:val="24"/>
        </w:rPr>
        <w:t>第二章  会计科目名称和编号</w:t>
      </w:r>
      <w:bookmarkEnd w:id="12"/>
    </w:p>
    <w:p>
      <w:pPr>
        <w:pStyle w:val="19"/>
        <w:spacing w:line="360" w:lineRule="auto"/>
        <w:ind w:left="1266" w:firstLine="0" w:firstLineChars="0"/>
        <w:rPr>
          <w:rFonts w:ascii="宋体" w:hAnsi="宋体"/>
          <w:b/>
          <w:szCs w:val="21"/>
        </w:rPr>
      </w:pPr>
    </w:p>
    <w:p>
      <w:pPr>
        <w:spacing w:line="360" w:lineRule="auto"/>
        <w:ind w:firstLine="480"/>
        <w:rPr>
          <w:rFonts w:ascii="宋体" w:hAnsi="宋体"/>
          <w:szCs w:val="21"/>
        </w:rPr>
      </w:pPr>
      <w:r>
        <w:rPr>
          <w:rFonts w:hint="eastAsia" w:ascii="宋体" w:hAnsi="宋体"/>
          <w:szCs w:val="21"/>
        </w:rPr>
        <w:t>具体见附件二、会计科目表</w:t>
      </w:r>
    </w:p>
    <w:p>
      <w:pPr>
        <w:spacing w:line="360" w:lineRule="auto"/>
        <w:ind w:firstLine="480"/>
        <w:rPr>
          <w:rFonts w:ascii="宋体" w:hAnsi="宋体"/>
          <w:szCs w:val="21"/>
        </w:rPr>
      </w:pPr>
    </w:p>
    <w:p>
      <w:pPr>
        <w:pStyle w:val="3"/>
        <w:spacing w:before="0" w:after="0" w:line="360" w:lineRule="auto"/>
        <w:jc w:val="center"/>
        <w:rPr>
          <w:sz w:val="24"/>
        </w:rPr>
      </w:pPr>
      <w:bookmarkStart w:id="13" w:name="_Toc15388357"/>
      <w:r>
        <w:rPr>
          <w:rFonts w:hint="eastAsia"/>
          <w:sz w:val="24"/>
        </w:rPr>
        <w:t>第三章  资产类会计科目</w:t>
      </w:r>
      <w:bookmarkEnd w:id="13"/>
    </w:p>
    <w:p>
      <w:pPr>
        <w:pStyle w:val="19"/>
        <w:spacing w:line="360" w:lineRule="auto"/>
        <w:ind w:left="1545" w:firstLine="0" w:firstLineChars="0"/>
        <w:rPr>
          <w:rFonts w:ascii="宋体" w:hAnsi="宋体"/>
          <w:b/>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一、</w:t>
      </w:r>
      <w:r>
        <w:rPr>
          <w:rFonts w:ascii="宋体" w:hAnsi="宋体"/>
          <w:b/>
          <w:szCs w:val="21"/>
        </w:rPr>
        <w:t>1001现金</w:t>
      </w:r>
    </w:p>
    <w:p>
      <w:pPr>
        <w:spacing w:line="360" w:lineRule="auto"/>
        <w:rPr>
          <w:rFonts w:ascii="宋体" w:hAnsi="宋体"/>
          <w:szCs w:val="21"/>
        </w:rPr>
      </w:pPr>
      <w:r>
        <w:rPr>
          <w:rFonts w:hint="eastAsia" w:ascii="宋体" w:hAnsi="宋体"/>
          <w:szCs w:val="21"/>
        </w:rPr>
        <w:t>　　（一）本科目核算业主大会的库存现金。</w:t>
      </w:r>
    </w:p>
    <w:p>
      <w:pPr>
        <w:spacing w:line="360" w:lineRule="auto"/>
        <w:rPr>
          <w:rFonts w:ascii="宋体" w:hAnsi="宋体"/>
          <w:szCs w:val="21"/>
        </w:rPr>
      </w:pPr>
      <w:r>
        <w:rPr>
          <w:rFonts w:hint="eastAsia" w:ascii="宋体" w:hAnsi="宋体"/>
          <w:szCs w:val="21"/>
        </w:rPr>
        <w:t>　　（二）业主大会应当严格按照国家有关现金管理的规定收支现金，并严格按照本制度规定核算现金的各项收支业务。</w:t>
      </w:r>
    </w:p>
    <w:p>
      <w:pPr>
        <w:spacing w:line="360" w:lineRule="auto"/>
        <w:rPr>
          <w:rFonts w:ascii="宋体" w:hAnsi="宋体"/>
          <w:szCs w:val="21"/>
        </w:rPr>
      </w:pPr>
      <w:r>
        <w:rPr>
          <w:rFonts w:hint="eastAsia" w:ascii="宋体" w:hAnsi="宋体"/>
          <w:szCs w:val="21"/>
        </w:rPr>
        <w:t>　　（三）业主大会应当设置“现金日记账”，由出纳人员根据收付款凭证，按照业务发生顺序逐笔登记。每日终了，应当计算当日的现金收入合计数、现金支出合计数和结余数，并将结余数与实际库存数核对，做到账款相符。</w:t>
      </w:r>
    </w:p>
    <w:p>
      <w:pPr>
        <w:spacing w:line="360" w:lineRule="auto"/>
        <w:rPr>
          <w:rFonts w:ascii="宋体" w:hAnsi="宋体"/>
          <w:szCs w:val="21"/>
        </w:rPr>
      </w:pPr>
      <w:r>
        <w:rPr>
          <w:rFonts w:hint="eastAsia" w:ascii="宋体" w:hAnsi="宋体"/>
          <w:szCs w:val="21"/>
        </w:rPr>
        <w:t>　　（四）每日终了结算现金收支、财产清查等发现的现金短缺或溢余，应当及时查明原因，并根据管理权限，报经批准后，在期末结账前处理完毕。</w:t>
      </w:r>
    </w:p>
    <w:p>
      <w:pPr>
        <w:spacing w:line="360" w:lineRule="auto"/>
        <w:rPr>
          <w:rFonts w:ascii="宋体" w:hAnsi="宋体"/>
          <w:szCs w:val="21"/>
        </w:rPr>
      </w:pPr>
      <w:r>
        <w:rPr>
          <w:rFonts w:hint="eastAsia" w:ascii="宋体" w:hAnsi="宋体"/>
          <w:szCs w:val="21"/>
        </w:rPr>
        <w:t>　　（五）本科目期末借方余额，反映业主大会实际持有的库存现金。</w:t>
      </w:r>
    </w:p>
    <w:p>
      <w:pPr>
        <w:spacing w:line="360" w:lineRule="auto"/>
        <w:rPr>
          <w:rFonts w:ascii="宋体" w:hAnsi="宋体"/>
          <w:b/>
          <w:szCs w:val="21"/>
        </w:rPr>
      </w:pPr>
      <w:r>
        <w:rPr>
          <w:rFonts w:hint="eastAsia" w:ascii="宋体" w:hAnsi="宋体"/>
          <w:b/>
          <w:szCs w:val="21"/>
        </w:rPr>
        <w:t>　　二、</w:t>
      </w:r>
      <w:r>
        <w:rPr>
          <w:rFonts w:ascii="宋体" w:hAnsi="宋体"/>
          <w:b/>
          <w:szCs w:val="21"/>
        </w:rPr>
        <w:t>1002银行存款</w:t>
      </w:r>
    </w:p>
    <w:p>
      <w:pPr>
        <w:spacing w:line="360" w:lineRule="auto"/>
        <w:rPr>
          <w:rFonts w:ascii="宋体" w:hAnsi="宋体"/>
          <w:szCs w:val="21"/>
        </w:rPr>
      </w:pPr>
      <w:r>
        <w:rPr>
          <w:rFonts w:hint="eastAsia" w:ascii="宋体" w:hAnsi="宋体"/>
          <w:szCs w:val="21"/>
        </w:rPr>
        <w:t>　　（一）本科目核算业主大会存入银行或其他金融机构的存款。</w:t>
      </w:r>
    </w:p>
    <w:p>
      <w:pPr>
        <w:widowControl/>
        <w:shd w:val="clear" w:color="auto" w:fill="FFFFFF"/>
        <w:spacing w:line="360" w:lineRule="auto"/>
        <w:ind w:firstLine="420" w:firstLineChars="200"/>
        <w:rPr>
          <w:rFonts w:ascii="宋体" w:hAnsi="宋体"/>
          <w:szCs w:val="21"/>
        </w:rPr>
      </w:pPr>
      <w:r>
        <w:rPr>
          <w:rFonts w:ascii="宋体" w:hAnsi="宋体"/>
          <w:szCs w:val="21"/>
        </w:rPr>
        <w:t>业主大会</w:t>
      </w:r>
      <w:r>
        <w:rPr>
          <w:rFonts w:hint="eastAsia" w:ascii="宋体" w:hAnsi="宋体"/>
          <w:szCs w:val="21"/>
        </w:rPr>
        <w:t>开立用于收款的微信、支付宝账户等形成的存款，</w:t>
      </w:r>
      <w:r>
        <w:rPr>
          <w:rFonts w:ascii="宋体" w:hAnsi="宋体"/>
          <w:szCs w:val="21"/>
        </w:rPr>
        <w:t xml:space="preserve">在“其他货币资金”科目核算，不在本科目核算。 </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）业主大会增加银行存款，借记本科目，贷记“库存现金”、“应收账款”等科目，减少银行存款作相反的会计分录。</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业主大会</w:t>
      </w:r>
      <w:r>
        <w:rPr>
          <w:rFonts w:hint="eastAsia" w:ascii="宋体" w:hAnsi="宋体"/>
          <w:szCs w:val="21"/>
        </w:rPr>
        <w:t>可</w:t>
      </w:r>
      <w:r>
        <w:rPr>
          <w:rFonts w:ascii="宋体" w:hAnsi="宋体"/>
          <w:szCs w:val="21"/>
        </w:rPr>
        <w:t>按开户银行和其他金融机构、存款种类等设置“银行存款日记账”，根据收付款凭证，按照业务的发生顺序逐笔登记</w:t>
      </w:r>
      <w:r>
        <w:rPr>
          <w:rFonts w:hint="eastAsia" w:ascii="宋体" w:hAnsi="宋体"/>
          <w:szCs w:val="21"/>
        </w:rPr>
        <w:t>。</w:t>
      </w:r>
      <w:r>
        <w:rPr>
          <w:rFonts w:ascii="宋体" w:hAnsi="宋体"/>
          <w:szCs w:val="21"/>
        </w:rPr>
        <w:t>每日终了</w:t>
      </w:r>
      <w:r>
        <w:rPr>
          <w:rFonts w:hint="eastAsia" w:ascii="宋体" w:hAnsi="宋体"/>
          <w:szCs w:val="21"/>
        </w:rPr>
        <w:t>，</w:t>
      </w:r>
      <w:r>
        <w:rPr>
          <w:rFonts w:ascii="宋体" w:hAnsi="宋体"/>
          <w:szCs w:val="21"/>
        </w:rPr>
        <w:t>应结出余额。“银行存款日记账”应定期与“银行对账单”核对，至少每月核对一次。业主大会账面</w:t>
      </w:r>
      <w:r>
        <w:rPr>
          <w:rFonts w:hint="eastAsia" w:ascii="宋体" w:hAnsi="宋体"/>
          <w:szCs w:val="21"/>
        </w:rPr>
        <w:t>银行存款</w:t>
      </w:r>
      <w:r>
        <w:rPr>
          <w:rFonts w:ascii="宋体" w:hAnsi="宋体"/>
          <w:szCs w:val="21"/>
        </w:rPr>
        <w:t>余额与银行对账单余额之间如有差额，</w:t>
      </w:r>
      <w:r>
        <w:rPr>
          <w:rFonts w:hint="eastAsia" w:ascii="宋体" w:hAnsi="宋体"/>
          <w:szCs w:val="21"/>
        </w:rPr>
        <w:t>应</w:t>
      </w:r>
      <w:r>
        <w:rPr>
          <w:rFonts w:ascii="宋体" w:hAnsi="宋体"/>
          <w:szCs w:val="21"/>
        </w:rPr>
        <w:t>编制“</w:t>
      </w:r>
      <w:r>
        <w:fldChar w:fldCharType="begin"/>
      </w:r>
      <w:r>
        <w:instrText xml:space="preserve">HYPERLINK "http://www.chinaacc.com/kuaijishiwu/" \t "_blank" </w:instrText>
      </w:r>
      <w:r>
        <w:fldChar w:fldCharType="separate"/>
      </w:r>
      <w:r>
        <w:rPr>
          <w:rFonts w:ascii="宋体" w:hAnsi="宋体"/>
          <w:szCs w:val="21"/>
        </w:rPr>
        <w:t>银行存款余额调节表</w:t>
      </w:r>
      <w:r>
        <w:fldChar w:fldCharType="end"/>
      </w:r>
      <w:r>
        <w:rPr>
          <w:rFonts w:ascii="宋体" w:hAnsi="宋体"/>
          <w:szCs w:val="21"/>
        </w:rPr>
        <w:t xml:space="preserve">”调节相符。 </w:t>
      </w:r>
    </w:p>
    <w:p>
      <w:pPr>
        <w:widowControl/>
        <w:shd w:val="clear" w:color="auto" w:fill="FFFFFF"/>
        <w:spacing w:line="360" w:lineRule="auto"/>
        <w:ind w:firstLine="420" w:firstLineChars="200"/>
        <w:rPr>
          <w:rFonts w:ascii="宋体" w:hAnsi="宋体"/>
          <w:szCs w:val="21"/>
        </w:rPr>
      </w:pPr>
      <w:r>
        <w:rPr>
          <w:rFonts w:hint="eastAsia" w:ascii="宋体" w:hAnsi="宋体"/>
          <w:szCs w:val="21"/>
          <w:highlight w:val="magenta"/>
        </w:rPr>
        <w:t>（四）本科目应设置“共有资金基本户”、“市物业专项维修资金专户”等明细科目进行核算；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本科目期末借方余额，反映业主大会存在银行或其他金融机构的</w:t>
      </w:r>
      <w:r>
        <w:rPr>
          <w:rFonts w:hint="eastAsia" w:ascii="宋体" w:hAnsi="宋体"/>
          <w:szCs w:val="21"/>
        </w:rPr>
        <w:t>各种</w:t>
      </w:r>
      <w:r>
        <w:rPr>
          <w:rFonts w:ascii="宋体" w:hAnsi="宋体"/>
          <w:szCs w:val="21"/>
        </w:rPr>
        <w:t xml:space="preserve">款项。 </w:t>
      </w:r>
    </w:p>
    <w:p>
      <w:pPr>
        <w:spacing w:line="360" w:lineRule="auto"/>
        <w:rPr>
          <w:rFonts w:ascii="宋体" w:hAnsi="宋体"/>
          <w:b/>
          <w:szCs w:val="21"/>
        </w:rPr>
      </w:pPr>
      <w:r>
        <w:rPr>
          <w:rFonts w:hint="eastAsia" w:ascii="宋体" w:hAnsi="宋体"/>
          <w:szCs w:val="21"/>
        </w:rPr>
        <w:t>　</w:t>
      </w:r>
      <w:r>
        <w:rPr>
          <w:rFonts w:hint="eastAsia" w:ascii="宋体" w:hAnsi="宋体"/>
          <w:b/>
          <w:szCs w:val="21"/>
        </w:rPr>
        <w:t>　三、</w:t>
      </w:r>
      <w:r>
        <w:rPr>
          <w:rFonts w:ascii="宋体" w:hAnsi="宋体"/>
          <w:b/>
          <w:szCs w:val="21"/>
        </w:rPr>
        <w:t>1009其他货币资金</w:t>
      </w:r>
    </w:p>
    <w:p>
      <w:pPr>
        <w:spacing w:line="360" w:lineRule="auto"/>
        <w:rPr>
          <w:rFonts w:ascii="宋体" w:hAnsi="宋体"/>
          <w:szCs w:val="21"/>
        </w:rPr>
      </w:pPr>
      <w:r>
        <w:rPr>
          <w:rFonts w:hint="eastAsia" w:ascii="宋体" w:hAnsi="宋体"/>
          <w:szCs w:val="21"/>
        </w:rPr>
        <w:t>　　（一）本科目核算业主大会的除“银行存款”科目以外的其他货币资金，如：支付宝、微信账户等。</w:t>
      </w:r>
    </w:p>
    <w:p>
      <w:pPr>
        <w:widowControl/>
        <w:shd w:val="clear" w:color="auto" w:fill="FFFFFF"/>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（二）业主大会为方便业主交费，可在支付宝、微信平台开立专门账户，用于收款。</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cs="宋体"/>
          <w:color w:val="626262"/>
          <w:kern w:val="0"/>
          <w:szCs w:val="21"/>
        </w:rPr>
        <w:t>本科目应设置</w:t>
      </w:r>
      <w:r>
        <w:rPr>
          <w:rFonts w:hint="eastAsia" w:ascii="宋体" w:hAnsi="宋体" w:cs="宋体"/>
          <w:color w:val="626262"/>
          <w:kern w:val="0"/>
          <w:szCs w:val="21"/>
        </w:rPr>
        <w:t>微信、支付宝等明细科目进行核算。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（四）业主大会收到业主通过支付宝、微信等缴付的款项时，借记本科目，贷记“应收账款”科目；将收到的款项自支付宝、微信账户转账至银行账户时，借记“银行存款”科目，贷记本科目。</w:t>
      </w:r>
    </w:p>
    <w:p>
      <w:pPr>
        <w:widowControl/>
        <w:shd w:val="clear" w:color="auto" w:fill="FFFFFF"/>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 xml:space="preserve">业主大会应加强对其他货币资金的管理，及时办理结算。 </w:t>
      </w:r>
    </w:p>
    <w:p>
      <w:pPr>
        <w:widowControl/>
        <w:shd w:val="clear" w:color="auto" w:fill="FFFFFF"/>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 xml:space="preserve">本科目期末借方余额，反映业主大会实际持有的其他货币资金。 </w:t>
      </w:r>
    </w:p>
    <w:p>
      <w:pPr>
        <w:spacing w:line="360" w:lineRule="auto"/>
        <w:rPr>
          <w:rFonts w:ascii="宋体" w:hAnsi="宋体"/>
          <w:b/>
          <w:szCs w:val="21"/>
        </w:rPr>
      </w:pPr>
      <w:r>
        <w:rPr>
          <w:rFonts w:hint="eastAsia" w:ascii="宋体" w:hAnsi="宋体"/>
          <w:szCs w:val="21"/>
        </w:rPr>
        <w:t>　　</w:t>
      </w:r>
      <w:r>
        <w:rPr>
          <w:rFonts w:hint="eastAsia" w:ascii="宋体" w:hAnsi="宋体"/>
          <w:b/>
          <w:szCs w:val="21"/>
        </w:rPr>
        <w:t>四、</w:t>
      </w:r>
      <w:r>
        <w:rPr>
          <w:rFonts w:ascii="宋体" w:hAnsi="宋体"/>
          <w:b/>
          <w:szCs w:val="21"/>
        </w:rPr>
        <w:t>1121应收账款</w:t>
      </w:r>
    </w:p>
    <w:p>
      <w:pPr>
        <w:spacing w:line="360" w:lineRule="auto"/>
        <w:ind w:firstLine="420" w:firstLineChars="200"/>
        <w:rPr>
          <w:rFonts w:ascii="宋体" w:hAnsi="宋体"/>
          <w:szCs w:val="21"/>
        </w:rPr>
      </w:pPr>
      <w:r>
        <w:rPr>
          <w:rFonts w:hint="eastAsia" w:ascii="宋体" w:hAnsi="宋体"/>
          <w:szCs w:val="21"/>
        </w:rPr>
        <w:t>（一）</w:t>
      </w:r>
      <w:r>
        <w:rPr>
          <w:rFonts w:ascii="宋体" w:hAnsi="宋体" w:cs="宋体"/>
          <w:color w:val="000000"/>
          <w:kern w:val="0"/>
          <w:szCs w:val="21"/>
        </w:rPr>
        <w:t>本科目核算业主大会因</w:t>
      </w:r>
      <w:r>
        <w:rPr>
          <w:rFonts w:hint="eastAsia" w:ascii="宋体" w:hAnsi="宋体" w:cs="宋体"/>
          <w:color w:val="000000"/>
          <w:kern w:val="0"/>
          <w:szCs w:val="21"/>
        </w:rPr>
        <w:t>收取物业管理费、</w:t>
      </w:r>
      <w:r>
        <w:rPr>
          <w:rFonts w:ascii="宋体" w:hAnsi="宋体" w:cs="宋体"/>
          <w:color w:val="000000"/>
          <w:kern w:val="0"/>
          <w:szCs w:val="21"/>
        </w:rPr>
        <w:t>提供服务等主要业务活动，应当向</w:t>
      </w:r>
      <w:r>
        <w:rPr>
          <w:rFonts w:hint="eastAsia" w:ascii="宋体" w:hAnsi="宋体" w:cs="宋体"/>
          <w:color w:val="000000"/>
          <w:kern w:val="0"/>
          <w:szCs w:val="21"/>
        </w:rPr>
        <w:t>业主</w:t>
      </w:r>
      <w:r>
        <w:rPr>
          <w:rFonts w:ascii="宋体" w:hAnsi="宋体" w:cs="宋体"/>
          <w:color w:val="000000"/>
          <w:kern w:val="0"/>
          <w:szCs w:val="21"/>
        </w:rPr>
        <w:t>、</w:t>
      </w:r>
      <w:r>
        <w:rPr>
          <w:rFonts w:hint="eastAsia" w:ascii="宋体" w:hAnsi="宋体" w:cs="宋体"/>
          <w:color w:val="000000"/>
          <w:kern w:val="0"/>
          <w:szCs w:val="21"/>
        </w:rPr>
        <w:t>租户</w:t>
      </w:r>
      <w:r>
        <w:rPr>
          <w:rFonts w:ascii="宋体" w:hAnsi="宋体" w:cs="宋体"/>
          <w:color w:val="000000"/>
          <w:kern w:val="0"/>
          <w:szCs w:val="21"/>
        </w:rPr>
        <w:t>或接受服务单位等收取的、但尚未实际收到的款项。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应收账款的主要账务处理如下：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发生应收账款时，按照应收金额，借记本科目，贷记“</w:t>
      </w:r>
      <w:r>
        <w:rPr>
          <w:rFonts w:hint="eastAsia" w:ascii="宋体" w:hAnsi="宋体"/>
          <w:szCs w:val="21"/>
        </w:rPr>
        <w:t>提供服务</w:t>
      </w:r>
      <w:r>
        <w:rPr>
          <w:rFonts w:ascii="宋体" w:hAnsi="宋体"/>
          <w:szCs w:val="21"/>
        </w:rPr>
        <w:t>收入”等科目。</w:t>
      </w:r>
      <w:r>
        <w:rPr>
          <w:rFonts w:hint="eastAsia" w:ascii="宋体" w:hAnsi="宋体"/>
          <w:szCs w:val="21"/>
        </w:rPr>
        <w:t>涉及增值税销项税额的，还应进行相应的处理。</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收回应收账款时，按照实际收到的款项金额，借记“银行存款”</w:t>
      </w:r>
      <w:r>
        <w:rPr>
          <w:rFonts w:hint="eastAsia" w:ascii="宋体" w:hAnsi="宋体"/>
          <w:szCs w:val="21"/>
        </w:rPr>
        <w:t>、“其他货币资金“</w:t>
      </w:r>
      <w:r>
        <w:rPr>
          <w:rFonts w:ascii="宋体" w:hAnsi="宋体"/>
          <w:szCs w:val="21"/>
        </w:rPr>
        <w:t xml:space="preserve">等科目，贷记本科目。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定期或者至少于每年年度终了，对应收账款进行全面检查，计提坏账准备。对于确实无法收回的应收账款应当及时查明原因，并根据管理权限，报经批准后，按照无法收回的应收账款金额，借记“坏账准备”科目，贷记本科目。 </w:t>
      </w:r>
    </w:p>
    <w:p>
      <w:pPr>
        <w:spacing w:line="360" w:lineRule="auto"/>
        <w:ind w:firstLine="420" w:firstLineChars="200"/>
        <w:rPr>
          <w:rFonts w:ascii="宋体" w:hAnsi="宋体"/>
          <w:szCs w:val="21"/>
        </w:rPr>
      </w:pPr>
      <w:r>
        <w:rPr>
          <w:rFonts w:ascii="宋体" w:hAnsi="宋体"/>
          <w:szCs w:val="21"/>
        </w:rPr>
        <w:t xml:space="preserve">如果已转销的应收账款在以后期间又收回，按照实际收回的金额，借记本科目，贷记“坏账准备”科目；同时，借记“银行存款”科目，贷记本科目。 </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本科目应当</w:t>
      </w:r>
      <w:r>
        <w:rPr>
          <w:rFonts w:hint="eastAsia" w:ascii="宋体" w:hAnsi="宋体"/>
          <w:szCs w:val="21"/>
        </w:rPr>
        <w:t>设置“应收业主款”、“其他往来单位”二级科目。其中：“应收业主款”应</w:t>
      </w:r>
      <w:r>
        <w:rPr>
          <w:rFonts w:ascii="宋体" w:hAnsi="宋体"/>
          <w:szCs w:val="21"/>
        </w:rPr>
        <w:t>按照</w:t>
      </w:r>
      <w:r>
        <w:rPr>
          <w:rFonts w:hint="eastAsia" w:ascii="宋体" w:hAnsi="宋体"/>
          <w:szCs w:val="21"/>
        </w:rPr>
        <w:t>应按房间号或其他可以唯一识别的方式设置往来单位或个人明细科目</w:t>
      </w:r>
      <w:r>
        <w:rPr>
          <w:rFonts w:ascii="宋体" w:hAnsi="宋体"/>
          <w:szCs w:val="21"/>
        </w:rPr>
        <w:t>明细账，进行明细核算</w:t>
      </w:r>
      <w:r>
        <w:rPr>
          <w:rFonts w:hint="eastAsia" w:ascii="宋体" w:hAnsi="宋体"/>
          <w:szCs w:val="21"/>
        </w:rPr>
        <w:t>；“其他往来单位”应按债务人设置明细账进行明细核算；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本科目期末借方余额，反映业主大会尚未收回的应收账款</w:t>
      </w:r>
      <w:r>
        <w:rPr>
          <w:rFonts w:hint="eastAsia" w:ascii="宋体" w:hAnsi="宋体"/>
          <w:szCs w:val="21"/>
        </w:rPr>
        <w:t>；期末如为贷方余额，反映业主大会预收的款项。</w:t>
      </w:r>
    </w:p>
    <w:p>
      <w:pPr>
        <w:spacing w:line="360" w:lineRule="auto"/>
        <w:rPr>
          <w:rFonts w:ascii="宋体" w:hAnsi="宋体"/>
          <w:b/>
          <w:szCs w:val="21"/>
        </w:rPr>
      </w:pPr>
      <w:r>
        <w:rPr>
          <w:rFonts w:hint="eastAsia" w:ascii="宋体" w:hAnsi="宋体"/>
          <w:szCs w:val="21"/>
        </w:rPr>
        <w:t>　</w:t>
      </w:r>
      <w:r>
        <w:rPr>
          <w:rFonts w:hint="eastAsia" w:ascii="宋体" w:hAnsi="宋体"/>
          <w:b/>
          <w:szCs w:val="21"/>
        </w:rPr>
        <w:t>　五、</w:t>
      </w:r>
      <w:r>
        <w:rPr>
          <w:rFonts w:ascii="宋体" w:hAnsi="宋体"/>
          <w:b/>
          <w:szCs w:val="21"/>
        </w:rPr>
        <w:t>1122其他应收款</w:t>
      </w:r>
    </w:p>
    <w:p>
      <w:pPr>
        <w:spacing w:line="360" w:lineRule="auto"/>
        <w:ind w:firstLine="420" w:firstLineChars="200"/>
        <w:rPr>
          <w:rFonts w:ascii="宋体" w:hAnsi="宋体"/>
          <w:szCs w:val="21"/>
        </w:rPr>
      </w:pPr>
      <w:r>
        <w:rPr>
          <w:rFonts w:hint="eastAsia" w:ascii="宋体" w:hAnsi="宋体"/>
          <w:szCs w:val="21"/>
        </w:rPr>
        <w:t>（一）本科目核算业主大会除应收账款以外的其他各项应收、暂付款项，包括应向职工收取的各种垫付款项、职工借款、应收保险公司赔款、押金等。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其他应收款的主要账务处理如下： </w:t>
      </w:r>
    </w:p>
    <w:p>
      <w:pPr>
        <w:spacing w:line="360" w:lineRule="auto"/>
        <w:ind w:firstLine="420" w:firstLineChars="200"/>
        <w:rPr>
          <w:rFonts w:ascii="宋体" w:hAnsi="宋体"/>
          <w:szCs w:val="21"/>
        </w:rPr>
      </w:pPr>
      <w:r>
        <w:rPr>
          <w:rFonts w:ascii="宋体" w:hAnsi="宋体"/>
          <w:szCs w:val="21"/>
        </w:rPr>
        <w:t xml:space="preserve">发生的其他各项应收、暂付款项等，借记本科目，贷记“现金”、“银行存款”等科目；收回上述各项款项时，借记“现金”、“银行存款”等科目，贷记本科目。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定期或者至少于每年年度终了，对其他应收款进行全面检查，计提坏账准备。对于确实无法收回的其他应收款应当及时查明原因，并根据管理权限，报经批准后，按照无法收回的其他应收款金额，借记“坏账准备”科目，贷记本科目。 </w:t>
      </w:r>
    </w:p>
    <w:p>
      <w:pPr>
        <w:spacing w:line="360" w:lineRule="auto"/>
        <w:ind w:firstLine="420" w:firstLineChars="200"/>
        <w:rPr>
          <w:rFonts w:ascii="宋体" w:hAnsi="宋体"/>
          <w:szCs w:val="21"/>
        </w:rPr>
      </w:pPr>
      <w:r>
        <w:rPr>
          <w:rFonts w:ascii="宋体" w:hAnsi="宋体"/>
          <w:szCs w:val="21"/>
        </w:rPr>
        <w:t xml:space="preserve">如果已转销的其他应收款在以后期间又收回，按照实际收回的金额，借记本科目，贷记“坏账准备”科目；同时，借记“银行存款”科目，贷记本科目。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本科目应按其他应收款的项目进行分类，并按不同的债务人设置明细账，进行明细核算。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本科目期末借方余额，反映尚未收回的其他应收款。 </w:t>
      </w:r>
    </w:p>
    <w:p>
      <w:pPr>
        <w:spacing w:line="360" w:lineRule="auto"/>
        <w:rPr>
          <w:rFonts w:ascii="宋体" w:hAnsi="宋体"/>
          <w:b/>
          <w:szCs w:val="21"/>
        </w:rPr>
      </w:pPr>
      <w:r>
        <w:rPr>
          <w:rFonts w:hint="eastAsia" w:ascii="宋体" w:hAnsi="宋体"/>
          <w:szCs w:val="21"/>
        </w:rPr>
        <w:t>　　</w:t>
      </w:r>
      <w:r>
        <w:rPr>
          <w:rFonts w:hint="eastAsia" w:ascii="宋体" w:hAnsi="宋体"/>
          <w:b/>
          <w:szCs w:val="21"/>
        </w:rPr>
        <w:t>六、</w:t>
      </w:r>
      <w:r>
        <w:rPr>
          <w:rFonts w:ascii="宋体" w:hAnsi="宋体"/>
          <w:b/>
          <w:szCs w:val="21"/>
        </w:rPr>
        <w:t>1131坏账准备</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本科目核算业主大会提取的坏账准备。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业主大会应当定期或者至少于每年年度终了，对应收款项进行全面检查，分析其可收回性，对预计可能产生的坏账损失计提坏账准备，确认坏账损失并计入当期费用。当期应补提或冲减的坏账准备按照以下公式计算： </w:t>
      </w:r>
    </w:p>
    <w:p>
      <w:pPr>
        <w:spacing w:line="360" w:lineRule="auto"/>
        <w:ind w:firstLine="420" w:firstLineChars="200"/>
        <w:rPr>
          <w:rFonts w:ascii="宋体" w:hAnsi="宋体"/>
          <w:szCs w:val="21"/>
        </w:rPr>
      </w:pPr>
      <w:r>
        <w:rPr>
          <w:rFonts w:ascii="宋体" w:hAnsi="宋体"/>
          <w:szCs w:val="21"/>
        </w:rPr>
        <w:t xml:space="preserve">当期应补提或冲减的坏账准备=当期按应收款项计算应计提的坏账准备金额－本科目期初贷方余额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坏账准备的主要账务处理：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提取坏账准备时，借记“管理费用——坏账损失”科目，贷记本科目；冲减坏账准备时，借记本科目，贷记“管理费用——坏账损失”科目。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对于确实无法收回的应收款项，应当及时查明原因，并根据管理权限，报经批准后，按照无法收回的应收账款金额，借记本科目，贷记“应收账款”、“其他应收款”等科目。 </w:t>
      </w:r>
    </w:p>
    <w:p>
      <w:pPr>
        <w:spacing w:line="360" w:lineRule="auto"/>
        <w:ind w:firstLine="420" w:firstLineChars="200"/>
        <w:rPr>
          <w:rFonts w:ascii="宋体" w:hAnsi="宋体"/>
          <w:szCs w:val="21"/>
        </w:rPr>
      </w:pPr>
      <w:r>
        <w:rPr>
          <w:rFonts w:ascii="宋体" w:hAnsi="宋体"/>
          <w:szCs w:val="21"/>
        </w:rPr>
        <w:t xml:space="preserve">如果已确认并转销的应收款项在以后期间又收回，按照实际收回的金额，借记“应收账款”、“其他应收款”科目，贷记本科目；同时，借记“银行存款”科目，贷记“应收账款”、“其他应收款”科目。 </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本科目期末贷方余额，反映业主大会已提取的坏账准备。</w:t>
      </w:r>
    </w:p>
    <w:p>
      <w:pPr>
        <w:spacing w:line="360" w:lineRule="auto"/>
        <w:rPr>
          <w:rFonts w:ascii="宋体" w:hAnsi="宋体"/>
          <w:b/>
          <w:szCs w:val="21"/>
        </w:rPr>
      </w:pPr>
      <w:r>
        <w:rPr>
          <w:rFonts w:hint="eastAsia" w:ascii="宋体" w:hAnsi="宋体"/>
          <w:szCs w:val="21"/>
        </w:rPr>
        <w:t>　　</w:t>
      </w:r>
      <w:r>
        <w:rPr>
          <w:rFonts w:hint="eastAsia" w:ascii="宋体" w:hAnsi="宋体"/>
          <w:b/>
          <w:szCs w:val="21"/>
        </w:rPr>
        <w:t>七、</w:t>
      </w:r>
      <w:r>
        <w:rPr>
          <w:rFonts w:ascii="宋体" w:hAnsi="宋体"/>
          <w:b/>
          <w:szCs w:val="21"/>
        </w:rPr>
        <w:t>1141预付账款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本科目核算业主大会预付给商品供应单位或者服务提供单位的款项。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预付账款的主要账务处理如下：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因购货而预付款项时，按照实际预付的金额，借记本科目，贷记“银行存款”等科目。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收到所购货物时，按照应确认所购货物成本的金额，借记“存货”等科目，按照本科目账面余额，贷记本科目，按照退回或补付的款项，借记或贷记“银行存款”等科目。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如果有确凿证据表明预付账款并不符合预付款项性质，或者因供货单位破产、撤销等原因已无望再收到所购货物的，按照预付账款账面余额，借记“其他应收款”科目，贷记本科目。 </w:t>
      </w:r>
    </w:p>
    <w:p>
      <w:pPr>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 xml:space="preserve">）业主大会对其预付账款，一般不计提坏账准备。如果有确凿证据表明预付账款并不符合预付款项性质，或者因供货单位破产、撤销等原因已无望再收到所购货物的，应当先将其转入其他应收款，然后再按规定计提坏账准备。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本科目应按供应单位设置明细账，进行明细核算。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本科目期末借方余额，反映业主大会实际预付的款项。 </w:t>
      </w:r>
    </w:p>
    <w:p>
      <w:pPr>
        <w:spacing w:line="360" w:lineRule="auto"/>
        <w:rPr>
          <w:rFonts w:ascii="宋体" w:hAnsi="宋体"/>
          <w:b/>
          <w:szCs w:val="21"/>
        </w:rPr>
      </w:pPr>
      <w:r>
        <w:rPr>
          <w:rFonts w:hint="eastAsia" w:ascii="宋体" w:hAnsi="宋体"/>
          <w:szCs w:val="21"/>
        </w:rPr>
        <w:t>　　</w:t>
      </w:r>
      <w:r>
        <w:rPr>
          <w:rFonts w:hint="eastAsia" w:ascii="宋体" w:hAnsi="宋体"/>
          <w:b/>
          <w:szCs w:val="21"/>
        </w:rPr>
        <w:t>八、</w:t>
      </w:r>
      <w:r>
        <w:rPr>
          <w:rFonts w:ascii="宋体" w:hAnsi="宋体"/>
          <w:b/>
          <w:szCs w:val="21"/>
        </w:rPr>
        <w:t>1201存货</w:t>
      </w:r>
    </w:p>
    <w:p>
      <w:pPr>
        <w:spacing w:line="360" w:lineRule="auto"/>
        <w:rPr>
          <w:rFonts w:ascii="宋体" w:hAnsi="宋体"/>
          <w:szCs w:val="21"/>
        </w:rPr>
      </w:pPr>
      <w:r>
        <w:rPr>
          <w:rFonts w:hint="eastAsia" w:ascii="宋体" w:hAnsi="宋体"/>
          <w:szCs w:val="21"/>
        </w:rPr>
        <w:t>　　（一）本科目核算业主大会在日常业务活动中持有以备提供服务或日常管理过程中耗用的材料、物资、商品等，包括材料、库存商品、低值易耗品等，</w:t>
      </w:r>
      <w:r>
        <w:rPr>
          <w:rFonts w:ascii="宋体" w:hAnsi="宋体"/>
          <w:szCs w:val="21"/>
        </w:rPr>
        <w:t>以及达不到固定资产标准的工具、器具等</w:t>
      </w:r>
      <w:r>
        <w:rPr>
          <w:rFonts w:hint="eastAsia" w:ascii="宋体" w:hAnsi="宋体"/>
          <w:szCs w:val="21"/>
        </w:rPr>
        <w:t>。</w:t>
      </w:r>
    </w:p>
    <w:p>
      <w:pPr>
        <w:spacing w:line="360" w:lineRule="auto"/>
        <w:rPr>
          <w:rFonts w:ascii="宋体" w:hAnsi="宋体"/>
          <w:szCs w:val="21"/>
        </w:rPr>
      </w:pPr>
      <w:r>
        <w:rPr>
          <w:rFonts w:hint="eastAsia" w:ascii="宋体" w:hAnsi="宋体"/>
          <w:szCs w:val="21"/>
        </w:rPr>
        <w:t>　　（二）本科目应当按照存货的种类和存在形式设置明细账进行明细核算，业主大会应当常设如下明细科目：</w:t>
      </w:r>
    </w:p>
    <w:p>
      <w:pPr>
        <w:spacing w:line="360" w:lineRule="auto"/>
        <w:rPr>
          <w:rFonts w:ascii="宋体" w:hAnsi="宋体"/>
          <w:szCs w:val="21"/>
        </w:rPr>
      </w:pPr>
      <w:r>
        <w:rPr>
          <w:rFonts w:hint="eastAsia" w:ascii="宋体" w:hAnsi="宋体"/>
          <w:szCs w:val="21"/>
        </w:rPr>
        <w:t>　　</w:t>
      </w:r>
      <w:r>
        <w:rPr>
          <w:rFonts w:ascii="宋体" w:hAnsi="宋体"/>
          <w:szCs w:val="21"/>
        </w:rPr>
        <w:t>1.库存商品：核算外购的用于业主大会日常使用的各种商品。</w:t>
      </w:r>
    </w:p>
    <w:p>
      <w:pPr>
        <w:spacing w:line="360" w:lineRule="auto"/>
        <w:ind w:firstLine="465"/>
        <w:rPr>
          <w:rFonts w:ascii="宋体" w:hAnsi="宋体"/>
          <w:szCs w:val="21"/>
        </w:rPr>
      </w:pPr>
      <w:r>
        <w:rPr>
          <w:rFonts w:ascii="宋体" w:hAnsi="宋体"/>
          <w:szCs w:val="21"/>
        </w:rPr>
        <w:t>2.低值易耗品：核算外购的用于业主大会日常使用的易耗品。</w:t>
      </w:r>
    </w:p>
    <w:p>
      <w:pPr>
        <w:widowControl/>
        <w:shd w:val="clear" w:color="auto" w:fill="FFFFFF"/>
        <w:spacing w:line="360" w:lineRule="auto"/>
        <w:ind w:firstLine="420" w:firstLineChars="200"/>
        <w:rPr>
          <w:rFonts w:ascii="宋体" w:hAnsi="宋体"/>
          <w:szCs w:val="21"/>
        </w:rPr>
      </w:pPr>
      <w:r>
        <w:rPr>
          <w:rFonts w:hint="eastAsia" w:ascii="宋体" w:hAnsi="宋体"/>
          <w:szCs w:val="21"/>
        </w:rPr>
        <w:t>业主大会可根据本物业管理区域的业务活动实际，决定其他明细科目的设置。</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（三）</w:t>
      </w:r>
      <w:r>
        <w:rPr>
          <w:rFonts w:ascii="宋体" w:hAnsi="宋体" w:cs="宋体"/>
          <w:color w:val="000000"/>
          <w:kern w:val="0"/>
          <w:szCs w:val="24"/>
        </w:rPr>
        <w:t xml:space="preserve">存货的主要账务处理如下：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 xml:space="preserve">存货在取得时，应当以其成本入账，具体如下：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 xml:space="preserve">外购的存货，按照采购成本（一般包括实际支付的采购价格、相关税费、运输费、装卸费、保险费以及其他可直接归属于存货采购的费用），借记本科目，贷记“银行存款”、“应付账款”等科目。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（2）</w:t>
      </w:r>
      <w:r>
        <w:rPr>
          <w:rFonts w:ascii="宋体" w:hAnsi="宋体" w:cs="宋体"/>
          <w:color w:val="000000"/>
          <w:kern w:val="0"/>
          <w:szCs w:val="24"/>
        </w:rPr>
        <w:t>接受捐赠</w:t>
      </w:r>
      <w:r>
        <w:rPr>
          <w:rFonts w:hint="eastAsia" w:ascii="宋体" w:hAnsi="宋体" w:cs="宋体"/>
          <w:color w:val="000000"/>
          <w:kern w:val="0"/>
          <w:szCs w:val="24"/>
        </w:rPr>
        <w:t>或维权取得</w:t>
      </w:r>
      <w:r>
        <w:rPr>
          <w:rFonts w:ascii="宋体" w:hAnsi="宋体" w:cs="宋体"/>
          <w:color w:val="000000"/>
          <w:kern w:val="0"/>
          <w:szCs w:val="24"/>
        </w:rPr>
        <w:t>的存货，按照所确定的成本，借记本科目，贷记“</w:t>
      </w:r>
      <w:r>
        <w:rPr>
          <w:rFonts w:hint="eastAsia" w:ascii="宋体" w:hAnsi="宋体" w:cs="宋体"/>
          <w:color w:val="000000"/>
          <w:kern w:val="0"/>
          <w:szCs w:val="24"/>
        </w:rPr>
        <w:t>捐赠</w:t>
      </w:r>
      <w:r>
        <w:rPr>
          <w:rFonts w:ascii="宋体" w:hAnsi="宋体" w:cs="宋体"/>
          <w:color w:val="000000"/>
          <w:kern w:val="0"/>
          <w:szCs w:val="24"/>
        </w:rPr>
        <w:t>收入”</w:t>
      </w:r>
      <w:r>
        <w:rPr>
          <w:rFonts w:hint="eastAsia" w:ascii="宋体" w:hAnsi="宋体" w:cs="宋体"/>
          <w:color w:val="000000"/>
          <w:kern w:val="0"/>
          <w:szCs w:val="24"/>
        </w:rPr>
        <w:t>、“其他收入”等</w:t>
      </w:r>
      <w:r>
        <w:rPr>
          <w:rFonts w:ascii="宋体" w:hAnsi="宋体" w:cs="宋体"/>
          <w:color w:val="000000"/>
          <w:kern w:val="0"/>
          <w:szCs w:val="24"/>
        </w:rPr>
        <w:t xml:space="preserve">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（二）存货在发出时，应当根据实际情况采用个别计价法、先进先出法或者加权平均法，确定发出存货的实际成本，具体如下：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1.业务活动过程中领用存货，按照确定的成本，借记“管理费用”等科目，贷记本科目。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2.对外</w:t>
      </w:r>
      <w:r>
        <w:rPr>
          <w:rFonts w:hint="eastAsia" w:ascii="宋体" w:hAnsi="宋体" w:cs="宋体"/>
          <w:color w:val="000000"/>
          <w:kern w:val="0"/>
          <w:szCs w:val="24"/>
        </w:rPr>
        <w:t>提供服务耗用</w:t>
      </w:r>
      <w:r>
        <w:rPr>
          <w:rFonts w:ascii="宋体" w:hAnsi="宋体" w:cs="宋体"/>
          <w:color w:val="000000"/>
          <w:kern w:val="0"/>
          <w:szCs w:val="24"/>
        </w:rPr>
        <w:t>，按照确定的存货成本，借记</w:t>
      </w:r>
      <w:r>
        <w:rPr>
          <w:rFonts w:hint="eastAsia" w:ascii="宋体" w:hAnsi="宋体" w:cs="宋体"/>
          <w:color w:val="000000"/>
          <w:kern w:val="0"/>
          <w:szCs w:val="24"/>
        </w:rPr>
        <w:t>“业务活动成本”</w:t>
      </w:r>
      <w:r>
        <w:rPr>
          <w:rFonts w:ascii="宋体" w:hAnsi="宋体" w:cs="宋体"/>
          <w:color w:val="000000"/>
          <w:kern w:val="0"/>
          <w:szCs w:val="24"/>
        </w:rPr>
        <w:t xml:space="preserve">等科目，贷记本科目。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三、业主大会的各种存货，应当定期进行清查盘点，每年至少盘点一次。对于发生的盘盈、盘亏以及变质、毁损等存货，应当及时查明原因，并根据管理权限，报经批准后，在期末结账前处理完毕：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（一）如为存货盘盈，按照其公允价值，借记本科目，贷记“其他收入”科目。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二）如为存货盘亏或者毁损，按照存货账面价值扣除残料价值、可以收回的保险赔偿和过失人的赔偿等后的金额，借记“管理费用”科目，按照可以收回的保险赔偿和过失人赔偿等，借记“现金”、“银行存款”、“其他应收款”等科目，按照存货的账面余额，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四、期末，业主大会应当对存货是否发生了减值进行检查。如果存货的可变现净值低于其账面价值，应当按照可变现净值低于账面价值的差额计提存货跌价准备。如果存货的可变现净值高于其账面价值，应当在该存货期初已计提跌价准备的范围内转回可变现净值高于账面价值的差额。 </w:t>
      </w:r>
    </w:p>
    <w:p>
      <w:pPr>
        <w:spacing w:line="360" w:lineRule="auto"/>
        <w:ind w:firstLine="465"/>
        <w:rPr>
          <w:rFonts w:ascii="宋体" w:hAnsi="宋体"/>
          <w:sz w:val="18"/>
          <w:szCs w:val="21"/>
        </w:rPr>
      </w:pPr>
      <w:r>
        <w:rPr>
          <w:rFonts w:ascii="宋体" w:hAnsi="宋体" w:cs="宋体"/>
          <w:color w:val="000000"/>
          <w:kern w:val="0"/>
          <w:szCs w:val="24"/>
        </w:rPr>
        <w:t>五、本科目期末借方余额，反映存货实际库存价值。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　九、</w:t>
      </w:r>
      <w:r>
        <w:rPr>
          <w:rFonts w:ascii="宋体" w:hAnsi="宋体"/>
          <w:b/>
          <w:szCs w:val="21"/>
        </w:rPr>
        <w:t>1202存货跌价准备</w:t>
      </w:r>
    </w:p>
    <w:p>
      <w:pPr>
        <w:spacing w:line="360" w:lineRule="auto"/>
        <w:rPr>
          <w:rFonts w:ascii="宋体" w:hAnsi="宋体"/>
          <w:szCs w:val="21"/>
        </w:rPr>
      </w:pPr>
      <w:r>
        <w:rPr>
          <w:rFonts w:hint="eastAsia" w:ascii="宋体" w:hAnsi="宋体"/>
          <w:szCs w:val="21"/>
        </w:rPr>
        <w:t>　　（一）本科目核算业主大会提取的存货跌价准备。</w:t>
      </w:r>
    </w:p>
    <w:p>
      <w:pPr>
        <w:spacing w:line="360" w:lineRule="auto"/>
        <w:rPr>
          <w:rFonts w:ascii="宋体" w:hAnsi="宋体"/>
          <w:szCs w:val="21"/>
        </w:rPr>
      </w:pPr>
      <w:r>
        <w:rPr>
          <w:rFonts w:hint="eastAsia" w:ascii="宋体" w:hAnsi="宋体"/>
          <w:szCs w:val="21"/>
        </w:rPr>
        <w:t>　　（二）业主大会应当定期或者至少于每年年度终了，对存货是否发生了减值进行检查，如果发生了减值，应当计提存货跌价准备。</w:t>
      </w:r>
    </w:p>
    <w:p>
      <w:pPr>
        <w:spacing w:line="360" w:lineRule="auto"/>
        <w:ind w:firstLine="420"/>
        <w:rPr>
          <w:rFonts w:ascii="宋体" w:hAnsi="宋体"/>
          <w:szCs w:val="21"/>
        </w:rPr>
      </w:pPr>
      <w:r>
        <w:rPr>
          <w:rFonts w:hint="eastAsia" w:ascii="宋体" w:hAnsi="宋体"/>
          <w:szCs w:val="21"/>
        </w:rPr>
        <w:t>如果已计提跌价准备的存货价值在以后期间得以恢复，则应当在已计提跌价准备的范围内部分或全部转回已确认的跌价损失，冲减当期费用。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存货跌价准备的主要账务处理如下：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如果存货的期末可变现净值低于账面价值，按照可变现净值低于账面价值的差额，借记“管理费用——存货跌价损失”科目，贷记本科目。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如果以前期间已计提跌价准备的存货价值在当期得以恢复，即存货的期末可变现净值高于账面价值，按照可变现净值高于账面价值的差额，在原已计提跌价准备的范围内，借记本科目，贷记“管理费用——存货跌价损失”科目。 </w:t>
      </w:r>
    </w:p>
    <w:p>
      <w:pPr>
        <w:spacing w:line="360" w:lineRule="auto"/>
        <w:ind w:firstLine="420" w:firstLineChars="200"/>
        <w:rPr>
          <w:rFonts w:ascii="宋体" w:hAnsi="宋体"/>
          <w:szCs w:val="21"/>
        </w:rPr>
      </w:pPr>
      <w:r>
        <w:rPr>
          <w:rFonts w:hint="eastAsia" w:ascii="宋体" w:hAnsi="宋体"/>
          <w:szCs w:val="21"/>
        </w:rPr>
        <w:t>（四）本科目期末贷方余额，反映业主大会已计提的存货跌价准备。</w:t>
      </w:r>
    </w:p>
    <w:p>
      <w:pPr>
        <w:spacing w:line="360" w:lineRule="auto"/>
        <w:rPr>
          <w:rFonts w:ascii="宋体" w:hAnsi="宋体"/>
          <w:b/>
          <w:szCs w:val="21"/>
        </w:rPr>
      </w:pPr>
      <w:r>
        <w:rPr>
          <w:rFonts w:hint="eastAsia" w:ascii="宋体" w:hAnsi="宋体"/>
          <w:szCs w:val="21"/>
        </w:rPr>
        <w:t>　　</w:t>
      </w:r>
      <w:r>
        <w:rPr>
          <w:rFonts w:hint="eastAsia" w:ascii="宋体" w:hAnsi="宋体"/>
          <w:b/>
          <w:szCs w:val="21"/>
        </w:rPr>
        <w:t>十、</w:t>
      </w:r>
      <w:r>
        <w:rPr>
          <w:rFonts w:ascii="宋体" w:hAnsi="宋体"/>
          <w:b/>
          <w:szCs w:val="21"/>
        </w:rPr>
        <w:t>1301待摊费用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本科目核算</w:t>
      </w:r>
      <w:r>
        <w:rPr>
          <w:rFonts w:hint="eastAsia" w:ascii="宋体" w:hAnsi="宋体"/>
          <w:szCs w:val="21"/>
        </w:rPr>
        <w:t>业主大会</w:t>
      </w:r>
      <w:r>
        <w:rPr>
          <w:rFonts w:ascii="宋体" w:hAnsi="宋体"/>
          <w:szCs w:val="21"/>
        </w:rPr>
        <w:t>已经支出，但应当由本期和以后各期分别负担的分摊期在1年以内（含1年）的各项费用，如预付保险费、预付租金等。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）业主大会</w:t>
      </w:r>
      <w:r>
        <w:rPr>
          <w:rFonts w:ascii="宋体" w:hAnsi="宋体"/>
          <w:szCs w:val="21"/>
        </w:rPr>
        <w:t>的待摊费用应当按照其受益期限在1年内分期平均摊销，计入当期费用。如果某项待摊费用已经不能使民间非营利组织受益，应当将其摊余价值一次全部转入当期费用。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待摊费用的主要账务处理如下：</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发生待摊费用，如预付保险费、预付租金时，借记本科目，贷记“现金”、“银行存款”等科目。</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按照受益期限分期平均摊销时，借记</w:t>
      </w:r>
      <w:r>
        <w:rPr>
          <w:rFonts w:hint="eastAsia" w:ascii="宋体" w:hAnsi="宋体"/>
          <w:szCs w:val="21"/>
        </w:rPr>
        <w:t>“业务活动成本”、</w:t>
      </w:r>
      <w:r>
        <w:rPr>
          <w:rFonts w:ascii="宋体" w:hAnsi="宋体"/>
          <w:szCs w:val="21"/>
        </w:rPr>
        <w:t>“管理费用”等科目，贷记本科目。</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本科目应当按照摊销费用种类设置明细账，进行明细核算。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本科目期末借方余额，反映</w:t>
      </w:r>
      <w:r>
        <w:rPr>
          <w:rFonts w:hint="eastAsia" w:ascii="宋体" w:hAnsi="宋体"/>
          <w:szCs w:val="21"/>
        </w:rPr>
        <w:t>业主大会</w:t>
      </w:r>
      <w:r>
        <w:rPr>
          <w:rFonts w:ascii="宋体" w:hAnsi="宋体"/>
          <w:szCs w:val="21"/>
        </w:rPr>
        <w:t>各种已支出但尚未摊销的费用。</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十一、</w:t>
      </w:r>
      <w:r>
        <w:rPr>
          <w:rFonts w:ascii="宋体" w:hAnsi="宋体"/>
          <w:b/>
          <w:szCs w:val="21"/>
        </w:rPr>
        <w:t>1501固定资产</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本科目核算业主大会固定资产的原价。</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业主大会应当根据固定资产定义，结合具体情况，制定固定资产目录、分类方法、每类或每项固定资产的折旧年限、折旧方法，作为进行固定资产核算的依据。 </w:t>
      </w:r>
    </w:p>
    <w:p>
      <w:pPr>
        <w:spacing w:line="360" w:lineRule="auto"/>
        <w:ind w:firstLine="420" w:firstLineChars="200"/>
        <w:rPr>
          <w:rFonts w:ascii="宋体" w:hAnsi="宋体"/>
          <w:szCs w:val="21"/>
        </w:rPr>
      </w:pPr>
      <w:r>
        <w:rPr>
          <w:rFonts w:ascii="宋体" w:hAnsi="宋体"/>
          <w:szCs w:val="21"/>
        </w:rPr>
        <w:t xml:space="preserve">业主大会的固定资产如果发生了重大减值，计提减值准备的，应当单独设置“固定资产减值准备”科目进行核算。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固定资产的主要账务处理如下：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固定资产在取得时，应当按照取得时的实际成本入账。取得时的实际成本包括买价、包装费、运输费、交纳的有关税金等相关费用，以及为使固定资产达到预定可使用状态前所必要的支出。具体如下：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外购的固定资产，按照实际支付的买价、相关税费以及为使固定资产达到预定可使用状态前发生的可直接归属于该固定资产的其他支出（如运输费、安装费、装卸费等），借记本科目，贷记“银行存款”、“应付账款”等科目。 </w:t>
      </w:r>
    </w:p>
    <w:p>
      <w:pPr>
        <w:spacing w:line="360" w:lineRule="auto"/>
        <w:ind w:firstLine="420" w:firstLineChars="200"/>
        <w:rPr>
          <w:rFonts w:ascii="宋体" w:hAnsi="宋体"/>
          <w:szCs w:val="21"/>
        </w:rPr>
      </w:pPr>
      <w:r>
        <w:rPr>
          <w:rFonts w:ascii="宋体" w:hAnsi="宋体"/>
          <w:szCs w:val="21"/>
        </w:rPr>
        <w:t xml:space="preserve">如果以一笔款项购入多项没有单独标价的固定资产，按照各项固定资产公允价值的比例对总成本进行分配，分别确定各项固定资产的入账价值。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自行建造的固定资产，按照建造该项固定资产达到预定可使用状态前所发生的全部支出，借记本科目，贷记“在建工程”科目。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按月提取固定资产折旧时，按照应提取的折旧金额，借记“</w:t>
      </w:r>
      <w:r>
        <w:rPr>
          <w:rFonts w:hint="eastAsia" w:ascii="宋体" w:hAnsi="宋体"/>
          <w:szCs w:val="21"/>
        </w:rPr>
        <w:t>业务活动</w:t>
      </w:r>
      <w:r>
        <w:rPr>
          <w:rFonts w:ascii="宋体" w:hAnsi="宋体"/>
          <w:szCs w:val="21"/>
        </w:rPr>
        <w:t>成本”</w:t>
      </w:r>
      <w:r>
        <w:rPr>
          <w:rFonts w:hint="eastAsia" w:ascii="宋体" w:hAnsi="宋体"/>
          <w:szCs w:val="21"/>
        </w:rPr>
        <w:t>、</w:t>
      </w:r>
      <w:r>
        <w:rPr>
          <w:rFonts w:ascii="宋体" w:hAnsi="宋体"/>
          <w:szCs w:val="21"/>
        </w:rPr>
        <w:t xml:space="preserve"> “管理费用”等科目，贷记“累计折旧”科目。</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 </w:t>
      </w:r>
    </w:p>
    <w:p>
      <w:pPr>
        <w:spacing w:line="360" w:lineRule="auto"/>
        <w:ind w:firstLine="420" w:firstLineChars="200"/>
        <w:rPr>
          <w:rFonts w:ascii="宋体" w:hAnsi="宋体"/>
          <w:szCs w:val="21"/>
        </w:rPr>
      </w:pPr>
      <w:r>
        <w:rPr>
          <w:rFonts w:ascii="宋体" w:hAnsi="宋体"/>
          <w:szCs w:val="21"/>
        </w:rPr>
        <w:t xml:space="preserve">发生后续支出时，按照应当计入固定资产账面价值的金额，借记“在建工程”、“固定资产”科目，贷记“银行存款”等科目，按照应当计入当期费用的金额，借记“管理费用”等科目，贷记“银行存款”等科目。 </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固定资产出售、报废或者毁损，或以其他方式处置时，按照所处置固定资产的账面价值，借记“固定资产清理”科目，按照已提取的折旧，借记“累计折旧”科目，按照固定资产账面余额，贷记本科目。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业主大会对固定资产应当定期或者至少每年实地盘点一次。对盘盈、盘亏的固定资产，应当及时查明原因，并根据管理权限，报经批准后，在期末前结账处理完毕：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如为固定资产盘盈，按照其公允价值，借记本科目，贷记“其他</w:t>
      </w:r>
      <w:r>
        <w:rPr>
          <w:rFonts w:hint="eastAsia" w:ascii="宋体" w:hAnsi="宋体"/>
          <w:szCs w:val="21"/>
        </w:rPr>
        <w:t>收入</w:t>
      </w:r>
      <w:r>
        <w:rPr>
          <w:rFonts w:ascii="宋体" w:hAnsi="宋体"/>
          <w:szCs w:val="21"/>
        </w:rPr>
        <w:t xml:space="preserve">”科目。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如为固定资产盘亏，按照固定资产账面价值扣除可以收回的保险赔偿和过失人的赔偿等后的金额，借记</w:t>
      </w:r>
      <w:r>
        <w:rPr>
          <w:rFonts w:hint="eastAsia" w:ascii="宋体" w:hAnsi="宋体"/>
          <w:szCs w:val="21"/>
        </w:rPr>
        <w:t>“业务活动成本</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管理</w:t>
      </w:r>
      <w:r>
        <w:rPr>
          <w:rFonts w:ascii="宋体" w:hAnsi="宋体"/>
          <w:szCs w:val="21"/>
        </w:rPr>
        <w:t xml:space="preserve">费用”科目，按照可以收回的保险赔偿和过失人赔偿等，借记“现金”、“银行存款”、“其他应收款”等科目，按照已提取的累计折旧，借记“累计折旧”科目，按照固定资产的账面余额，贷记本科目。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业主大会应当设置“固定资产登记簿”和“固定资产卡片”，按固定资产类别设置</w:t>
      </w:r>
      <w:r>
        <w:rPr>
          <w:rFonts w:hint="eastAsia" w:ascii="宋体" w:hAnsi="宋体"/>
          <w:szCs w:val="21"/>
        </w:rPr>
        <w:t>“房屋建筑物”、“机器设备”、“运输设备”、“电子设备”、“办公设备”、“其他设备”</w:t>
      </w:r>
      <w:r>
        <w:rPr>
          <w:rFonts w:ascii="宋体" w:hAnsi="宋体"/>
          <w:szCs w:val="21"/>
        </w:rPr>
        <w:t xml:space="preserve">明细账，进行明细核算。 </w:t>
      </w:r>
    </w:p>
    <w:p>
      <w:pPr>
        <w:spacing w:line="360" w:lineRule="auto"/>
        <w:ind w:firstLine="420" w:firstLineChars="200"/>
        <w:rPr>
          <w:rFonts w:ascii="宋体" w:hAnsi="宋体"/>
          <w:szCs w:val="21"/>
        </w:rPr>
      </w:pPr>
      <w:r>
        <w:rPr>
          <w:rFonts w:hint="eastAsia" w:ascii="宋体" w:hAnsi="宋体"/>
          <w:szCs w:val="21"/>
        </w:rPr>
        <w:t>因业务活动需要</w:t>
      </w:r>
      <w:r>
        <w:rPr>
          <w:rFonts w:ascii="宋体" w:hAnsi="宋体"/>
          <w:szCs w:val="21"/>
        </w:rPr>
        <w:t xml:space="preserve">租入的固定资产，应当另设辅助簿进行登记，不在本科目核算。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六</w:t>
      </w:r>
      <w:r>
        <w:rPr>
          <w:rFonts w:hint="eastAsia" w:ascii="宋体" w:hAnsi="宋体"/>
          <w:szCs w:val="21"/>
        </w:rPr>
        <w:t>）</w:t>
      </w:r>
      <w:r>
        <w:rPr>
          <w:rFonts w:ascii="宋体" w:hAnsi="宋体"/>
          <w:szCs w:val="21"/>
        </w:rPr>
        <w:t>本科目期末借方余额，反映业主大会期末固定资产的账面原价。</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十二、</w:t>
      </w:r>
      <w:r>
        <w:rPr>
          <w:rFonts w:ascii="宋体" w:hAnsi="宋体"/>
          <w:b/>
          <w:szCs w:val="21"/>
        </w:rPr>
        <w:t>1502累计折旧</w:t>
      </w:r>
    </w:p>
    <w:p>
      <w:pPr>
        <w:spacing w:line="360" w:lineRule="auto"/>
        <w:rPr>
          <w:rFonts w:ascii="宋体" w:hAnsi="宋体"/>
          <w:szCs w:val="21"/>
        </w:rPr>
      </w:pPr>
      <w:r>
        <w:rPr>
          <w:rFonts w:hint="eastAsia" w:ascii="宋体" w:hAnsi="宋体"/>
          <w:szCs w:val="21"/>
        </w:rPr>
        <w:t>　　（一）本科目核算业主大会固定资产的累计折旧。</w:t>
      </w:r>
    </w:p>
    <w:p>
      <w:pPr>
        <w:spacing w:line="360" w:lineRule="auto"/>
        <w:rPr>
          <w:rFonts w:ascii="宋体" w:hAnsi="宋体"/>
          <w:szCs w:val="21"/>
        </w:rPr>
      </w:pPr>
      <w:r>
        <w:rPr>
          <w:rFonts w:hint="eastAsia" w:ascii="宋体" w:hAnsi="宋体"/>
          <w:szCs w:val="21"/>
        </w:rPr>
        <w:t>　　（二）业主大会应当对固定资产计提折旧，在固定资产的预计使用寿命内系统地分摊固定资产的成本。但是，用于展览、教育或研究等目的的历史文物、艺术品以及其他具有文化或者历史价值并作长期永久保存的典藏等，不计提折旧。</w:t>
      </w:r>
    </w:p>
    <w:p>
      <w:pPr>
        <w:spacing w:line="360" w:lineRule="auto"/>
        <w:rPr>
          <w:rFonts w:ascii="宋体" w:hAnsi="宋体"/>
          <w:szCs w:val="21"/>
        </w:rPr>
      </w:pPr>
      <w:r>
        <w:rPr>
          <w:rFonts w:hint="eastAsia" w:ascii="宋体" w:hAnsi="宋体"/>
          <w:szCs w:val="21"/>
        </w:rPr>
        <w:t>　　1.业主大会应当根据固定资产的性质和消耗方式，合理地确定固定资产的预计使用寿命和预计净残值。</w:t>
      </w:r>
    </w:p>
    <w:p>
      <w:pPr>
        <w:spacing w:line="360" w:lineRule="auto"/>
        <w:rPr>
          <w:rFonts w:ascii="宋体" w:hAnsi="宋体"/>
          <w:szCs w:val="21"/>
        </w:rPr>
      </w:pPr>
      <w:r>
        <w:rPr>
          <w:rFonts w:hint="eastAsia" w:ascii="宋体" w:hAnsi="宋体"/>
          <w:szCs w:val="21"/>
        </w:rPr>
        <w:t>　　2.业主大会应当按照固定资产所包含经济利益或服务潜力的预期实现方式选择折旧方法，可选用的折旧方法包括年限平均法、工作量法、双倍余额递减法和年数总和法。折旧方法一经确定，不得随意变更。</w:t>
      </w:r>
    </w:p>
    <w:p>
      <w:pPr>
        <w:spacing w:line="360" w:lineRule="auto"/>
        <w:rPr>
          <w:rFonts w:ascii="宋体" w:hAnsi="宋体"/>
          <w:szCs w:val="21"/>
        </w:rPr>
      </w:pPr>
      <w:r>
        <w:rPr>
          <w:rFonts w:hint="eastAsia" w:ascii="宋体" w:hAnsi="宋体"/>
          <w:szCs w:val="21"/>
        </w:rPr>
        <w:t>　　3.固定资产的价值、使用寿命、预计净残值等发生变更的，应当根据变更后的价值、预计尚可使用寿命和净残值等，按照选定的折旧方法计提折旧。</w:t>
      </w:r>
    </w:p>
    <w:p>
      <w:pPr>
        <w:spacing w:line="360" w:lineRule="auto"/>
        <w:rPr>
          <w:rFonts w:ascii="宋体" w:hAnsi="宋体"/>
          <w:szCs w:val="21"/>
        </w:rPr>
      </w:pPr>
      <w:r>
        <w:rPr>
          <w:rFonts w:hint="eastAsia" w:ascii="宋体" w:hAnsi="宋体"/>
          <w:szCs w:val="21"/>
        </w:rPr>
        <w:t>　　4.业主大会一般应当按月提取折旧，当月增加的固定资产，当月不提折旧，从下月起计提折旧；当月减少的固定资产，当月照提折旧，从下月起不提折旧。</w:t>
      </w:r>
    </w:p>
    <w:p>
      <w:pPr>
        <w:spacing w:line="360" w:lineRule="auto"/>
        <w:ind w:firstLine="420" w:firstLineChars="200"/>
        <w:rPr>
          <w:rFonts w:ascii="宋体" w:hAnsi="宋体"/>
          <w:szCs w:val="21"/>
        </w:rPr>
      </w:pPr>
      <w:r>
        <w:rPr>
          <w:rFonts w:hint="eastAsia" w:ascii="宋体" w:hAnsi="宋体"/>
          <w:szCs w:val="21"/>
        </w:rPr>
        <w:t>固定资产提足折旧后，无论能否继续使用，均不再提取折旧；提前报废的固定资产，也不再补提折旧。所谓提足折旧，是指已经提足该项固定资产应当提取的折旧总额，其中应当提取的折旧总额为固定资产原价减去预计净残值。</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累计折旧的主要账务处理如下： </w:t>
      </w:r>
    </w:p>
    <w:p>
      <w:pPr>
        <w:spacing w:line="360" w:lineRule="auto"/>
        <w:ind w:firstLine="420" w:firstLineChars="200"/>
        <w:rPr>
          <w:rFonts w:ascii="宋体" w:hAnsi="宋体"/>
          <w:szCs w:val="21"/>
        </w:rPr>
      </w:pPr>
      <w:r>
        <w:rPr>
          <w:rFonts w:ascii="宋体" w:hAnsi="宋体"/>
          <w:szCs w:val="21"/>
        </w:rPr>
        <w:t>按月计提固定资产折旧时，按照应当计提的金额，借记</w:t>
      </w:r>
      <w:r>
        <w:rPr>
          <w:rFonts w:hint="eastAsia" w:ascii="宋体" w:hAnsi="宋体"/>
          <w:szCs w:val="21"/>
        </w:rPr>
        <w:t>“业务活动成本”、</w:t>
      </w:r>
      <w:r>
        <w:rPr>
          <w:rFonts w:ascii="宋体" w:hAnsi="宋体"/>
          <w:szCs w:val="21"/>
        </w:rPr>
        <w:t>“管理费用”等科目，贷记本科目。</w:t>
      </w:r>
    </w:p>
    <w:p>
      <w:pPr>
        <w:spacing w:line="360" w:lineRule="auto"/>
        <w:ind w:firstLine="420"/>
        <w:rPr>
          <w:rFonts w:ascii="宋体" w:hAnsi="宋体"/>
          <w:szCs w:val="21"/>
        </w:rPr>
      </w:pPr>
      <w:r>
        <w:rPr>
          <w:rFonts w:hint="eastAsia" w:ascii="宋体" w:hAnsi="宋体"/>
          <w:szCs w:val="21"/>
        </w:rPr>
        <w:t>（四）业主大会应根据</w:t>
      </w:r>
      <w:r>
        <w:rPr>
          <w:rFonts w:ascii="宋体" w:hAnsi="宋体"/>
          <w:szCs w:val="21"/>
        </w:rPr>
        <w:t>按固定资产</w:t>
      </w:r>
      <w:r>
        <w:rPr>
          <w:rFonts w:hint="eastAsia" w:ascii="宋体" w:hAnsi="宋体"/>
          <w:szCs w:val="21"/>
        </w:rPr>
        <w:t>的</w:t>
      </w:r>
      <w:r>
        <w:rPr>
          <w:rFonts w:ascii="宋体" w:hAnsi="宋体"/>
          <w:szCs w:val="21"/>
        </w:rPr>
        <w:t>类别</w:t>
      </w:r>
      <w:r>
        <w:rPr>
          <w:rFonts w:hint="eastAsia" w:ascii="宋体" w:hAnsi="宋体"/>
          <w:szCs w:val="21"/>
        </w:rPr>
        <w:t>对应</w:t>
      </w:r>
      <w:r>
        <w:rPr>
          <w:rFonts w:ascii="宋体" w:hAnsi="宋体"/>
          <w:szCs w:val="21"/>
        </w:rPr>
        <w:t>设置</w:t>
      </w:r>
      <w:r>
        <w:rPr>
          <w:rFonts w:hint="eastAsia" w:ascii="宋体" w:hAnsi="宋体"/>
          <w:szCs w:val="21"/>
        </w:rPr>
        <w:t>“房屋建筑物折旧”、“机器设备折旧”、“运输设备折旧”、“电子设备折旧”、“办公设备折旧”、“其他设备折旧”</w:t>
      </w:r>
      <w:r>
        <w:rPr>
          <w:rFonts w:ascii="宋体" w:hAnsi="宋体"/>
          <w:szCs w:val="21"/>
        </w:rPr>
        <w:t>明细账，进行明细核算。</w:t>
      </w:r>
    </w:p>
    <w:p>
      <w:pPr>
        <w:spacing w:line="360" w:lineRule="auto"/>
        <w:ind w:firstLine="420"/>
        <w:rPr>
          <w:rFonts w:ascii="宋体" w:hAnsi="宋体"/>
          <w:szCs w:val="21"/>
        </w:rPr>
      </w:pPr>
      <w:r>
        <w:rPr>
          <w:rFonts w:hint="eastAsia" w:ascii="宋体" w:hAnsi="宋体"/>
          <w:szCs w:val="21"/>
        </w:rPr>
        <w:t>（五）本科目期末贷方余额，反映业主大会提取的固定资产折旧累计数。</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十三、</w:t>
      </w:r>
      <w:r>
        <w:rPr>
          <w:rFonts w:ascii="宋体" w:hAnsi="宋体"/>
          <w:b/>
          <w:szCs w:val="21"/>
        </w:rPr>
        <w:t>1505在建工程</w:t>
      </w:r>
    </w:p>
    <w:p>
      <w:pPr>
        <w:spacing w:line="360" w:lineRule="auto"/>
        <w:rPr>
          <w:rFonts w:ascii="宋体" w:hAnsi="宋体"/>
          <w:szCs w:val="21"/>
        </w:rPr>
      </w:pPr>
      <w:r>
        <w:rPr>
          <w:rFonts w:hint="eastAsia" w:ascii="宋体" w:hAnsi="宋体"/>
          <w:szCs w:val="21"/>
        </w:rPr>
        <w:t>　　（一）本科目核算业主大会进行在建工程（包括施工前期准备、正在施工中的建筑工程、安装工程、技术改造工程等）所发生的实际支出。</w:t>
      </w:r>
    </w:p>
    <w:p>
      <w:pPr>
        <w:spacing w:line="360" w:lineRule="auto"/>
        <w:ind w:firstLine="420"/>
        <w:rPr>
          <w:rFonts w:ascii="宋体" w:hAnsi="宋体"/>
          <w:szCs w:val="21"/>
        </w:rPr>
      </w:pPr>
      <w:r>
        <w:rPr>
          <w:rFonts w:hint="eastAsia" w:ascii="宋体" w:hAnsi="宋体"/>
          <w:szCs w:val="21"/>
        </w:rPr>
        <w:t>业主大会可以根据需要，在本科目下设置明细科目，进行明细核算。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在建工程的主要账务处理如下：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在建工程应当按照实际发生的支出确定其工程成本，并单独核算，具体如下： </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自营工程，按照直接材料、直接人工、直接机械使用费等确定其成本： </w:t>
      </w:r>
    </w:p>
    <w:p>
      <w:pPr>
        <w:spacing w:line="360" w:lineRule="auto"/>
        <w:ind w:firstLine="420"/>
        <w:rPr>
          <w:rFonts w:ascii="宋体" w:hAnsi="宋体"/>
          <w:szCs w:val="21"/>
        </w:rPr>
      </w:pPr>
      <w:r>
        <w:rPr>
          <w:rFonts w:ascii="宋体" w:hAnsi="宋体"/>
          <w:szCs w:val="21"/>
        </w:rPr>
        <w:t>领用材料物资时，按照所领用材料物资的账面余额，借记本科目，贷记“存货”科目</w:t>
      </w:r>
      <w:r>
        <w:rPr>
          <w:rFonts w:hint="eastAsia" w:ascii="宋体" w:hAnsi="宋体"/>
          <w:szCs w:val="21"/>
        </w:rPr>
        <w:t>；</w:t>
      </w:r>
    </w:p>
    <w:p>
      <w:pPr>
        <w:spacing w:line="360" w:lineRule="auto"/>
        <w:ind w:firstLine="420"/>
        <w:rPr>
          <w:rFonts w:ascii="宋体" w:hAnsi="宋体"/>
          <w:szCs w:val="21"/>
        </w:rPr>
      </w:pPr>
      <w:r>
        <w:rPr>
          <w:rFonts w:ascii="宋体" w:hAnsi="宋体"/>
          <w:szCs w:val="21"/>
        </w:rPr>
        <w:t xml:space="preserve">发生应负担的职工工资时，按照实际应负担的工资金额，借记本科目，贷记“应付工资”科目。 </w:t>
      </w:r>
    </w:p>
    <w:p>
      <w:pPr>
        <w:spacing w:line="360" w:lineRule="auto"/>
        <w:ind w:firstLine="420"/>
        <w:rPr>
          <w:rFonts w:ascii="宋体" w:hAnsi="宋体"/>
          <w:szCs w:val="21"/>
        </w:rPr>
      </w:pPr>
      <w:r>
        <w:rPr>
          <w:rFonts w:ascii="宋体" w:hAnsi="宋体"/>
          <w:szCs w:val="21"/>
        </w:rPr>
        <w:t xml:space="preserve">工程应当分摊的水、电等其他费用，按照实际应分摊的金额，借记本科目，贷记“银行存款”等科目。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出包工程，应当按照应支付的工程价款等确定其成本，具体如下： </w:t>
      </w:r>
    </w:p>
    <w:p>
      <w:pPr>
        <w:spacing w:line="360" w:lineRule="auto"/>
        <w:ind w:firstLine="420"/>
        <w:rPr>
          <w:rFonts w:ascii="宋体" w:hAnsi="宋体"/>
          <w:szCs w:val="21"/>
        </w:rPr>
      </w:pPr>
      <w:r>
        <w:rPr>
          <w:rFonts w:ascii="宋体" w:hAnsi="宋体"/>
          <w:szCs w:val="21"/>
        </w:rPr>
        <w:t xml:space="preserve">按照合同规定向承包商预付工程款、备料款时，按照实际预付的金额，借记本科目，贷记“银行存款”科目。 </w:t>
      </w:r>
    </w:p>
    <w:p>
      <w:pPr>
        <w:spacing w:line="360" w:lineRule="auto"/>
        <w:ind w:firstLine="420"/>
        <w:rPr>
          <w:rFonts w:ascii="宋体" w:hAnsi="宋体"/>
          <w:szCs w:val="21"/>
        </w:rPr>
      </w:pPr>
      <w:r>
        <w:rPr>
          <w:rFonts w:ascii="宋体" w:hAnsi="宋体"/>
          <w:szCs w:val="21"/>
        </w:rPr>
        <w:t xml:space="preserve">与承包商办理工程价款结算时，按照补付的工程款，借记本科目，贷记“银行存款”、“应付账款”等科目。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在建工程发生的工程管理费、征地费、可行性研究费等，借记本科目，贷记“银行存款”等科目。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出售在建工程，在建工程报废、毁损或者以其他方式处置在建工程时，按照所处置在建工程的账面价值，借记“固定资产清理”科目，按照在建工程账面余额，贷记本科目。 </w:t>
      </w:r>
    </w:p>
    <w:p>
      <w:pPr>
        <w:spacing w:line="360" w:lineRule="auto"/>
        <w:ind w:firstLine="420"/>
        <w:rPr>
          <w:rFonts w:ascii="宋体" w:hAnsi="宋体"/>
          <w:szCs w:val="21"/>
        </w:rPr>
      </w:pPr>
      <w:r>
        <w:rPr>
          <w:rFonts w:hint="eastAsia" w:ascii="宋体" w:hAnsi="宋体"/>
          <w:szCs w:val="21"/>
        </w:rPr>
        <w:t>3.</w:t>
      </w:r>
      <w:r>
        <w:rPr>
          <w:rFonts w:ascii="宋体" w:hAnsi="宋体"/>
          <w:szCs w:val="21"/>
        </w:rPr>
        <w:t>所购建的固定资产已达到预定可使用状态时，按照在建工程的成本，借记“固定资产”科目，贷记本科目。</w:t>
      </w:r>
    </w:p>
    <w:p>
      <w:pPr>
        <w:spacing w:line="360" w:lineRule="auto"/>
        <w:rPr>
          <w:rFonts w:ascii="宋体" w:hAnsi="宋体"/>
          <w:szCs w:val="21"/>
        </w:rPr>
      </w:pPr>
      <w:r>
        <w:rPr>
          <w:rFonts w:hint="eastAsia" w:ascii="宋体" w:hAnsi="宋体"/>
          <w:szCs w:val="21"/>
        </w:rPr>
        <w:t>　　（三）本科目的期末借方余额，反映业主大会尚未完工的各项在建工程发生的实际支出。</w:t>
      </w:r>
    </w:p>
    <w:p>
      <w:pPr>
        <w:spacing w:line="360" w:lineRule="auto"/>
        <w:rPr>
          <w:rFonts w:ascii="宋体" w:hAnsi="宋体"/>
          <w:b/>
          <w:szCs w:val="21"/>
        </w:rPr>
      </w:pPr>
      <w:r>
        <w:rPr>
          <w:rFonts w:hint="eastAsia" w:ascii="宋体" w:hAnsi="宋体"/>
          <w:szCs w:val="21"/>
        </w:rPr>
        <w:t>　　</w:t>
      </w:r>
      <w:r>
        <w:rPr>
          <w:rFonts w:hint="eastAsia" w:ascii="宋体" w:hAnsi="宋体"/>
          <w:b/>
          <w:szCs w:val="21"/>
        </w:rPr>
        <w:t>十四、</w:t>
      </w:r>
      <w:r>
        <w:rPr>
          <w:rFonts w:ascii="宋体" w:hAnsi="宋体"/>
          <w:b/>
          <w:szCs w:val="21"/>
        </w:rPr>
        <w:t>1506文物文化资产</w:t>
      </w:r>
    </w:p>
    <w:p>
      <w:pPr>
        <w:spacing w:line="360" w:lineRule="auto"/>
        <w:rPr>
          <w:rFonts w:ascii="宋体" w:hAnsi="宋体"/>
          <w:szCs w:val="21"/>
        </w:rPr>
      </w:pPr>
      <w:r>
        <w:rPr>
          <w:rFonts w:hint="eastAsia" w:ascii="宋体" w:hAnsi="宋体"/>
          <w:szCs w:val="21"/>
        </w:rPr>
        <w:t>　　（一）本科目核算业主大会文物文化资产的价值。文物文化资产是指用于展览、教育或研究等目的的历史文物、艺术品以及其他具有文化或者历史价值并作长期或者永久保存的典藏等。　　</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 xml:space="preserve">文物文化资产的主要账务处理如下：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文物文化资产在取得时，应当按照取得时的实际成本入账。取得时的实际成本包括买价、包装费、运输费、交纳的有关税金等相关费用，以及为使文物文化资产达到预定可使用状态前所必要的支出。具体如下：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外购的文物文化资产，按照实际支付的买价、相关税费以及为使文物文化资产达到预定可使用状态前发生的可直接归属于该文物文化资产的其他支出（如运输费、安装费、装卸费等），借记本科目，贷记“银行存款”、“应付账款”等科目。 </w:t>
      </w:r>
    </w:p>
    <w:p>
      <w:pPr>
        <w:spacing w:line="360" w:lineRule="auto"/>
        <w:ind w:firstLine="420" w:firstLineChars="200"/>
        <w:rPr>
          <w:rFonts w:ascii="宋体" w:hAnsi="宋体"/>
          <w:szCs w:val="21"/>
        </w:rPr>
      </w:pPr>
      <w:r>
        <w:rPr>
          <w:rFonts w:ascii="宋体" w:hAnsi="宋体"/>
          <w:szCs w:val="21"/>
        </w:rPr>
        <w:t xml:space="preserve">如果以一笔款项购入多项没有单独标价的文物文化资产，按照各项文物文化资产公允价值的比例对总成本进行分配，分别确定各项文物文化资产的入账价值。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接受捐赠的文物文化资产，按照所确定的成本，借记本科目，贷记“</w:t>
      </w:r>
      <w:r>
        <w:rPr>
          <w:rFonts w:hint="eastAsia" w:ascii="宋体" w:hAnsi="宋体"/>
          <w:szCs w:val="21"/>
        </w:rPr>
        <w:t>其他</w:t>
      </w:r>
      <w:r>
        <w:rPr>
          <w:rFonts w:ascii="宋体" w:hAnsi="宋体"/>
          <w:szCs w:val="21"/>
        </w:rPr>
        <w:t xml:space="preserve">收入”科目。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出售文物文化资产，文物文化资产毁损或者以其他方式处置文物文化资产时，按照所处置文物文化资产的账面余额，借记“固定资产清理”科目，贷记本科目。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业主大会对文物文化资产应当定期或者至少每年实地盘点一次。对盘盈、盘亏的文物文化资产，应当及时查明原因，并根据管理权限，报经批准后，在期末结账前处理完毕。</w:t>
      </w:r>
    </w:p>
    <w:p>
      <w:pPr>
        <w:spacing w:line="360" w:lineRule="auto"/>
        <w:ind w:firstLine="420" w:firstLineChars="200"/>
        <w:rPr>
          <w:rFonts w:ascii="宋体" w:hAnsi="宋体"/>
          <w:szCs w:val="21"/>
        </w:rPr>
      </w:pPr>
      <w:r>
        <w:rPr>
          <w:rFonts w:hint="eastAsia" w:ascii="宋体" w:hAnsi="宋体"/>
          <w:szCs w:val="21"/>
        </w:rPr>
        <w:t>（四）业主大会应当设置文物文化资产登记簿和文物文化资产卡片，按文物文化资产类别等设置明细账，进行明细核算。</w:t>
      </w:r>
    </w:p>
    <w:p>
      <w:pPr>
        <w:spacing w:line="360" w:lineRule="auto"/>
        <w:rPr>
          <w:rFonts w:ascii="宋体" w:hAnsi="宋体"/>
          <w:szCs w:val="21"/>
        </w:rPr>
      </w:pPr>
      <w:r>
        <w:rPr>
          <w:rFonts w:hint="eastAsia" w:ascii="宋体" w:hAnsi="宋体"/>
          <w:szCs w:val="21"/>
        </w:rPr>
        <w:t>　　（五）本科目期末借方余额，反映业主大会期末文物文化资产的价值。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十五、</w:t>
      </w:r>
      <w:r>
        <w:rPr>
          <w:rFonts w:ascii="宋体" w:hAnsi="宋体"/>
          <w:b/>
          <w:szCs w:val="21"/>
        </w:rPr>
        <w:t>1509固定资产清理</w:t>
      </w:r>
    </w:p>
    <w:p>
      <w:pPr>
        <w:spacing w:line="360" w:lineRule="auto"/>
        <w:ind w:firstLine="420" w:firstLineChars="200"/>
        <w:rPr>
          <w:rFonts w:ascii="宋体" w:hAnsi="宋体"/>
          <w:szCs w:val="21"/>
        </w:rPr>
      </w:pPr>
      <w:r>
        <w:rPr>
          <w:rFonts w:hint="eastAsia" w:ascii="宋体" w:hAnsi="宋体"/>
          <w:szCs w:val="21"/>
        </w:rPr>
        <w:t>（一）本科目核算业主大会因出售、报废和毁损或其他处置等原因转入清理的固定资产价值及其清理过程中所发生的清理费用和清理收入等。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固定资产清理的主要账务处理如下：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所处置固定资产转入清理时，按照所处置固定资产的账面价值，借记本科目，按照已提取的折旧，借记“累计折旧”科目，按照固定资产账面余额，贷记“固定资产”科目。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清理过程中发生的费用和相关税金，按照实际发生额，借记本科目，贷记“银行存款”等科目；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收回所处置固定资产的价款、残料价值和变价收入等，借记“银行存款”等科目，贷记本科目；应当由保险公司或过失人赔偿的损失，借记“现金”、“银行存款”、“其他应收款”等科目，贷记本科目。 </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固定资产清理后的净收益，借记本科目，贷记“其他收入”科目；固定资产清理后的净损失，借</w:t>
      </w:r>
      <w:r>
        <w:rPr>
          <w:rFonts w:hint="eastAsia" w:ascii="宋体" w:hAnsi="宋体"/>
          <w:szCs w:val="21"/>
        </w:rPr>
        <w:t>记“业务活动成本</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管理</w:t>
      </w:r>
      <w:r>
        <w:rPr>
          <w:rFonts w:ascii="宋体" w:hAnsi="宋体"/>
          <w:szCs w:val="21"/>
        </w:rPr>
        <w:t>费用”科目，贷记本科目。</w:t>
      </w:r>
    </w:p>
    <w:p>
      <w:pPr>
        <w:spacing w:line="360" w:lineRule="auto"/>
        <w:rPr>
          <w:rFonts w:ascii="宋体" w:hAnsi="宋体"/>
          <w:szCs w:val="21"/>
        </w:rPr>
      </w:pPr>
      <w:r>
        <w:rPr>
          <w:rFonts w:hint="eastAsia" w:ascii="宋体" w:hAnsi="宋体"/>
          <w:szCs w:val="21"/>
        </w:rPr>
        <w:t>　　（三）本科目应当按照被清理的固定资产设置明细账，进行明细核算。</w:t>
      </w:r>
    </w:p>
    <w:p>
      <w:pPr>
        <w:spacing w:line="360" w:lineRule="auto"/>
        <w:rPr>
          <w:rFonts w:ascii="宋体" w:hAnsi="宋体"/>
          <w:szCs w:val="21"/>
        </w:rPr>
      </w:pPr>
      <w:r>
        <w:rPr>
          <w:rFonts w:hint="eastAsia" w:ascii="宋体" w:hAnsi="宋体"/>
          <w:szCs w:val="21"/>
        </w:rPr>
        <w:t>　　（四）本科目期末余额，反映尚未清理完毕的固定资产的价值以及清理净收入（清理收入减去清理费用）。</w:t>
      </w:r>
    </w:p>
    <w:p>
      <w:pPr>
        <w:spacing w:line="360" w:lineRule="auto"/>
        <w:rPr>
          <w:rFonts w:ascii="宋体" w:hAnsi="宋体"/>
          <w:b/>
          <w:szCs w:val="21"/>
        </w:rPr>
      </w:pPr>
      <w:r>
        <w:rPr>
          <w:rFonts w:hint="eastAsia" w:ascii="宋体" w:hAnsi="宋体"/>
          <w:szCs w:val="21"/>
        </w:rPr>
        <w:t>　　</w:t>
      </w:r>
      <w:r>
        <w:rPr>
          <w:rFonts w:hint="eastAsia" w:ascii="宋体" w:hAnsi="宋体"/>
          <w:b/>
          <w:szCs w:val="21"/>
        </w:rPr>
        <w:t>十六、</w:t>
      </w:r>
      <w:r>
        <w:rPr>
          <w:rFonts w:ascii="宋体" w:hAnsi="宋体"/>
          <w:b/>
          <w:szCs w:val="21"/>
        </w:rPr>
        <w:t>1601无形资产</w:t>
      </w:r>
    </w:p>
    <w:p>
      <w:pPr>
        <w:spacing w:line="360" w:lineRule="auto"/>
        <w:rPr>
          <w:rFonts w:ascii="宋体" w:hAnsi="宋体"/>
          <w:szCs w:val="21"/>
        </w:rPr>
      </w:pPr>
      <w:r>
        <w:rPr>
          <w:rFonts w:hint="eastAsia" w:ascii="宋体" w:hAnsi="宋体"/>
          <w:szCs w:val="21"/>
        </w:rPr>
        <w:t>　　（一）本科目核算业主大会为开展业务活动、出租给他人或为管理目的而持有的且没有实物形态的非货币性长期资产，包括专利权、非专利技术、商标权、著作权、土地使用权、软件等。</w:t>
      </w:r>
    </w:p>
    <w:p>
      <w:pPr>
        <w:spacing w:line="360" w:lineRule="auto"/>
        <w:ind w:firstLine="420"/>
        <w:rPr>
          <w:rFonts w:ascii="宋体" w:hAnsi="宋体"/>
          <w:szCs w:val="21"/>
        </w:rPr>
      </w:pPr>
      <w:r>
        <w:rPr>
          <w:rFonts w:hint="eastAsia" w:ascii="宋体" w:hAnsi="宋体"/>
          <w:szCs w:val="21"/>
        </w:rPr>
        <w:t>业主大会的无形资产如果发生了重大减值，计提减值准备的，应当单独设置“无形资产减值准备”科目进行核算。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无形资产的主要账务处理如下：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无形资产在取得时，应当按照取得时的实际成本入账。具体如下： </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购入的无形资产，按照实际支付的价款，借记本科目，贷记“银行存款”等科目。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接受捐赠的无形资产，按照所确定的成本，借记本科目，贷记“</w:t>
      </w:r>
      <w:r>
        <w:rPr>
          <w:rFonts w:hint="eastAsia" w:ascii="宋体" w:hAnsi="宋体"/>
          <w:szCs w:val="21"/>
        </w:rPr>
        <w:t>捐赠</w:t>
      </w:r>
      <w:r>
        <w:rPr>
          <w:rFonts w:ascii="宋体" w:hAnsi="宋体"/>
          <w:szCs w:val="21"/>
        </w:rPr>
        <w:t xml:space="preserve">收入”科目。 </w:t>
      </w:r>
    </w:p>
    <w:p>
      <w:pPr>
        <w:spacing w:line="360" w:lineRule="auto"/>
        <w:ind w:firstLine="420"/>
        <w:rPr>
          <w:rFonts w:ascii="宋体" w:hAnsi="宋体"/>
          <w:szCs w:val="21"/>
        </w:rPr>
      </w:pPr>
      <w:r>
        <w:rPr>
          <w:rFonts w:hint="eastAsia" w:ascii="宋体" w:hAnsi="宋体"/>
          <w:szCs w:val="21"/>
        </w:rPr>
        <w:t>3.</w:t>
      </w:r>
      <w:r>
        <w:rPr>
          <w:rFonts w:ascii="宋体" w:hAnsi="宋体"/>
          <w:szCs w:val="21"/>
        </w:rPr>
        <w:t>出售或以其他方式处置无形资产，按照实际取得的价款，借记“银行存款”</w:t>
      </w:r>
      <w:r>
        <w:rPr>
          <w:rFonts w:hint="eastAsia" w:ascii="宋体" w:hAnsi="宋体"/>
          <w:szCs w:val="21"/>
        </w:rPr>
        <w:t>、“累计摊销”</w:t>
      </w:r>
      <w:r>
        <w:rPr>
          <w:rFonts w:ascii="宋体" w:hAnsi="宋体"/>
          <w:szCs w:val="21"/>
        </w:rPr>
        <w:t>等科目，按照该项无形资产的账面余额，贷记本科目，按照其差额，贷记“其他收入”科目或借记“其他费用”科目。</w:t>
      </w:r>
    </w:p>
    <w:p>
      <w:pPr>
        <w:spacing w:line="360" w:lineRule="auto"/>
        <w:rPr>
          <w:rFonts w:ascii="宋体" w:hAnsi="宋体"/>
          <w:szCs w:val="21"/>
        </w:rPr>
      </w:pPr>
      <w:r>
        <w:rPr>
          <w:rFonts w:hint="eastAsia" w:ascii="宋体" w:hAnsi="宋体"/>
          <w:szCs w:val="21"/>
        </w:rPr>
        <w:t>　  （三）本科目应当按照无形资产类别设置明细账，进行明细核算。根据业主大会的特点，可设置二级明细科目，软件、其他等。</w:t>
      </w:r>
    </w:p>
    <w:p>
      <w:pPr>
        <w:spacing w:line="360" w:lineRule="auto"/>
        <w:ind w:firstLine="420" w:firstLineChars="200"/>
        <w:rPr>
          <w:rFonts w:ascii="宋体" w:hAnsi="宋体"/>
          <w:szCs w:val="21"/>
        </w:rPr>
      </w:pPr>
      <w:r>
        <w:rPr>
          <w:rFonts w:hint="eastAsia" w:ascii="宋体" w:hAnsi="宋体"/>
          <w:szCs w:val="21"/>
        </w:rPr>
        <w:t>（四）本科目期末借方余额，反映业主大会已入账但尚未摊销的无形资产的摊余价值。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十七、</w:t>
      </w:r>
      <w:r>
        <w:rPr>
          <w:rFonts w:ascii="宋体" w:hAnsi="宋体"/>
          <w:b/>
          <w:szCs w:val="21"/>
        </w:rPr>
        <w:t>1701受托代理资产</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本科目核算业主大会接受委托方委托从事受托代理业务而收到的资产。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受托代理资产的主要账务处理如下：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收到受托代理资产时，按照应确认的入账金额，借记本科目，贷记“受托代理负债”科目。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转出受托代理资产，按照转出受托代理资产的账面余额，借记“受托代理负债”科目，贷记本科目。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业主大会应当设置“受托代理资产登记簿”，并根据具体情况设置明细账，进行明细核算。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业主大会收到的受托代理资产如果为现金、银行存款或其他货币资金，可以不通过本科目核算，而在“现金”、“银行存款”、“其他货币资金”科目下设置“受托代理资产”明细科目进行核算。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本科目期末借方余额，反映业主大会期末尚未转出的受托代理资产价值。 </w:t>
      </w:r>
    </w:p>
    <w:p>
      <w:pPr>
        <w:spacing w:line="360" w:lineRule="auto"/>
        <w:ind w:firstLine="420"/>
        <w:rPr>
          <w:rFonts w:ascii="宋体" w:hAnsi="宋体"/>
          <w:szCs w:val="21"/>
        </w:rPr>
      </w:pPr>
    </w:p>
    <w:p>
      <w:pPr>
        <w:pStyle w:val="3"/>
        <w:spacing w:before="0" w:after="0" w:line="360" w:lineRule="auto"/>
        <w:jc w:val="center"/>
        <w:rPr>
          <w:sz w:val="24"/>
        </w:rPr>
      </w:pPr>
      <w:bookmarkStart w:id="14" w:name="_Toc15388358"/>
      <w:r>
        <w:rPr>
          <w:rFonts w:hint="eastAsia"/>
          <w:sz w:val="24"/>
        </w:rPr>
        <w:t>第四章  负债类会计科目</w:t>
      </w:r>
      <w:bookmarkEnd w:id="14"/>
    </w:p>
    <w:p>
      <w:pPr>
        <w:spacing w:line="360" w:lineRule="auto"/>
        <w:ind w:firstLine="420"/>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十八、</w:t>
      </w:r>
      <w:r>
        <w:rPr>
          <w:rFonts w:ascii="宋体" w:hAnsi="宋体"/>
          <w:b/>
          <w:szCs w:val="21"/>
        </w:rPr>
        <w:t>2202应付账款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本科目核算业主大会因购买材料、商品和接受服务等应付给供应单位的款项。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应付账款的主要账务处理如下：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发生应付账款时，按照应付金额，借记“存货”、</w:t>
      </w:r>
      <w:r>
        <w:rPr>
          <w:rFonts w:hint="eastAsia" w:ascii="宋体" w:hAnsi="宋体"/>
          <w:szCs w:val="21"/>
        </w:rPr>
        <w:t>“业务活动成本”、“</w:t>
      </w:r>
      <w:r>
        <w:rPr>
          <w:rFonts w:ascii="宋体" w:hAnsi="宋体"/>
          <w:szCs w:val="21"/>
        </w:rPr>
        <w:t>管理费用”等科目，贷记本科目。</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偿付应付账款时，借记本科目，贷记“银行存款”等科目。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确实无法支付或由其他单位承担的应付账款，借记本科目，贷记“其他收入”科目。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本科目应当按照债权人设置明细账，进行明细核算。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本科目期末贷方余额，反映业主大会尚未支付的应付账款</w:t>
      </w:r>
      <w:r>
        <w:rPr>
          <w:rFonts w:hint="eastAsia" w:ascii="宋体" w:hAnsi="宋体"/>
          <w:szCs w:val="21"/>
        </w:rPr>
        <w:t>余额</w:t>
      </w:r>
      <w:r>
        <w:rPr>
          <w:rFonts w:ascii="宋体" w:hAnsi="宋体"/>
          <w:szCs w:val="21"/>
        </w:rPr>
        <w:t xml:space="preserve">。 </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十九、</w:t>
      </w:r>
      <w:r>
        <w:rPr>
          <w:rFonts w:ascii="宋体" w:hAnsi="宋体"/>
          <w:b/>
          <w:szCs w:val="21"/>
        </w:rPr>
        <w:t>2203预收账款</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本科目核算业主大会向服务购买单位预收的各种款项。 </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预收账款的主要账务处理如下： </w:t>
      </w:r>
    </w:p>
    <w:p>
      <w:pPr>
        <w:widowControl/>
        <w:shd w:val="clear" w:color="auto" w:fill="FFFFFF"/>
        <w:spacing w:line="360" w:lineRule="auto"/>
        <w:ind w:firstLine="420" w:firstLineChars="200"/>
        <w:rPr>
          <w:rFonts w:ascii="宋体" w:hAnsi="宋体"/>
          <w:szCs w:val="21"/>
        </w:rPr>
      </w:pPr>
      <w:r>
        <w:rPr>
          <w:rFonts w:hint="eastAsia" w:ascii="宋体" w:hAnsi="宋体"/>
          <w:szCs w:val="21"/>
        </w:rPr>
        <w:t>1.</w:t>
      </w:r>
      <w:r>
        <w:rPr>
          <w:rFonts w:ascii="宋体" w:hAnsi="宋体"/>
          <w:szCs w:val="21"/>
        </w:rPr>
        <w:t>向</w:t>
      </w:r>
      <w:r>
        <w:rPr>
          <w:rFonts w:hint="eastAsia" w:ascii="宋体" w:hAnsi="宋体"/>
          <w:szCs w:val="21"/>
        </w:rPr>
        <w:t>接受服务</w:t>
      </w:r>
      <w:r>
        <w:rPr>
          <w:rFonts w:ascii="宋体" w:hAnsi="宋体"/>
          <w:szCs w:val="21"/>
        </w:rPr>
        <w:t xml:space="preserve">单位预收款项时，按照实际预收的金额，借记“银行存款”等科目，贷记本科目。 </w:t>
      </w:r>
    </w:p>
    <w:p>
      <w:pPr>
        <w:widowControl/>
        <w:shd w:val="clear" w:color="auto" w:fill="FFFFFF"/>
        <w:spacing w:line="360" w:lineRule="auto"/>
        <w:ind w:firstLine="420" w:firstLineChars="200"/>
        <w:rPr>
          <w:rFonts w:ascii="宋体" w:hAnsi="宋体"/>
          <w:szCs w:val="21"/>
        </w:rPr>
      </w:pPr>
      <w:r>
        <w:rPr>
          <w:rFonts w:hint="eastAsia" w:ascii="宋体" w:hAnsi="宋体"/>
          <w:szCs w:val="21"/>
        </w:rPr>
        <w:t>2.</w:t>
      </w:r>
      <w:r>
        <w:rPr>
          <w:rFonts w:ascii="宋体" w:hAnsi="宋体"/>
          <w:szCs w:val="21"/>
        </w:rPr>
        <w:t>确认收入时，按照本科目账面余额，借记本科目，按照应确认的收入金额，贷记</w:t>
      </w:r>
      <w:r>
        <w:rPr>
          <w:rFonts w:hint="eastAsia" w:ascii="宋体" w:hAnsi="宋体"/>
          <w:szCs w:val="21"/>
        </w:rPr>
        <w:t xml:space="preserve"> “提供服务收入”</w:t>
      </w:r>
      <w:r>
        <w:rPr>
          <w:rFonts w:ascii="宋体" w:hAnsi="宋体"/>
          <w:szCs w:val="21"/>
        </w:rPr>
        <w:t>等科目，按照补付或退回的款项，借记或贷记“银行存款”等科目。</w:t>
      </w:r>
      <w:r>
        <w:rPr>
          <w:rFonts w:hint="eastAsia" w:ascii="宋体" w:hAnsi="宋体"/>
          <w:szCs w:val="21"/>
        </w:rPr>
        <w:t>涉及增值税销项税额的，还应进行相应的处理。</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本科目应当</w:t>
      </w:r>
      <w:r>
        <w:rPr>
          <w:rFonts w:hint="eastAsia" w:ascii="宋体" w:hAnsi="宋体"/>
          <w:szCs w:val="21"/>
        </w:rPr>
        <w:t>设置“预收业主款”、“其他往来单位”二级科目。其中：“预收业主款”应</w:t>
      </w:r>
      <w:r>
        <w:rPr>
          <w:rFonts w:ascii="宋体" w:hAnsi="宋体"/>
          <w:szCs w:val="21"/>
        </w:rPr>
        <w:t>按照</w:t>
      </w:r>
      <w:r>
        <w:rPr>
          <w:rFonts w:hint="eastAsia" w:ascii="宋体" w:hAnsi="宋体"/>
          <w:szCs w:val="21"/>
        </w:rPr>
        <w:t>应按房间号或其他可以唯一识别的方式设置往来单位或个人明细科目</w:t>
      </w:r>
      <w:r>
        <w:rPr>
          <w:rFonts w:ascii="宋体" w:hAnsi="宋体"/>
          <w:szCs w:val="21"/>
        </w:rPr>
        <w:t>明细账，进行明细核算</w:t>
      </w:r>
      <w:r>
        <w:rPr>
          <w:rFonts w:hint="eastAsia" w:ascii="宋体" w:hAnsi="宋体"/>
          <w:szCs w:val="21"/>
        </w:rPr>
        <w:t>；“其他往来单位”应按往来单位设置明细账进行明细核算；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本科目期末贷方余额，反映业主大会预收的款项</w:t>
      </w:r>
      <w:r>
        <w:rPr>
          <w:rFonts w:hint="eastAsia" w:ascii="宋体" w:hAnsi="宋体"/>
          <w:szCs w:val="21"/>
        </w:rPr>
        <w:t>，期末如为借方余额，反映业主大会尚未转销的款项</w:t>
      </w:r>
      <w:r>
        <w:rPr>
          <w:rFonts w:ascii="宋体" w:hAnsi="宋体"/>
          <w:szCs w:val="21"/>
        </w:rPr>
        <w:t xml:space="preserve">。 </w:t>
      </w:r>
    </w:p>
    <w:p>
      <w:pPr>
        <w:spacing w:line="360" w:lineRule="auto"/>
        <w:ind w:firstLine="422" w:firstLineChars="200"/>
        <w:rPr>
          <w:rFonts w:ascii="宋体" w:hAnsi="宋体"/>
          <w:b/>
          <w:szCs w:val="21"/>
        </w:rPr>
      </w:pPr>
      <w:r>
        <w:rPr>
          <w:rFonts w:hint="eastAsia" w:ascii="宋体" w:hAnsi="宋体"/>
          <w:b/>
          <w:szCs w:val="21"/>
        </w:rPr>
        <w:t>二十、</w:t>
      </w:r>
      <w:r>
        <w:rPr>
          <w:rFonts w:ascii="宋体" w:hAnsi="宋体"/>
          <w:b/>
          <w:szCs w:val="21"/>
        </w:rPr>
        <w:t>2204应付工资</w:t>
      </w:r>
    </w:p>
    <w:p>
      <w:pPr>
        <w:spacing w:line="360" w:lineRule="auto"/>
        <w:rPr>
          <w:rFonts w:ascii="宋体" w:hAnsi="宋体"/>
          <w:szCs w:val="21"/>
        </w:rPr>
      </w:pPr>
      <w:r>
        <w:rPr>
          <w:rFonts w:hint="eastAsia" w:ascii="宋体" w:hAnsi="宋体"/>
          <w:szCs w:val="21"/>
        </w:rPr>
        <w:t>　　（一）本科目核算业主大会应付给职工和业委会成员的工资或补贴总额。包括在工资或补贴总额内的各种工资、奖金、津贴、补贴等，不论是否在当月支付，都应当通过本科目核算。</w:t>
      </w:r>
    </w:p>
    <w:p>
      <w:pPr>
        <w:spacing w:line="360" w:lineRule="auto"/>
        <w:rPr>
          <w:rFonts w:ascii="宋体" w:hAnsi="宋体"/>
          <w:szCs w:val="21"/>
        </w:rPr>
      </w:pPr>
      <w:r>
        <w:rPr>
          <w:rFonts w:hint="eastAsia" w:ascii="宋体" w:hAnsi="宋体"/>
          <w:szCs w:val="21"/>
        </w:rPr>
        <w:t>　　（二）业主大会应当按照相关规定，根据考勤记录、工时记录、工资标准等，编制“工资单”，计算各种工资，并应当将“工资单”进行汇总，编制“工资汇总表”。</w:t>
      </w:r>
    </w:p>
    <w:p>
      <w:pPr>
        <w:spacing w:line="360" w:lineRule="auto"/>
        <w:rPr>
          <w:rFonts w:ascii="宋体" w:hAnsi="宋体"/>
          <w:szCs w:val="21"/>
        </w:rPr>
      </w:pPr>
      <w:r>
        <w:rPr>
          <w:rFonts w:hint="eastAsia" w:ascii="宋体" w:hAnsi="宋体"/>
          <w:szCs w:val="21"/>
        </w:rPr>
        <w:t>　　（三）业主大会应当设置“工资/奖金”、”津贴/补贴”、“福利费”、“五险一金”、“工会经费”、“职工教育经费”、“其他”等明细科目进行明细核算。</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应付</w:t>
      </w:r>
      <w:r>
        <w:rPr>
          <w:rFonts w:hint="eastAsia" w:ascii="宋体" w:hAnsi="宋体"/>
          <w:szCs w:val="21"/>
        </w:rPr>
        <w:t>工资的</w:t>
      </w:r>
      <w:r>
        <w:rPr>
          <w:rFonts w:ascii="宋体" w:hAnsi="宋体"/>
          <w:szCs w:val="21"/>
        </w:rPr>
        <w:t>主要账务处理如下：</w:t>
      </w: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发生工资时：</w:t>
      </w:r>
    </w:p>
    <w:p>
      <w:pPr>
        <w:spacing w:line="360" w:lineRule="auto"/>
        <w:ind w:firstLine="420" w:firstLineChars="200"/>
        <w:rPr>
          <w:rFonts w:ascii="宋体" w:hAnsi="宋体"/>
          <w:szCs w:val="21"/>
        </w:rPr>
      </w:pPr>
      <w:r>
        <w:rPr>
          <w:rFonts w:hint="eastAsia" w:ascii="宋体" w:hAnsi="宋体"/>
          <w:szCs w:val="21"/>
        </w:rPr>
        <w:t>对业主提供服务的人员的工资薪酬，借记“业务活动成本”、“管理费用”科目，贷记本科目；</w:t>
      </w:r>
    </w:p>
    <w:p>
      <w:pPr>
        <w:spacing w:line="360" w:lineRule="auto"/>
        <w:ind w:firstLine="420" w:firstLineChars="200"/>
        <w:rPr>
          <w:rFonts w:ascii="宋体" w:hAnsi="宋体"/>
          <w:szCs w:val="21"/>
        </w:rPr>
      </w:pPr>
      <w:r>
        <w:rPr>
          <w:rFonts w:hint="eastAsia" w:ascii="宋体" w:hAnsi="宋体"/>
          <w:szCs w:val="21"/>
        </w:rPr>
        <w:t>对业主大会常设机构人员发生的工资、津贴，借记“管理费用”科目，贷记本科目；</w:t>
      </w:r>
    </w:p>
    <w:p>
      <w:pPr>
        <w:spacing w:line="360" w:lineRule="auto"/>
        <w:ind w:firstLine="420" w:firstLineChars="200"/>
        <w:rPr>
          <w:rFonts w:ascii="宋体" w:hAnsi="宋体"/>
          <w:szCs w:val="21"/>
        </w:rPr>
      </w:pPr>
      <w:r>
        <w:rPr>
          <w:rFonts w:hint="eastAsia" w:ascii="宋体" w:hAnsi="宋体"/>
          <w:szCs w:val="21"/>
        </w:rPr>
        <w:t>因解除与职工的劳动关系给予的补偿，借记“业务活动成本”、“管理费用”等科目，贷记本科目。</w:t>
      </w:r>
    </w:p>
    <w:p>
      <w:pPr>
        <w:spacing w:line="360" w:lineRule="auto"/>
        <w:ind w:firstLine="420" w:firstLineChars="200"/>
        <w:rPr>
          <w:rFonts w:ascii="宋体" w:hAnsi="宋体"/>
          <w:szCs w:val="21"/>
        </w:rPr>
      </w:pPr>
      <w:r>
        <w:rPr>
          <w:rFonts w:hint="eastAsia" w:ascii="宋体" w:hAnsi="宋体"/>
          <w:szCs w:val="21"/>
        </w:rPr>
        <w:t>（二）发放工资时：</w:t>
      </w:r>
    </w:p>
    <w:p>
      <w:pPr>
        <w:spacing w:line="360" w:lineRule="auto"/>
        <w:ind w:firstLine="420" w:firstLineChars="200"/>
        <w:rPr>
          <w:rFonts w:ascii="宋体" w:hAnsi="宋体"/>
          <w:szCs w:val="21"/>
        </w:rPr>
      </w:pPr>
      <w:r>
        <w:rPr>
          <w:rFonts w:hint="eastAsia" w:ascii="宋体" w:hAnsi="宋体"/>
          <w:szCs w:val="21"/>
        </w:rPr>
        <w:t>向职工支付工资、奖金、津贴、福利费等，</w:t>
      </w:r>
      <w:r>
        <w:rPr>
          <w:rFonts w:ascii="宋体" w:hAnsi="宋体"/>
          <w:szCs w:val="21"/>
        </w:rPr>
        <w:t>从应付</w:t>
      </w:r>
      <w:r>
        <w:rPr>
          <w:rFonts w:hint="eastAsia" w:ascii="宋体" w:hAnsi="宋体"/>
          <w:szCs w:val="21"/>
        </w:rPr>
        <w:t>工资</w:t>
      </w:r>
      <w:r>
        <w:rPr>
          <w:rFonts w:ascii="宋体" w:hAnsi="宋体"/>
          <w:szCs w:val="21"/>
        </w:rPr>
        <w:t>中扣还的各种款项（如代垫的房租、家属药费、个人所得税等），借记本科目，贷记</w:t>
      </w:r>
      <w:r>
        <w:rPr>
          <w:rFonts w:hint="eastAsia" w:ascii="宋体" w:hAnsi="宋体"/>
          <w:szCs w:val="21"/>
        </w:rPr>
        <w:t>“银行存款”、“现金”、</w:t>
      </w:r>
      <w:r>
        <w:rPr>
          <w:rFonts w:ascii="宋体" w:hAnsi="宋体"/>
          <w:szCs w:val="21"/>
        </w:rPr>
        <w:t>“其他应收款”、“应交税</w:t>
      </w:r>
      <w:r>
        <w:rPr>
          <w:rFonts w:hint="eastAsia" w:ascii="宋体" w:hAnsi="宋体"/>
          <w:szCs w:val="21"/>
        </w:rPr>
        <w:t>费</w:t>
      </w:r>
      <w:r>
        <w:rPr>
          <w:rFonts w:ascii="宋体" w:hAnsi="宋体"/>
          <w:szCs w:val="21"/>
        </w:rPr>
        <w:t>”等科目</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支付工会经费和职工教育经费用于工会活动和职工培训，借记本科目，贷记“银行存款”等科目；</w:t>
      </w:r>
    </w:p>
    <w:p>
      <w:pPr>
        <w:spacing w:line="360" w:lineRule="auto"/>
        <w:ind w:firstLine="420" w:firstLineChars="200"/>
        <w:rPr>
          <w:rFonts w:ascii="宋体" w:hAnsi="宋体"/>
          <w:szCs w:val="21"/>
        </w:rPr>
      </w:pPr>
      <w:r>
        <w:rPr>
          <w:rFonts w:hint="eastAsia" w:ascii="宋体" w:hAnsi="宋体"/>
          <w:szCs w:val="21"/>
        </w:rPr>
        <w:t>按照国家有关规定交纳社会保险费和住房公积金，借记本科目，贷记“银行存款”等科目。</w:t>
      </w:r>
    </w:p>
    <w:p>
      <w:pPr>
        <w:spacing w:line="360" w:lineRule="auto"/>
        <w:ind w:firstLine="420" w:firstLineChars="200"/>
        <w:rPr>
          <w:rFonts w:ascii="宋体" w:hAnsi="宋体"/>
          <w:szCs w:val="21"/>
        </w:rPr>
      </w:pPr>
      <w:r>
        <w:rPr>
          <w:rFonts w:hint="eastAsia" w:ascii="宋体" w:hAnsi="宋体"/>
          <w:szCs w:val="21"/>
        </w:rPr>
        <w:t>因解除与职工的劳动关系给予职工的补偿，借记本科目，贷记“银行存款”、“现金”等科目。</w:t>
      </w:r>
    </w:p>
    <w:p>
      <w:pPr>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本科目期末</w:t>
      </w:r>
      <w:r>
        <w:rPr>
          <w:rFonts w:hint="eastAsia" w:ascii="宋体" w:hAnsi="宋体"/>
          <w:szCs w:val="21"/>
        </w:rPr>
        <w:t>贷方余额，</w:t>
      </w:r>
      <w:r>
        <w:rPr>
          <w:rFonts w:ascii="宋体" w:hAnsi="宋体"/>
          <w:szCs w:val="21"/>
        </w:rPr>
        <w:t>反映</w:t>
      </w:r>
      <w:r>
        <w:rPr>
          <w:rFonts w:hint="eastAsia" w:ascii="宋体" w:hAnsi="宋体"/>
          <w:szCs w:val="21"/>
        </w:rPr>
        <w:t>业主大会应付未付的工资。</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二十一、</w:t>
      </w:r>
      <w:r>
        <w:rPr>
          <w:rFonts w:ascii="宋体" w:hAnsi="宋体"/>
          <w:b/>
          <w:szCs w:val="21"/>
        </w:rPr>
        <w:t>2206应交税金</w:t>
      </w:r>
    </w:p>
    <w:p>
      <w:pPr>
        <w:spacing w:line="360" w:lineRule="auto"/>
        <w:rPr>
          <w:rFonts w:ascii="宋体" w:hAnsi="宋体"/>
          <w:szCs w:val="21"/>
        </w:rPr>
      </w:pPr>
      <w:r>
        <w:rPr>
          <w:rFonts w:hint="eastAsia" w:ascii="宋体" w:hAnsi="宋体"/>
          <w:szCs w:val="21"/>
        </w:rPr>
        <w:t>　　（一）本科目核算业主大会按照有关国家税法规定应当交纳的各种税费，如增值税、企业所得税、房产税等。</w:t>
      </w:r>
    </w:p>
    <w:p>
      <w:pPr>
        <w:spacing w:line="360" w:lineRule="auto"/>
        <w:rPr>
          <w:rFonts w:ascii="宋体" w:hAnsi="宋体"/>
          <w:szCs w:val="21"/>
        </w:rPr>
      </w:pPr>
      <w:r>
        <w:rPr>
          <w:rFonts w:hint="eastAsia" w:ascii="宋体" w:hAnsi="宋体"/>
          <w:szCs w:val="21"/>
        </w:rPr>
        <w:t xml:space="preserve">    </w:t>
      </w:r>
      <w:r>
        <w:rPr>
          <w:rFonts w:hint="eastAsia" w:ascii="宋体" w:hAnsi="宋体" w:cs="宋体"/>
          <w:color w:val="000000"/>
          <w:kern w:val="0"/>
          <w:szCs w:val="21"/>
        </w:rPr>
        <w:t>业主大会代扣代缴的</w:t>
      </w:r>
      <w:r>
        <w:rPr>
          <w:rFonts w:ascii="宋体" w:hAnsi="宋体" w:cs="宋体"/>
          <w:color w:val="000000"/>
          <w:kern w:val="0"/>
          <w:szCs w:val="21"/>
        </w:rPr>
        <w:t>个人所得税</w:t>
      </w:r>
      <w:r>
        <w:rPr>
          <w:rFonts w:hint="eastAsia" w:ascii="宋体" w:hAnsi="宋体" w:cs="宋体"/>
          <w:color w:val="000000"/>
          <w:kern w:val="0"/>
          <w:szCs w:val="21"/>
        </w:rPr>
        <w:t>等，也通过本科目核算。</w:t>
      </w:r>
    </w:p>
    <w:p>
      <w:pPr>
        <w:spacing w:line="360" w:lineRule="auto"/>
        <w:rPr>
          <w:rFonts w:ascii="宋体" w:hAnsi="宋体"/>
          <w:szCs w:val="21"/>
        </w:rPr>
      </w:pPr>
      <w:r>
        <w:rPr>
          <w:rFonts w:hint="eastAsia" w:ascii="宋体" w:hAnsi="宋体"/>
          <w:szCs w:val="21"/>
        </w:rPr>
        <w:t>　　（二）业主大会应当根据具体情况，设置明细科目，进行明细核算，包括：应交增值税、未交增值税、城市维护建设税、教育费附加、地方教育附加、企业所得税、个人所得税、印花税、房产税、土地使用税、车船使用税、待抵扣进项税、其他税费。</w:t>
      </w:r>
    </w:p>
    <w:p>
      <w:pPr>
        <w:shd w:val="clear" w:color="auto" w:fill="FFFFFF"/>
        <w:spacing w:line="360" w:lineRule="auto"/>
        <w:ind w:firstLine="480"/>
        <w:rPr>
          <w:rFonts w:ascii="宋体" w:hAnsi="宋体"/>
          <w:szCs w:val="21"/>
        </w:rPr>
      </w:pPr>
      <w:r>
        <w:rPr>
          <w:rFonts w:hint="eastAsia" w:ascii="宋体" w:hAnsi="宋体"/>
          <w:szCs w:val="21"/>
        </w:rPr>
        <w:t>未交增值税核算一般纳税人月份终了自“应交增值税”明细科目转入的未交增值税额。月份终了自“应交增值税”明细科目转入的多交增值税额也在未交增值税明细科目核算。企业发生当月上交上月未交的增值税的情况，应在未交增值税明细科目核算。未交增值税明细科目期末可无</w:t>
      </w:r>
      <w:r>
        <w:fldChar w:fldCharType="begin"/>
      </w:r>
      <w:r>
        <w:instrText xml:space="preserve">HYPERLINK "https://baike.baidu.com/item/ä½é¢" \t "_blank" </w:instrText>
      </w:r>
      <w:r>
        <w:fldChar w:fldCharType="separate"/>
      </w:r>
      <w:r>
        <w:rPr>
          <w:rFonts w:hint="eastAsia" w:ascii="宋体" w:hAnsi="宋体"/>
          <w:szCs w:val="21"/>
        </w:rPr>
        <w:t>余额</w:t>
      </w:r>
      <w:r>
        <w:fldChar w:fldCharType="end"/>
      </w:r>
      <w:r>
        <w:rPr>
          <w:rFonts w:hint="eastAsia" w:ascii="宋体" w:hAnsi="宋体"/>
          <w:szCs w:val="21"/>
        </w:rPr>
        <w:t>，也可能有余额，可能是</w:t>
      </w:r>
      <w:r>
        <w:fldChar w:fldCharType="begin"/>
      </w:r>
      <w:r>
        <w:instrText xml:space="preserve">HYPERLINK "https://baike.baidu.com/item/è´·æ¹" \t "_blank" </w:instrText>
      </w:r>
      <w:r>
        <w:fldChar w:fldCharType="separate"/>
      </w:r>
      <w:r>
        <w:rPr>
          <w:rFonts w:hint="eastAsia" w:ascii="宋体" w:hAnsi="宋体"/>
          <w:szCs w:val="21"/>
        </w:rPr>
        <w:t>贷方</w:t>
      </w:r>
      <w:r>
        <w:fldChar w:fldCharType="end"/>
      </w:r>
      <w:r>
        <w:rPr>
          <w:rFonts w:hint="eastAsia" w:ascii="宋体" w:hAnsi="宋体"/>
          <w:szCs w:val="21"/>
        </w:rPr>
        <w:t>余额，也可能是</w:t>
      </w:r>
      <w:r>
        <w:fldChar w:fldCharType="begin"/>
      </w:r>
      <w:r>
        <w:instrText xml:space="preserve">HYPERLINK "https://baike.baidu.com/item/åæ¹" \t "_blank" </w:instrText>
      </w:r>
      <w:r>
        <w:fldChar w:fldCharType="separate"/>
      </w:r>
      <w:r>
        <w:rPr>
          <w:rFonts w:hint="eastAsia" w:ascii="宋体" w:hAnsi="宋体"/>
          <w:szCs w:val="21"/>
        </w:rPr>
        <w:t>借方</w:t>
      </w:r>
      <w:r>
        <w:fldChar w:fldCharType="end"/>
      </w:r>
      <w:r>
        <w:rPr>
          <w:rFonts w:ascii="宋体" w:hAnsi="宋体"/>
          <w:szCs w:val="21"/>
        </w:rPr>
        <w:t>余额</w:t>
      </w:r>
      <w:r>
        <w:rPr>
          <w:rFonts w:hint="eastAsia" w:ascii="宋体" w:hAnsi="宋体"/>
          <w:szCs w:val="21"/>
        </w:rPr>
        <w:t>，如借方余额，则反映业主</w:t>
      </w:r>
      <w:r>
        <w:rPr>
          <w:rFonts w:ascii="宋体" w:hAnsi="宋体"/>
          <w:szCs w:val="21"/>
        </w:rPr>
        <w:t>大会</w:t>
      </w:r>
      <w:r>
        <w:rPr>
          <w:rFonts w:hint="eastAsia" w:ascii="宋体" w:hAnsi="宋体"/>
          <w:szCs w:val="21"/>
        </w:rPr>
        <w:t>多交的增值税额。</w:t>
      </w:r>
    </w:p>
    <w:p>
      <w:pPr>
        <w:spacing w:line="360" w:lineRule="auto"/>
        <w:rPr>
          <w:rFonts w:ascii="宋体" w:hAnsi="宋体"/>
          <w:szCs w:val="21"/>
        </w:rPr>
      </w:pPr>
      <w:r>
        <w:rPr>
          <w:rFonts w:hint="eastAsia" w:ascii="宋体" w:hAnsi="宋体"/>
          <w:szCs w:val="21"/>
        </w:rPr>
        <w:t xml:space="preserve">    待抵扣进项税核算一般纳税人由于未经税务机关认证而不得从当期销项税额中抵扣的进项税额。</w:t>
      </w:r>
    </w:p>
    <w:p>
      <w:pPr>
        <w:spacing w:line="360" w:lineRule="auto"/>
        <w:rPr>
          <w:rFonts w:ascii="宋体" w:hAnsi="宋体"/>
          <w:szCs w:val="21"/>
        </w:rPr>
      </w:pPr>
      <w:r>
        <w:rPr>
          <w:rFonts w:hint="eastAsia" w:ascii="宋体" w:hAnsi="宋体"/>
          <w:szCs w:val="21"/>
        </w:rPr>
        <w:t>　　</w:t>
      </w:r>
      <w:r>
        <w:rPr>
          <w:rFonts w:hint="eastAsia" w:ascii="宋体" w:hAnsi="宋体" w:cs="宋体"/>
          <w:color w:val="000000"/>
          <w:kern w:val="0"/>
          <w:szCs w:val="21"/>
        </w:rPr>
        <w:t>业主大会如果成为一般纳税人，应当在“应交增值税”科目下设置 “进项税额”、“已交税金”、“转出未交增值税”“销项税额”、“进项税额转出”、“转出多交增值税”等明细。</w:t>
      </w:r>
    </w:p>
    <w:p>
      <w:pPr>
        <w:spacing w:line="360" w:lineRule="auto"/>
        <w:ind w:firstLine="420"/>
        <w:rPr>
          <w:rFonts w:ascii="宋体" w:hAnsi="宋体"/>
          <w:szCs w:val="21"/>
        </w:rPr>
      </w:pPr>
      <w:r>
        <w:rPr>
          <w:rFonts w:hint="eastAsia" w:ascii="宋体" w:hAnsi="宋体"/>
          <w:szCs w:val="21"/>
        </w:rPr>
        <w:t>（三）</w:t>
      </w:r>
      <w:r>
        <w:rPr>
          <w:rFonts w:ascii="宋体" w:hAnsi="宋体"/>
          <w:szCs w:val="21"/>
        </w:rPr>
        <w:t>应交</w:t>
      </w:r>
      <w:r>
        <w:rPr>
          <w:rFonts w:hint="eastAsia" w:ascii="宋体" w:hAnsi="宋体"/>
          <w:szCs w:val="21"/>
        </w:rPr>
        <w:t>增值</w:t>
      </w:r>
      <w:r>
        <w:rPr>
          <w:rFonts w:ascii="宋体" w:hAnsi="宋体"/>
          <w:szCs w:val="21"/>
        </w:rPr>
        <w:t>税</w:t>
      </w:r>
      <w:r>
        <w:rPr>
          <w:rFonts w:hint="eastAsia" w:ascii="宋体" w:hAnsi="宋体"/>
          <w:szCs w:val="21"/>
        </w:rPr>
        <w:t>的主要账务处理：</w:t>
      </w:r>
    </w:p>
    <w:p>
      <w:pPr>
        <w:spacing w:line="360" w:lineRule="auto"/>
        <w:ind w:firstLine="420"/>
        <w:rPr>
          <w:rFonts w:ascii="宋体" w:hAnsi="宋体"/>
          <w:szCs w:val="21"/>
        </w:rPr>
      </w:pPr>
      <w:r>
        <w:rPr>
          <w:rFonts w:hint="eastAsia" w:ascii="宋体" w:hAnsi="宋体"/>
          <w:szCs w:val="21"/>
        </w:rPr>
        <w:t>1.业主大会购买商品、服务或劳务，按应计入成本或费用的金额，借记“存货”、 “业务活动成本”等科目，按可抵扣的增值税额，借记本科目（应交增值税—进项税额），按应付或实际支付的金额，贷记“应付账款”、“银行存款”等科目。</w:t>
      </w:r>
    </w:p>
    <w:p>
      <w:pPr>
        <w:spacing w:line="360" w:lineRule="auto"/>
        <w:ind w:firstLine="420"/>
        <w:rPr>
          <w:rFonts w:ascii="宋体" w:hAnsi="宋体"/>
          <w:szCs w:val="21"/>
        </w:rPr>
      </w:pPr>
      <w:r>
        <w:rPr>
          <w:rFonts w:hint="eastAsia" w:ascii="宋体" w:hAnsi="宋体"/>
          <w:szCs w:val="21"/>
        </w:rPr>
        <w:t>2.业主大会提供应税服务，按业务活动收入和应收取的增值税，借记“应收账款”、“银行存款”等科目，按对应的增值税额，贷记本科目（应交增值税—销项税额），按确认的业务活动收入，贷记 “提供服务收入”等科目。</w:t>
      </w:r>
    </w:p>
    <w:p>
      <w:pPr>
        <w:spacing w:line="360" w:lineRule="auto"/>
        <w:ind w:firstLine="420"/>
        <w:rPr>
          <w:rFonts w:ascii="宋体" w:hAnsi="宋体"/>
          <w:szCs w:val="21"/>
        </w:rPr>
      </w:pPr>
      <w:r>
        <w:rPr>
          <w:rFonts w:hint="eastAsia" w:ascii="宋体" w:hAnsi="宋体"/>
          <w:szCs w:val="21"/>
        </w:rPr>
        <w:t>3.交纳的增值税，借记本科目（应交增值税—已交税金），贷记“银行存款”科目。</w:t>
      </w:r>
    </w:p>
    <w:p>
      <w:pPr>
        <w:spacing w:line="360" w:lineRule="auto"/>
        <w:ind w:firstLine="420"/>
        <w:rPr>
          <w:rFonts w:ascii="宋体" w:hAnsi="宋体"/>
          <w:szCs w:val="21"/>
        </w:rPr>
      </w:pPr>
      <w:r>
        <w:rPr>
          <w:rFonts w:hint="eastAsia" w:ascii="宋体" w:hAnsi="宋体"/>
          <w:szCs w:val="21"/>
        </w:rPr>
        <w:t>业主大会符合小规模纳税人条件以及购入商品或服务不能抵扣增值税的，发生的增值税计入存货或服务成本。</w:t>
      </w:r>
    </w:p>
    <w:p>
      <w:pPr>
        <w:spacing w:line="360" w:lineRule="auto"/>
        <w:ind w:firstLine="420"/>
        <w:rPr>
          <w:rFonts w:ascii="宋体" w:hAnsi="宋体"/>
          <w:szCs w:val="21"/>
        </w:rPr>
      </w:pPr>
      <w:r>
        <w:rPr>
          <w:rFonts w:hint="eastAsia" w:ascii="宋体" w:hAnsi="宋体"/>
          <w:szCs w:val="21"/>
        </w:rPr>
        <w:t>（四）其他税费的账务处理：</w:t>
      </w:r>
    </w:p>
    <w:p>
      <w:pPr>
        <w:spacing w:line="360" w:lineRule="auto"/>
        <w:ind w:firstLine="420"/>
        <w:rPr>
          <w:rFonts w:ascii="宋体" w:hAnsi="宋体"/>
          <w:szCs w:val="21"/>
        </w:rPr>
      </w:pPr>
      <w:r>
        <w:rPr>
          <w:rFonts w:hint="eastAsia" w:ascii="宋体" w:hAnsi="宋体"/>
          <w:szCs w:val="21"/>
        </w:rPr>
        <w:t>1.业主大会按规定计算交纳的城建税、教育费附加等，借记“业务活动成本”科目，贷记本科目。实际交纳时，借记本科目，贷记“银行存款”等科目。</w:t>
      </w:r>
    </w:p>
    <w:p>
      <w:pPr>
        <w:spacing w:line="360" w:lineRule="auto"/>
        <w:ind w:firstLine="420"/>
        <w:rPr>
          <w:rFonts w:ascii="宋体" w:hAnsi="宋体"/>
          <w:szCs w:val="21"/>
        </w:rPr>
      </w:pPr>
      <w:r>
        <w:rPr>
          <w:rFonts w:hint="eastAsia" w:ascii="宋体" w:hAnsi="宋体"/>
          <w:szCs w:val="21"/>
        </w:rPr>
        <w:t>2.业主大会按照税法规定计算应交的所得税，借记“其他费用”等科目，贷记本科目。交纳的所得税，借记本科目，贷记“银行存款”等科目。</w:t>
      </w:r>
    </w:p>
    <w:p>
      <w:pPr>
        <w:spacing w:line="360" w:lineRule="auto"/>
        <w:ind w:firstLine="420"/>
        <w:rPr>
          <w:rFonts w:ascii="宋体" w:hAnsi="宋体"/>
          <w:szCs w:val="21"/>
        </w:rPr>
      </w:pPr>
      <w:r>
        <w:rPr>
          <w:rFonts w:hint="eastAsia" w:ascii="宋体" w:hAnsi="宋体"/>
          <w:szCs w:val="21"/>
        </w:rPr>
        <w:t>3.业主大会</w:t>
      </w:r>
      <w:r>
        <w:rPr>
          <w:rFonts w:ascii="宋体" w:hAnsi="宋体"/>
          <w:szCs w:val="21"/>
        </w:rPr>
        <w:t>发生个人所得税</w:t>
      </w:r>
      <w:r>
        <w:rPr>
          <w:rFonts w:hint="eastAsia" w:ascii="宋体" w:hAnsi="宋体"/>
          <w:szCs w:val="21"/>
        </w:rPr>
        <w:t>代扣代缴</w:t>
      </w:r>
      <w:r>
        <w:rPr>
          <w:rFonts w:ascii="宋体" w:hAnsi="宋体"/>
          <w:szCs w:val="21"/>
        </w:rPr>
        <w:t>义务时，按照规定计算应代扣代交的个人所得税，借记“应付</w:t>
      </w:r>
      <w:r>
        <w:rPr>
          <w:rFonts w:hint="eastAsia" w:ascii="宋体" w:hAnsi="宋体"/>
          <w:szCs w:val="21"/>
        </w:rPr>
        <w:t>工资</w:t>
      </w:r>
      <w:r>
        <w:rPr>
          <w:rFonts w:ascii="宋体" w:hAnsi="宋体"/>
          <w:szCs w:val="21"/>
        </w:rPr>
        <w:t>”等科目，贷记本科目。交纳个人所得税时，借记本科目，贷记“银行存款”科目。</w:t>
      </w:r>
    </w:p>
    <w:p>
      <w:pPr>
        <w:spacing w:line="360" w:lineRule="auto"/>
        <w:ind w:firstLine="420"/>
        <w:rPr>
          <w:rFonts w:ascii="宋体" w:hAnsi="宋体"/>
          <w:szCs w:val="21"/>
        </w:rPr>
      </w:pPr>
      <w:r>
        <w:rPr>
          <w:rFonts w:hint="eastAsia" w:ascii="宋体" w:hAnsi="宋体"/>
          <w:szCs w:val="21"/>
        </w:rPr>
        <w:t>（五）本科目期末贷方余额，反映业主大会尚未交纳的税费；期末借方余额，反映业主大会多交的税费。</w:t>
      </w:r>
    </w:p>
    <w:p>
      <w:pPr>
        <w:spacing w:line="360" w:lineRule="auto"/>
        <w:rPr>
          <w:rFonts w:ascii="宋体" w:hAnsi="宋体"/>
          <w:b/>
          <w:szCs w:val="21"/>
        </w:rPr>
      </w:pPr>
      <w:r>
        <w:rPr>
          <w:rFonts w:hint="eastAsia" w:ascii="宋体" w:hAnsi="宋体"/>
          <w:szCs w:val="21"/>
        </w:rPr>
        <w:t>　　</w:t>
      </w:r>
      <w:r>
        <w:rPr>
          <w:rFonts w:hint="eastAsia" w:ascii="宋体" w:hAnsi="宋体"/>
          <w:b/>
          <w:szCs w:val="21"/>
        </w:rPr>
        <w:t>二十二、</w:t>
      </w:r>
      <w:r>
        <w:rPr>
          <w:rFonts w:ascii="宋体" w:hAnsi="宋体"/>
          <w:b/>
          <w:szCs w:val="21"/>
        </w:rPr>
        <w:t>2209其他应付款</w:t>
      </w:r>
    </w:p>
    <w:p>
      <w:pPr>
        <w:spacing w:line="360" w:lineRule="auto"/>
        <w:ind w:firstLine="420"/>
        <w:rPr>
          <w:rFonts w:ascii="宋体" w:hAnsi="宋体"/>
          <w:szCs w:val="21"/>
        </w:rPr>
      </w:pPr>
      <w:r>
        <w:rPr>
          <w:rFonts w:hint="eastAsia" w:ascii="宋体" w:hAnsi="宋体"/>
          <w:szCs w:val="21"/>
        </w:rPr>
        <w:t>（一）本科目核算业主大会应付、暂收其他单位或个人的款项。</w:t>
      </w:r>
      <w:r>
        <w:rPr>
          <w:rFonts w:ascii="宋体" w:hAnsi="宋体"/>
          <w:szCs w:val="21"/>
        </w:rPr>
        <w:t xml:space="preserve"> </w:t>
      </w:r>
    </w:p>
    <w:p>
      <w:pPr>
        <w:spacing w:line="360" w:lineRule="auto"/>
        <w:ind w:firstLine="420"/>
        <w:rPr>
          <w:rFonts w:ascii="宋体" w:hAnsi="宋体"/>
          <w:szCs w:val="21"/>
        </w:rPr>
      </w:pPr>
      <w:r>
        <w:rPr>
          <w:rFonts w:hint="eastAsia" w:ascii="宋体" w:hAnsi="宋体"/>
          <w:szCs w:val="21"/>
        </w:rPr>
        <w:t>（二）</w:t>
      </w:r>
      <w:r>
        <w:rPr>
          <w:rFonts w:ascii="宋体" w:hAnsi="宋体"/>
          <w:szCs w:val="21"/>
        </w:rPr>
        <w:t>本科目</w:t>
      </w:r>
      <w:r>
        <w:rPr>
          <w:rFonts w:hint="eastAsia" w:ascii="宋体" w:hAnsi="宋体"/>
          <w:szCs w:val="21"/>
        </w:rPr>
        <w:t>可</w:t>
      </w:r>
      <w:r>
        <w:rPr>
          <w:rFonts w:ascii="宋体" w:hAnsi="宋体"/>
          <w:szCs w:val="21"/>
        </w:rPr>
        <w:t>按</w:t>
      </w:r>
      <w:r>
        <w:rPr>
          <w:rFonts w:hint="eastAsia" w:ascii="宋体" w:hAnsi="宋体"/>
          <w:szCs w:val="21"/>
        </w:rPr>
        <w:t>其他</w:t>
      </w:r>
      <w:r>
        <w:rPr>
          <w:rFonts w:ascii="宋体" w:hAnsi="宋体"/>
          <w:szCs w:val="21"/>
        </w:rPr>
        <w:t>应付</w:t>
      </w:r>
      <w:r>
        <w:rPr>
          <w:rFonts w:hint="eastAsia" w:ascii="宋体" w:hAnsi="宋体"/>
          <w:szCs w:val="21"/>
        </w:rPr>
        <w:t>款的项目和对方单位（或个人）</w:t>
      </w:r>
      <w:r>
        <w:rPr>
          <w:rFonts w:ascii="宋体" w:hAnsi="宋体"/>
          <w:szCs w:val="21"/>
        </w:rPr>
        <w:t xml:space="preserve">设置明细账，进行明细核算。 </w:t>
      </w:r>
    </w:p>
    <w:p>
      <w:pPr>
        <w:spacing w:line="360" w:lineRule="auto"/>
        <w:ind w:firstLine="420"/>
        <w:rPr>
          <w:rFonts w:ascii="宋体" w:hAnsi="宋体"/>
          <w:szCs w:val="21"/>
        </w:rPr>
      </w:pPr>
      <w:r>
        <w:rPr>
          <w:rFonts w:hint="eastAsia" w:ascii="宋体" w:hAnsi="宋体"/>
          <w:szCs w:val="21"/>
        </w:rPr>
        <w:t>（三）</w:t>
      </w:r>
      <w:r>
        <w:rPr>
          <w:rFonts w:ascii="宋体" w:hAnsi="宋体"/>
          <w:szCs w:val="21"/>
        </w:rPr>
        <w:t xml:space="preserve">其他应付款的主要账务处理如下：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发生的</w:t>
      </w:r>
      <w:r>
        <w:rPr>
          <w:rFonts w:hint="eastAsia" w:ascii="宋体" w:hAnsi="宋体"/>
          <w:szCs w:val="21"/>
        </w:rPr>
        <w:t>其他</w:t>
      </w:r>
      <w:r>
        <w:rPr>
          <w:rFonts w:ascii="宋体" w:hAnsi="宋体"/>
          <w:szCs w:val="21"/>
        </w:rPr>
        <w:t>各</w:t>
      </w:r>
      <w:r>
        <w:rPr>
          <w:rFonts w:hint="eastAsia" w:ascii="宋体" w:hAnsi="宋体"/>
          <w:szCs w:val="21"/>
        </w:rPr>
        <w:t>种</w:t>
      </w:r>
      <w:r>
        <w:rPr>
          <w:rFonts w:ascii="宋体" w:hAnsi="宋体"/>
          <w:szCs w:val="21"/>
        </w:rPr>
        <w:t>应付、暂收款项，借记“银行存款”</w:t>
      </w:r>
      <w:r>
        <w:rPr>
          <w:rFonts w:hint="eastAsia" w:ascii="宋体" w:hAnsi="宋体"/>
          <w:szCs w:val="21"/>
        </w:rPr>
        <w:t>、“业务活动成本”</w:t>
      </w:r>
      <w:r>
        <w:rPr>
          <w:rFonts w:ascii="宋体" w:hAnsi="宋体"/>
          <w:szCs w:val="21"/>
        </w:rPr>
        <w:t xml:space="preserve">、“管理费用”等科目，贷记本科目。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支付的</w:t>
      </w:r>
      <w:r>
        <w:rPr>
          <w:rFonts w:hint="eastAsia" w:ascii="宋体" w:hAnsi="宋体"/>
          <w:szCs w:val="21"/>
        </w:rPr>
        <w:t>其他</w:t>
      </w:r>
      <w:r>
        <w:rPr>
          <w:rFonts w:ascii="宋体" w:hAnsi="宋体"/>
          <w:szCs w:val="21"/>
        </w:rPr>
        <w:t>各</w:t>
      </w:r>
      <w:r>
        <w:rPr>
          <w:rFonts w:hint="eastAsia" w:ascii="宋体" w:hAnsi="宋体"/>
          <w:szCs w:val="21"/>
        </w:rPr>
        <w:t>种</w:t>
      </w:r>
      <w:r>
        <w:rPr>
          <w:rFonts w:ascii="宋体" w:hAnsi="宋体"/>
          <w:szCs w:val="21"/>
        </w:rPr>
        <w:t xml:space="preserve">应付、暂收款项时，借记本科目，贷记“银行存款”等科目。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w:t>
      </w:r>
      <w:r>
        <w:rPr>
          <w:rFonts w:hint="eastAsia" w:ascii="宋体" w:hAnsi="宋体"/>
          <w:szCs w:val="21"/>
        </w:rPr>
        <w:t>业主大会应付</w:t>
      </w:r>
      <w:r>
        <w:rPr>
          <w:rFonts w:ascii="宋体" w:hAnsi="宋体"/>
          <w:szCs w:val="21"/>
        </w:rPr>
        <w:t>支付的其他应付款项。</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二十三、</w:t>
      </w:r>
      <w:r>
        <w:rPr>
          <w:rFonts w:ascii="宋体" w:hAnsi="宋体"/>
          <w:b/>
          <w:szCs w:val="21"/>
        </w:rPr>
        <w:t>2301预提费用</w:t>
      </w:r>
    </w:p>
    <w:p>
      <w:pPr>
        <w:spacing w:line="360" w:lineRule="auto"/>
        <w:ind w:firstLine="420"/>
        <w:rPr>
          <w:rFonts w:ascii="宋体" w:hAnsi="宋体"/>
          <w:szCs w:val="21"/>
        </w:rPr>
      </w:pPr>
      <w:r>
        <w:rPr>
          <w:rFonts w:hint="eastAsia" w:ascii="宋体" w:hAnsi="宋体"/>
          <w:szCs w:val="21"/>
        </w:rPr>
        <w:t>　　（一）本科目核算业主大会按照规定预先提取的已经发生但尚未支付的费用，如预提的租金、保险费、服务费等。　</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预提费用的主要账务处理如下：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按照规定预提计入本期费用时，借记</w:t>
      </w:r>
      <w:r>
        <w:rPr>
          <w:rFonts w:hint="eastAsia" w:ascii="宋体" w:hAnsi="宋体"/>
          <w:szCs w:val="21"/>
        </w:rPr>
        <w:t>“业务活动成本”、</w:t>
      </w:r>
      <w:r>
        <w:rPr>
          <w:rFonts w:ascii="宋体" w:hAnsi="宋体"/>
          <w:szCs w:val="21"/>
        </w:rPr>
        <w:t xml:space="preserve">“筹资费用”、“管理费用”等科目，贷记本科目。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实际支出时，借记本科目，贷记“银行存款”等科目。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本科目应当按照费用种类设置明细账，进行明细核算。 </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w:t>
      </w:r>
      <w:r>
        <w:rPr>
          <w:rFonts w:hint="eastAsia" w:ascii="宋体" w:hAnsi="宋体"/>
          <w:szCs w:val="21"/>
        </w:rPr>
        <w:t>业主大会</w:t>
      </w:r>
      <w:r>
        <w:rPr>
          <w:rFonts w:ascii="宋体" w:hAnsi="宋体"/>
          <w:szCs w:val="21"/>
        </w:rPr>
        <w:t xml:space="preserve">已预提但尚未支付的各项费用。 </w:t>
      </w:r>
    </w:p>
    <w:p>
      <w:pPr>
        <w:spacing w:line="360" w:lineRule="auto"/>
        <w:ind w:firstLine="422" w:firstLineChars="200"/>
        <w:rPr>
          <w:rFonts w:ascii="宋体" w:hAnsi="宋体"/>
          <w:b/>
          <w:szCs w:val="21"/>
        </w:rPr>
      </w:pPr>
      <w:r>
        <w:rPr>
          <w:rFonts w:hint="eastAsia" w:ascii="宋体" w:hAnsi="宋体"/>
          <w:b/>
          <w:szCs w:val="21"/>
        </w:rPr>
        <w:t>二十四、</w:t>
      </w:r>
      <w:r>
        <w:rPr>
          <w:rFonts w:ascii="宋体" w:hAnsi="宋体"/>
          <w:b/>
          <w:szCs w:val="21"/>
        </w:rPr>
        <w:t>2601受托代理负债</w:t>
      </w:r>
    </w:p>
    <w:p>
      <w:pPr>
        <w:spacing w:line="360" w:lineRule="auto"/>
        <w:ind w:firstLine="42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本科目核算业主大会因从事受托代理业务、接受受托代理资产而产生的负债。 </w:t>
      </w:r>
    </w:p>
    <w:p>
      <w:pPr>
        <w:spacing w:line="360" w:lineRule="auto"/>
        <w:ind w:firstLine="420"/>
        <w:rPr>
          <w:rFonts w:ascii="宋体" w:hAnsi="宋体"/>
          <w:szCs w:val="21"/>
        </w:rPr>
      </w:pPr>
      <w:r>
        <w:rPr>
          <w:rFonts w:ascii="宋体" w:hAnsi="宋体"/>
          <w:szCs w:val="21"/>
        </w:rPr>
        <w:t xml:space="preserve">受托代理负债应当按照相对应的受托代理资产的金额予以确认和计量。 </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受托代理负债的主要账务处理如下：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收到受托代理资产，按照应确认的入账金额，借记“受托代理资产”科目，贷记本科目。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转赠或者转出受托代理资产，按照转出受托代理资产的账面余额，借记本科目，贷记“受托代理资产”科目。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本科目应当按照指定的受赠组织或个人，或者指定的应转交的组织或个人设置明细账，进行明细核算。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本科目期末贷方余额，反映业主大会尚未清偿的受托代理负债。</w:t>
      </w:r>
    </w:p>
    <w:p>
      <w:pPr>
        <w:spacing w:line="360" w:lineRule="auto"/>
        <w:ind w:firstLine="420"/>
        <w:rPr>
          <w:rFonts w:ascii="宋体" w:hAnsi="宋体"/>
          <w:szCs w:val="21"/>
        </w:rPr>
      </w:pPr>
    </w:p>
    <w:p>
      <w:pPr>
        <w:pStyle w:val="3"/>
        <w:spacing w:before="0" w:after="0" w:line="360" w:lineRule="auto"/>
        <w:jc w:val="center"/>
        <w:rPr>
          <w:sz w:val="24"/>
        </w:rPr>
      </w:pPr>
      <w:bookmarkStart w:id="15" w:name="_Toc15388359"/>
      <w:r>
        <w:rPr>
          <w:rFonts w:hint="eastAsia"/>
          <w:sz w:val="24"/>
        </w:rPr>
        <w:t>第五章  净资产类会计科目</w:t>
      </w:r>
      <w:bookmarkEnd w:id="15"/>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二十五、</w:t>
      </w:r>
      <w:r>
        <w:rPr>
          <w:rFonts w:ascii="宋体" w:hAnsi="宋体"/>
          <w:b/>
          <w:szCs w:val="21"/>
        </w:rPr>
        <w:t>3101非限定性净资产</w:t>
      </w:r>
    </w:p>
    <w:p>
      <w:pPr>
        <w:spacing w:line="360" w:lineRule="auto"/>
        <w:rPr>
          <w:rFonts w:ascii="宋体" w:hAnsi="宋体"/>
          <w:szCs w:val="21"/>
        </w:rPr>
      </w:pPr>
      <w:r>
        <w:rPr>
          <w:rFonts w:hint="eastAsia" w:ascii="宋体" w:hAnsi="宋体"/>
          <w:szCs w:val="21"/>
        </w:rPr>
        <w:t>　　（一）本科目核算业主大会的非限定性净资产，即业主大会净资产中除限定性净资产之外的其他净资产。</w:t>
      </w:r>
    </w:p>
    <w:p>
      <w:pPr>
        <w:spacing w:line="360" w:lineRule="auto"/>
        <w:ind w:firstLine="480"/>
        <w:rPr>
          <w:rFonts w:ascii="宋体" w:hAnsi="宋体"/>
          <w:szCs w:val="21"/>
        </w:rPr>
      </w:pPr>
      <w:r>
        <w:rPr>
          <w:rFonts w:hint="eastAsia" w:ascii="宋体" w:hAnsi="宋体"/>
          <w:szCs w:val="21"/>
        </w:rPr>
        <w:t>（二）业主大会的非限定性净资产设置两个明细科目：非专项资金净资产和专项资金净资产。</w:t>
      </w:r>
    </w:p>
    <w:p>
      <w:pPr>
        <w:spacing w:line="360" w:lineRule="auto"/>
        <w:ind w:firstLine="480"/>
        <w:rPr>
          <w:rFonts w:ascii="宋体" w:hAnsi="宋体"/>
          <w:szCs w:val="21"/>
        </w:rPr>
      </w:pPr>
      <w:r>
        <w:rPr>
          <w:rFonts w:hint="eastAsia" w:ascii="宋体" w:hAnsi="宋体"/>
          <w:szCs w:val="21"/>
        </w:rPr>
        <w:t>1.非专项资金净资产：核算除物业专项维修资金以外的净资产。</w:t>
      </w:r>
    </w:p>
    <w:p>
      <w:pPr>
        <w:spacing w:line="360" w:lineRule="auto"/>
        <w:ind w:firstLine="480"/>
        <w:rPr>
          <w:rFonts w:ascii="宋体" w:hAnsi="宋体"/>
          <w:szCs w:val="21"/>
        </w:rPr>
      </w:pPr>
      <w:r>
        <w:rPr>
          <w:rFonts w:hint="eastAsia" w:ascii="宋体" w:hAnsi="宋体"/>
          <w:szCs w:val="21"/>
        </w:rPr>
        <w:t>2.专项资金净资产：核算物业专项维修资金收支及结余。</w:t>
      </w:r>
    </w:p>
    <w:p>
      <w:pPr>
        <w:spacing w:line="360" w:lineRule="auto"/>
        <w:rPr>
          <w:rFonts w:ascii="宋体" w:hAnsi="宋体"/>
          <w:szCs w:val="21"/>
        </w:rPr>
      </w:pPr>
      <w:r>
        <w:rPr>
          <w:rFonts w:hint="eastAsia" w:ascii="宋体" w:hAnsi="宋体"/>
          <w:szCs w:val="21"/>
        </w:rPr>
        <w:t>　　（三）业主大会应当</w:t>
      </w:r>
      <w:r>
        <w:rPr>
          <w:rFonts w:ascii="宋体" w:hAnsi="宋体"/>
          <w:szCs w:val="21"/>
        </w:rPr>
        <w:t>在</w:t>
      </w:r>
      <w:r>
        <w:rPr>
          <w:rFonts w:hint="eastAsia" w:ascii="宋体" w:hAnsi="宋体"/>
          <w:szCs w:val="21"/>
        </w:rPr>
        <w:t>期末将当期收入、费用的实际发生额转入非专项资金净资产。</w:t>
      </w:r>
    </w:p>
    <w:p>
      <w:pPr>
        <w:spacing w:line="360" w:lineRule="auto"/>
        <w:ind w:firstLine="480"/>
        <w:rPr>
          <w:rFonts w:ascii="宋体" w:hAnsi="宋体"/>
          <w:szCs w:val="21"/>
        </w:rPr>
      </w:pPr>
      <w:r>
        <w:rPr>
          <w:rFonts w:hint="eastAsia" w:ascii="宋体" w:hAnsi="宋体"/>
          <w:szCs w:val="21"/>
        </w:rPr>
        <w:t>（四）专项资金净资产设置二个明细科目：物业专项维修资金收入和物业专项维修资金支出。</w:t>
      </w:r>
    </w:p>
    <w:p>
      <w:pPr>
        <w:spacing w:line="360" w:lineRule="auto"/>
        <w:ind w:firstLine="480"/>
        <w:rPr>
          <w:rFonts w:ascii="宋体" w:hAnsi="宋体"/>
          <w:szCs w:val="21"/>
        </w:rPr>
      </w:pPr>
      <w:r>
        <w:rPr>
          <w:rFonts w:hint="eastAsia" w:ascii="宋体" w:hAnsi="宋体"/>
          <w:szCs w:val="21"/>
        </w:rPr>
        <w:t xml:space="preserve">1.物业专项维修资金收入：核算收取的各项物业专项维修资金，包括： </w:t>
      </w:r>
    </w:p>
    <w:p>
      <w:pPr>
        <w:spacing w:line="360" w:lineRule="auto"/>
        <w:ind w:firstLine="480"/>
        <w:rPr>
          <w:rFonts w:ascii="宋体" w:hAnsi="宋体"/>
          <w:szCs w:val="21"/>
        </w:rPr>
      </w:pPr>
      <w:r>
        <w:rPr>
          <w:rFonts w:hint="eastAsia" w:ascii="宋体" w:hAnsi="宋体"/>
          <w:szCs w:val="21"/>
        </w:rPr>
        <w:t>（1）首期归集的物业专项维修资金：核算业主大会收取的由建设单位承担的物业专项维修资金。</w:t>
      </w:r>
    </w:p>
    <w:p>
      <w:pPr>
        <w:spacing w:line="360" w:lineRule="auto"/>
        <w:ind w:firstLine="480"/>
        <w:rPr>
          <w:rFonts w:ascii="宋体" w:hAnsi="宋体"/>
          <w:szCs w:val="21"/>
        </w:rPr>
      </w:pPr>
      <w:r>
        <w:rPr>
          <w:rFonts w:hint="eastAsia" w:ascii="宋体" w:hAnsi="宋体"/>
          <w:szCs w:val="21"/>
        </w:rPr>
        <w:t>（2）日常收取的物业专项维修资金：核算业主大会收取的由业主承担的物业专项维修资金。</w:t>
      </w:r>
    </w:p>
    <w:p>
      <w:pPr>
        <w:spacing w:line="360" w:lineRule="auto"/>
        <w:ind w:firstLine="480"/>
        <w:rPr>
          <w:rFonts w:ascii="宋体" w:hAnsi="宋体"/>
          <w:szCs w:val="21"/>
          <w:highlight w:val="magenta"/>
        </w:rPr>
      </w:pPr>
      <w:r>
        <w:rPr>
          <w:rFonts w:hint="eastAsia" w:ascii="宋体" w:hAnsi="宋体"/>
          <w:szCs w:val="21"/>
          <w:highlight w:val="magenta"/>
        </w:rPr>
        <w:t>（3）公共收益转入：核算业主大会经程序确认后，从公共收益转入的物业专项维修资金；</w:t>
      </w:r>
    </w:p>
    <w:p>
      <w:pPr>
        <w:spacing w:line="360" w:lineRule="auto"/>
        <w:ind w:firstLine="480"/>
        <w:rPr>
          <w:rFonts w:ascii="宋体" w:hAnsi="宋体"/>
          <w:szCs w:val="21"/>
        </w:rPr>
      </w:pPr>
      <w:r>
        <w:rPr>
          <w:rFonts w:hint="eastAsia" w:ascii="宋体" w:hAnsi="宋体"/>
          <w:szCs w:val="21"/>
        </w:rPr>
        <w:t>（4）利息收入：核算物业专项维修资金专户产生的利息收入。</w:t>
      </w:r>
    </w:p>
    <w:p>
      <w:pPr>
        <w:spacing w:line="360" w:lineRule="auto"/>
        <w:ind w:firstLine="480"/>
        <w:rPr>
          <w:rFonts w:ascii="宋体" w:hAnsi="宋体"/>
          <w:szCs w:val="21"/>
        </w:rPr>
      </w:pPr>
      <w:r>
        <w:rPr>
          <w:rFonts w:hint="eastAsia" w:ascii="宋体" w:hAnsi="宋体"/>
          <w:szCs w:val="21"/>
        </w:rPr>
        <w:t>（5）其他：核算应属于物业专项维修资金的其他收入。</w:t>
      </w:r>
    </w:p>
    <w:p>
      <w:pPr>
        <w:spacing w:line="360" w:lineRule="auto"/>
        <w:ind w:firstLine="480"/>
        <w:rPr>
          <w:rFonts w:ascii="宋体" w:hAnsi="宋体"/>
          <w:szCs w:val="21"/>
          <w:highlight w:val="magenta"/>
        </w:rPr>
      </w:pPr>
      <w:r>
        <w:rPr>
          <w:rFonts w:hint="eastAsia" w:ascii="宋体" w:hAnsi="宋体"/>
          <w:szCs w:val="21"/>
          <w:highlight w:val="magenta"/>
        </w:rPr>
        <w:t>首次入账时，业主大会应该将期初结存的物业专项维修资金分解并按楼栋入账。日常核算时，应该将所产生的物业专项维修资金收入按合理方法分配到各楼栋入账。</w:t>
      </w:r>
    </w:p>
    <w:p>
      <w:pPr>
        <w:spacing w:line="360" w:lineRule="auto"/>
        <w:ind w:firstLine="480"/>
        <w:rPr>
          <w:rFonts w:ascii="宋体" w:hAnsi="宋体"/>
          <w:szCs w:val="21"/>
          <w:highlight w:val="magenta"/>
        </w:rPr>
      </w:pPr>
      <w:r>
        <w:rPr>
          <w:rFonts w:hint="eastAsia" w:ascii="宋体" w:hAnsi="宋体"/>
          <w:szCs w:val="21"/>
          <w:highlight w:val="magenta"/>
        </w:rPr>
        <w:t>2.物业专项维修资金支出：核算物业专项维修资金的各项实际支出。该科目应按楼栋设立明细核算。</w:t>
      </w:r>
    </w:p>
    <w:p>
      <w:pPr>
        <w:spacing w:line="360" w:lineRule="auto"/>
        <w:ind w:firstLine="480"/>
        <w:rPr>
          <w:rFonts w:ascii="宋体" w:hAnsi="宋体"/>
          <w:szCs w:val="21"/>
        </w:rPr>
      </w:pPr>
      <w:r>
        <w:rPr>
          <w:rFonts w:hint="eastAsia" w:ascii="宋体" w:hAnsi="宋体"/>
          <w:szCs w:val="21"/>
        </w:rPr>
        <w:t>（五）</w:t>
      </w:r>
      <w:r>
        <w:rPr>
          <w:rFonts w:ascii="宋体" w:hAnsi="宋体"/>
          <w:szCs w:val="21"/>
        </w:rPr>
        <w:t xml:space="preserve">非限定性净资产的主要账务处理如下： </w:t>
      </w:r>
    </w:p>
    <w:p>
      <w:pPr>
        <w:spacing w:line="360" w:lineRule="auto"/>
        <w:ind w:firstLine="480"/>
        <w:rPr>
          <w:rFonts w:ascii="宋体" w:hAnsi="宋体"/>
          <w:szCs w:val="21"/>
        </w:rPr>
      </w:pPr>
      <w:r>
        <w:rPr>
          <w:rFonts w:hint="eastAsia" w:ascii="宋体" w:hAnsi="宋体"/>
          <w:szCs w:val="21"/>
        </w:rPr>
        <w:t>1．非专项资金净资产的账务处理：</w:t>
      </w:r>
    </w:p>
    <w:p>
      <w:pPr>
        <w:spacing w:line="360" w:lineRule="auto"/>
        <w:ind w:firstLine="480"/>
        <w:rPr>
          <w:rFonts w:ascii="宋体" w:hAnsi="宋体"/>
          <w:szCs w:val="21"/>
        </w:rPr>
      </w:pPr>
      <w:r>
        <w:rPr>
          <w:rFonts w:ascii="宋体" w:hAnsi="宋体"/>
          <w:szCs w:val="21"/>
        </w:rPr>
        <w:t>期末，将各收入类科目余额转入本科目，借记“捐赠收入”、“会费收入”、“提供服务收入”、“政府补助收入”、“商品销售收入”、“投资收益”、“其他收入”科目，贷记本科目。同时，将各费用类科目的余额转入本科目，借记本科目，贷记“业务活动成本”、“管理费用”、“筹资费用”、“其他费用”科目。</w:t>
      </w:r>
    </w:p>
    <w:p>
      <w:pPr>
        <w:spacing w:line="360" w:lineRule="auto"/>
        <w:ind w:firstLine="480"/>
        <w:rPr>
          <w:rFonts w:ascii="宋体" w:hAnsi="宋体"/>
          <w:szCs w:val="21"/>
        </w:rPr>
      </w:pPr>
      <w:r>
        <w:rPr>
          <w:rFonts w:hint="eastAsia" w:ascii="宋体" w:hAnsi="宋体"/>
          <w:szCs w:val="21"/>
        </w:rPr>
        <w:t>2. 专项资金净资产的账务处理：</w:t>
      </w:r>
    </w:p>
    <w:p>
      <w:pPr>
        <w:spacing w:line="360" w:lineRule="auto"/>
        <w:ind w:firstLine="480"/>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收到物业专项维修资金时，借记“银行存款”等科目，贷记“</w:t>
      </w:r>
      <w:r>
        <w:rPr>
          <w:rFonts w:ascii="宋体" w:hAnsi="宋体"/>
          <w:szCs w:val="21"/>
        </w:rPr>
        <w:t>非限定性净资产</w:t>
      </w:r>
      <w:r>
        <w:rPr>
          <w:rFonts w:hint="eastAsia" w:ascii="宋体" w:hAnsi="宋体"/>
          <w:szCs w:val="21"/>
        </w:rPr>
        <w:t>-专项资金净资产-物业专项维修资金收入”科目；</w:t>
      </w:r>
    </w:p>
    <w:p>
      <w:pPr>
        <w:spacing w:line="360" w:lineRule="auto"/>
        <w:ind w:firstLine="480"/>
        <w:rPr>
          <w:rFonts w:ascii="宋体" w:hAnsi="宋体"/>
          <w:szCs w:val="21"/>
        </w:rPr>
      </w:pPr>
      <w:r>
        <w:rPr>
          <w:rFonts w:hint="eastAsia" w:ascii="宋体" w:hAnsi="宋体"/>
          <w:szCs w:val="21"/>
        </w:rPr>
        <w:t>（2）根据有关规定支付物业专项维修资金时，借记“</w:t>
      </w:r>
      <w:r>
        <w:rPr>
          <w:rFonts w:ascii="宋体" w:hAnsi="宋体"/>
          <w:szCs w:val="21"/>
        </w:rPr>
        <w:t>非限定性净资产</w:t>
      </w:r>
      <w:r>
        <w:rPr>
          <w:rFonts w:hint="eastAsia" w:ascii="宋体" w:hAnsi="宋体"/>
          <w:szCs w:val="21"/>
        </w:rPr>
        <w:t>-专项资金净资产-物业专项维修资金支出”科目，贷记“银行存款”等科目。</w:t>
      </w:r>
    </w:p>
    <w:p>
      <w:pPr>
        <w:spacing w:line="360" w:lineRule="auto"/>
        <w:rPr>
          <w:rFonts w:ascii="宋体" w:hAnsi="宋体"/>
          <w:szCs w:val="21"/>
        </w:rPr>
      </w:pPr>
      <w:r>
        <w:rPr>
          <w:rFonts w:hint="eastAsia" w:ascii="宋体" w:hAnsi="宋体"/>
          <w:szCs w:val="21"/>
        </w:rPr>
        <w:t>　　（五）本科目期末贷方余额，反映业主大会历年积存的非限定性净资产。</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16" w:name="_Toc15388360"/>
      <w:r>
        <w:rPr>
          <w:rFonts w:hint="eastAsia"/>
          <w:sz w:val="24"/>
        </w:rPr>
        <w:t>第六章  收入类会计科目</w:t>
      </w:r>
      <w:bookmarkEnd w:id="16"/>
    </w:p>
    <w:p>
      <w:pPr>
        <w:spacing w:line="360" w:lineRule="auto"/>
        <w:rPr>
          <w:rFonts w:ascii="宋体" w:hAnsi="宋体"/>
          <w:b/>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二十六、</w:t>
      </w:r>
      <w:r>
        <w:rPr>
          <w:rFonts w:ascii="宋体" w:hAnsi="宋体"/>
          <w:b/>
          <w:szCs w:val="21"/>
        </w:rPr>
        <w:t>4101捐赠收入</w:t>
      </w:r>
    </w:p>
    <w:p>
      <w:pPr>
        <w:spacing w:line="360" w:lineRule="auto"/>
        <w:ind w:firstLine="420" w:firstLineChars="200"/>
        <w:rPr>
          <w:rFonts w:ascii="宋体" w:hAnsi="宋体"/>
          <w:szCs w:val="21"/>
        </w:rPr>
      </w:pPr>
      <w:r>
        <w:rPr>
          <w:rFonts w:hint="eastAsia" w:ascii="宋体" w:hAnsi="宋体"/>
          <w:szCs w:val="21"/>
        </w:rPr>
        <w:t>（一）本科目核算业主大会接受其他单位或者个人捐赠所取得的收入。</w:t>
      </w:r>
    </w:p>
    <w:p>
      <w:pPr>
        <w:spacing w:line="360" w:lineRule="auto"/>
        <w:ind w:firstLine="420" w:firstLineChars="200"/>
        <w:rPr>
          <w:rFonts w:ascii="宋体" w:hAnsi="宋体"/>
          <w:szCs w:val="21"/>
        </w:rPr>
      </w:pPr>
      <w:r>
        <w:rPr>
          <w:rFonts w:hint="eastAsia" w:ascii="宋体" w:hAnsi="宋体"/>
          <w:szCs w:val="21"/>
        </w:rPr>
        <w:t>业主大会因受托代理业务而从委托方收到的受托代理资产，不在本科目核算。</w:t>
      </w:r>
    </w:p>
    <w:p>
      <w:pPr>
        <w:spacing w:line="360" w:lineRule="auto"/>
        <w:ind w:firstLine="420" w:firstLineChars="200"/>
        <w:rPr>
          <w:rFonts w:ascii="宋体" w:hAnsi="宋体"/>
          <w:szCs w:val="21"/>
        </w:rPr>
      </w:pPr>
      <w:r>
        <w:rPr>
          <w:rFonts w:hint="eastAsia" w:ascii="宋体" w:hAnsi="宋体"/>
          <w:szCs w:val="21"/>
        </w:rPr>
        <w:t>（二）业主大会的捐赠收入应当按照是否存在限定区分为非限定性收入和限定性收入设置明细科目，进行明细核算。</w:t>
      </w:r>
    </w:p>
    <w:p>
      <w:pPr>
        <w:spacing w:line="360" w:lineRule="auto"/>
        <w:ind w:firstLine="420" w:firstLineChars="200"/>
        <w:rPr>
          <w:rFonts w:ascii="宋体" w:hAnsi="宋体"/>
          <w:szCs w:val="21"/>
        </w:rPr>
      </w:pPr>
      <w:r>
        <w:rPr>
          <w:rFonts w:hint="eastAsia" w:ascii="宋体" w:hAnsi="宋体"/>
          <w:szCs w:val="21"/>
        </w:rPr>
        <w:t>如果资产提供者对资产的使用设置了时间限制或者（和）用途限制，则所确认的相关收入为限定性收入；除此之外的其他所有收入，为非限定性收入。</w:t>
      </w:r>
    </w:p>
    <w:p>
      <w:pPr>
        <w:spacing w:line="360" w:lineRule="auto"/>
        <w:ind w:firstLine="420" w:firstLineChars="200"/>
        <w:rPr>
          <w:rFonts w:ascii="宋体" w:hAnsi="宋体"/>
          <w:szCs w:val="21"/>
        </w:rPr>
      </w:pPr>
      <w:r>
        <w:rPr>
          <w:rFonts w:hint="eastAsia" w:ascii="宋体" w:hAnsi="宋体"/>
          <w:szCs w:val="21"/>
        </w:rPr>
        <w:t>（三）业主大会接受捐赠，应当在满足规定的收入确认条件时确认捐赠收入。</w:t>
      </w:r>
    </w:p>
    <w:p>
      <w:pPr>
        <w:spacing w:line="360" w:lineRule="auto"/>
        <w:ind w:firstLine="420" w:firstLineChars="200"/>
        <w:rPr>
          <w:rFonts w:ascii="宋体" w:hAnsi="宋体"/>
          <w:szCs w:val="21"/>
        </w:rPr>
      </w:pPr>
      <w:r>
        <w:rPr>
          <w:rFonts w:ascii="宋体" w:hAnsi="宋体"/>
          <w:szCs w:val="21"/>
        </w:rPr>
        <w:t>（四）捐赠收入的主要账务处理如下：</w:t>
      </w:r>
    </w:p>
    <w:p>
      <w:pPr>
        <w:spacing w:line="360" w:lineRule="auto"/>
        <w:ind w:firstLine="420" w:firstLineChars="200"/>
        <w:rPr>
          <w:rFonts w:ascii="宋体" w:hAnsi="宋体"/>
          <w:szCs w:val="21"/>
        </w:rPr>
      </w:pPr>
      <w:r>
        <w:rPr>
          <w:rFonts w:ascii="宋体" w:hAnsi="宋体"/>
          <w:szCs w:val="21"/>
        </w:rPr>
        <w:t>1.接受的捐赠，按照应确认的金额，借记“现金”、“银行存款”、“存货”、“固定资产”、“无形资产”等科目，贷记本科目。</w:t>
      </w:r>
    </w:p>
    <w:p>
      <w:pPr>
        <w:spacing w:line="360" w:lineRule="auto"/>
        <w:ind w:firstLine="420" w:firstLineChars="200"/>
        <w:rPr>
          <w:rFonts w:ascii="宋体" w:hAnsi="宋体"/>
          <w:szCs w:val="21"/>
        </w:rPr>
      </w:pPr>
      <w:r>
        <w:rPr>
          <w:rFonts w:ascii="宋体" w:hAnsi="宋体"/>
          <w:szCs w:val="21"/>
        </w:rPr>
        <w:t>2.期末，将本科目余额分别转入非限定性净资产</w:t>
      </w:r>
      <w:r>
        <w:rPr>
          <w:rFonts w:hint="eastAsia" w:ascii="宋体" w:hAnsi="宋体"/>
          <w:szCs w:val="21"/>
        </w:rPr>
        <w:t>下“非专项资金净资产”明细科目</w:t>
      </w:r>
      <w:r>
        <w:rPr>
          <w:rFonts w:ascii="宋体" w:hAnsi="宋体"/>
          <w:szCs w:val="21"/>
        </w:rPr>
        <w:t>，借记本科目，贷记“非限定性净资产</w:t>
      </w:r>
      <w:r>
        <w:rPr>
          <w:rFonts w:hint="eastAsia" w:ascii="宋体" w:hAnsi="宋体"/>
          <w:szCs w:val="21"/>
        </w:rPr>
        <w:t>-非专项资金净资产</w:t>
      </w:r>
      <w:r>
        <w:rPr>
          <w:rFonts w:ascii="宋体" w:hAnsi="宋体"/>
          <w:szCs w:val="21"/>
        </w:rPr>
        <w:t>”科目。</w:t>
      </w:r>
    </w:p>
    <w:p>
      <w:pPr>
        <w:spacing w:line="360" w:lineRule="auto"/>
        <w:ind w:firstLine="420" w:firstLineChars="200"/>
        <w:rPr>
          <w:rFonts w:ascii="宋体" w:hAnsi="宋体"/>
          <w:szCs w:val="21"/>
        </w:rPr>
      </w:pPr>
      <w:r>
        <w:rPr>
          <w:rFonts w:hint="eastAsia" w:ascii="宋体" w:hAnsi="宋体"/>
          <w:szCs w:val="21"/>
        </w:rPr>
        <w:t>（五）期末结转后，本科目应无余额。</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二十七、</w:t>
      </w:r>
      <w:r>
        <w:rPr>
          <w:rFonts w:ascii="宋体" w:hAnsi="宋体"/>
          <w:b/>
          <w:szCs w:val="21"/>
        </w:rPr>
        <w:t>4301提供服务收入</w:t>
      </w:r>
    </w:p>
    <w:p>
      <w:pPr>
        <w:spacing w:line="360" w:lineRule="auto"/>
        <w:rPr>
          <w:rFonts w:ascii="宋体" w:hAnsi="宋体"/>
          <w:szCs w:val="21"/>
        </w:rPr>
      </w:pPr>
      <w:r>
        <w:rPr>
          <w:rFonts w:hint="eastAsia" w:ascii="宋体" w:hAnsi="宋体"/>
          <w:szCs w:val="21"/>
        </w:rPr>
        <w:t>　　（一）本科目核算业主大会根据《深圳经济特区物业管理条例》和相关法律法规的规定，为业主、租户以及其他受益方提供各项服务所取得的收入。</w:t>
      </w:r>
    </w:p>
    <w:p>
      <w:pPr>
        <w:spacing w:line="360" w:lineRule="auto"/>
        <w:ind w:firstLine="420" w:firstLineChars="200"/>
        <w:rPr>
          <w:rFonts w:ascii="宋体" w:hAnsi="宋体"/>
          <w:szCs w:val="21"/>
        </w:rPr>
      </w:pPr>
      <w:r>
        <w:rPr>
          <w:rFonts w:hint="eastAsia" w:ascii="宋体" w:hAnsi="宋体"/>
          <w:szCs w:val="21"/>
        </w:rPr>
        <w:t>（二）业主大会应当在满足规定的收入确认条件时确认提供服务收入。</w:t>
      </w:r>
    </w:p>
    <w:p>
      <w:pPr>
        <w:spacing w:line="360" w:lineRule="auto"/>
        <w:ind w:firstLine="420" w:firstLineChars="200"/>
        <w:rPr>
          <w:rFonts w:ascii="宋体" w:hAnsi="宋体"/>
          <w:szCs w:val="21"/>
        </w:rPr>
      </w:pPr>
      <w:r>
        <w:rPr>
          <w:rFonts w:hint="eastAsia" w:ascii="宋体" w:hAnsi="宋体"/>
          <w:szCs w:val="21"/>
        </w:rPr>
        <w:t>（三）本科目应当按照提供服务的种类设置明细账，进行明细核算，一般情况下，设置如下二级明细科目：物业管理费收入、车位（库）收入、共有物业出租收入、公共场地及设备设施出租收入、广告费收入、水电费、其他服务收入。</w:t>
      </w:r>
    </w:p>
    <w:p>
      <w:pPr>
        <w:spacing w:line="360" w:lineRule="auto"/>
        <w:ind w:firstLine="420" w:firstLineChars="200"/>
        <w:rPr>
          <w:rFonts w:ascii="宋体" w:hAnsi="宋体"/>
          <w:szCs w:val="21"/>
        </w:rPr>
      </w:pPr>
      <w:r>
        <w:rPr>
          <w:rFonts w:hint="eastAsia" w:ascii="宋体" w:hAnsi="宋体"/>
          <w:szCs w:val="21"/>
        </w:rPr>
        <w:t>1.物业管理费收入：核算业主大会根据国家有关规定和协议约定向业主或物业使用者收取的物业管理费所取得的收入。</w:t>
      </w:r>
    </w:p>
    <w:p>
      <w:pPr>
        <w:spacing w:line="360" w:lineRule="auto"/>
        <w:ind w:firstLine="420" w:firstLineChars="200"/>
        <w:rPr>
          <w:rFonts w:ascii="宋体" w:hAnsi="宋体"/>
          <w:szCs w:val="21"/>
        </w:rPr>
      </w:pPr>
      <w:r>
        <w:rPr>
          <w:rFonts w:hint="eastAsia" w:ascii="宋体" w:hAnsi="宋体"/>
          <w:szCs w:val="21"/>
        </w:rPr>
        <w:t>2. 车位（库）收入：核算业主大会向产权或收益权全部或部分属于业主共有的停车位（库）收取车位（库）租赁费、固定或临时停车费、车位管理费、服务费以及收入分成等形成的收入。</w:t>
      </w:r>
    </w:p>
    <w:p>
      <w:pPr>
        <w:spacing w:line="360" w:lineRule="auto"/>
        <w:ind w:firstLine="420" w:firstLineChars="200"/>
        <w:rPr>
          <w:rFonts w:ascii="宋体" w:hAnsi="宋体"/>
          <w:szCs w:val="21"/>
        </w:rPr>
      </w:pPr>
      <w:r>
        <w:rPr>
          <w:rFonts w:hint="eastAsia" w:ascii="宋体" w:hAnsi="宋体"/>
          <w:szCs w:val="21"/>
        </w:rPr>
        <w:t>3. 共有物业出租收入：</w:t>
      </w:r>
      <w:r>
        <w:rPr>
          <w:rFonts w:ascii="宋体" w:hAnsi="宋体"/>
          <w:szCs w:val="21"/>
        </w:rPr>
        <w:t>核算业主大会</w:t>
      </w:r>
      <w:r>
        <w:rPr>
          <w:rFonts w:hint="eastAsia" w:ascii="宋体" w:hAnsi="宋体"/>
          <w:szCs w:val="21"/>
        </w:rPr>
        <w:t>向业主共有物业的承租人收取的租金收入；</w:t>
      </w:r>
    </w:p>
    <w:p>
      <w:pPr>
        <w:spacing w:line="360" w:lineRule="auto"/>
        <w:ind w:firstLine="420" w:firstLineChars="200"/>
        <w:rPr>
          <w:rFonts w:ascii="宋体" w:hAnsi="宋体"/>
          <w:szCs w:val="21"/>
        </w:rPr>
      </w:pPr>
      <w:r>
        <w:rPr>
          <w:rFonts w:hint="eastAsia" w:ascii="宋体" w:hAnsi="宋体"/>
          <w:szCs w:val="21"/>
        </w:rPr>
        <w:t>4. 公共场地及设备设施出租收入：</w:t>
      </w:r>
      <w:r>
        <w:rPr>
          <w:rFonts w:ascii="宋体" w:hAnsi="宋体"/>
          <w:szCs w:val="21"/>
        </w:rPr>
        <w:t>核算业主大会</w:t>
      </w:r>
      <w:r>
        <w:rPr>
          <w:rFonts w:hint="eastAsia" w:ascii="宋体" w:hAnsi="宋体"/>
          <w:szCs w:val="21"/>
        </w:rPr>
        <w:t>向业主共有公共场地及设备设施的承租人收取的租金收入；</w:t>
      </w:r>
    </w:p>
    <w:p>
      <w:pPr>
        <w:spacing w:line="360" w:lineRule="auto"/>
        <w:ind w:firstLine="420" w:firstLineChars="200"/>
        <w:rPr>
          <w:rFonts w:ascii="宋体" w:hAnsi="宋体"/>
          <w:szCs w:val="21"/>
        </w:rPr>
      </w:pPr>
      <w:r>
        <w:rPr>
          <w:rFonts w:hint="eastAsia" w:ascii="宋体" w:hAnsi="宋体"/>
          <w:szCs w:val="21"/>
        </w:rPr>
        <w:t>5. 广告费收入：</w:t>
      </w:r>
      <w:r>
        <w:rPr>
          <w:rFonts w:ascii="宋体" w:hAnsi="宋体"/>
          <w:szCs w:val="21"/>
        </w:rPr>
        <w:t>核算利用收取的利用物业小区公共场所或场地从事广告宣传而获取的收入，例如：电梯广告、墙体广告、牌匾广告、临时广告等</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6.水电费：核算由业主大会向本物业管理区域收取水电费产生的收入；</w:t>
      </w:r>
    </w:p>
    <w:p>
      <w:pPr>
        <w:spacing w:line="360" w:lineRule="auto"/>
        <w:ind w:firstLine="420" w:firstLineChars="200"/>
        <w:rPr>
          <w:rFonts w:ascii="宋体" w:hAnsi="宋体"/>
          <w:szCs w:val="21"/>
        </w:rPr>
      </w:pPr>
      <w:r>
        <w:rPr>
          <w:rFonts w:hint="eastAsia" w:ascii="宋体" w:hAnsi="宋体"/>
          <w:szCs w:val="21"/>
        </w:rPr>
        <w:t>7.其他服务收入：核算业主大会或聘请物业公司为全体业主提供日常家居等服务产生的零星收入（如：家政、户内维修等），以及除上述事项以外其他服务收入。其他服务收入如果金额较大可以单独设置明细科目。</w:t>
      </w:r>
    </w:p>
    <w:p>
      <w:pPr>
        <w:spacing w:line="360" w:lineRule="auto"/>
        <w:ind w:firstLine="420" w:firstLineChars="200"/>
        <w:rPr>
          <w:rFonts w:ascii="宋体" w:hAnsi="宋体"/>
          <w:szCs w:val="21"/>
        </w:rPr>
      </w:pPr>
      <w:r>
        <w:rPr>
          <w:rFonts w:hint="eastAsia" w:ascii="宋体" w:hAnsi="宋体"/>
          <w:szCs w:val="21"/>
        </w:rPr>
        <w:t>（四）提供服务</w:t>
      </w:r>
      <w:r>
        <w:rPr>
          <w:rFonts w:ascii="宋体" w:hAnsi="宋体"/>
          <w:szCs w:val="21"/>
        </w:rPr>
        <w:t>收入的主要账务处理如下：</w:t>
      </w:r>
    </w:p>
    <w:p>
      <w:pPr>
        <w:spacing w:line="360" w:lineRule="auto"/>
        <w:ind w:firstLine="420" w:firstLineChars="200"/>
        <w:rPr>
          <w:rFonts w:ascii="宋体" w:hAnsi="宋体"/>
          <w:szCs w:val="21"/>
        </w:rPr>
      </w:pPr>
      <w:r>
        <w:rPr>
          <w:rFonts w:hint="eastAsia" w:ascii="宋体" w:hAnsi="宋体"/>
          <w:szCs w:val="21"/>
        </w:rPr>
        <w:t>1.向收入来源方收取费用</w:t>
      </w:r>
      <w:r>
        <w:rPr>
          <w:rFonts w:ascii="宋体" w:hAnsi="宋体"/>
          <w:szCs w:val="21"/>
        </w:rPr>
        <w:t>，在满足收入确认条件时，借记“现金”、“银行存款”、“应收账款”等科目，</w:t>
      </w:r>
      <w:r>
        <w:rPr>
          <w:rFonts w:hint="eastAsia" w:ascii="宋体" w:hAnsi="宋体"/>
          <w:szCs w:val="21"/>
        </w:rPr>
        <w:t>按应确认的收入，贷记本科目及对应二级科目，同时按照应缴纳的增值税，贷记“应交税金”科目</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期末，</w:t>
      </w:r>
      <w:r>
        <w:rPr>
          <w:rFonts w:hint="eastAsia" w:ascii="宋体" w:hAnsi="宋体"/>
          <w:szCs w:val="21"/>
        </w:rPr>
        <w:t>应</w:t>
      </w:r>
      <w:r>
        <w:rPr>
          <w:rFonts w:ascii="宋体" w:hAnsi="宋体"/>
          <w:szCs w:val="21"/>
        </w:rPr>
        <w:t>将本科目</w:t>
      </w:r>
      <w:r>
        <w:rPr>
          <w:rFonts w:hint="eastAsia" w:ascii="宋体" w:hAnsi="宋体"/>
          <w:szCs w:val="21"/>
        </w:rPr>
        <w:t>余额转入“非限定性净资产-非专项资金净资产”科目，结转后本科目无</w:t>
      </w:r>
      <w:r>
        <w:rPr>
          <w:rFonts w:ascii="宋体" w:hAnsi="宋体"/>
          <w:szCs w:val="21"/>
        </w:rPr>
        <w:t>余额。</w:t>
      </w:r>
    </w:p>
    <w:p>
      <w:pPr>
        <w:spacing w:line="360" w:lineRule="auto"/>
        <w:ind w:firstLine="422" w:firstLineChars="200"/>
        <w:rPr>
          <w:rFonts w:ascii="宋体" w:hAnsi="宋体"/>
          <w:b/>
          <w:szCs w:val="21"/>
        </w:rPr>
      </w:pPr>
      <w:r>
        <w:rPr>
          <w:rFonts w:hint="eastAsia" w:ascii="宋体" w:hAnsi="宋体"/>
          <w:b/>
          <w:szCs w:val="21"/>
        </w:rPr>
        <w:t>二十八、</w:t>
      </w:r>
      <w:r>
        <w:rPr>
          <w:rFonts w:ascii="宋体" w:hAnsi="宋体"/>
          <w:b/>
          <w:szCs w:val="21"/>
        </w:rPr>
        <w:t>4901其他收入</w:t>
      </w:r>
    </w:p>
    <w:p>
      <w:pPr>
        <w:spacing w:line="360" w:lineRule="auto"/>
        <w:ind w:firstLine="480"/>
        <w:rPr>
          <w:rFonts w:ascii="宋体" w:hAnsi="宋体"/>
          <w:szCs w:val="21"/>
        </w:rPr>
      </w:pPr>
      <w:r>
        <w:rPr>
          <w:rFonts w:hint="eastAsia" w:ascii="宋体" w:hAnsi="宋体"/>
          <w:szCs w:val="21"/>
        </w:rPr>
        <w:t>（一）本科目核算业主大会除捐赠收入、会费收入、提供服务收入、政府补助收入、商品销售收入、投资收益等主要业务活动收入以外的其他收入。</w:t>
      </w:r>
      <w:r>
        <w:rPr>
          <w:rFonts w:ascii="宋体" w:hAnsi="宋体"/>
          <w:szCs w:val="21"/>
        </w:rPr>
        <w:t>如</w:t>
      </w:r>
      <w:r>
        <w:rPr>
          <w:rFonts w:hint="eastAsia" w:ascii="宋体" w:hAnsi="宋体"/>
          <w:szCs w:val="21"/>
        </w:rPr>
        <w:t>收取的滞纳金、</w:t>
      </w:r>
      <w:r>
        <w:rPr>
          <w:rFonts w:ascii="宋体" w:hAnsi="宋体"/>
          <w:szCs w:val="21"/>
        </w:rPr>
        <w:t>确实无法支付的应付款项、存货盘盈、固定资产盘盈、固定资产处置净收入、无形资产处置净收入等</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一般情况下，业主大会的其他收入为非限定性收入，除非相关资产提供者对资产的使用设置了限制。</w:t>
      </w:r>
    </w:p>
    <w:p>
      <w:pPr>
        <w:spacing w:line="360" w:lineRule="auto"/>
        <w:ind w:firstLine="48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其他收入的主要账务处理举例如下：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现金、存货、固定资产等盘盈的，根据管理权限报经批准后，借记“现金”、“存货”、“固定资产”、“文物文化资产”等科目，贷记本科目。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 xml:space="preserve">对于固定资产处置净收入，借记“固定资产清理”科目，贷记本科目。 </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对于无形资产处置净收入，按照实际取得的价款，借记“银行存款”等科目，按照该项无形资产的账面余额，贷记“无形资产”科目，按照其差额，贷记本科目。 </w:t>
      </w:r>
    </w:p>
    <w:p>
      <w:pPr>
        <w:spacing w:line="360" w:lineRule="auto"/>
        <w:ind w:firstLine="480"/>
        <w:rPr>
          <w:rFonts w:ascii="宋体" w:hAnsi="宋体"/>
          <w:szCs w:val="21"/>
        </w:rPr>
      </w:pPr>
      <w:r>
        <w:rPr>
          <w:rFonts w:hint="eastAsia" w:ascii="宋体" w:hAnsi="宋体"/>
          <w:szCs w:val="21"/>
        </w:rPr>
        <w:t>4.</w:t>
      </w:r>
      <w:r>
        <w:rPr>
          <w:rFonts w:ascii="宋体" w:hAnsi="宋体"/>
          <w:szCs w:val="21"/>
        </w:rPr>
        <w:t xml:space="preserve">确认无法支付的应付款项，借记“应付账款”等科目，贷记本科目。 </w:t>
      </w:r>
    </w:p>
    <w:p>
      <w:pPr>
        <w:spacing w:line="360" w:lineRule="auto"/>
        <w:ind w:firstLine="480"/>
        <w:rPr>
          <w:rFonts w:ascii="宋体" w:hAnsi="宋体"/>
          <w:szCs w:val="21"/>
        </w:rPr>
      </w:pPr>
      <w:r>
        <w:rPr>
          <w:rFonts w:hint="eastAsia" w:ascii="宋体" w:hAnsi="宋体"/>
          <w:szCs w:val="21"/>
        </w:rPr>
        <w:t>5.</w:t>
      </w:r>
      <w:r>
        <w:rPr>
          <w:rFonts w:ascii="宋体" w:hAnsi="宋体"/>
          <w:szCs w:val="21"/>
        </w:rPr>
        <w:t xml:space="preserve">在非货币性交易中收到补价情况下应确认的损益，借记有关科目，贷记“其他收入”科目。 </w:t>
      </w:r>
    </w:p>
    <w:p>
      <w:pPr>
        <w:spacing w:line="360" w:lineRule="auto"/>
        <w:ind w:firstLine="480"/>
        <w:rPr>
          <w:rFonts w:ascii="宋体" w:hAnsi="宋体"/>
          <w:szCs w:val="21"/>
        </w:rPr>
      </w:pPr>
      <w:r>
        <w:rPr>
          <w:rFonts w:hint="eastAsia" w:ascii="宋体" w:hAnsi="宋体"/>
          <w:szCs w:val="21"/>
        </w:rPr>
        <w:t>6.</w:t>
      </w:r>
      <w:r>
        <w:rPr>
          <w:rFonts w:ascii="宋体" w:hAnsi="宋体"/>
          <w:szCs w:val="21"/>
        </w:rPr>
        <w:t>期末，将本科目的余额转入非限定性净资产，借记本科目，贷记“非限定性净资产”</w:t>
      </w:r>
      <w:r>
        <w:rPr>
          <w:rFonts w:hint="eastAsia" w:ascii="宋体" w:hAnsi="宋体"/>
          <w:szCs w:val="21"/>
        </w:rPr>
        <w:t>下“非专项资金净资产”</w:t>
      </w:r>
      <w:r>
        <w:rPr>
          <w:rFonts w:ascii="宋体" w:hAnsi="宋体"/>
          <w:szCs w:val="21"/>
        </w:rPr>
        <w:t>科目。</w:t>
      </w:r>
    </w:p>
    <w:p>
      <w:pPr>
        <w:spacing w:line="360" w:lineRule="auto"/>
        <w:ind w:firstLine="480"/>
        <w:rPr>
          <w:rFonts w:ascii="宋体" w:hAnsi="宋体"/>
          <w:szCs w:val="21"/>
        </w:rPr>
      </w:pPr>
      <w:r>
        <w:rPr>
          <w:rFonts w:hint="eastAsia" w:ascii="宋体" w:hAnsi="宋体"/>
          <w:szCs w:val="21"/>
        </w:rPr>
        <w:t>（二）本科目应当按照其他收入种类设置明细账，进行明细核算，一般情况下，设置如下二级明细科目：</w:t>
      </w:r>
    </w:p>
    <w:p>
      <w:pPr>
        <w:spacing w:line="360" w:lineRule="auto"/>
        <w:ind w:firstLine="480"/>
        <w:rPr>
          <w:rFonts w:ascii="宋体" w:hAnsi="宋体"/>
          <w:szCs w:val="21"/>
        </w:rPr>
      </w:pPr>
      <w:r>
        <w:rPr>
          <w:rFonts w:hint="eastAsia" w:ascii="宋体" w:hAnsi="宋体"/>
          <w:szCs w:val="21"/>
        </w:rPr>
        <w:t>1.</w:t>
      </w:r>
      <w:r>
        <w:rPr>
          <w:rFonts w:hint="eastAsia"/>
          <w:szCs w:val="21"/>
        </w:rPr>
        <w:t xml:space="preserve"> </w:t>
      </w:r>
      <w:r>
        <w:rPr>
          <w:rFonts w:hint="eastAsia" w:ascii="宋体" w:hAnsi="宋体"/>
          <w:szCs w:val="21"/>
        </w:rPr>
        <w:t>滞纳金和罚款：核算收到的滞纳金和罚款，例如：业主逾期交纳物业管理费产生的滞纳金。</w:t>
      </w:r>
    </w:p>
    <w:p>
      <w:pPr>
        <w:spacing w:line="360" w:lineRule="auto"/>
        <w:ind w:firstLine="480"/>
        <w:rPr>
          <w:rFonts w:ascii="宋体" w:hAnsi="宋体"/>
          <w:szCs w:val="21"/>
        </w:rPr>
      </w:pPr>
      <w:r>
        <w:rPr>
          <w:rFonts w:hint="eastAsia" w:ascii="宋体" w:hAnsi="宋体"/>
          <w:szCs w:val="21"/>
        </w:rPr>
        <w:t>2.非专项共有资金利息：核算非物业专项维修资金银行账户或其他货币资金账户的利息收入。</w:t>
      </w:r>
    </w:p>
    <w:p>
      <w:pPr>
        <w:spacing w:line="360" w:lineRule="auto"/>
        <w:ind w:firstLine="480"/>
        <w:rPr>
          <w:rFonts w:ascii="宋体" w:hAnsi="宋体"/>
          <w:szCs w:val="21"/>
        </w:rPr>
      </w:pPr>
      <w:r>
        <w:rPr>
          <w:rFonts w:hint="eastAsia" w:ascii="宋体" w:hAnsi="宋体"/>
          <w:szCs w:val="21"/>
        </w:rPr>
        <w:t>3.资产处置收入：核算业主大会处置固定资产、无形资产等取得的收入；</w:t>
      </w:r>
    </w:p>
    <w:p>
      <w:pPr>
        <w:spacing w:line="360" w:lineRule="auto"/>
        <w:ind w:firstLine="480"/>
        <w:rPr>
          <w:rFonts w:ascii="宋体" w:hAnsi="宋体"/>
          <w:szCs w:val="21"/>
        </w:rPr>
      </w:pPr>
      <w:r>
        <w:rPr>
          <w:rFonts w:hint="eastAsia" w:ascii="宋体" w:hAnsi="宋体"/>
          <w:szCs w:val="21"/>
        </w:rPr>
        <w:t>4.其他：核算除上述事项以外其他服务收入，如果金额较大可以单独设置明细科目。</w:t>
      </w:r>
    </w:p>
    <w:p>
      <w:pPr>
        <w:spacing w:line="360" w:lineRule="auto"/>
        <w:ind w:firstLine="465"/>
        <w:rPr>
          <w:rFonts w:ascii="宋体" w:hAnsi="宋体"/>
          <w:szCs w:val="21"/>
        </w:rPr>
      </w:pPr>
      <w:r>
        <w:rPr>
          <w:rFonts w:hint="eastAsia" w:ascii="宋体" w:hAnsi="宋体"/>
          <w:szCs w:val="21"/>
        </w:rPr>
        <w:t>（三）期末结转后，本科目应无余额。</w:t>
      </w:r>
    </w:p>
    <w:p>
      <w:pPr>
        <w:spacing w:line="360" w:lineRule="auto"/>
        <w:ind w:firstLine="465"/>
        <w:rPr>
          <w:rFonts w:ascii="宋体" w:hAnsi="宋体"/>
          <w:szCs w:val="21"/>
        </w:rPr>
      </w:pPr>
    </w:p>
    <w:p>
      <w:pPr>
        <w:pStyle w:val="3"/>
        <w:spacing w:before="0" w:after="0" w:line="360" w:lineRule="auto"/>
        <w:jc w:val="center"/>
        <w:rPr>
          <w:sz w:val="24"/>
        </w:rPr>
      </w:pPr>
      <w:bookmarkStart w:id="17" w:name="_Toc15388361"/>
      <w:r>
        <w:rPr>
          <w:rFonts w:hint="eastAsia"/>
          <w:sz w:val="24"/>
        </w:rPr>
        <w:t>第七章  费用类会计科目</w:t>
      </w:r>
      <w:bookmarkEnd w:id="17"/>
    </w:p>
    <w:p>
      <w:pPr>
        <w:spacing w:line="360" w:lineRule="auto"/>
        <w:ind w:firstLine="465"/>
        <w:rPr>
          <w:rFonts w:ascii="宋体" w:hAnsi="宋体"/>
          <w:szCs w:val="21"/>
        </w:rPr>
      </w:pPr>
    </w:p>
    <w:p>
      <w:pPr>
        <w:spacing w:line="360" w:lineRule="auto"/>
        <w:rPr>
          <w:rFonts w:ascii="宋体" w:hAnsi="宋体"/>
          <w:b/>
          <w:szCs w:val="21"/>
        </w:rPr>
      </w:pPr>
      <w:r>
        <w:rPr>
          <w:rFonts w:hint="eastAsia" w:ascii="宋体" w:hAnsi="宋体"/>
          <w:b/>
          <w:szCs w:val="21"/>
        </w:rPr>
        <w:t>　　二十九、</w:t>
      </w:r>
      <w:r>
        <w:rPr>
          <w:rFonts w:ascii="宋体" w:hAnsi="宋体"/>
          <w:b/>
          <w:szCs w:val="21"/>
        </w:rPr>
        <w:t>5101业务活动成本</w:t>
      </w:r>
    </w:p>
    <w:p>
      <w:pPr>
        <w:spacing w:line="360" w:lineRule="auto"/>
        <w:rPr>
          <w:rFonts w:ascii="宋体" w:hAnsi="宋体"/>
          <w:szCs w:val="21"/>
        </w:rPr>
      </w:pPr>
      <w:r>
        <w:rPr>
          <w:rFonts w:hint="eastAsia" w:ascii="宋体" w:hAnsi="宋体"/>
          <w:szCs w:val="21"/>
        </w:rPr>
        <w:t>　　（一）本科目核算业主大会为了实现其业务活动目标、开展其项目活动或者提供服务所发生的费用。</w:t>
      </w:r>
    </w:p>
    <w:p>
      <w:pPr>
        <w:spacing w:line="360" w:lineRule="auto"/>
        <w:rPr>
          <w:rFonts w:ascii="宋体" w:hAnsi="宋体"/>
          <w:szCs w:val="21"/>
        </w:rPr>
      </w:pPr>
      <w:r>
        <w:rPr>
          <w:rFonts w:hint="eastAsia" w:ascii="宋体" w:hAnsi="宋体"/>
          <w:szCs w:val="21"/>
        </w:rPr>
        <w:t>　　（二）业主大会发生的业务活动成本，应当按照其发生额计入当期费用。</w:t>
      </w:r>
    </w:p>
    <w:p>
      <w:pPr>
        <w:spacing w:line="360" w:lineRule="auto"/>
        <w:ind w:firstLine="420"/>
        <w:rPr>
          <w:rFonts w:ascii="宋体" w:hAnsi="宋体"/>
          <w:szCs w:val="21"/>
        </w:rPr>
      </w:pPr>
      <w:r>
        <w:rPr>
          <w:rFonts w:hint="eastAsia" w:ascii="宋体" w:hAnsi="宋体"/>
          <w:szCs w:val="21"/>
        </w:rPr>
        <w:t>（三）本科目应当按照业务活动成本种类设置明细账，进行明细核算，一般情况下，应根据业主大会的收入对应设置如下二级明细科目：</w:t>
      </w:r>
    </w:p>
    <w:p>
      <w:pPr>
        <w:spacing w:line="360" w:lineRule="auto"/>
        <w:ind w:firstLine="420"/>
        <w:rPr>
          <w:rFonts w:ascii="宋体" w:hAnsi="宋体"/>
          <w:szCs w:val="21"/>
        </w:rPr>
      </w:pPr>
      <w:r>
        <w:rPr>
          <w:rFonts w:hint="eastAsia" w:ascii="宋体" w:hAnsi="宋体"/>
          <w:szCs w:val="21"/>
        </w:rPr>
        <w:t>1. 物业服务成本：</w:t>
      </w:r>
      <w:r>
        <w:rPr>
          <w:rFonts w:ascii="宋体" w:hAnsi="宋体"/>
          <w:szCs w:val="21"/>
        </w:rPr>
        <w:t>核算业主大会为</w:t>
      </w:r>
      <w:r>
        <w:rPr>
          <w:rFonts w:hint="eastAsia" w:ascii="宋体" w:hAnsi="宋体"/>
          <w:szCs w:val="21"/>
        </w:rPr>
        <w:t>开展物业管理</w:t>
      </w:r>
      <w:r>
        <w:rPr>
          <w:rFonts w:ascii="宋体" w:hAnsi="宋体"/>
          <w:szCs w:val="21"/>
        </w:rPr>
        <w:t>活动或者</w:t>
      </w:r>
      <w:r>
        <w:rPr>
          <w:rFonts w:hint="eastAsia" w:ascii="宋体" w:hAnsi="宋体"/>
          <w:szCs w:val="21"/>
        </w:rPr>
        <w:t>购买物业</w:t>
      </w:r>
      <w:r>
        <w:rPr>
          <w:rFonts w:ascii="宋体" w:hAnsi="宋体"/>
          <w:szCs w:val="21"/>
        </w:rPr>
        <w:t>服务所发生的</w:t>
      </w:r>
      <w:r>
        <w:rPr>
          <w:rFonts w:hint="eastAsia" w:ascii="宋体" w:hAnsi="宋体"/>
          <w:szCs w:val="21"/>
        </w:rPr>
        <w:t>支出</w:t>
      </w:r>
      <w:r>
        <w:rPr>
          <w:rFonts w:ascii="宋体" w:hAnsi="宋体"/>
          <w:szCs w:val="21"/>
        </w:rPr>
        <w:t>。</w:t>
      </w:r>
    </w:p>
    <w:p>
      <w:pPr>
        <w:spacing w:line="360" w:lineRule="auto"/>
        <w:ind w:firstLine="420"/>
        <w:rPr>
          <w:rFonts w:ascii="宋体" w:hAnsi="宋体"/>
          <w:szCs w:val="21"/>
        </w:rPr>
      </w:pPr>
      <w:r>
        <w:rPr>
          <w:rFonts w:hint="eastAsia" w:ascii="宋体" w:hAnsi="宋体"/>
          <w:szCs w:val="21"/>
        </w:rPr>
        <w:t>2. 车位（库）支出：核算业主大会为维护停车位（库）达到正常可使用状态以获取车位（库）收入所发生的直接支出以及向开发商或其他单位支付的车位（库）收入分成；</w:t>
      </w:r>
    </w:p>
    <w:p>
      <w:pPr>
        <w:spacing w:line="360" w:lineRule="auto"/>
        <w:ind w:firstLine="420"/>
        <w:rPr>
          <w:rFonts w:ascii="宋体" w:hAnsi="宋体"/>
          <w:szCs w:val="21"/>
        </w:rPr>
      </w:pPr>
      <w:r>
        <w:rPr>
          <w:rFonts w:hint="eastAsia" w:ascii="宋体" w:hAnsi="宋体"/>
          <w:szCs w:val="21"/>
        </w:rPr>
        <w:t>3. 共有物业出租支出：核算业主大会为维护共有物业达到正常可使用状态以获取租金收入所发生的直接支出以及向开发商或其他单位支付的租金分成；</w:t>
      </w:r>
    </w:p>
    <w:p>
      <w:pPr>
        <w:spacing w:line="360" w:lineRule="auto"/>
        <w:ind w:firstLine="420"/>
        <w:rPr>
          <w:rFonts w:ascii="宋体" w:hAnsi="宋体"/>
          <w:szCs w:val="21"/>
        </w:rPr>
      </w:pPr>
      <w:r>
        <w:rPr>
          <w:rFonts w:hint="eastAsia" w:ascii="宋体" w:hAnsi="宋体"/>
          <w:szCs w:val="21"/>
        </w:rPr>
        <w:t>4. 公共场地及设备设施支出：核算业主大会为维护公共场地及设备设施达到正常可使用状态以获取出租收入所发生的直接支出以及向开发商或其他单位支付的收入分成；</w:t>
      </w:r>
    </w:p>
    <w:p>
      <w:pPr>
        <w:spacing w:line="360" w:lineRule="auto"/>
        <w:ind w:firstLine="420"/>
        <w:rPr>
          <w:rFonts w:ascii="宋体" w:hAnsi="宋体"/>
          <w:szCs w:val="21"/>
        </w:rPr>
      </w:pPr>
      <w:r>
        <w:rPr>
          <w:rFonts w:hint="eastAsia" w:ascii="宋体" w:hAnsi="宋体"/>
          <w:szCs w:val="21"/>
        </w:rPr>
        <w:t>5. 广告相关支出：核算业主大会为获取广告费收入所发生的直接支出；</w:t>
      </w:r>
    </w:p>
    <w:p>
      <w:pPr>
        <w:spacing w:line="360" w:lineRule="auto"/>
        <w:ind w:firstLine="420"/>
        <w:rPr>
          <w:rFonts w:ascii="宋体" w:hAnsi="宋体"/>
          <w:szCs w:val="21"/>
        </w:rPr>
      </w:pPr>
      <w:r>
        <w:rPr>
          <w:rFonts w:hint="eastAsia" w:ascii="宋体" w:hAnsi="宋体"/>
          <w:szCs w:val="21"/>
        </w:rPr>
        <w:t>6. 水电费支出：核算业主大会基于向物业管理区域收取水电费而向供水、供电部门支付的水电费；</w:t>
      </w:r>
    </w:p>
    <w:p>
      <w:pPr>
        <w:spacing w:line="360" w:lineRule="auto"/>
        <w:ind w:firstLine="480"/>
        <w:rPr>
          <w:rFonts w:ascii="宋体" w:hAnsi="宋体"/>
          <w:szCs w:val="21"/>
        </w:rPr>
      </w:pPr>
      <w:r>
        <w:rPr>
          <w:rFonts w:hint="eastAsia" w:ascii="宋体" w:hAnsi="宋体"/>
          <w:szCs w:val="21"/>
        </w:rPr>
        <w:t>7．税费：核算应由业主大会承担的除企业所得税以外的其他税费，包括：城市维护建设税、教育费附加、地方教育附加、印花税、房产税、土地使用税、车船使用税等。</w:t>
      </w:r>
    </w:p>
    <w:p>
      <w:pPr>
        <w:spacing w:line="360" w:lineRule="auto"/>
        <w:ind w:firstLine="420"/>
        <w:rPr>
          <w:rFonts w:ascii="宋体" w:hAnsi="宋体"/>
          <w:szCs w:val="21"/>
        </w:rPr>
      </w:pPr>
      <w:r>
        <w:rPr>
          <w:rFonts w:hint="eastAsia" w:ascii="宋体" w:hAnsi="宋体"/>
          <w:szCs w:val="21"/>
        </w:rPr>
        <w:t>8. 其他支出：核算业主大会为获取其他收入所发生的直接支出。</w:t>
      </w:r>
    </w:p>
    <w:p>
      <w:pPr>
        <w:spacing w:line="360" w:lineRule="auto"/>
        <w:ind w:firstLine="420"/>
        <w:rPr>
          <w:rFonts w:ascii="宋体" w:hAnsi="宋体"/>
          <w:szCs w:val="21"/>
        </w:rPr>
      </w:pPr>
      <w:r>
        <w:rPr>
          <w:rFonts w:hint="eastAsia" w:ascii="宋体" w:hAnsi="宋体"/>
          <w:szCs w:val="21"/>
        </w:rPr>
        <w:t>（四）“物业服务成本”二级科目应根据成本费用的性质设置“服务总体外包支出、物业服务公司酬金、人员支出、设施运行及维护费、公共能源费、绿化养护费、清洁卫生费、安保费用、折旧摊销费、其他”等三级科目进行明细核算：</w:t>
      </w:r>
    </w:p>
    <w:p>
      <w:pPr>
        <w:spacing w:line="360" w:lineRule="auto"/>
        <w:ind w:firstLine="420"/>
        <w:rPr>
          <w:rFonts w:ascii="宋体" w:hAnsi="宋体"/>
          <w:szCs w:val="21"/>
        </w:rPr>
      </w:pPr>
      <w:r>
        <w:rPr>
          <w:rFonts w:hint="eastAsia" w:ascii="宋体" w:hAnsi="宋体"/>
          <w:szCs w:val="21"/>
        </w:rPr>
        <w:t>1．服务总体外包支出：核算业主大会将本物业管理区域的物业服务以费用总额或定额包干方式支付给物业服务单位的外包支出；</w:t>
      </w:r>
    </w:p>
    <w:p>
      <w:pPr>
        <w:spacing w:line="360" w:lineRule="auto"/>
        <w:ind w:firstLine="420"/>
        <w:rPr>
          <w:rFonts w:ascii="宋体" w:hAnsi="宋体"/>
          <w:szCs w:val="21"/>
        </w:rPr>
      </w:pPr>
      <w:r>
        <w:rPr>
          <w:rFonts w:hint="eastAsia" w:ascii="宋体" w:hAnsi="宋体"/>
          <w:szCs w:val="21"/>
        </w:rPr>
        <w:t>2.物业服务公司酬金：核算业主大会以支付固定报酬、按收入或支出的一定比例向物业服务单位支付报酬等方式支付给物业服务单位的酬金；</w:t>
      </w:r>
    </w:p>
    <w:p>
      <w:pPr>
        <w:spacing w:line="360" w:lineRule="auto"/>
        <w:ind w:firstLine="420"/>
        <w:rPr>
          <w:rFonts w:ascii="宋体" w:hAnsi="宋体"/>
          <w:szCs w:val="21"/>
        </w:rPr>
      </w:pPr>
      <w:r>
        <w:rPr>
          <w:rFonts w:hint="eastAsia" w:ascii="宋体" w:hAnsi="宋体"/>
          <w:szCs w:val="21"/>
        </w:rPr>
        <w:t>3.人员支出：核算业主大会支付的与物业服务相关的人员费用，包括聘用员工、劳务派遣员工等。业主大会可根据情况，设置如下明细科目：</w:t>
      </w:r>
    </w:p>
    <w:p>
      <w:pPr>
        <w:spacing w:line="360" w:lineRule="auto"/>
        <w:ind w:firstLine="420" w:firstLineChars="200"/>
        <w:rPr>
          <w:rFonts w:ascii="宋体" w:hAnsi="宋体"/>
          <w:szCs w:val="21"/>
        </w:rPr>
      </w:pPr>
      <w:r>
        <w:rPr>
          <w:rFonts w:hint="eastAsia" w:ascii="宋体" w:hAnsi="宋体"/>
          <w:szCs w:val="21"/>
        </w:rPr>
        <w:t>（1）工资/奖金：核算相关员工的日常工资和奖金。</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eastAsia="宋体" w:cs="宋体"/>
          <w:color w:val="333333"/>
          <w:kern w:val="0"/>
          <w:sz w:val="20"/>
          <w:szCs w:val="20"/>
        </w:rPr>
        <w:t>津贴/补贴：</w:t>
      </w:r>
      <w:r>
        <w:rPr>
          <w:rFonts w:hint="eastAsia" w:ascii="宋体" w:hAnsi="宋体"/>
          <w:szCs w:val="21"/>
        </w:rPr>
        <w:t>核算相关员工的津贴和补贴。</w:t>
      </w:r>
    </w:p>
    <w:p>
      <w:pPr>
        <w:spacing w:line="360" w:lineRule="auto"/>
        <w:ind w:firstLine="480"/>
        <w:rPr>
          <w:rFonts w:ascii="宋体" w:hAnsi="宋体"/>
          <w:szCs w:val="21"/>
        </w:rPr>
      </w:pPr>
      <w:r>
        <w:rPr>
          <w:rFonts w:hint="eastAsia" w:ascii="宋体" w:hAnsi="宋体"/>
          <w:szCs w:val="21"/>
        </w:rPr>
        <w:t>（3）福利费：核算相关员工的福利费支出。</w:t>
      </w:r>
    </w:p>
    <w:p>
      <w:pPr>
        <w:spacing w:line="360" w:lineRule="auto"/>
        <w:ind w:firstLine="480"/>
        <w:rPr>
          <w:rFonts w:ascii="宋体" w:hAnsi="宋体"/>
          <w:szCs w:val="21"/>
        </w:rPr>
      </w:pPr>
      <w:r>
        <w:rPr>
          <w:rFonts w:hint="eastAsia" w:ascii="宋体" w:hAnsi="宋体"/>
          <w:szCs w:val="21"/>
        </w:rPr>
        <w:t>（4）五险一金：核算相关员工的社会保险金，包括各项保险金、公积金等。</w:t>
      </w:r>
    </w:p>
    <w:p>
      <w:pPr>
        <w:spacing w:line="360" w:lineRule="auto"/>
        <w:ind w:firstLine="480"/>
        <w:rPr>
          <w:rFonts w:ascii="宋体" w:hAnsi="宋体"/>
          <w:szCs w:val="21"/>
        </w:rPr>
      </w:pPr>
      <w:r>
        <w:rPr>
          <w:rFonts w:hint="eastAsia" w:ascii="宋体" w:hAnsi="宋体"/>
          <w:szCs w:val="21"/>
        </w:rPr>
        <w:t>（5）工会经费：核算按标准计提的工会经费。</w:t>
      </w:r>
    </w:p>
    <w:p>
      <w:pPr>
        <w:spacing w:line="360" w:lineRule="auto"/>
        <w:ind w:firstLine="480"/>
        <w:rPr>
          <w:rFonts w:ascii="宋体" w:hAnsi="宋体"/>
          <w:szCs w:val="21"/>
        </w:rPr>
      </w:pPr>
      <w:r>
        <w:rPr>
          <w:rFonts w:hint="eastAsia" w:ascii="宋体" w:hAnsi="宋体"/>
          <w:szCs w:val="21"/>
        </w:rPr>
        <w:t>（6）教育培训经费：核算按标准计提或支付的职工教育经费。</w:t>
      </w:r>
    </w:p>
    <w:p>
      <w:pPr>
        <w:spacing w:line="360" w:lineRule="auto"/>
        <w:ind w:firstLine="480"/>
        <w:rPr>
          <w:rFonts w:ascii="宋体" w:hAnsi="宋体"/>
          <w:szCs w:val="21"/>
        </w:rPr>
      </w:pPr>
      <w:r>
        <w:rPr>
          <w:rFonts w:hint="eastAsia" w:ascii="宋体" w:hAnsi="宋体"/>
          <w:szCs w:val="21"/>
        </w:rPr>
        <w:t>（7）其他：核算支出的与员工有关的其他人工费用。</w:t>
      </w:r>
    </w:p>
    <w:p>
      <w:pPr>
        <w:spacing w:line="360" w:lineRule="auto"/>
        <w:ind w:firstLine="480"/>
        <w:rPr>
          <w:rFonts w:ascii="宋体" w:hAnsi="宋体"/>
          <w:szCs w:val="21"/>
        </w:rPr>
      </w:pPr>
      <w:r>
        <w:rPr>
          <w:rFonts w:hint="eastAsia" w:ascii="宋体" w:hAnsi="宋体"/>
          <w:szCs w:val="21"/>
        </w:rPr>
        <w:t>4</w:t>
      </w:r>
      <w:r>
        <w:rPr>
          <w:rFonts w:hint="eastAsia"/>
          <w:szCs w:val="21"/>
        </w:rPr>
        <w:t>．</w:t>
      </w:r>
      <w:r>
        <w:rPr>
          <w:rFonts w:hint="eastAsia" w:ascii="宋体" w:hAnsi="宋体"/>
          <w:szCs w:val="21"/>
        </w:rPr>
        <w:t>设施运行及维护费：核算业主大会所在小区公用设施设备的运行及维护费用。业主大会可根据情况，设置如下明细科目：</w:t>
      </w:r>
    </w:p>
    <w:p>
      <w:pPr>
        <w:spacing w:line="360" w:lineRule="auto"/>
        <w:ind w:firstLine="480"/>
        <w:rPr>
          <w:rFonts w:ascii="宋体" w:hAnsi="宋体"/>
          <w:szCs w:val="21"/>
        </w:rPr>
      </w:pPr>
      <w:r>
        <w:rPr>
          <w:rFonts w:hint="eastAsia" w:ascii="宋体" w:hAnsi="宋体"/>
          <w:szCs w:val="21"/>
        </w:rPr>
        <w:t>（1）电梯系统：核算与电梯系统相关的设施设备维保费，包括年检费、保养费以及材料费等。</w:t>
      </w:r>
    </w:p>
    <w:p>
      <w:pPr>
        <w:spacing w:line="360" w:lineRule="auto"/>
        <w:ind w:firstLine="480"/>
        <w:rPr>
          <w:rFonts w:ascii="宋体" w:hAnsi="宋体"/>
          <w:szCs w:val="21"/>
        </w:rPr>
      </w:pPr>
      <w:r>
        <w:rPr>
          <w:rFonts w:hint="eastAsia" w:ascii="宋体" w:hAnsi="宋体"/>
          <w:szCs w:val="21"/>
        </w:rPr>
        <w:t>（2）强电系统：核算供配电系统工程改造费以及材料等相关费用。</w:t>
      </w:r>
    </w:p>
    <w:p>
      <w:pPr>
        <w:spacing w:line="360" w:lineRule="auto"/>
        <w:ind w:firstLine="480"/>
        <w:rPr>
          <w:rFonts w:ascii="宋体" w:hAnsi="宋体"/>
          <w:szCs w:val="21"/>
        </w:rPr>
      </w:pPr>
      <w:r>
        <w:rPr>
          <w:rFonts w:hint="eastAsia" w:ascii="宋体" w:hAnsi="宋体"/>
          <w:szCs w:val="21"/>
        </w:rPr>
        <w:t>（3）弱电系统：核算网络系统以及其它智能化设备相关费用。</w:t>
      </w:r>
    </w:p>
    <w:p>
      <w:pPr>
        <w:spacing w:line="360" w:lineRule="auto"/>
        <w:ind w:firstLine="480"/>
        <w:rPr>
          <w:rFonts w:ascii="宋体" w:hAnsi="宋体"/>
          <w:szCs w:val="21"/>
        </w:rPr>
      </w:pPr>
      <w:r>
        <w:rPr>
          <w:rFonts w:hint="eastAsia" w:ascii="宋体" w:hAnsi="宋体"/>
          <w:szCs w:val="21"/>
        </w:rPr>
        <w:t>（4）消防系统：主要用于核算消防设备维护费及材料费。</w:t>
      </w:r>
    </w:p>
    <w:p>
      <w:pPr>
        <w:spacing w:line="360" w:lineRule="auto"/>
        <w:ind w:firstLine="480"/>
        <w:rPr>
          <w:rFonts w:ascii="宋体" w:hAnsi="宋体"/>
          <w:szCs w:val="21"/>
        </w:rPr>
      </w:pPr>
      <w:r>
        <w:rPr>
          <w:rFonts w:hint="eastAsia" w:ascii="宋体" w:hAnsi="宋体"/>
          <w:szCs w:val="21"/>
        </w:rPr>
        <w:t>（5）监控系统：主要用于核算安全监控设备维护费及材料费。</w:t>
      </w:r>
    </w:p>
    <w:p>
      <w:pPr>
        <w:spacing w:line="360" w:lineRule="auto"/>
        <w:ind w:firstLine="480"/>
        <w:rPr>
          <w:rFonts w:ascii="宋体" w:hAnsi="宋体"/>
          <w:szCs w:val="21"/>
        </w:rPr>
      </w:pPr>
      <w:r>
        <w:rPr>
          <w:rFonts w:hint="eastAsia" w:ascii="宋体" w:hAnsi="宋体"/>
          <w:szCs w:val="21"/>
        </w:rPr>
        <w:t>（6）制冷系统：核算制冷设备的维修及保养费用。</w:t>
      </w:r>
    </w:p>
    <w:p>
      <w:pPr>
        <w:spacing w:line="360" w:lineRule="auto"/>
        <w:ind w:firstLine="480"/>
        <w:rPr>
          <w:rFonts w:ascii="宋体" w:hAnsi="宋体"/>
          <w:szCs w:val="21"/>
        </w:rPr>
      </w:pPr>
      <w:r>
        <w:rPr>
          <w:rFonts w:hint="eastAsia" w:ascii="宋体" w:hAnsi="宋体"/>
          <w:szCs w:val="21"/>
        </w:rPr>
        <w:t>（7）暖通系统：核算供暖系统保养费、水处理费以及其它相关费用。</w:t>
      </w:r>
    </w:p>
    <w:p>
      <w:pPr>
        <w:spacing w:line="360" w:lineRule="auto"/>
        <w:ind w:firstLine="480"/>
        <w:rPr>
          <w:rFonts w:ascii="宋体" w:hAnsi="宋体"/>
          <w:szCs w:val="21"/>
        </w:rPr>
      </w:pPr>
      <w:r>
        <w:rPr>
          <w:rFonts w:hint="eastAsia" w:ascii="宋体" w:hAnsi="宋体"/>
          <w:szCs w:val="21"/>
        </w:rPr>
        <w:t>（8）给排水系统：核算用于支付给排水类（包括二次供水设施）的支出，工程改造费以及材料等相关费用。</w:t>
      </w:r>
    </w:p>
    <w:p>
      <w:pPr>
        <w:spacing w:line="360" w:lineRule="auto"/>
        <w:ind w:firstLine="480"/>
        <w:rPr>
          <w:rFonts w:ascii="宋体" w:hAnsi="宋体"/>
          <w:szCs w:val="21"/>
        </w:rPr>
      </w:pPr>
      <w:r>
        <w:rPr>
          <w:rFonts w:hint="eastAsia" w:ascii="宋体" w:hAnsi="宋体"/>
          <w:szCs w:val="21"/>
        </w:rPr>
        <w:t>（9）公共维修材料：核算不能归集到各系统的公共维修材料费用。</w:t>
      </w:r>
    </w:p>
    <w:p>
      <w:pPr>
        <w:spacing w:line="360" w:lineRule="auto"/>
        <w:ind w:firstLine="480"/>
        <w:rPr>
          <w:rFonts w:ascii="宋体" w:hAnsi="宋体"/>
          <w:szCs w:val="21"/>
        </w:rPr>
      </w:pPr>
      <w:r>
        <w:rPr>
          <w:rFonts w:hint="eastAsia" w:ascii="宋体" w:hAnsi="宋体"/>
          <w:szCs w:val="21"/>
        </w:rPr>
        <w:t>（10）土建系统：核算业主大会所在小区土建施工支出的费用。</w:t>
      </w:r>
    </w:p>
    <w:p>
      <w:pPr>
        <w:spacing w:line="360" w:lineRule="auto"/>
        <w:ind w:firstLine="480"/>
        <w:rPr>
          <w:rFonts w:ascii="宋体" w:hAnsi="宋体"/>
          <w:szCs w:val="21"/>
        </w:rPr>
      </w:pPr>
      <w:r>
        <w:rPr>
          <w:rFonts w:hint="eastAsia" w:ascii="宋体" w:hAnsi="宋体"/>
          <w:szCs w:val="21"/>
        </w:rPr>
        <w:t>（11）其他：核算用于支付其他系统设备的维修保养支出。</w:t>
      </w:r>
    </w:p>
    <w:p>
      <w:pPr>
        <w:spacing w:line="360" w:lineRule="auto"/>
        <w:ind w:firstLine="480"/>
        <w:rPr>
          <w:rFonts w:ascii="宋体" w:hAnsi="宋体"/>
          <w:szCs w:val="21"/>
        </w:rPr>
      </w:pPr>
      <w:r>
        <w:rPr>
          <w:rFonts w:hint="eastAsia" w:ascii="宋体" w:hAnsi="宋体"/>
          <w:szCs w:val="21"/>
        </w:rPr>
        <w:t>5.公共能源费：核算业主大会所在小区承担的公用设备设施的公共能源费用支出。业主大会可根据情况，设置如下明细科目：</w:t>
      </w:r>
    </w:p>
    <w:p>
      <w:pPr>
        <w:spacing w:line="360" w:lineRule="auto"/>
        <w:ind w:firstLine="480"/>
        <w:rPr>
          <w:rFonts w:ascii="宋体" w:hAnsi="宋体"/>
          <w:szCs w:val="21"/>
        </w:rPr>
      </w:pPr>
      <w:r>
        <w:rPr>
          <w:rFonts w:hint="eastAsia" w:ascii="宋体" w:hAnsi="宋体"/>
          <w:szCs w:val="21"/>
        </w:rPr>
        <w:t>（1）电费：核算业主大会所在小区承担的公用电费支出。</w:t>
      </w:r>
    </w:p>
    <w:p>
      <w:pPr>
        <w:spacing w:line="360" w:lineRule="auto"/>
        <w:ind w:firstLine="480"/>
        <w:rPr>
          <w:rFonts w:ascii="宋体" w:hAnsi="宋体"/>
          <w:szCs w:val="21"/>
        </w:rPr>
      </w:pPr>
      <w:r>
        <w:rPr>
          <w:rFonts w:hint="eastAsia" w:ascii="宋体" w:hAnsi="宋体"/>
          <w:szCs w:val="21"/>
        </w:rPr>
        <w:t>（2）水费：核算业主大会所在小区承担的公用水费支出。</w:t>
      </w:r>
    </w:p>
    <w:p>
      <w:pPr>
        <w:spacing w:line="360" w:lineRule="auto"/>
        <w:ind w:firstLine="480"/>
        <w:rPr>
          <w:rFonts w:ascii="宋体" w:hAnsi="宋体"/>
          <w:szCs w:val="21"/>
        </w:rPr>
      </w:pPr>
      <w:r>
        <w:rPr>
          <w:rFonts w:hint="eastAsia" w:ascii="宋体" w:hAnsi="宋体"/>
          <w:szCs w:val="21"/>
        </w:rPr>
        <w:t>（3）燃油费：核算业主大会所在小区承担的燃油费用支出。</w:t>
      </w:r>
    </w:p>
    <w:p>
      <w:pPr>
        <w:spacing w:line="360" w:lineRule="auto"/>
        <w:ind w:firstLine="480"/>
        <w:rPr>
          <w:rFonts w:ascii="宋体" w:hAnsi="宋体"/>
          <w:szCs w:val="21"/>
        </w:rPr>
      </w:pPr>
      <w:r>
        <w:rPr>
          <w:rFonts w:hint="eastAsia" w:ascii="宋体" w:hAnsi="宋体"/>
          <w:szCs w:val="21"/>
        </w:rPr>
        <w:t>（4）燃气费：核算业主大会所在小区承担的燃气费用支出。</w:t>
      </w:r>
    </w:p>
    <w:p>
      <w:pPr>
        <w:spacing w:line="360" w:lineRule="auto"/>
        <w:ind w:firstLine="480"/>
        <w:rPr>
          <w:rFonts w:ascii="宋体" w:hAnsi="宋体"/>
          <w:szCs w:val="21"/>
        </w:rPr>
      </w:pPr>
      <w:r>
        <w:rPr>
          <w:rFonts w:hint="eastAsia" w:ascii="宋体" w:hAnsi="宋体"/>
          <w:szCs w:val="21"/>
        </w:rPr>
        <w:t>（5）采暖费：核算业主大会所在小区承担的采暖费用支出。</w:t>
      </w:r>
    </w:p>
    <w:p>
      <w:pPr>
        <w:spacing w:line="360" w:lineRule="auto"/>
        <w:ind w:firstLine="480"/>
        <w:rPr>
          <w:rFonts w:ascii="宋体" w:hAnsi="宋体"/>
          <w:szCs w:val="21"/>
        </w:rPr>
      </w:pPr>
      <w:r>
        <w:rPr>
          <w:rFonts w:hint="eastAsia" w:ascii="宋体" w:hAnsi="宋体"/>
          <w:szCs w:val="21"/>
        </w:rPr>
        <w:t>（6）其他：核算由业主大会所在小区承担除上述公共能源费用之外的其他公共能源费用。设置如下明细科目：</w:t>
      </w:r>
    </w:p>
    <w:p>
      <w:pPr>
        <w:spacing w:line="360" w:lineRule="auto"/>
        <w:ind w:firstLine="480"/>
        <w:rPr>
          <w:rFonts w:ascii="宋体" w:hAnsi="宋体"/>
          <w:szCs w:val="21"/>
        </w:rPr>
      </w:pPr>
      <w:r>
        <w:rPr>
          <w:rFonts w:hint="eastAsia" w:ascii="宋体" w:hAnsi="宋体"/>
          <w:szCs w:val="21"/>
        </w:rPr>
        <w:t>6.绿化养护费：核算绿植、草坪养护所支出的人工及耗材费用，业主大会可根据情况，设置如下明细科目：</w:t>
      </w:r>
    </w:p>
    <w:p>
      <w:pPr>
        <w:spacing w:line="360" w:lineRule="auto"/>
        <w:ind w:firstLine="480"/>
        <w:rPr>
          <w:rFonts w:ascii="宋体" w:hAnsi="宋体"/>
          <w:szCs w:val="21"/>
        </w:rPr>
      </w:pPr>
      <w:r>
        <w:rPr>
          <w:rFonts w:hint="eastAsia" w:ascii="宋体" w:hAnsi="宋体"/>
          <w:szCs w:val="21"/>
        </w:rPr>
        <w:t>（1）绿化外包费用：核算支付给外部单位的绿化外包合同款。</w:t>
      </w:r>
    </w:p>
    <w:p>
      <w:pPr>
        <w:spacing w:line="360" w:lineRule="auto"/>
        <w:ind w:firstLine="480"/>
        <w:rPr>
          <w:rFonts w:ascii="宋体" w:hAnsi="宋体"/>
          <w:szCs w:val="21"/>
        </w:rPr>
      </w:pPr>
      <w:r>
        <w:rPr>
          <w:rFonts w:hint="eastAsia" w:ascii="宋体" w:hAnsi="宋体"/>
          <w:szCs w:val="21"/>
        </w:rPr>
        <w:t>（2）耗材费：核算业主大会自行维护所耗用的绿化用工具及耗材费用等。</w:t>
      </w:r>
    </w:p>
    <w:p>
      <w:pPr>
        <w:spacing w:line="360" w:lineRule="auto"/>
        <w:ind w:firstLine="480"/>
        <w:rPr>
          <w:rFonts w:ascii="宋体" w:hAnsi="宋体"/>
          <w:szCs w:val="21"/>
        </w:rPr>
      </w:pPr>
      <w:r>
        <w:rPr>
          <w:rFonts w:hint="eastAsia" w:ascii="宋体" w:hAnsi="宋体"/>
          <w:szCs w:val="21"/>
        </w:rPr>
        <w:t>（3）农药化肥费：核算绿化养护耗用的农药化肥支出。</w:t>
      </w:r>
    </w:p>
    <w:p>
      <w:pPr>
        <w:spacing w:line="360" w:lineRule="auto"/>
        <w:ind w:firstLine="480"/>
        <w:rPr>
          <w:rFonts w:ascii="宋体" w:hAnsi="宋体"/>
          <w:szCs w:val="21"/>
        </w:rPr>
      </w:pPr>
      <w:r>
        <w:rPr>
          <w:rFonts w:hint="eastAsia" w:ascii="宋体" w:hAnsi="宋体"/>
          <w:szCs w:val="21"/>
        </w:rPr>
        <w:t>（4）补苗费：核算绿化养护补苗费。</w:t>
      </w:r>
    </w:p>
    <w:p>
      <w:pPr>
        <w:spacing w:line="360" w:lineRule="auto"/>
        <w:ind w:firstLine="480"/>
        <w:rPr>
          <w:rFonts w:ascii="宋体" w:hAnsi="宋体"/>
          <w:szCs w:val="21"/>
        </w:rPr>
      </w:pPr>
      <w:r>
        <w:rPr>
          <w:rFonts w:hint="eastAsia" w:ascii="宋体" w:hAnsi="宋体"/>
          <w:szCs w:val="21"/>
        </w:rPr>
        <w:t>（5）花木租摆费：核算花木租摆支出的费用。</w:t>
      </w:r>
    </w:p>
    <w:p>
      <w:pPr>
        <w:spacing w:line="360" w:lineRule="auto"/>
        <w:ind w:firstLine="480"/>
        <w:rPr>
          <w:rFonts w:ascii="宋体" w:hAnsi="宋体"/>
          <w:szCs w:val="21"/>
        </w:rPr>
      </w:pPr>
      <w:r>
        <w:rPr>
          <w:rFonts w:hint="eastAsia" w:ascii="宋体" w:hAnsi="宋体"/>
          <w:szCs w:val="21"/>
        </w:rPr>
        <w:t>（6）其他：核算其他绿化养护费用。</w:t>
      </w:r>
    </w:p>
    <w:p>
      <w:pPr>
        <w:spacing w:line="360" w:lineRule="auto"/>
        <w:ind w:firstLine="480"/>
        <w:rPr>
          <w:rFonts w:ascii="宋体" w:hAnsi="宋体"/>
          <w:szCs w:val="21"/>
        </w:rPr>
      </w:pPr>
      <w:r>
        <w:rPr>
          <w:rFonts w:hint="eastAsia" w:ascii="宋体" w:hAnsi="宋体"/>
          <w:szCs w:val="21"/>
        </w:rPr>
        <w:t>7.清洁卫生费:</w:t>
      </w:r>
      <w:r>
        <w:rPr>
          <w:rFonts w:hint="eastAsia"/>
          <w:szCs w:val="21"/>
        </w:rPr>
        <w:t xml:space="preserve"> </w:t>
      </w:r>
      <w:r>
        <w:rPr>
          <w:rFonts w:hint="eastAsia" w:ascii="宋体" w:hAnsi="宋体"/>
          <w:szCs w:val="21"/>
        </w:rPr>
        <w:t>核算清洁卫生支出的人工及耗材费用。业主大会可根据情况，设置如下明细科目：</w:t>
      </w:r>
    </w:p>
    <w:p>
      <w:pPr>
        <w:spacing w:line="360" w:lineRule="auto"/>
        <w:ind w:firstLine="480"/>
        <w:rPr>
          <w:rFonts w:ascii="宋体" w:hAnsi="宋体"/>
          <w:szCs w:val="21"/>
        </w:rPr>
      </w:pPr>
      <w:r>
        <w:rPr>
          <w:rFonts w:hint="eastAsia" w:ascii="宋体" w:hAnsi="宋体"/>
          <w:szCs w:val="21"/>
        </w:rPr>
        <w:t>（1）保洁外包费用：核算支付给外部单位的保洁外包合同款。</w:t>
      </w:r>
    </w:p>
    <w:p>
      <w:pPr>
        <w:spacing w:line="360" w:lineRule="auto"/>
        <w:ind w:firstLine="480"/>
        <w:rPr>
          <w:rFonts w:ascii="宋体" w:hAnsi="宋体"/>
          <w:szCs w:val="21"/>
        </w:rPr>
      </w:pPr>
      <w:r>
        <w:rPr>
          <w:rFonts w:hint="eastAsia" w:ascii="宋体" w:hAnsi="宋体"/>
          <w:szCs w:val="21"/>
        </w:rPr>
        <w:t>（2）耗材费：核算支付的保洁类耗材费，如纸品、洗手液等清洁耗材费。</w:t>
      </w:r>
    </w:p>
    <w:p>
      <w:pPr>
        <w:spacing w:line="360" w:lineRule="auto"/>
        <w:ind w:firstLine="480"/>
        <w:rPr>
          <w:rFonts w:ascii="宋体" w:hAnsi="宋体"/>
          <w:szCs w:val="21"/>
        </w:rPr>
      </w:pPr>
      <w:r>
        <w:rPr>
          <w:rFonts w:hint="eastAsia" w:ascii="宋体" w:hAnsi="宋体"/>
          <w:szCs w:val="21"/>
        </w:rPr>
        <w:t>（3）消杀费：核算消毒杀虫等费用支出。</w:t>
      </w:r>
    </w:p>
    <w:p>
      <w:pPr>
        <w:spacing w:line="360" w:lineRule="auto"/>
        <w:ind w:firstLine="480"/>
        <w:rPr>
          <w:rFonts w:ascii="宋体" w:hAnsi="宋体"/>
          <w:szCs w:val="21"/>
        </w:rPr>
      </w:pPr>
      <w:r>
        <w:rPr>
          <w:rFonts w:hint="eastAsia" w:ascii="宋体" w:hAnsi="宋体"/>
          <w:szCs w:val="21"/>
        </w:rPr>
        <w:t>（4）垃圾清运：核算由业主大会所在小区承担的垃圾清运费用。</w:t>
      </w:r>
    </w:p>
    <w:p>
      <w:pPr>
        <w:spacing w:line="360" w:lineRule="auto"/>
        <w:ind w:firstLine="480"/>
        <w:rPr>
          <w:rFonts w:ascii="宋体" w:hAnsi="宋体"/>
          <w:szCs w:val="21"/>
        </w:rPr>
      </w:pPr>
      <w:r>
        <w:rPr>
          <w:rFonts w:hint="eastAsia" w:ascii="宋体" w:hAnsi="宋体"/>
          <w:szCs w:val="21"/>
        </w:rPr>
        <w:t>（5）清理化粪池、疏通管道：核算清理化粪池及疏通下水管道费用支出。</w:t>
      </w:r>
    </w:p>
    <w:p>
      <w:pPr>
        <w:spacing w:line="360" w:lineRule="auto"/>
        <w:ind w:firstLine="480"/>
        <w:rPr>
          <w:rFonts w:ascii="宋体" w:hAnsi="宋体"/>
          <w:szCs w:val="21"/>
        </w:rPr>
      </w:pPr>
      <w:r>
        <w:rPr>
          <w:rFonts w:hint="eastAsia" w:ascii="宋体" w:hAnsi="宋体"/>
          <w:szCs w:val="21"/>
        </w:rPr>
        <w:t>（6）外墙清洗费：核算外墙清洗支出的人工费用、设备租赁费及清洗耗材。</w:t>
      </w:r>
    </w:p>
    <w:p>
      <w:pPr>
        <w:spacing w:line="360" w:lineRule="auto"/>
        <w:ind w:firstLine="480"/>
        <w:rPr>
          <w:rFonts w:ascii="宋体" w:hAnsi="宋体"/>
          <w:szCs w:val="21"/>
        </w:rPr>
      </w:pPr>
      <w:r>
        <w:rPr>
          <w:rFonts w:hint="eastAsia" w:ascii="宋体" w:hAnsi="宋体"/>
          <w:szCs w:val="21"/>
        </w:rPr>
        <w:t>（7）地面保养费：核算地面保养支出，如打蜡，镜面等保养。</w:t>
      </w:r>
    </w:p>
    <w:p>
      <w:pPr>
        <w:spacing w:line="360" w:lineRule="auto"/>
        <w:ind w:firstLine="480"/>
        <w:rPr>
          <w:rFonts w:ascii="宋体" w:hAnsi="宋体"/>
          <w:szCs w:val="21"/>
        </w:rPr>
      </w:pPr>
      <w:r>
        <w:rPr>
          <w:rFonts w:hint="eastAsia" w:ascii="宋体" w:hAnsi="宋体"/>
          <w:szCs w:val="21"/>
        </w:rPr>
        <w:t>（8）其他清洁卫生费：核算除以上各项之外的其他保洁支出。</w:t>
      </w:r>
    </w:p>
    <w:p>
      <w:pPr>
        <w:spacing w:line="360" w:lineRule="auto"/>
        <w:ind w:firstLine="480"/>
        <w:rPr>
          <w:rFonts w:ascii="宋体" w:hAnsi="宋体"/>
          <w:szCs w:val="21"/>
        </w:rPr>
      </w:pPr>
      <w:r>
        <w:rPr>
          <w:rFonts w:hint="eastAsia" w:ascii="宋体" w:hAnsi="宋体"/>
          <w:szCs w:val="21"/>
        </w:rPr>
        <w:t>8.安保费用:</w:t>
      </w:r>
      <w:r>
        <w:rPr>
          <w:rFonts w:hint="eastAsia"/>
          <w:szCs w:val="21"/>
        </w:rPr>
        <w:t xml:space="preserve"> </w:t>
      </w:r>
      <w:r>
        <w:rPr>
          <w:rFonts w:hint="eastAsia" w:ascii="宋体" w:hAnsi="宋体"/>
          <w:szCs w:val="21"/>
        </w:rPr>
        <w:t>核算安保外包及日常耗材支出。根据业主大会的情况，设置如下明细科目：</w:t>
      </w:r>
    </w:p>
    <w:p>
      <w:pPr>
        <w:spacing w:line="360" w:lineRule="auto"/>
        <w:ind w:firstLine="480"/>
        <w:rPr>
          <w:rFonts w:ascii="宋体" w:hAnsi="宋体"/>
          <w:szCs w:val="21"/>
        </w:rPr>
      </w:pPr>
      <w:r>
        <w:rPr>
          <w:rFonts w:hint="eastAsia" w:ascii="宋体" w:hAnsi="宋体"/>
          <w:szCs w:val="21"/>
        </w:rPr>
        <w:t>（1）安保外包费用：核算支付给外部单位的安保外包合同款。</w:t>
      </w:r>
    </w:p>
    <w:p>
      <w:pPr>
        <w:spacing w:line="360" w:lineRule="auto"/>
        <w:ind w:firstLine="480"/>
        <w:rPr>
          <w:rFonts w:ascii="宋体" w:hAnsi="宋体"/>
          <w:szCs w:val="21"/>
        </w:rPr>
      </w:pPr>
      <w:r>
        <w:rPr>
          <w:rFonts w:hint="eastAsia" w:ascii="宋体" w:hAnsi="宋体"/>
          <w:szCs w:val="21"/>
        </w:rPr>
        <w:t>（2）日常消耗品：核算安保耗材费，如雨伞袋、塑封卡、鞋套等。</w:t>
      </w:r>
    </w:p>
    <w:p>
      <w:pPr>
        <w:spacing w:line="360" w:lineRule="auto"/>
        <w:ind w:firstLine="480"/>
        <w:rPr>
          <w:rFonts w:ascii="宋体" w:hAnsi="宋体"/>
          <w:szCs w:val="21"/>
        </w:rPr>
      </w:pPr>
      <w:r>
        <w:rPr>
          <w:rFonts w:hint="eastAsia" w:ascii="宋体" w:hAnsi="宋体"/>
          <w:szCs w:val="21"/>
        </w:rPr>
        <w:t>（3）消防器材换\修费：核算消防器材购买耗材及维修的相关费用。</w:t>
      </w:r>
    </w:p>
    <w:p>
      <w:pPr>
        <w:spacing w:line="360" w:lineRule="auto"/>
        <w:ind w:firstLine="480"/>
        <w:rPr>
          <w:rFonts w:ascii="宋体" w:hAnsi="宋体"/>
          <w:szCs w:val="21"/>
        </w:rPr>
      </w:pPr>
      <w:r>
        <w:rPr>
          <w:rFonts w:hint="eastAsia" w:ascii="宋体" w:hAnsi="宋体"/>
          <w:szCs w:val="21"/>
        </w:rPr>
        <w:t>（4）消防演习\培训费：核算消防演习及安全培训费用支出。</w:t>
      </w:r>
    </w:p>
    <w:p>
      <w:pPr>
        <w:spacing w:line="360" w:lineRule="auto"/>
        <w:ind w:firstLine="480"/>
        <w:rPr>
          <w:rFonts w:ascii="宋体" w:hAnsi="宋体"/>
          <w:szCs w:val="21"/>
        </w:rPr>
      </w:pPr>
      <w:r>
        <w:rPr>
          <w:rFonts w:hint="eastAsia" w:ascii="宋体" w:hAnsi="宋体"/>
          <w:szCs w:val="21"/>
        </w:rPr>
        <w:t>（5）交通标识：核算交通标识及标线的制作费用支出。</w:t>
      </w:r>
    </w:p>
    <w:p>
      <w:pPr>
        <w:spacing w:line="360" w:lineRule="auto"/>
        <w:ind w:firstLine="480"/>
        <w:rPr>
          <w:rFonts w:ascii="宋体" w:hAnsi="宋体"/>
          <w:szCs w:val="21"/>
        </w:rPr>
      </w:pPr>
      <w:r>
        <w:rPr>
          <w:rFonts w:hint="eastAsia" w:ascii="宋体" w:hAnsi="宋体"/>
          <w:szCs w:val="21"/>
        </w:rPr>
        <w:t>（6）防台防汛防涝费：核算防台风、防汛、防涝购买耗材支出。</w:t>
      </w:r>
    </w:p>
    <w:p>
      <w:pPr>
        <w:spacing w:line="360" w:lineRule="auto"/>
        <w:ind w:firstLine="480"/>
        <w:rPr>
          <w:rFonts w:ascii="宋体" w:hAnsi="宋体"/>
          <w:szCs w:val="21"/>
        </w:rPr>
      </w:pPr>
      <w:r>
        <w:rPr>
          <w:rFonts w:hint="eastAsia" w:ascii="宋体" w:hAnsi="宋体"/>
          <w:szCs w:val="21"/>
        </w:rPr>
        <w:t>（7）宿舍费用：核算安保类职员租赁宿舍产生的租金及购买配套设施的费用。</w:t>
      </w:r>
    </w:p>
    <w:p>
      <w:pPr>
        <w:spacing w:line="360" w:lineRule="auto"/>
        <w:ind w:firstLine="480"/>
        <w:rPr>
          <w:rFonts w:ascii="宋体" w:hAnsi="宋体"/>
          <w:szCs w:val="21"/>
        </w:rPr>
      </w:pPr>
      <w:r>
        <w:rPr>
          <w:rFonts w:hint="eastAsia" w:ascii="宋体" w:hAnsi="宋体"/>
          <w:szCs w:val="21"/>
        </w:rPr>
        <w:t>（8）其他：核算其他为安全保障而发生的费用。</w:t>
      </w:r>
    </w:p>
    <w:p>
      <w:pPr>
        <w:spacing w:line="360" w:lineRule="auto"/>
        <w:ind w:firstLine="480"/>
        <w:rPr>
          <w:rFonts w:ascii="宋体" w:hAnsi="宋体"/>
          <w:szCs w:val="21"/>
        </w:rPr>
      </w:pPr>
      <w:r>
        <w:rPr>
          <w:rFonts w:hint="eastAsia" w:ascii="宋体" w:hAnsi="宋体"/>
          <w:szCs w:val="21"/>
        </w:rPr>
        <w:t>9.折旧摊销费:</w:t>
      </w:r>
      <w:r>
        <w:rPr>
          <w:rFonts w:hint="eastAsia"/>
          <w:szCs w:val="21"/>
        </w:rPr>
        <w:t xml:space="preserve"> </w:t>
      </w:r>
      <w:r>
        <w:rPr>
          <w:rFonts w:hint="eastAsia" w:ascii="宋体" w:hAnsi="宋体"/>
          <w:szCs w:val="21"/>
        </w:rPr>
        <w:t>核算业主大会除办公以外的固定资产和无形资产计提的折旧费和无形资产摊销。</w:t>
      </w:r>
    </w:p>
    <w:p>
      <w:pPr>
        <w:spacing w:line="360" w:lineRule="auto"/>
        <w:ind w:firstLine="480"/>
        <w:rPr>
          <w:rFonts w:ascii="宋体" w:hAnsi="宋体"/>
          <w:szCs w:val="21"/>
        </w:rPr>
      </w:pPr>
      <w:r>
        <w:rPr>
          <w:rFonts w:hint="eastAsia" w:ascii="宋体" w:hAnsi="宋体"/>
          <w:szCs w:val="21"/>
        </w:rPr>
        <w:t>10.其他：核算业主大会除上述事项以外的其他业务活动成本。</w:t>
      </w:r>
    </w:p>
    <w:p>
      <w:pPr>
        <w:spacing w:line="360" w:lineRule="auto"/>
        <w:ind w:firstLine="480"/>
        <w:rPr>
          <w:rFonts w:ascii="宋体" w:hAnsi="宋体"/>
          <w:szCs w:val="21"/>
        </w:rPr>
      </w:pPr>
      <w:r>
        <w:rPr>
          <w:rFonts w:hint="eastAsia" w:ascii="宋体" w:hAnsi="宋体"/>
          <w:szCs w:val="21"/>
        </w:rPr>
        <w:t>（五）</w:t>
      </w:r>
      <w:r>
        <w:rPr>
          <w:rFonts w:ascii="宋体" w:hAnsi="宋体"/>
          <w:szCs w:val="21"/>
        </w:rPr>
        <w:t xml:space="preserve">业务活动成本的主要账务处理如下：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发生的业务活动成本，借记本科目，贷记“现金”、“银行存款”、“存货”、“应付账款”等科目。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期末，将本科目的余额转入非限定性净资产，借记“非限定性净资产</w:t>
      </w:r>
      <w:r>
        <w:rPr>
          <w:rFonts w:hint="eastAsia" w:ascii="宋体" w:hAnsi="宋体"/>
          <w:szCs w:val="21"/>
        </w:rPr>
        <w:t>-非专项资金净资产</w:t>
      </w:r>
      <w:r>
        <w:rPr>
          <w:rFonts w:ascii="宋体" w:hAnsi="宋体"/>
          <w:szCs w:val="21"/>
        </w:rPr>
        <w:t xml:space="preserve">”科目，贷记本科目。 </w:t>
      </w:r>
    </w:p>
    <w:p>
      <w:pPr>
        <w:spacing w:line="360" w:lineRule="auto"/>
        <w:ind w:firstLine="480"/>
        <w:rPr>
          <w:rFonts w:ascii="宋体" w:hAnsi="宋体"/>
          <w:szCs w:val="21"/>
        </w:rPr>
      </w:pPr>
      <w:r>
        <w:rPr>
          <w:rFonts w:hint="eastAsia" w:ascii="宋体" w:hAnsi="宋体"/>
          <w:szCs w:val="21"/>
        </w:rPr>
        <w:t>（六）期末结转后，本科目应无余额。</w:t>
      </w:r>
    </w:p>
    <w:p>
      <w:pPr>
        <w:spacing w:line="360" w:lineRule="auto"/>
        <w:ind w:firstLine="465"/>
        <w:rPr>
          <w:rFonts w:ascii="宋体" w:hAnsi="宋体"/>
          <w:b/>
          <w:szCs w:val="21"/>
        </w:rPr>
      </w:pPr>
      <w:r>
        <w:rPr>
          <w:rFonts w:ascii="宋体" w:hAnsi="宋体"/>
          <w:b/>
          <w:szCs w:val="21"/>
        </w:rPr>
        <w:t>三十</w:t>
      </w:r>
      <w:r>
        <w:rPr>
          <w:rFonts w:hint="eastAsia" w:ascii="宋体" w:hAnsi="宋体"/>
          <w:b/>
          <w:szCs w:val="21"/>
        </w:rPr>
        <w:t>、</w:t>
      </w:r>
      <w:r>
        <w:rPr>
          <w:rFonts w:ascii="宋体" w:hAnsi="宋体"/>
          <w:b/>
          <w:szCs w:val="21"/>
        </w:rPr>
        <w:t>5201管理费用</w:t>
      </w:r>
    </w:p>
    <w:p>
      <w:pPr>
        <w:spacing w:line="360" w:lineRule="auto"/>
        <w:ind w:firstLine="480"/>
        <w:rPr>
          <w:rFonts w:ascii="宋体" w:hAnsi="宋体"/>
          <w:szCs w:val="21"/>
        </w:rPr>
      </w:pPr>
      <w:r>
        <w:rPr>
          <w:rFonts w:hint="eastAsia" w:ascii="宋体" w:hAnsi="宋体"/>
          <w:szCs w:val="21"/>
        </w:rPr>
        <w:t>（一）本科目核算业主大会为组织和管理其业务活动所发生的各项费用。</w:t>
      </w:r>
    </w:p>
    <w:p>
      <w:pPr>
        <w:spacing w:line="360" w:lineRule="auto"/>
        <w:ind w:firstLine="480"/>
        <w:rPr>
          <w:rFonts w:ascii="宋体" w:hAnsi="宋体"/>
          <w:szCs w:val="21"/>
        </w:rPr>
      </w:pPr>
      <w:r>
        <w:rPr>
          <w:rFonts w:hint="eastAsia" w:ascii="宋体" w:hAnsi="宋体"/>
          <w:szCs w:val="21"/>
        </w:rPr>
        <w:t>（二）业主大会发生的管理费用，应当在发生时按其发生额计入当期费用。</w:t>
      </w:r>
    </w:p>
    <w:p>
      <w:pPr>
        <w:spacing w:line="360" w:lineRule="auto"/>
        <w:ind w:firstLine="480"/>
        <w:rPr>
          <w:rFonts w:ascii="宋体" w:hAnsi="宋体"/>
          <w:szCs w:val="21"/>
        </w:rPr>
      </w:pPr>
      <w:r>
        <w:rPr>
          <w:rFonts w:hint="eastAsia" w:ascii="宋体" w:hAnsi="宋体"/>
          <w:szCs w:val="21"/>
        </w:rPr>
        <w:t>（三）本科目应当按照管理费用种类设置明细账，进行明细核算，一般情况下，设置如下二级明细科目：</w:t>
      </w:r>
    </w:p>
    <w:p>
      <w:pPr>
        <w:spacing w:line="360" w:lineRule="auto"/>
        <w:ind w:firstLine="480"/>
        <w:rPr>
          <w:rFonts w:ascii="宋体" w:hAnsi="宋体"/>
          <w:szCs w:val="21"/>
        </w:rPr>
      </w:pPr>
      <w:r>
        <w:rPr>
          <w:rFonts w:hint="eastAsia" w:ascii="宋体" w:hAnsi="宋体"/>
          <w:szCs w:val="21"/>
        </w:rPr>
        <w:t>1.人员支出：核算业主大会管理人员或业委会成员的费用，包括聘用员工、劳务派遣员工等。根据业主大会的情况，设置如下明细科目：</w:t>
      </w:r>
    </w:p>
    <w:p>
      <w:pPr>
        <w:spacing w:line="360" w:lineRule="auto"/>
        <w:ind w:firstLine="480"/>
        <w:rPr>
          <w:rFonts w:ascii="宋体" w:hAnsi="宋体"/>
          <w:szCs w:val="21"/>
        </w:rPr>
      </w:pPr>
      <w:r>
        <w:rPr>
          <w:rFonts w:hint="eastAsia" w:ascii="宋体" w:hAnsi="宋体"/>
          <w:szCs w:val="21"/>
        </w:rPr>
        <w:t>（1）工资/奖金：核算相关员工的日常工资和奖金。</w:t>
      </w:r>
    </w:p>
    <w:p>
      <w:pPr>
        <w:spacing w:line="360" w:lineRule="auto"/>
        <w:ind w:firstLine="480"/>
        <w:rPr>
          <w:rFonts w:ascii="宋体" w:hAnsi="宋体"/>
          <w:szCs w:val="21"/>
        </w:rPr>
      </w:pPr>
      <w:r>
        <w:rPr>
          <w:rFonts w:hint="eastAsia" w:ascii="宋体" w:hAnsi="宋体"/>
          <w:szCs w:val="21"/>
        </w:rPr>
        <w:t>（2）津贴/补贴：核算相关员工的津贴和补贴。</w:t>
      </w:r>
    </w:p>
    <w:p>
      <w:pPr>
        <w:spacing w:line="360" w:lineRule="auto"/>
        <w:ind w:firstLine="480"/>
        <w:rPr>
          <w:rFonts w:ascii="宋体" w:hAnsi="宋体"/>
          <w:szCs w:val="21"/>
        </w:rPr>
      </w:pPr>
      <w:r>
        <w:rPr>
          <w:rFonts w:hint="eastAsia" w:ascii="宋体" w:hAnsi="宋体"/>
          <w:szCs w:val="21"/>
        </w:rPr>
        <w:t>（3）福利费：核算相关员工的福利费支出。</w:t>
      </w:r>
    </w:p>
    <w:p>
      <w:pPr>
        <w:spacing w:line="360" w:lineRule="auto"/>
        <w:ind w:firstLine="480"/>
        <w:rPr>
          <w:rFonts w:ascii="宋体" w:hAnsi="宋体"/>
          <w:szCs w:val="21"/>
        </w:rPr>
      </w:pPr>
      <w:r>
        <w:rPr>
          <w:rFonts w:hint="eastAsia" w:ascii="宋体" w:hAnsi="宋体"/>
          <w:szCs w:val="21"/>
        </w:rPr>
        <w:t>（4）五险一金：核算相关员工的社会保险金，包括各项保险金、公积金等。</w:t>
      </w:r>
    </w:p>
    <w:p>
      <w:pPr>
        <w:spacing w:line="360" w:lineRule="auto"/>
        <w:ind w:firstLine="480"/>
        <w:rPr>
          <w:rFonts w:ascii="宋体" w:hAnsi="宋体"/>
          <w:szCs w:val="21"/>
        </w:rPr>
      </w:pPr>
      <w:r>
        <w:rPr>
          <w:rFonts w:hint="eastAsia" w:ascii="宋体" w:hAnsi="宋体"/>
          <w:szCs w:val="21"/>
        </w:rPr>
        <w:t>（5）工会经费：核算发生的工会经费。</w:t>
      </w:r>
    </w:p>
    <w:p>
      <w:pPr>
        <w:spacing w:line="360" w:lineRule="auto"/>
        <w:ind w:firstLine="480"/>
        <w:rPr>
          <w:rFonts w:ascii="宋体" w:hAnsi="宋体"/>
          <w:szCs w:val="21"/>
        </w:rPr>
      </w:pPr>
      <w:r>
        <w:rPr>
          <w:rFonts w:hint="eastAsia" w:ascii="宋体" w:hAnsi="宋体"/>
          <w:szCs w:val="21"/>
        </w:rPr>
        <w:t>（6）教育培训经费：核算发生的职工教育经费。</w:t>
      </w:r>
    </w:p>
    <w:p>
      <w:pPr>
        <w:spacing w:line="360" w:lineRule="auto"/>
        <w:ind w:firstLine="480"/>
        <w:rPr>
          <w:rFonts w:ascii="宋体" w:hAnsi="宋体"/>
          <w:szCs w:val="21"/>
        </w:rPr>
      </w:pPr>
      <w:r>
        <w:rPr>
          <w:rFonts w:hint="eastAsia" w:ascii="宋体" w:hAnsi="宋体"/>
          <w:szCs w:val="21"/>
        </w:rPr>
        <w:t>（7）其他：核算支出的与员工有关的其他人工费用。</w:t>
      </w:r>
    </w:p>
    <w:p>
      <w:pPr>
        <w:spacing w:line="360" w:lineRule="auto"/>
        <w:ind w:firstLine="480"/>
        <w:rPr>
          <w:rFonts w:ascii="宋体" w:hAnsi="宋体"/>
          <w:szCs w:val="21"/>
        </w:rPr>
      </w:pPr>
      <w:r>
        <w:rPr>
          <w:rFonts w:hint="eastAsia" w:ascii="宋体" w:hAnsi="宋体"/>
          <w:szCs w:val="21"/>
        </w:rPr>
        <w:t>2.业委会津贴：核算业主大会支付给业委会成员的各种津贴、补贴。</w:t>
      </w:r>
    </w:p>
    <w:p>
      <w:pPr>
        <w:spacing w:line="360" w:lineRule="auto"/>
        <w:ind w:firstLine="480"/>
        <w:rPr>
          <w:rFonts w:ascii="宋体" w:hAnsi="宋体"/>
          <w:szCs w:val="21"/>
        </w:rPr>
      </w:pPr>
      <w:r>
        <w:rPr>
          <w:rFonts w:hint="eastAsia" w:ascii="宋体" w:hAnsi="宋体"/>
          <w:szCs w:val="21"/>
        </w:rPr>
        <w:t>3.办公费：核算业主大会日常发生</w:t>
      </w:r>
      <w:r>
        <w:rPr>
          <w:rFonts w:ascii="宋体" w:hAnsi="宋体"/>
          <w:szCs w:val="21"/>
        </w:rPr>
        <w:t>的</w:t>
      </w:r>
      <w:r>
        <w:fldChar w:fldCharType="begin"/>
      </w:r>
      <w:r>
        <w:instrText xml:space="preserve">HYPERLINK "https://baike.baidu.com/item/æå·/9427471" \t "_blank" </w:instrText>
      </w:r>
      <w:r>
        <w:fldChar w:fldCharType="separate"/>
      </w:r>
      <w:r>
        <w:rPr>
          <w:rFonts w:ascii="宋体" w:hAnsi="宋体"/>
          <w:szCs w:val="21"/>
        </w:rPr>
        <w:t>文具</w:t>
      </w:r>
      <w:r>
        <w:fldChar w:fldCharType="end"/>
      </w:r>
      <w:r>
        <w:rPr>
          <w:rFonts w:ascii="宋体" w:hAnsi="宋体"/>
          <w:szCs w:val="21"/>
        </w:rPr>
        <w:t>、</w:t>
      </w:r>
      <w:r>
        <w:fldChar w:fldCharType="begin"/>
      </w:r>
      <w:r>
        <w:instrText xml:space="preserve">HYPERLINK "https://baike.baidu.com/item/å°å·/368780" \t "_blank" </w:instrText>
      </w:r>
      <w:r>
        <w:fldChar w:fldCharType="separate"/>
      </w:r>
      <w:r>
        <w:rPr>
          <w:rFonts w:ascii="宋体" w:hAnsi="宋体"/>
          <w:szCs w:val="21"/>
        </w:rPr>
        <w:t>印刷</w:t>
      </w:r>
      <w:r>
        <w:fldChar w:fldCharType="end"/>
      </w:r>
      <w:r>
        <w:rPr>
          <w:rFonts w:ascii="宋体" w:hAnsi="宋体"/>
          <w:szCs w:val="21"/>
        </w:rPr>
        <w:t>、</w:t>
      </w:r>
      <w:r>
        <w:fldChar w:fldCharType="begin"/>
      </w:r>
      <w:r>
        <w:instrText xml:space="preserve">HYPERLINK "https://baike.baidu.com/item/é®çµ/7254476" \t "_blank" </w:instrText>
      </w:r>
      <w:r>
        <w:fldChar w:fldCharType="separate"/>
      </w:r>
      <w:r>
        <w:rPr>
          <w:rFonts w:ascii="宋体" w:hAnsi="宋体"/>
          <w:szCs w:val="21"/>
        </w:rPr>
        <w:t>邮电</w:t>
      </w:r>
      <w:r>
        <w:fldChar w:fldCharType="end"/>
      </w:r>
      <w:r>
        <w:rPr>
          <w:rFonts w:ascii="宋体" w:hAnsi="宋体"/>
          <w:szCs w:val="21"/>
        </w:rPr>
        <w:t>、办公用品及</w:t>
      </w:r>
      <w:r>
        <w:fldChar w:fldCharType="begin"/>
      </w:r>
      <w:r>
        <w:instrText xml:space="preserve">HYPERLINK "https://baike.baidu.com/item/æ¥å/2851057" \t "_blank" </w:instrText>
      </w:r>
      <w:r>
        <w:fldChar w:fldCharType="separate"/>
      </w:r>
      <w:r>
        <w:rPr>
          <w:rFonts w:ascii="宋体" w:hAnsi="宋体"/>
          <w:szCs w:val="21"/>
        </w:rPr>
        <w:t>报刊</w:t>
      </w:r>
      <w:r>
        <w:fldChar w:fldCharType="end"/>
      </w:r>
      <w:r>
        <w:rPr>
          <w:rFonts w:ascii="宋体" w:hAnsi="宋体"/>
          <w:szCs w:val="21"/>
        </w:rPr>
        <w:t>杂志等办公</w:t>
      </w:r>
      <w:r>
        <w:fldChar w:fldCharType="begin"/>
      </w:r>
      <w:r>
        <w:instrText xml:space="preserve">HYPERLINK "https://baike.baidu.com/item/è´¹ç¨/9277833" \t "_blank" </w:instrText>
      </w:r>
      <w:r>
        <w:fldChar w:fldCharType="separate"/>
      </w:r>
      <w:r>
        <w:rPr>
          <w:rFonts w:ascii="宋体" w:hAnsi="宋体"/>
          <w:szCs w:val="21"/>
        </w:rPr>
        <w:t>费用</w:t>
      </w:r>
      <w:r>
        <w:fldChar w:fldCharType="end"/>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4.交通差旅费：核算业主大会因公报销的市内交通费（主要为公交车、出租车费等）和报销的外地差旅费（主要为住宿费、外地交通费、餐费补贴等）</w:t>
      </w:r>
    </w:p>
    <w:p>
      <w:pPr>
        <w:spacing w:line="360" w:lineRule="auto"/>
        <w:ind w:firstLine="480"/>
        <w:rPr>
          <w:rFonts w:ascii="宋体" w:hAnsi="宋体"/>
          <w:szCs w:val="21"/>
        </w:rPr>
      </w:pPr>
      <w:r>
        <w:rPr>
          <w:rFonts w:hint="eastAsia" w:ascii="宋体" w:hAnsi="宋体"/>
          <w:szCs w:val="21"/>
        </w:rPr>
        <w:t>5.党建工作经费：核算业主大会与党建工作相关的经费。</w:t>
      </w:r>
    </w:p>
    <w:p>
      <w:pPr>
        <w:spacing w:line="360" w:lineRule="auto"/>
        <w:ind w:firstLine="480"/>
        <w:rPr>
          <w:rFonts w:ascii="宋体" w:hAnsi="宋体"/>
          <w:szCs w:val="21"/>
        </w:rPr>
      </w:pPr>
      <w:r>
        <w:rPr>
          <w:rFonts w:hint="eastAsia" w:ascii="宋体" w:hAnsi="宋体"/>
          <w:szCs w:val="21"/>
        </w:rPr>
        <w:t>6.水电费：核算业主大会办公室水电费用支出。</w:t>
      </w:r>
    </w:p>
    <w:p>
      <w:pPr>
        <w:spacing w:line="360" w:lineRule="auto"/>
        <w:ind w:firstLine="480"/>
        <w:rPr>
          <w:rFonts w:ascii="宋体" w:hAnsi="宋体"/>
          <w:szCs w:val="21"/>
        </w:rPr>
      </w:pPr>
      <w:r>
        <w:rPr>
          <w:rFonts w:hint="eastAsia" w:ascii="宋体" w:hAnsi="宋体"/>
          <w:szCs w:val="21"/>
        </w:rPr>
        <w:t>7.业务招待费：核算业主大会各项因公招待费用，该项明严格按业主大会制定的标准或制度执行。</w:t>
      </w:r>
    </w:p>
    <w:p>
      <w:pPr>
        <w:spacing w:line="360" w:lineRule="auto"/>
        <w:ind w:firstLine="480"/>
        <w:rPr>
          <w:rFonts w:ascii="宋体" w:hAnsi="宋体"/>
          <w:szCs w:val="21"/>
        </w:rPr>
      </w:pPr>
      <w:r>
        <w:rPr>
          <w:rFonts w:hint="eastAsia" w:ascii="宋体" w:hAnsi="宋体"/>
          <w:szCs w:val="21"/>
        </w:rPr>
        <w:t>8.折旧摊销：核算业主大会办公用固定资产和无形资产的折旧和摊销费用。</w:t>
      </w:r>
    </w:p>
    <w:p>
      <w:pPr>
        <w:spacing w:line="360" w:lineRule="auto"/>
        <w:ind w:firstLine="480"/>
        <w:rPr>
          <w:rFonts w:ascii="宋体" w:hAnsi="宋体"/>
          <w:szCs w:val="21"/>
        </w:rPr>
      </w:pPr>
      <w:r>
        <w:rPr>
          <w:rFonts w:hint="eastAsia" w:ascii="宋体" w:hAnsi="宋体"/>
          <w:szCs w:val="21"/>
        </w:rPr>
        <w:t>9.会议费：核算业主大会召开各类会议所发生的费用；</w:t>
      </w:r>
    </w:p>
    <w:p>
      <w:pPr>
        <w:spacing w:line="360" w:lineRule="auto"/>
        <w:ind w:firstLine="480"/>
        <w:rPr>
          <w:rFonts w:ascii="宋体" w:hAnsi="宋体"/>
          <w:szCs w:val="21"/>
        </w:rPr>
      </w:pPr>
      <w:r>
        <w:rPr>
          <w:rFonts w:hint="eastAsia" w:ascii="宋体" w:hAnsi="宋体"/>
          <w:szCs w:val="21"/>
        </w:rPr>
        <w:t>10．其他：核算上述明细以外的其他管理费用。</w:t>
      </w:r>
    </w:p>
    <w:p>
      <w:pPr>
        <w:spacing w:line="360" w:lineRule="auto"/>
        <w:ind w:firstLine="480"/>
        <w:rPr>
          <w:rFonts w:ascii="宋体" w:hAnsi="宋体"/>
          <w:szCs w:val="21"/>
        </w:rPr>
      </w:pPr>
      <w:r>
        <w:rPr>
          <w:rFonts w:hint="eastAsia" w:ascii="宋体" w:hAnsi="宋体"/>
          <w:szCs w:val="21"/>
        </w:rPr>
        <w:t>（四）</w:t>
      </w:r>
      <w:r>
        <w:rPr>
          <w:rFonts w:ascii="宋体" w:hAnsi="宋体"/>
          <w:szCs w:val="21"/>
        </w:rPr>
        <w:t>管理费用的主要账务处理如下</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现金、存货、固定资产等盘亏，根据管理权限报经批准后，按照相关资产账面价值扣除可以收回的保险赔偿和过失人的赔偿等后的金额，借记本科目，按照可以收回的保险赔偿和过失人赔偿等，借记“现金”、“银行存款”、“其他应收款”等科目，按照已提取的累计折旧，借记“累计折旧”科目，按照相关资产的账面余额，贷记相关资产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 xml:space="preserve">对于因提取资产减值准备而确认的资产减值损失，借记本科目，贷记相关资产减值准备科目。冲减或转回资产减值准备，借记相关资产减值准备科目，贷记本科目。 </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提取行政管理用固定资产折旧，借记本科目，贷记“累计折旧”科目。 </w:t>
      </w:r>
    </w:p>
    <w:p>
      <w:pPr>
        <w:spacing w:line="360" w:lineRule="auto"/>
        <w:ind w:firstLine="480"/>
        <w:rPr>
          <w:rFonts w:ascii="宋体" w:hAnsi="宋体"/>
          <w:szCs w:val="21"/>
        </w:rPr>
      </w:pPr>
      <w:r>
        <w:rPr>
          <w:rFonts w:hint="eastAsia" w:ascii="宋体" w:hAnsi="宋体"/>
          <w:szCs w:val="21"/>
        </w:rPr>
        <w:t>4.</w:t>
      </w:r>
      <w:r>
        <w:rPr>
          <w:rFonts w:ascii="宋体" w:hAnsi="宋体"/>
          <w:szCs w:val="21"/>
        </w:rPr>
        <w:t>无形资产摊销时，借记本科目，贷记“</w:t>
      </w:r>
      <w:r>
        <w:rPr>
          <w:rFonts w:hint="eastAsia" w:ascii="宋体" w:hAnsi="宋体"/>
          <w:szCs w:val="21"/>
        </w:rPr>
        <w:t>累计推销</w:t>
      </w:r>
      <w:r>
        <w:rPr>
          <w:rFonts w:ascii="宋体" w:hAnsi="宋体"/>
          <w:szCs w:val="21"/>
        </w:rPr>
        <w:t xml:space="preserve">”科目。 </w:t>
      </w:r>
    </w:p>
    <w:p>
      <w:pPr>
        <w:spacing w:line="360" w:lineRule="auto"/>
        <w:ind w:firstLine="480"/>
        <w:rPr>
          <w:rFonts w:ascii="宋体" w:hAnsi="宋体"/>
          <w:szCs w:val="21"/>
        </w:rPr>
      </w:pPr>
      <w:r>
        <w:rPr>
          <w:rFonts w:hint="eastAsia" w:ascii="宋体" w:hAnsi="宋体"/>
          <w:szCs w:val="21"/>
        </w:rPr>
        <w:t>5.</w:t>
      </w:r>
      <w:r>
        <w:rPr>
          <w:rFonts w:ascii="宋体" w:hAnsi="宋体"/>
          <w:szCs w:val="21"/>
        </w:rPr>
        <w:t xml:space="preserve">发生的应归属于管理费用的应付工资、应交税金等，借记本科目，贷记“应付工资”、“应交税金”等科目。 </w:t>
      </w:r>
    </w:p>
    <w:p>
      <w:pPr>
        <w:spacing w:line="360" w:lineRule="auto"/>
        <w:ind w:firstLine="480"/>
        <w:rPr>
          <w:rFonts w:ascii="宋体" w:hAnsi="宋体"/>
          <w:szCs w:val="21"/>
        </w:rPr>
      </w:pPr>
      <w:r>
        <w:rPr>
          <w:rFonts w:hint="eastAsia" w:ascii="宋体" w:hAnsi="宋体"/>
          <w:szCs w:val="21"/>
        </w:rPr>
        <w:t>6.</w:t>
      </w:r>
      <w:r>
        <w:rPr>
          <w:rFonts w:ascii="宋体" w:hAnsi="宋体"/>
          <w:szCs w:val="21"/>
        </w:rPr>
        <w:t xml:space="preserve">对于因确认预计负债而确认的损失，借记本科目，贷记“预计负债”科目。 </w:t>
      </w:r>
    </w:p>
    <w:p>
      <w:pPr>
        <w:spacing w:line="360" w:lineRule="auto"/>
        <w:ind w:firstLine="480"/>
        <w:rPr>
          <w:rFonts w:ascii="宋体" w:hAnsi="宋体"/>
          <w:szCs w:val="21"/>
        </w:rPr>
      </w:pPr>
      <w:r>
        <w:rPr>
          <w:rFonts w:hint="eastAsia" w:ascii="宋体" w:hAnsi="宋体"/>
          <w:szCs w:val="21"/>
        </w:rPr>
        <w:t>7.</w:t>
      </w:r>
      <w:r>
        <w:rPr>
          <w:rFonts w:ascii="宋体" w:hAnsi="宋体"/>
          <w:szCs w:val="21"/>
        </w:rPr>
        <w:t xml:space="preserve">发生的其他管理费用，借记本科目，贷记“现金”、“银行存款”等科目。 </w:t>
      </w:r>
    </w:p>
    <w:p>
      <w:pPr>
        <w:spacing w:line="360" w:lineRule="auto"/>
        <w:ind w:firstLine="480"/>
        <w:rPr>
          <w:rFonts w:ascii="宋体" w:hAnsi="宋体"/>
          <w:szCs w:val="21"/>
        </w:rPr>
      </w:pPr>
      <w:r>
        <w:rPr>
          <w:rFonts w:hint="eastAsia" w:ascii="宋体" w:hAnsi="宋体"/>
          <w:szCs w:val="21"/>
        </w:rPr>
        <w:t>8.</w:t>
      </w:r>
      <w:r>
        <w:rPr>
          <w:rFonts w:ascii="宋体" w:hAnsi="宋体"/>
          <w:szCs w:val="21"/>
        </w:rPr>
        <w:t>期末，将本科目的余额转入</w:t>
      </w:r>
      <w:r>
        <w:rPr>
          <w:rFonts w:hint="eastAsia" w:ascii="宋体" w:hAnsi="宋体"/>
          <w:szCs w:val="21"/>
        </w:rPr>
        <w:t>共有资金结余</w:t>
      </w:r>
      <w:r>
        <w:rPr>
          <w:rFonts w:ascii="宋体" w:hAnsi="宋体"/>
          <w:szCs w:val="21"/>
        </w:rPr>
        <w:t>，借记本科目，贷记“</w:t>
      </w:r>
      <w:r>
        <w:rPr>
          <w:rFonts w:hint="eastAsia" w:ascii="宋体" w:hAnsi="宋体"/>
          <w:szCs w:val="21"/>
        </w:rPr>
        <w:t>非限定性净资产-非专项资金净资产</w:t>
      </w:r>
      <w:r>
        <w:rPr>
          <w:rFonts w:ascii="宋体" w:hAnsi="宋体"/>
          <w:szCs w:val="21"/>
        </w:rPr>
        <w:t xml:space="preserve">”科目。 </w:t>
      </w:r>
    </w:p>
    <w:p>
      <w:pPr>
        <w:spacing w:line="360" w:lineRule="auto"/>
        <w:ind w:firstLine="480"/>
        <w:rPr>
          <w:rFonts w:ascii="宋体" w:hAnsi="宋体"/>
          <w:szCs w:val="21"/>
        </w:rPr>
      </w:pPr>
      <w:r>
        <w:rPr>
          <w:rFonts w:hint="eastAsia" w:ascii="宋体" w:hAnsi="宋体"/>
          <w:szCs w:val="21"/>
        </w:rPr>
        <w:t>（五）期末结转后，本科目应无余额。</w:t>
      </w:r>
    </w:p>
    <w:p>
      <w:pPr>
        <w:spacing w:line="360" w:lineRule="auto"/>
        <w:rPr>
          <w:rFonts w:ascii="宋体" w:hAnsi="宋体"/>
          <w:b/>
          <w:szCs w:val="21"/>
        </w:rPr>
      </w:pPr>
      <w:r>
        <w:rPr>
          <w:rFonts w:hint="eastAsia" w:ascii="宋体" w:hAnsi="宋体"/>
          <w:szCs w:val="21"/>
        </w:rPr>
        <w:t>　　</w:t>
      </w:r>
      <w:r>
        <w:rPr>
          <w:rFonts w:hint="eastAsia" w:ascii="宋体" w:hAnsi="宋体"/>
          <w:b/>
          <w:szCs w:val="21"/>
        </w:rPr>
        <w:t>三十一、</w:t>
      </w:r>
      <w:r>
        <w:rPr>
          <w:rFonts w:ascii="宋体" w:hAnsi="宋体"/>
          <w:b/>
          <w:szCs w:val="21"/>
        </w:rPr>
        <w:t>5401其他费用</w:t>
      </w:r>
    </w:p>
    <w:p>
      <w:pPr>
        <w:spacing w:line="360" w:lineRule="auto"/>
        <w:ind w:firstLine="480"/>
        <w:rPr>
          <w:rFonts w:ascii="宋体" w:hAnsi="宋体"/>
          <w:szCs w:val="21"/>
        </w:rPr>
      </w:pPr>
      <w:r>
        <w:rPr>
          <w:rFonts w:hint="eastAsia" w:ascii="宋体" w:hAnsi="宋体"/>
          <w:szCs w:val="21"/>
        </w:rPr>
        <w:t>（一）本科目核算业主大会发生的、无法归属到上述业务活动成本、管理费用中的费用。</w:t>
      </w:r>
    </w:p>
    <w:p>
      <w:pPr>
        <w:spacing w:line="360" w:lineRule="auto"/>
        <w:ind w:firstLine="480"/>
        <w:rPr>
          <w:rFonts w:ascii="宋体" w:hAnsi="宋体"/>
          <w:szCs w:val="21"/>
        </w:rPr>
      </w:pPr>
      <w:r>
        <w:rPr>
          <w:rFonts w:hint="eastAsia" w:ascii="宋体" w:hAnsi="宋体"/>
          <w:szCs w:val="21"/>
        </w:rPr>
        <w:t>（二）业主大会发生的其他费用，应当在发生时按其发生额计入当期费用。</w:t>
      </w:r>
    </w:p>
    <w:p>
      <w:pPr>
        <w:spacing w:line="360" w:lineRule="auto"/>
        <w:ind w:firstLine="480"/>
        <w:rPr>
          <w:rFonts w:ascii="宋体" w:hAnsi="宋体"/>
          <w:szCs w:val="21"/>
        </w:rPr>
      </w:pPr>
      <w:r>
        <w:rPr>
          <w:rFonts w:hint="eastAsia" w:ascii="宋体" w:hAnsi="宋体"/>
          <w:szCs w:val="21"/>
        </w:rPr>
        <w:t>（三）本科目应当按照费用种类设置明细账，进行明细核算。进行明细核算，一般情况下，设置如下二级明细科目：</w:t>
      </w:r>
    </w:p>
    <w:p>
      <w:pPr>
        <w:spacing w:line="360" w:lineRule="auto"/>
        <w:ind w:firstLine="480"/>
        <w:rPr>
          <w:rFonts w:ascii="宋体" w:hAnsi="宋体"/>
          <w:szCs w:val="21"/>
        </w:rPr>
      </w:pPr>
      <w:r>
        <w:rPr>
          <w:rFonts w:hint="eastAsia" w:ascii="宋体" w:hAnsi="宋体"/>
          <w:szCs w:val="21"/>
        </w:rPr>
        <w:t>1.金融手续费：核算非物业专项维修资金银行账户和其他货币资金产生的手续业。</w:t>
      </w:r>
    </w:p>
    <w:p>
      <w:pPr>
        <w:spacing w:line="360" w:lineRule="auto"/>
        <w:ind w:firstLine="480"/>
        <w:rPr>
          <w:rFonts w:ascii="宋体" w:hAnsi="宋体"/>
          <w:szCs w:val="21"/>
        </w:rPr>
      </w:pPr>
      <w:r>
        <w:rPr>
          <w:rFonts w:hint="eastAsia" w:ascii="宋体" w:hAnsi="宋体"/>
          <w:szCs w:val="21"/>
        </w:rPr>
        <w:t>2.捐赠支出：核算经业主大会权力机构决议产生的捐赠支出。</w:t>
      </w:r>
    </w:p>
    <w:p>
      <w:pPr>
        <w:spacing w:line="360" w:lineRule="auto"/>
        <w:ind w:firstLine="480"/>
        <w:rPr>
          <w:rFonts w:ascii="宋体" w:hAnsi="宋体"/>
          <w:szCs w:val="21"/>
        </w:rPr>
      </w:pPr>
      <w:r>
        <w:rPr>
          <w:rFonts w:hint="eastAsia" w:ascii="宋体" w:hAnsi="宋体"/>
          <w:szCs w:val="21"/>
        </w:rPr>
        <w:t>3.企业所得税：核算应有业主大会承担的企业所得税。</w:t>
      </w:r>
    </w:p>
    <w:p>
      <w:pPr>
        <w:spacing w:line="360" w:lineRule="auto"/>
        <w:ind w:firstLine="480"/>
        <w:rPr>
          <w:rFonts w:ascii="宋体" w:hAnsi="宋体"/>
          <w:szCs w:val="21"/>
        </w:rPr>
      </w:pPr>
      <w:r>
        <w:rPr>
          <w:rFonts w:hint="eastAsia" w:ascii="宋体" w:hAnsi="宋体"/>
          <w:szCs w:val="21"/>
        </w:rPr>
        <w:t>4.其他：核算除上述明细以外的其他费用。</w:t>
      </w:r>
    </w:p>
    <w:p>
      <w:pPr>
        <w:spacing w:line="360" w:lineRule="auto"/>
        <w:ind w:firstLine="480"/>
        <w:rPr>
          <w:rFonts w:ascii="宋体" w:hAnsi="宋体"/>
          <w:szCs w:val="21"/>
        </w:rPr>
      </w:pPr>
      <w:r>
        <w:rPr>
          <w:rFonts w:hint="eastAsia" w:ascii="宋体" w:hAnsi="宋体"/>
          <w:szCs w:val="21"/>
        </w:rPr>
        <w:t>（四）</w:t>
      </w:r>
      <w:r>
        <w:rPr>
          <w:rFonts w:ascii="宋体" w:hAnsi="宋体"/>
          <w:szCs w:val="21"/>
        </w:rPr>
        <w:t xml:space="preserve">其他费用的主要账务处理如下：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发生的固定资产处置净损失，借记本科目，贷记“固定资产清理”科目。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发生的无形资产处置净损失，按照实际取得的价款，借记“银行存款”等科目，按照该项无形资产的账面余额，贷记“无形资产”科目，按照其差额，借记本科目。</w:t>
      </w:r>
    </w:p>
    <w:p>
      <w:pPr>
        <w:spacing w:line="360" w:lineRule="auto"/>
        <w:ind w:firstLine="480"/>
        <w:rPr>
          <w:rFonts w:ascii="宋体" w:hAnsi="宋体"/>
          <w:szCs w:val="21"/>
        </w:rPr>
      </w:pPr>
      <w:r>
        <w:rPr>
          <w:rFonts w:hint="eastAsia" w:ascii="宋体" w:hAnsi="宋体"/>
          <w:szCs w:val="21"/>
        </w:rPr>
        <w:t>3.发生的其他支出，借记本科目，贷记“现金”、“银行存款”等科目。</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期末，将本科目的余额转入非限定性净资产，借记“非限定性净资产”科目，贷记本科目。 </w:t>
      </w:r>
    </w:p>
    <w:p>
      <w:pPr>
        <w:spacing w:line="360" w:lineRule="auto"/>
        <w:ind w:firstLine="480"/>
        <w:rPr>
          <w:rFonts w:ascii="宋体" w:hAnsi="宋体"/>
          <w:szCs w:val="21"/>
        </w:rPr>
      </w:pPr>
      <w:r>
        <w:rPr>
          <w:rFonts w:hint="eastAsia" w:ascii="宋体" w:hAnsi="宋体"/>
          <w:szCs w:val="21"/>
        </w:rPr>
        <w:t>（五）期末结转后，本科目应无余额。</w:t>
      </w:r>
      <w:r>
        <w:rPr>
          <w:rFonts w:ascii="宋体" w:hAnsi="宋体"/>
          <w:szCs w:val="21"/>
        </w:rPr>
        <w:br w:type="page"/>
      </w:r>
    </w:p>
    <w:p>
      <w:pPr>
        <w:spacing w:line="360" w:lineRule="auto"/>
        <w:ind w:firstLine="480"/>
        <w:jc w:val="center"/>
        <w:rPr>
          <w:rFonts w:ascii="宋体" w:hAnsi="宋体"/>
          <w:szCs w:val="21"/>
        </w:rPr>
      </w:pPr>
    </w:p>
    <w:p>
      <w:pPr>
        <w:pStyle w:val="2"/>
        <w:spacing w:before="0" w:after="0" w:line="360" w:lineRule="auto"/>
        <w:jc w:val="center"/>
        <w:rPr>
          <w:sz w:val="36"/>
        </w:rPr>
      </w:pPr>
      <w:bookmarkStart w:id="18" w:name="_Toc15388362"/>
      <w:r>
        <w:rPr>
          <w:rFonts w:hint="eastAsia"/>
          <w:sz w:val="36"/>
        </w:rPr>
        <w:t>第三部分</w:t>
      </w:r>
      <w:r>
        <w:rPr>
          <w:sz w:val="36"/>
        </w:rPr>
        <w:t xml:space="preserve"> </w:t>
      </w:r>
      <w:r>
        <w:rPr>
          <w:rFonts w:hint="eastAsia"/>
          <w:sz w:val="36"/>
        </w:rPr>
        <w:t xml:space="preserve"> 会计报表编制说明</w:t>
      </w:r>
      <w:bookmarkEnd w:id="18"/>
    </w:p>
    <w:p>
      <w:pPr>
        <w:spacing w:line="360" w:lineRule="auto"/>
        <w:ind w:firstLine="480"/>
        <w:jc w:val="center"/>
        <w:rPr>
          <w:rFonts w:ascii="宋体" w:hAnsi="宋体"/>
          <w:b/>
          <w:sz w:val="36"/>
          <w:szCs w:val="24"/>
        </w:rPr>
      </w:pPr>
    </w:p>
    <w:p>
      <w:pPr>
        <w:pStyle w:val="3"/>
        <w:spacing w:before="0" w:after="0" w:line="360" w:lineRule="auto"/>
        <w:jc w:val="center"/>
        <w:rPr>
          <w:sz w:val="24"/>
        </w:rPr>
      </w:pPr>
      <w:bookmarkStart w:id="19" w:name="_Toc15388363"/>
      <w:r>
        <w:rPr>
          <w:rFonts w:hint="eastAsia"/>
          <w:sz w:val="24"/>
        </w:rPr>
        <w:t>第一章</w:t>
      </w:r>
      <w:r>
        <w:rPr>
          <w:sz w:val="24"/>
        </w:rPr>
        <w:t xml:space="preserve">  </w:t>
      </w:r>
      <w:r>
        <w:rPr>
          <w:rFonts w:hint="eastAsia"/>
          <w:sz w:val="24"/>
        </w:rPr>
        <w:t>资产负债表编制说明</w:t>
      </w:r>
      <w:bookmarkEnd w:id="19"/>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一、本表反映业主大会某一会计期末全部资产、负债和净资产的情况。</w:t>
      </w:r>
    </w:p>
    <w:p>
      <w:pPr>
        <w:spacing w:line="360" w:lineRule="auto"/>
        <w:rPr>
          <w:rFonts w:ascii="宋体" w:hAnsi="宋体"/>
          <w:szCs w:val="21"/>
        </w:rPr>
      </w:pPr>
      <w:r>
        <w:rPr>
          <w:rFonts w:hint="eastAsia" w:ascii="宋体" w:hAnsi="宋体"/>
          <w:szCs w:val="21"/>
        </w:rPr>
        <w:t>　　二、本表“年初数”栏内各项数字，应当根据上年年末资产负债表“期末数”栏内数字填列。如果本年度资产负债表规定的各个项目的名称和内容同上年度不相一致，应对上年年末资产负债表各项目的名称和数字按照本年度的规定进行调整，填入本表“年初数”栏内。</w:t>
      </w:r>
    </w:p>
    <w:p>
      <w:pPr>
        <w:spacing w:line="360" w:lineRule="auto"/>
        <w:rPr>
          <w:rFonts w:ascii="宋体" w:hAnsi="宋体"/>
          <w:szCs w:val="21"/>
        </w:rPr>
      </w:pPr>
      <w:r>
        <w:rPr>
          <w:rFonts w:hint="eastAsia" w:ascii="宋体" w:hAnsi="宋体"/>
          <w:szCs w:val="21"/>
        </w:rPr>
        <w:t xml:space="preserve">    三、本说明主要对业主大会常用的资产负债表项目的编制进行说明，未尽内容可参见《民间非营利组织会计制度——会计科目和会计报表》（财会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四、本表“期末数”各项目的内容和填列方法：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（一）“货币资金”项目</w:t>
      </w:r>
      <w:r>
        <w:rPr>
          <w:rFonts w:hint="eastAsia" w:ascii="宋体" w:hAnsi="宋体"/>
          <w:szCs w:val="21"/>
        </w:rPr>
        <w:t>，反映业主大会期末库存现金、存放银行的各类款项以及其他货币资金的合计数。本项目应当根据“现金”、“银行存款”、“其他货币资金”科目的期末余额合计填列。如果业主大会的受托代理资产为现金、银行存款或其他货币资金且通过“现金”、“银行存款”、“其他货币资金”科目核算，还应当扣减“现金”、“银行存款”、“其他货币资金”科目中“受托代理资产”明细科目的期末余额。</w:t>
      </w:r>
    </w:p>
    <w:p>
      <w:pPr>
        <w:spacing w:line="360" w:lineRule="auto"/>
        <w:rPr>
          <w:rFonts w:ascii="宋体" w:hAnsi="宋体"/>
          <w:szCs w:val="21"/>
        </w:rPr>
      </w:pPr>
      <w:r>
        <w:rPr>
          <w:rFonts w:hint="eastAsia" w:ascii="宋体" w:hAnsi="宋体"/>
          <w:szCs w:val="21"/>
        </w:rPr>
        <w:t>　　</w:t>
      </w:r>
      <w:r>
        <w:rPr>
          <w:rFonts w:hint="eastAsia" w:ascii="宋体" w:hAnsi="宋体"/>
          <w:b/>
          <w:szCs w:val="21"/>
        </w:rPr>
        <w:t>（二）“应收款项”项目</w:t>
      </w:r>
      <w:r>
        <w:rPr>
          <w:rFonts w:hint="eastAsia" w:ascii="宋体" w:hAnsi="宋体"/>
          <w:szCs w:val="21"/>
        </w:rPr>
        <w:t>，反映业主大会期末应收账款和其他应收款等应收未收款项。本项目应当根据 “应收账款”、“其他应收款”科目的期末余额合计，减去“坏账准备”科目的期末余额后的金额填列。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（三）“预付账款”项目</w:t>
      </w:r>
      <w:r>
        <w:rPr>
          <w:rFonts w:hint="eastAsia" w:ascii="宋体" w:hAnsi="宋体"/>
          <w:szCs w:val="21"/>
        </w:rPr>
        <w:t>，反映业主大会期末预付给商品或者服务供应单位等的款项。本项目应当根据“预付账款”科目的期末余额填列。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（四）“存货”项目，</w:t>
      </w:r>
      <w:r>
        <w:rPr>
          <w:rFonts w:hint="eastAsia" w:ascii="宋体" w:hAnsi="宋体"/>
          <w:szCs w:val="21"/>
        </w:rPr>
        <w:t>反映业主大会在日常业务活动中持有以备提供服务或日常管理过程中耗用的材料、物资、商品等。本项目应当根据“存货”科目的期末余额，减去“存货跌价准备”科目的期末余额后的金额填列。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（五）“待摊费用”项目</w:t>
      </w:r>
      <w:r>
        <w:rPr>
          <w:rFonts w:hint="eastAsia" w:ascii="宋体" w:hAnsi="宋体"/>
          <w:szCs w:val="21"/>
        </w:rPr>
        <w:t>，反映业主大会已经支出，但应当由本期和以后各期分别负担的、分摊期在1年以内（含1年）的各项费用，如预付保险费、预付租金等。本项目应当根据“待摊费用”科目的期末余额填列。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（六）“固定资产”项目</w:t>
      </w:r>
      <w:r>
        <w:rPr>
          <w:rFonts w:hint="eastAsia" w:ascii="宋体" w:hAnsi="宋体"/>
          <w:szCs w:val="21"/>
        </w:rPr>
        <w:t>，反映业主大会的各项固定资产的账面价值。本项目应当根据“固定资产”科目的期末余额，减去“累计折旧”科目的期末余额后的金额填列。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（七）“在建工程”项目，</w:t>
      </w:r>
      <w:r>
        <w:rPr>
          <w:rFonts w:hint="eastAsia" w:ascii="宋体" w:hAnsi="宋体"/>
          <w:szCs w:val="21"/>
        </w:rPr>
        <w:t>反映业主大会期末各项未完工程的实际支出，包括交付安装的设备价值、已耗用的材料、工资和费用支出、预付出包工程的价款等。本项目应当根据“在建工程”科目的期末余额填列。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（八）“文物文化资产”项目</w:t>
      </w:r>
      <w:r>
        <w:rPr>
          <w:rFonts w:hint="eastAsia" w:ascii="宋体" w:hAnsi="宋体"/>
          <w:szCs w:val="21"/>
        </w:rPr>
        <w:t>，反映业主大会用于展览、教育或研究等目的的历史文物、艺术品以及其他具有文化或者历史价值并作长期或者永久保存的典藏等。本项目应当根据“文物文化资产”科目的期末借方余额填列。</w:t>
      </w:r>
    </w:p>
    <w:p>
      <w:pPr>
        <w:spacing w:line="360" w:lineRule="auto"/>
        <w:rPr>
          <w:rFonts w:ascii="宋体" w:hAnsi="宋体"/>
          <w:szCs w:val="21"/>
        </w:rPr>
      </w:pPr>
      <w:r>
        <w:rPr>
          <w:rFonts w:hint="eastAsia" w:ascii="宋体" w:hAnsi="宋体"/>
          <w:b/>
          <w:szCs w:val="21"/>
        </w:rPr>
        <w:t>　　（九）“固定资产清理”项目</w:t>
      </w:r>
      <w:r>
        <w:rPr>
          <w:rFonts w:hint="eastAsia" w:ascii="宋体" w:hAnsi="宋体"/>
          <w:szCs w:val="21"/>
        </w:rPr>
        <w:t>，反映业主大会因出售、毁损、报废等原因转入清理但尚未清理完毕的固定资产的账面价值，以及固定资产清理过程中发生的清理费用和变价收入等各项金额的差额。本项目应当根据“固定资产清理”科目的期末借方余额填列；如果“固定资产清理”科目期末为贷方余额，则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（十）“无形资产”项目</w:t>
      </w:r>
      <w:r>
        <w:rPr>
          <w:rFonts w:hint="eastAsia" w:ascii="宋体" w:hAnsi="宋体"/>
          <w:szCs w:val="21"/>
        </w:rPr>
        <w:t>，反映业主大会拥有的为开展业务活动、出租给他人或为管理目的而持有的没有实物形态的非货币性长期资产，包括专利权、非专利技术、商标权、著作权、土地使用权、软件等。本项目应当根据“无形资产”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（十一）“受托代理资产”项目</w:t>
      </w:r>
      <w:r>
        <w:rPr>
          <w:rFonts w:hint="eastAsia" w:ascii="宋体" w:hAnsi="宋体"/>
          <w:szCs w:val="21"/>
        </w:rPr>
        <w:t>，反映业主大会接受委托方委托从事受托代理业务而收到的资产。本项目应当根据“受托代理资产”科目的期末余额填列。如果业主大会的受托代理资产为现金、银行存款或其他货币资金且通过“现金”、“银行存款”、“其他货币资金”科目核算，还应当加上“现金”、“银行存款”、“其他货币资金”科目中“受托代理资产”明细科目的期末余额。</w:t>
      </w:r>
    </w:p>
    <w:p>
      <w:pPr>
        <w:spacing w:line="360" w:lineRule="auto"/>
        <w:rPr>
          <w:rFonts w:ascii="宋体" w:hAnsi="宋体"/>
          <w:szCs w:val="21"/>
        </w:rPr>
      </w:pPr>
      <w:r>
        <w:rPr>
          <w:rFonts w:hint="eastAsia" w:ascii="宋体" w:hAnsi="宋体"/>
          <w:szCs w:val="21"/>
        </w:rPr>
        <w:t>　　</w:t>
      </w:r>
      <w:r>
        <w:rPr>
          <w:rFonts w:hint="eastAsia" w:ascii="宋体" w:hAnsi="宋体"/>
          <w:b/>
          <w:szCs w:val="21"/>
        </w:rPr>
        <w:t>（十二）“应付款项”项目</w:t>
      </w:r>
      <w:r>
        <w:rPr>
          <w:rFonts w:hint="eastAsia" w:ascii="宋体" w:hAnsi="宋体"/>
          <w:szCs w:val="21"/>
        </w:rPr>
        <w:t>，反映业主大会期末应付账款和其他应付款等应付未付款项。本项目应当根据 “应付账款”、“其他应付款”科目的期末余额合计填列。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（十三）“应付工资”项目</w:t>
      </w:r>
      <w:r>
        <w:rPr>
          <w:rFonts w:hint="eastAsia" w:ascii="宋体" w:hAnsi="宋体"/>
          <w:szCs w:val="21"/>
        </w:rPr>
        <w:t>，反映业主大会应付未付的员工工资。本项目应当根据“应付工资”科目的期末贷方余额填列；如果“应付工资”科目期末为借方余额，以“－”号填列。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（十四）“应交税金”项目，</w:t>
      </w:r>
      <w:r>
        <w:rPr>
          <w:rFonts w:hint="eastAsia" w:ascii="宋体" w:hAnsi="宋体"/>
          <w:szCs w:val="21"/>
        </w:rPr>
        <w:t>反映业主大会应交未交的各种税费。本项目应当根据“应交税金”科目的期末贷方余额填列；如果“应交税金”科目期末为借方余额，则以“－”号填列。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（十五）“预收账款”项目，</w:t>
      </w:r>
      <w:r>
        <w:rPr>
          <w:rFonts w:hint="eastAsia" w:ascii="宋体" w:hAnsi="宋体"/>
          <w:szCs w:val="21"/>
        </w:rPr>
        <w:t>反映业主大会向服务和商品购买单位等预收的各种款项。本项目应当根据“预收账款”科目的期末余额填列。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（十六）“预提费用”项目，</w:t>
      </w:r>
      <w:r>
        <w:rPr>
          <w:rFonts w:hint="eastAsia" w:ascii="宋体" w:hAnsi="宋体"/>
          <w:szCs w:val="21"/>
        </w:rPr>
        <w:t>反映业主大会预先提取的已经发生但尚未实际支付的各项费用。本项目应当根据“预提费用”科目的期末贷方余额填列。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（十七）“受托代理负债”项目，</w:t>
      </w:r>
      <w:r>
        <w:rPr>
          <w:rFonts w:hint="eastAsia" w:ascii="宋体" w:hAnsi="宋体"/>
          <w:szCs w:val="21"/>
        </w:rPr>
        <w:t>反映业主大会因从事受托代理业务、接受受托代理资产而产生的负债。本项目应当根据“受托代理负债”科目的期末余额填列。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（十八）“非限定性净资产”项目，</w:t>
      </w:r>
      <w:r>
        <w:rPr>
          <w:rFonts w:hint="eastAsia" w:ascii="宋体" w:hAnsi="宋体"/>
          <w:szCs w:val="21"/>
        </w:rPr>
        <w:t>反映业主大会拥有的非限定性净资产期末余额。本项目应当根据“非限定性净资产”科目的期末余额填列。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（十九）“限定性净资产”项目，</w:t>
      </w:r>
      <w:r>
        <w:rPr>
          <w:rFonts w:hint="eastAsia" w:ascii="宋体" w:hAnsi="宋体"/>
          <w:szCs w:val="21"/>
        </w:rPr>
        <w:t>反映业主大会拥有的限定性净资产期末余额。本项目应当根据“限定性净资产”科目的期末余额填列。</w:t>
      </w:r>
    </w:p>
    <w:p>
      <w:pPr>
        <w:spacing w:line="360" w:lineRule="auto"/>
        <w:rPr>
          <w:rFonts w:ascii="宋体" w:hAnsi="宋体"/>
          <w:szCs w:val="21"/>
        </w:rPr>
      </w:pPr>
    </w:p>
    <w:p>
      <w:pPr>
        <w:pStyle w:val="3"/>
        <w:spacing w:before="0" w:after="0" w:line="360" w:lineRule="auto"/>
        <w:jc w:val="center"/>
        <w:rPr>
          <w:sz w:val="24"/>
        </w:rPr>
      </w:pPr>
      <w:bookmarkStart w:id="20" w:name="_Toc15388364"/>
      <w:r>
        <w:rPr>
          <w:rFonts w:hint="eastAsia"/>
          <w:sz w:val="24"/>
        </w:rPr>
        <w:t>第二章</w:t>
      </w:r>
      <w:r>
        <w:rPr>
          <w:sz w:val="24"/>
        </w:rPr>
        <w:t xml:space="preserve"> </w:t>
      </w:r>
      <w:r>
        <w:rPr>
          <w:rFonts w:hint="eastAsia"/>
          <w:sz w:val="24"/>
        </w:rPr>
        <w:t xml:space="preserve"> 业务活动表编制说明</w:t>
      </w:r>
      <w:bookmarkEnd w:id="20"/>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一、本表反映业主大会在某一会计期间内开展除物业专项维修资金以外业务活动的实际情况。</w:t>
      </w:r>
    </w:p>
    <w:p>
      <w:pPr>
        <w:spacing w:line="360" w:lineRule="auto"/>
        <w:rPr>
          <w:rFonts w:ascii="宋体" w:hAnsi="宋体"/>
          <w:szCs w:val="21"/>
        </w:rPr>
      </w:pPr>
      <w:r>
        <w:rPr>
          <w:rFonts w:hint="eastAsia" w:ascii="宋体" w:hAnsi="宋体"/>
          <w:szCs w:val="21"/>
        </w:rPr>
        <w:t>　　二、本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如果本年度业务活动表规定的各个项目的名称和内容同上年度不相一致，应对上年度业务活动表各项目的名称和数字按照本年度的规定进行调整，填入本表上年度可比期间栏目内。</w:t>
      </w:r>
    </w:p>
    <w:p>
      <w:pPr>
        <w:spacing w:line="360" w:lineRule="auto"/>
        <w:rPr>
          <w:rFonts w:ascii="宋体" w:hAnsi="宋体"/>
          <w:szCs w:val="21"/>
        </w:rPr>
      </w:pPr>
      <w:r>
        <w:rPr>
          <w:rFonts w:hint="eastAsia" w:ascii="宋体" w:hAnsi="宋体"/>
          <w:szCs w:val="21"/>
        </w:rPr>
        <w:t>　　本表“本年累计数”栏反映各项目自年初起至报告期末止的累计实际发生数。</w:t>
      </w:r>
    </w:p>
    <w:p>
      <w:pPr>
        <w:spacing w:line="360" w:lineRule="auto"/>
        <w:ind w:firstLine="480"/>
        <w:rPr>
          <w:rFonts w:ascii="宋体" w:hAnsi="宋体"/>
          <w:szCs w:val="21"/>
        </w:rPr>
      </w:pPr>
      <w:r>
        <w:rPr>
          <w:rFonts w:hint="eastAsia" w:ascii="宋体" w:hAnsi="宋体"/>
          <w:szCs w:val="21"/>
        </w:rPr>
        <w:t>本表“非限定性”栏反映本期非限定性收入的实际发生数、本期费用的实际发生数和本期由限定性净资产转为非限定性净资产的金额；本表“限定性”栏反映本期限定性收入的实际发生数和本期由限定性净资产转为非限定性净资产的金额（以“－”号填列）。在提供上年度比较报表项目金额时，限定性和非限定性栏目的金额可以合并填列。</w:t>
      </w:r>
    </w:p>
    <w:p>
      <w:pPr>
        <w:spacing w:line="360" w:lineRule="auto"/>
        <w:ind w:firstLine="480"/>
        <w:rPr>
          <w:rFonts w:ascii="宋体" w:hAnsi="宋体"/>
          <w:szCs w:val="21"/>
        </w:rPr>
      </w:pPr>
      <w:r>
        <w:rPr>
          <w:rFonts w:hint="eastAsia" w:ascii="宋体" w:hAnsi="宋体"/>
          <w:szCs w:val="21"/>
        </w:rPr>
        <w:t>三、本说明主要对业主大会常用的业务活动表项目的编制进行说明，未尽内容可参见《民间非营利组织会计制度——会计科目和会计报表》（财会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3.本表各项目的内容和填列方法：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（一）“提供服务收入”项目</w:t>
      </w:r>
      <w:r>
        <w:rPr>
          <w:rFonts w:hint="eastAsia" w:ascii="宋体" w:hAnsi="宋体"/>
          <w:szCs w:val="21"/>
        </w:rPr>
        <w:t>，反映业主大会根据规定向其服务对象提供服务取得的收入总额。本项目应当根据“提供服务收入”科目的发生额填列。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（二）“其他收入”项目</w:t>
      </w:r>
      <w:r>
        <w:rPr>
          <w:rFonts w:hint="eastAsia" w:ascii="宋体" w:hAnsi="宋体"/>
          <w:szCs w:val="21"/>
        </w:rPr>
        <w:t>，反映业主大会除上述收入项目之外所取得的其他收入总额。本项目应当根据“其他收入”科目的发生额填列。</w:t>
      </w:r>
    </w:p>
    <w:p>
      <w:pPr>
        <w:spacing w:line="360" w:lineRule="auto"/>
        <w:rPr>
          <w:rFonts w:ascii="宋体" w:hAnsi="宋体"/>
          <w:szCs w:val="21"/>
        </w:rPr>
      </w:pPr>
      <w:r>
        <w:rPr>
          <w:rFonts w:hint="eastAsia" w:ascii="宋体" w:hAnsi="宋体"/>
          <w:szCs w:val="21"/>
        </w:rPr>
        <w:t>　　上述各项收入项目应当区分“限定性”和“非限定性”分别填列。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（三）“业务活动成本”项目</w:t>
      </w:r>
      <w:r>
        <w:rPr>
          <w:rFonts w:hint="eastAsia" w:ascii="宋体" w:hAnsi="宋体"/>
          <w:szCs w:val="21"/>
        </w:rPr>
        <w:t>，反映业主大会为了实现其业务活动目标、开展其项目活动或者提供服务所发生的费用。本项目应当根据“业务活动成本”科目的发生额填列。</w:t>
      </w:r>
    </w:p>
    <w:p>
      <w:pPr>
        <w:spacing w:line="360" w:lineRule="auto"/>
        <w:rPr>
          <w:rFonts w:ascii="宋体" w:hAnsi="宋体"/>
          <w:szCs w:val="21"/>
        </w:rPr>
      </w:pPr>
      <w:r>
        <w:rPr>
          <w:rFonts w:hint="eastAsia" w:ascii="宋体" w:hAnsi="宋体"/>
          <w:szCs w:val="21"/>
        </w:rPr>
        <w:t>　　业主大会应当根据其所从事的项目、提供的服务或者开展的业务等具体情况，按照“业务活动成本”科目中各明细科目的发生额，在本表第12行至第21行之间填列业务活动成本的各组成部分。</w:t>
      </w:r>
    </w:p>
    <w:p>
      <w:pPr>
        <w:spacing w:line="360" w:lineRule="auto"/>
        <w:rPr>
          <w:rFonts w:ascii="宋体" w:hAnsi="宋体"/>
          <w:szCs w:val="21"/>
        </w:rPr>
      </w:pPr>
      <w:r>
        <w:rPr>
          <w:rFonts w:hint="eastAsia" w:ascii="宋体" w:hAnsi="宋体"/>
          <w:szCs w:val="21"/>
        </w:rPr>
        <w:t>　　</w:t>
      </w:r>
      <w:r>
        <w:rPr>
          <w:rFonts w:hint="eastAsia" w:ascii="宋体" w:hAnsi="宋体"/>
          <w:b/>
          <w:szCs w:val="21"/>
        </w:rPr>
        <w:t>（四）“管理费用”项目，</w:t>
      </w:r>
      <w:r>
        <w:rPr>
          <w:rFonts w:hint="eastAsia" w:ascii="宋体" w:hAnsi="宋体"/>
          <w:szCs w:val="21"/>
        </w:rPr>
        <w:t>反映业主大会为组织和管理其业务活动所发生的各项费用总额。本项目应当根据“管理费用”科目的发生额填列。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（五）“其他费用”项目</w:t>
      </w:r>
      <w:r>
        <w:rPr>
          <w:rFonts w:hint="eastAsia" w:ascii="宋体" w:hAnsi="宋体"/>
          <w:szCs w:val="21"/>
        </w:rPr>
        <w:t>，反映业主大会除以上费用项目之外发生的其他费用总额。本项目应当根据有关科目的发生额填列。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（六）“限定性净资产转为非限定性净资产”项目</w:t>
      </w:r>
      <w:r>
        <w:rPr>
          <w:rFonts w:hint="eastAsia" w:ascii="宋体" w:hAnsi="宋体"/>
          <w:szCs w:val="21"/>
        </w:rPr>
        <w:t>，反映业主大会当期从限定性净资产转入非限定性净资产的金额。本项目应当根据“限定性净资产”、“非限定性净资产”科目的发生额分析填列。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（七）“净资产变动额”项目</w:t>
      </w:r>
      <w:r>
        <w:rPr>
          <w:rFonts w:hint="eastAsia" w:ascii="宋体" w:hAnsi="宋体"/>
          <w:szCs w:val="21"/>
        </w:rPr>
        <w:t>，反映业主大会当期非专项资金净资产变动的金额。本项目应当根据本表“收入合计”项目的金额，减去“费用合计”项目的金额，再加上“限定性净资产转为非限定性净资产”项目的金额后填列。</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21" w:name="_Toc15388365"/>
      <w:r>
        <w:rPr>
          <w:rFonts w:hint="eastAsia"/>
          <w:sz w:val="24"/>
        </w:rPr>
        <w:t>第三章</w:t>
      </w:r>
      <w:r>
        <w:rPr>
          <w:sz w:val="24"/>
        </w:rPr>
        <w:t xml:space="preserve"> </w:t>
      </w:r>
      <w:r>
        <w:rPr>
          <w:rFonts w:hint="eastAsia"/>
          <w:sz w:val="24"/>
        </w:rPr>
        <w:t xml:space="preserve"> 现金流量表编制说明</w:t>
      </w:r>
      <w:bookmarkEnd w:id="21"/>
    </w:p>
    <w:p>
      <w:pPr>
        <w:spacing w:line="360" w:lineRule="auto"/>
        <w:ind w:firstLine="422" w:firstLineChars="200"/>
        <w:rPr>
          <w:rFonts w:ascii="宋体" w:hAnsi="宋体"/>
          <w:b/>
          <w:szCs w:val="21"/>
        </w:rPr>
      </w:pPr>
    </w:p>
    <w:p>
      <w:pPr>
        <w:spacing w:line="360" w:lineRule="auto"/>
        <w:rPr>
          <w:rFonts w:ascii="宋体" w:hAnsi="宋体"/>
          <w:szCs w:val="21"/>
        </w:rPr>
      </w:pPr>
      <w:r>
        <w:rPr>
          <w:rFonts w:hint="eastAsia" w:ascii="宋体" w:hAnsi="宋体"/>
          <w:szCs w:val="21"/>
        </w:rPr>
        <w:t>　　一、本表反映业主大会在某一会计期间内现金和现金等价物流入和流出的信息。</w:t>
      </w:r>
    </w:p>
    <w:p>
      <w:pPr>
        <w:spacing w:line="360" w:lineRule="auto"/>
        <w:rPr>
          <w:rFonts w:ascii="宋体" w:hAnsi="宋体"/>
          <w:szCs w:val="21"/>
        </w:rPr>
      </w:pPr>
      <w:r>
        <w:rPr>
          <w:rFonts w:hint="eastAsia" w:ascii="宋体" w:hAnsi="宋体"/>
          <w:szCs w:val="21"/>
        </w:rPr>
        <w:t>　　二、本表所指的现金，是指业主大会的库存现金以及可以随时用于支付的存款，包括现金、可以随时用于支付的银行存款和其他货币资金；现金等价物，是指业主大会持有的期限短、流动性强、易于转换为已知金额现金、价值变动风险很小的投资（除特别指明外，以下所指的现金均包含现金等价物）。</w:t>
      </w:r>
    </w:p>
    <w:p>
      <w:pPr>
        <w:spacing w:line="360" w:lineRule="auto"/>
        <w:rPr>
          <w:rFonts w:ascii="宋体" w:hAnsi="宋体"/>
          <w:szCs w:val="21"/>
        </w:rPr>
      </w:pPr>
      <w:r>
        <w:rPr>
          <w:rFonts w:hint="eastAsia" w:ascii="宋体" w:hAnsi="宋体"/>
          <w:szCs w:val="21"/>
        </w:rPr>
        <w:t>　　业主大会应当根据实际情况确定现金等价物的范围，并且一贯性地保持其划分标准，如果改变划分标准，应当视为会计政策变更。业主大会确定现金等价物的原则及其变更，应当在会计报表附注中披露。</w:t>
      </w:r>
    </w:p>
    <w:p>
      <w:pPr>
        <w:spacing w:line="360" w:lineRule="auto"/>
        <w:rPr>
          <w:rFonts w:ascii="宋体" w:hAnsi="宋体"/>
          <w:szCs w:val="21"/>
        </w:rPr>
      </w:pPr>
      <w:r>
        <w:rPr>
          <w:rFonts w:hint="eastAsia" w:ascii="宋体" w:hAnsi="宋体"/>
          <w:szCs w:val="21"/>
        </w:rPr>
        <w:t>　　三、现金流量表应当按照业务活动产生的现金流量、投资活动产生的现金流量和筹资活动产生的现金流量分别反映。本表所指的现金流量，是指现金的流入和流出。</w:t>
      </w:r>
    </w:p>
    <w:p>
      <w:pPr>
        <w:spacing w:line="360" w:lineRule="auto"/>
        <w:ind w:firstLine="480"/>
        <w:rPr>
          <w:rFonts w:ascii="宋体" w:hAnsi="宋体"/>
          <w:szCs w:val="21"/>
        </w:rPr>
      </w:pPr>
      <w:r>
        <w:rPr>
          <w:rFonts w:hint="eastAsia" w:ascii="宋体" w:hAnsi="宋体"/>
          <w:szCs w:val="21"/>
        </w:rPr>
        <w:t>四、业主大会应当采用直接法编制业务活动产生的现金流量。采用直接法编制业务活动现金流量时，有关现金流量的信息可以从会计记录中直接获得，也可以在业务活动表收入和费用数据基础上，通过调整存货和与业务活动有关的应收应付款项的变动、投资以及固定资产折旧、无形资产摊销等项目后获得。</w:t>
      </w:r>
    </w:p>
    <w:p>
      <w:pPr>
        <w:spacing w:line="360" w:lineRule="auto"/>
        <w:ind w:firstLine="480"/>
        <w:rPr>
          <w:rFonts w:ascii="宋体" w:hAnsi="宋体"/>
          <w:szCs w:val="21"/>
        </w:rPr>
      </w:pPr>
      <w:r>
        <w:rPr>
          <w:rFonts w:ascii="宋体" w:hAnsi="宋体"/>
          <w:szCs w:val="21"/>
        </w:rPr>
        <w:t>五</w:t>
      </w:r>
      <w:r>
        <w:rPr>
          <w:rFonts w:hint="eastAsia" w:ascii="宋体" w:hAnsi="宋体"/>
          <w:szCs w:val="21"/>
        </w:rPr>
        <w:t>、本说明主要对业主大会常用的现金流量表项目的编制进行说明，未尽内容可参见《民间非营利组织会计制度——会计科目和会计报表》（财会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六、本表各项目的内容和填列方法：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（一）“提供服务收到的现金”项目</w:t>
      </w:r>
      <w:r>
        <w:rPr>
          <w:rFonts w:hint="eastAsia" w:ascii="宋体" w:hAnsi="宋体"/>
          <w:szCs w:val="21"/>
        </w:rPr>
        <w:t>，反映业主大会根据章程等的规定向其服务对象提供服务取得的现金。本项目可以根据“现金”、“银行存款”、“应收账款”、“应收票据”、“预收账款”、“提供服务收入”等科目的记录分析填列。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（二）“收到的其他与业务活动有关的现金”项目</w:t>
      </w:r>
      <w:r>
        <w:rPr>
          <w:rFonts w:hint="eastAsia" w:ascii="宋体" w:hAnsi="宋体"/>
          <w:szCs w:val="21"/>
        </w:rPr>
        <w:t>，反映业主大会收到的除以上业务之外的现金。本项目可以根据“现金”、“银行存款”、“其他应收款”、“其他收入”等科目的记录分析填列。</w:t>
      </w:r>
    </w:p>
    <w:p>
      <w:pPr>
        <w:spacing w:line="360" w:lineRule="auto"/>
        <w:rPr>
          <w:rFonts w:ascii="宋体" w:hAnsi="宋体"/>
          <w:szCs w:val="21"/>
        </w:rPr>
      </w:pPr>
      <w:r>
        <w:rPr>
          <w:rFonts w:hint="eastAsia" w:ascii="宋体" w:hAnsi="宋体"/>
          <w:szCs w:val="21"/>
        </w:rPr>
        <w:t xml:space="preserve">　  </w:t>
      </w:r>
      <w:r>
        <w:rPr>
          <w:rFonts w:hint="eastAsia" w:ascii="宋体" w:hAnsi="宋体"/>
          <w:b/>
          <w:szCs w:val="21"/>
        </w:rPr>
        <w:t>（三）“支付给员工以及为员工支付的现金”项目</w:t>
      </w:r>
      <w:r>
        <w:rPr>
          <w:rFonts w:hint="eastAsia" w:ascii="宋体" w:hAnsi="宋体"/>
          <w:szCs w:val="21"/>
        </w:rPr>
        <w:t>，反映业主大会开展业务活动支付给员工以及为员工支付的现金。本项目可以根据“现金”、“银行存款”、“应付工资”等科目的记录分析填列。</w:t>
      </w:r>
    </w:p>
    <w:p>
      <w:pPr>
        <w:spacing w:line="360" w:lineRule="auto"/>
        <w:rPr>
          <w:rFonts w:ascii="宋体" w:hAnsi="宋体"/>
          <w:szCs w:val="21"/>
        </w:rPr>
      </w:pPr>
      <w:r>
        <w:rPr>
          <w:rFonts w:hint="eastAsia" w:ascii="宋体" w:hAnsi="宋体"/>
          <w:szCs w:val="21"/>
        </w:rPr>
        <w:t>　　业主大会支付的在建工程人员的工资等，在本表“购建固定资产、无形资产所支付的现金”项目中反映。</w:t>
      </w:r>
    </w:p>
    <w:p>
      <w:pPr>
        <w:spacing w:line="360" w:lineRule="auto"/>
        <w:rPr>
          <w:rFonts w:ascii="宋体" w:hAnsi="宋体"/>
          <w:szCs w:val="21"/>
        </w:rPr>
      </w:pPr>
      <w:r>
        <w:rPr>
          <w:rFonts w:hint="eastAsia" w:ascii="宋体" w:hAnsi="宋体"/>
          <w:szCs w:val="21"/>
        </w:rPr>
        <w:t>　　</w:t>
      </w:r>
      <w:r>
        <w:rPr>
          <w:rFonts w:hint="eastAsia" w:ascii="宋体" w:hAnsi="宋体"/>
          <w:b/>
          <w:szCs w:val="21"/>
        </w:rPr>
        <w:t>（四）“购买商品、接受服务支付的现金”项目</w:t>
      </w:r>
      <w:r>
        <w:rPr>
          <w:rFonts w:hint="eastAsia" w:ascii="宋体" w:hAnsi="宋体"/>
          <w:szCs w:val="21"/>
        </w:rPr>
        <w:t>，反映业主大会购买商品、接受服务而支付的现金。本项目可以根据“现金”、“银行存款”、“应付账款”、“应付票据”、“预付账款”、“业务活动成本”等科目的记录分析填列。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（五）“支付的其他与业务活动有关的现金”项目</w:t>
      </w:r>
      <w:r>
        <w:rPr>
          <w:rFonts w:hint="eastAsia" w:ascii="宋体" w:hAnsi="宋体"/>
          <w:szCs w:val="21"/>
        </w:rPr>
        <w:t>，反映业主大会除上述项目之外支付的其他与业务活动有关的现金。本项目可以根据“现金”、“银行存款”、“其他应付款”、“管理费用”、“其他费用”等科目的记录分析填列。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（六）“处置固定资产和无形资产所收回的现金”项目</w:t>
      </w:r>
      <w:r>
        <w:rPr>
          <w:rFonts w:hint="eastAsia" w:ascii="宋体" w:hAnsi="宋体"/>
          <w:szCs w:val="21"/>
        </w:rPr>
        <w:t>，反映业主大会处置固定资产和无形资产所取得的现金，减去为处置这些资产而支付的有关费用之后的净额。由于自然灾害所造成的固定资产等长期资产损失而收到的保险赔款收入，也在本项目反映。本项目可以根据“现金”、“银行存款”、“固定资产清理”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（七）“收到的其他与投资活动有关的现金”项目</w:t>
      </w:r>
      <w:r>
        <w:rPr>
          <w:rFonts w:hint="eastAsia" w:ascii="宋体" w:hAnsi="宋体"/>
          <w:szCs w:val="21"/>
        </w:rPr>
        <w:t>，反映业主大会除上述各项之外收到的其他与投资活动有关的现金。其他现金流入如果金额较大的，应当单列项目反映。本项目可以根据“现金”、“银行存款”等有关科目的记录分析填列。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（八）“购建固定资产和无形资产所支付的现金”项目</w:t>
      </w:r>
      <w:r>
        <w:rPr>
          <w:rFonts w:hint="eastAsia" w:ascii="宋体" w:hAnsi="宋体"/>
          <w:szCs w:val="21"/>
        </w:rPr>
        <w:t>，反映业主大会购买和建造固定资产，取得无形资产和其他长期资产所支付的现金。不包括为购建固定资产而发生的借款利息资本化的部分，以及融资租入固定资产支付的租赁费。借款利息和融资租入固定资产支付的租赁费，在筹资活动产生的现金流量中反映。本项目可以根据“现金”、“银行存款”、“固定资产”、“无形资产”、“在建工程”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（九）“支付的其他与投资活动有关的现金”项目</w:t>
      </w:r>
      <w:r>
        <w:rPr>
          <w:rFonts w:hint="eastAsia" w:ascii="宋体" w:hAnsi="宋体"/>
          <w:szCs w:val="21"/>
        </w:rPr>
        <w:t>，反映业主大会除上述各项之外，支付的其他与投资活动有关的现金。如果其他现金流出金额较大的，应当单列项目反映。本项目可以根据“现金”、“银行存款”等有关科目的记录分析填列。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（十）“收到的其他与筹资活动有关的现金”项目，</w:t>
      </w:r>
      <w:r>
        <w:rPr>
          <w:rFonts w:hint="eastAsia" w:ascii="宋体" w:hAnsi="宋体"/>
          <w:szCs w:val="21"/>
        </w:rPr>
        <w:t>反映业主大会除上述项目之外，收到的其他与筹资活动有关的现金。如果其他现金流入金额较大的，应当单列项目反映。本项目可以根据“现金”、“银行存款”等有关科目的记录分析填列。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（十一）“支付的其他与筹资活动有关的现金”项目</w:t>
      </w:r>
      <w:r>
        <w:rPr>
          <w:rFonts w:hint="eastAsia" w:ascii="宋体" w:hAnsi="宋体"/>
          <w:szCs w:val="21"/>
        </w:rPr>
        <w:t>，反映业主大会除上述项目之外，支付的其他与筹资活动有关的现金，如融资租入固定资产所支付的租赁费。本项目可以根据“现金”、“银行存款”、“长期应付款”等有关科目的记录分析填列。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（十二）“现金及现金等价物净增加额”项目</w:t>
      </w:r>
      <w:r>
        <w:rPr>
          <w:rFonts w:hint="eastAsia" w:ascii="宋体" w:hAnsi="宋体"/>
          <w:szCs w:val="21"/>
        </w:rPr>
        <w:t>，反映业主大会本年度现金及现金等价物变动的金额。本项目应当根据本表“业务活动产生的现金流量净额”、“投资活动产生的现金流量净额”、“筹资活动产生的现金流量净额”和“汇率变动对现金的影响额”项目的金额合计填列。</w:t>
      </w:r>
    </w:p>
    <w:p>
      <w:pPr>
        <w:spacing w:line="360" w:lineRule="auto"/>
        <w:rPr>
          <w:rFonts w:ascii="宋体" w:hAnsi="宋体"/>
          <w:szCs w:val="21"/>
        </w:rPr>
      </w:pPr>
    </w:p>
    <w:p>
      <w:pPr>
        <w:pStyle w:val="3"/>
        <w:spacing w:before="0" w:after="0" w:line="360" w:lineRule="auto"/>
        <w:jc w:val="center"/>
        <w:rPr>
          <w:sz w:val="24"/>
        </w:rPr>
      </w:pPr>
      <w:bookmarkStart w:id="22" w:name="_Toc15388366"/>
      <w:r>
        <w:rPr>
          <w:rFonts w:hint="eastAsia"/>
          <w:sz w:val="24"/>
        </w:rPr>
        <w:t>第四章</w:t>
      </w:r>
      <w:r>
        <w:rPr>
          <w:sz w:val="24"/>
        </w:rPr>
        <w:t xml:space="preserve"> </w:t>
      </w:r>
      <w:r>
        <w:rPr>
          <w:rFonts w:hint="eastAsia"/>
          <w:sz w:val="24"/>
        </w:rPr>
        <w:t xml:space="preserve"> </w:t>
      </w:r>
      <w:r>
        <w:rPr>
          <w:sz w:val="24"/>
        </w:rPr>
        <w:t>会计报表附注</w:t>
      </w:r>
      <w:bookmarkEnd w:id="22"/>
    </w:p>
    <w:p>
      <w:pPr>
        <w:spacing w:line="360" w:lineRule="auto"/>
        <w:ind w:firstLine="465"/>
        <w:rPr>
          <w:rFonts w:ascii="宋体" w:hAnsi="宋体"/>
          <w:szCs w:val="21"/>
        </w:rPr>
      </w:pPr>
    </w:p>
    <w:p>
      <w:pPr>
        <w:spacing w:line="360" w:lineRule="auto"/>
        <w:rPr>
          <w:rFonts w:ascii="宋体" w:hAnsi="宋体"/>
          <w:szCs w:val="21"/>
        </w:rPr>
      </w:pPr>
      <w:r>
        <w:rPr>
          <w:rFonts w:hint="eastAsia" w:ascii="宋体" w:hAnsi="宋体"/>
          <w:szCs w:val="21"/>
        </w:rPr>
        <w:t>　　业主大会的会计报表附注至少应当披露以下内容：</w:t>
      </w:r>
    </w:p>
    <w:p>
      <w:pPr>
        <w:spacing w:line="360" w:lineRule="auto"/>
        <w:rPr>
          <w:rFonts w:ascii="宋体" w:hAnsi="宋体"/>
          <w:szCs w:val="21"/>
        </w:rPr>
      </w:pPr>
      <w:r>
        <w:rPr>
          <w:rFonts w:hint="eastAsia" w:ascii="宋体" w:hAnsi="宋体"/>
          <w:szCs w:val="21"/>
        </w:rPr>
        <w:t>　　一、重要会计政策及其变更情况的说明；</w:t>
      </w:r>
    </w:p>
    <w:p>
      <w:pPr>
        <w:spacing w:line="360" w:lineRule="auto"/>
        <w:rPr>
          <w:rFonts w:ascii="宋体" w:hAnsi="宋体"/>
          <w:szCs w:val="21"/>
        </w:rPr>
      </w:pPr>
      <w:r>
        <w:rPr>
          <w:rFonts w:hint="eastAsia" w:ascii="宋体" w:hAnsi="宋体"/>
          <w:szCs w:val="21"/>
        </w:rPr>
        <w:t>　　二、业主委员会成员和员工的数量、变动情况以及获得的薪金等报酬情况的说明；</w:t>
      </w:r>
    </w:p>
    <w:p>
      <w:pPr>
        <w:spacing w:line="360" w:lineRule="auto"/>
        <w:rPr>
          <w:rFonts w:ascii="宋体" w:hAnsi="宋体"/>
          <w:szCs w:val="21"/>
        </w:rPr>
      </w:pPr>
      <w:r>
        <w:rPr>
          <w:rFonts w:hint="eastAsia" w:ascii="宋体" w:hAnsi="宋体"/>
          <w:szCs w:val="21"/>
        </w:rPr>
        <w:t>　　三、会计报表重要项目及其增减变动情况的说明；</w:t>
      </w:r>
    </w:p>
    <w:p>
      <w:pPr>
        <w:spacing w:line="360" w:lineRule="auto"/>
        <w:rPr>
          <w:rFonts w:ascii="宋体" w:hAnsi="宋体"/>
          <w:szCs w:val="21"/>
        </w:rPr>
      </w:pPr>
      <w:r>
        <w:rPr>
          <w:rFonts w:hint="eastAsia" w:ascii="宋体" w:hAnsi="宋体"/>
          <w:szCs w:val="21"/>
        </w:rPr>
        <w:t>　　四、业主大会设置了时间或用途限制的相关资产情况的说明；</w:t>
      </w:r>
    </w:p>
    <w:p>
      <w:pPr>
        <w:spacing w:line="360" w:lineRule="auto"/>
        <w:rPr>
          <w:rFonts w:ascii="宋体" w:hAnsi="宋体"/>
          <w:szCs w:val="21"/>
        </w:rPr>
      </w:pPr>
      <w:r>
        <w:rPr>
          <w:rFonts w:hint="eastAsia" w:ascii="宋体" w:hAnsi="宋体"/>
          <w:szCs w:val="21"/>
        </w:rPr>
        <w:t>　　五、受托代理业务情况的说明，包括受托代理资产的构成、计价基础和依据、用途等；</w:t>
      </w:r>
    </w:p>
    <w:p>
      <w:pPr>
        <w:spacing w:line="360" w:lineRule="auto"/>
        <w:rPr>
          <w:rFonts w:ascii="宋体" w:hAnsi="宋体"/>
          <w:szCs w:val="21"/>
        </w:rPr>
      </w:pPr>
      <w:r>
        <w:rPr>
          <w:rFonts w:hint="eastAsia" w:ascii="宋体" w:hAnsi="宋体"/>
          <w:szCs w:val="21"/>
        </w:rPr>
        <w:t>　　六、重大资产减值情况的说明；</w:t>
      </w:r>
    </w:p>
    <w:p>
      <w:pPr>
        <w:spacing w:line="360" w:lineRule="auto"/>
        <w:rPr>
          <w:rFonts w:ascii="宋体" w:hAnsi="宋体"/>
          <w:szCs w:val="21"/>
        </w:rPr>
      </w:pPr>
      <w:r>
        <w:rPr>
          <w:rFonts w:hint="eastAsia" w:ascii="宋体" w:hAnsi="宋体"/>
          <w:szCs w:val="21"/>
        </w:rPr>
        <w:t>　　七、公允价值无法可靠取得的受赠资产和其他资产的名称、数量、来源和用途等情况的说明；</w:t>
      </w:r>
    </w:p>
    <w:p>
      <w:pPr>
        <w:spacing w:line="360" w:lineRule="auto"/>
        <w:rPr>
          <w:rFonts w:ascii="宋体" w:hAnsi="宋体"/>
          <w:szCs w:val="21"/>
        </w:rPr>
      </w:pPr>
      <w:r>
        <w:rPr>
          <w:rFonts w:hint="eastAsia" w:ascii="宋体" w:hAnsi="宋体"/>
          <w:szCs w:val="21"/>
        </w:rPr>
        <w:t>　　八、对外承诺和或有事项情况的说明；</w:t>
      </w:r>
    </w:p>
    <w:p>
      <w:pPr>
        <w:spacing w:line="360" w:lineRule="auto"/>
        <w:rPr>
          <w:rFonts w:ascii="宋体" w:hAnsi="宋体"/>
          <w:szCs w:val="21"/>
        </w:rPr>
      </w:pPr>
      <w:r>
        <w:rPr>
          <w:rFonts w:hint="eastAsia" w:ascii="宋体" w:hAnsi="宋体"/>
          <w:szCs w:val="21"/>
        </w:rPr>
        <w:t>　　九、接受劳务捐赠情况的说明；</w:t>
      </w:r>
    </w:p>
    <w:p>
      <w:pPr>
        <w:spacing w:line="360" w:lineRule="auto"/>
        <w:rPr>
          <w:rFonts w:ascii="宋体" w:hAnsi="宋体"/>
          <w:szCs w:val="21"/>
        </w:rPr>
      </w:pPr>
      <w:r>
        <w:rPr>
          <w:rFonts w:hint="eastAsia" w:ascii="宋体" w:hAnsi="宋体"/>
          <w:szCs w:val="21"/>
        </w:rPr>
        <w:t>　　十、资产负债表日后非调整事项的说明；</w:t>
      </w:r>
    </w:p>
    <w:p>
      <w:pPr>
        <w:spacing w:line="360" w:lineRule="auto"/>
        <w:rPr>
          <w:rFonts w:ascii="宋体" w:hAnsi="宋体"/>
          <w:sz w:val="24"/>
          <w:szCs w:val="24"/>
        </w:rPr>
      </w:pPr>
      <w:r>
        <w:rPr>
          <w:rFonts w:hint="eastAsia" w:ascii="宋体" w:hAnsi="宋体"/>
          <w:szCs w:val="21"/>
        </w:rPr>
        <w:t>　　十一、有助于理解和分析会计报表需要说明的其他事项。</w:t>
      </w:r>
    </w:p>
    <w:p>
      <w:pPr>
        <w:widowControl/>
        <w:jc w:val="left"/>
        <w:rPr>
          <w:rFonts w:ascii="宋体" w:hAnsi="宋体"/>
          <w:szCs w:val="21"/>
        </w:rPr>
      </w:pPr>
    </w:p>
    <w:p>
      <w:pPr>
        <w:widowControl/>
        <w:jc w:val="left"/>
        <w:rPr>
          <w:szCs w:val="21"/>
        </w:rPr>
      </w:pPr>
      <w:r>
        <w:rPr>
          <w:szCs w:val="21"/>
        </w:rPr>
        <w:br w:type="page"/>
      </w:r>
    </w:p>
    <w:p>
      <w:pPr>
        <w:pStyle w:val="19"/>
        <w:spacing w:line="360" w:lineRule="auto"/>
        <w:ind w:left="420" w:firstLine="0" w:firstLineChars="0"/>
        <w:jc w:val="left"/>
        <w:rPr>
          <w:szCs w:val="21"/>
        </w:rPr>
      </w:pPr>
    </w:p>
    <w:p>
      <w:pPr>
        <w:pStyle w:val="2"/>
        <w:spacing w:before="0" w:after="0" w:line="360" w:lineRule="auto"/>
        <w:jc w:val="center"/>
        <w:rPr>
          <w:sz w:val="36"/>
        </w:rPr>
      </w:pPr>
      <w:bookmarkStart w:id="23" w:name="_Toc15388367"/>
      <w:r>
        <w:rPr>
          <w:rFonts w:hint="eastAsia"/>
          <w:sz w:val="36"/>
        </w:rPr>
        <w:t>第四部分  业务报表编制说明</w:t>
      </w:r>
      <w:bookmarkEnd w:id="23"/>
    </w:p>
    <w:p>
      <w:pPr>
        <w:pStyle w:val="19"/>
        <w:spacing w:line="360" w:lineRule="auto"/>
        <w:ind w:left="420" w:firstLine="0" w:firstLineChars="0"/>
        <w:jc w:val="left"/>
        <w:rPr>
          <w:szCs w:val="21"/>
        </w:rPr>
      </w:pPr>
    </w:p>
    <w:p>
      <w:pPr>
        <w:pStyle w:val="3"/>
        <w:spacing w:before="0" w:after="0" w:line="360" w:lineRule="auto"/>
        <w:jc w:val="center"/>
        <w:rPr>
          <w:sz w:val="24"/>
        </w:rPr>
      </w:pPr>
      <w:bookmarkStart w:id="24" w:name="_Toc15388368"/>
      <w:r>
        <w:rPr>
          <w:rFonts w:hint="eastAsia"/>
          <w:sz w:val="24"/>
        </w:rPr>
        <w:t>第一章  总说明</w:t>
      </w:r>
      <w:bookmarkEnd w:id="24"/>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一、本表反映业主大会某一会计期间业主共有资金收支及结余情况。</w:t>
      </w:r>
    </w:p>
    <w:p>
      <w:pPr>
        <w:spacing w:line="360" w:lineRule="auto"/>
        <w:rPr>
          <w:rFonts w:ascii="宋体" w:hAnsi="宋体"/>
          <w:szCs w:val="21"/>
        </w:rPr>
      </w:pPr>
      <w:r>
        <w:rPr>
          <w:rFonts w:hint="eastAsia" w:ascii="宋体" w:hAnsi="宋体"/>
          <w:szCs w:val="21"/>
        </w:rPr>
        <w:t>　　二、业主大会业务报表由《应收账款（应收业主款）明细表》、《业务收支情况明细表》和《物业专项维修资金收支明细表》组成。</w:t>
      </w:r>
    </w:p>
    <w:p>
      <w:pPr>
        <w:spacing w:line="360" w:lineRule="auto"/>
        <w:ind w:firstLine="420"/>
        <w:rPr>
          <w:rFonts w:ascii="宋体" w:hAnsi="宋体"/>
          <w:szCs w:val="21"/>
        </w:rPr>
      </w:pPr>
      <w:r>
        <w:rPr>
          <w:rFonts w:hint="eastAsia" w:ascii="宋体" w:hAnsi="宋体"/>
          <w:szCs w:val="21"/>
        </w:rPr>
        <w:t>三、《应收账款（应收业主款）明细表》详细反映报告期末物业管理区域里业主欠缴物业管理费情况；《业务收支情况明细表》详细列示业主大会期间的收入、业务活动成本、管理费用等数据，以实现向物业管理区域业主财务公开的目的；《物业专项维修资金收支明细表》详细列示各楼栋期间的专项维修资金的收支情况，以准确反映物业专项维修资金收支情况。相应项目根据各会计科目分析填列。</w:t>
      </w:r>
    </w:p>
    <w:p>
      <w:pPr>
        <w:spacing w:line="360" w:lineRule="auto"/>
        <w:ind w:firstLine="420"/>
        <w:rPr>
          <w:rFonts w:ascii="宋体" w:hAnsi="宋体"/>
          <w:szCs w:val="21"/>
        </w:rPr>
      </w:pPr>
      <w:r>
        <w:rPr>
          <w:rFonts w:hint="eastAsia" w:ascii="宋体" w:hAnsi="宋体"/>
          <w:szCs w:val="21"/>
        </w:rPr>
        <w:t>四、《业务收支情况明细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w:t>
      </w:r>
    </w:p>
    <w:p>
      <w:pPr>
        <w:spacing w:line="360" w:lineRule="auto"/>
        <w:ind w:firstLine="420"/>
        <w:rPr>
          <w:rFonts w:ascii="宋体" w:hAnsi="宋体"/>
          <w:szCs w:val="21"/>
        </w:rPr>
      </w:pPr>
      <w:r>
        <w:rPr>
          <w:rFonts w:hint="eastAsia" w:ascii="宋体" w:hAnsi="宋体"/>
          <w:szCs w:val="21"/>
        </w:rPr>
        <w:t>本表“本年累计数”栏反映各项目自年初起至报告期末止的累计实际发生数。</w:t>
      </w:r>
    </w:p>
    <w:p>
      <w:pPr>
        <w:spacing w:line="360" w:lineRule="auto"/>
        <w:ind w:firstLine="420"/>
        <w:rPr>
          <w:rFonts w:ascii="宋体" w:hAnsi="宋体"/>
          <w:szCs w:val="21"/>
        </w:rPr>
      </w:pPr>
      <w:r>
        <w:rPr>
          <w:rFonts w:hint="eastAsia" w:ascii="宋体" w:hAnsi="宋体"/>
          <w:szCs w:val="21"/>
        </w:rPr>
        <w:t>五、应收账款（应收业主款）明细表根据“应收账款”科目下“应收业主款”明细科目分析填列。</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25" w:name="_Toc15388369"/>
      <w:r>
        <w:rPr>
          <w:rFonts w:hint="eastAsia"/>
          <w:sz w:val="24"/>
        </w:rPr>
        <w:t>第二章  应收账款（应收业主款）明细表填列说明</w:t>
      </w:r>
      <w:bookmarkEnd w:id="25"/>
    </w:p>
    <w:p>
      <w:pPr>
        <w:spacing w:line="360" w:lineRule="auto"/>
        <w:ind w:left="426"/>
        <w:rPr>
          <w:rFonts w:ascii="宋体" w:hAnsi="宋体"/>
          <w:b/>
          <w:szCs w:val="21"/>
        </w:rPr>
      </w:pPr>
    </w:p>
    <w:p>
      <w:pPr>
        <w:spacing w:line="360" w:lineRule="auto"/>
        <w:ind w:left="426" w:leftChars="203"/>
        <w:rPr>
          <w:rFonts w:ascii="宋体" w:hAnsi="宋体"/>
          <w:szCs w:val="21"/>
        </w:rPr>
      </w:pPr>
      <w:r>
        <w:rPr>
          <w:rFonts w:hint="eastAsia" w:ascii="宋体" w:hAnsi="宋体"/>
          <w:szCs w:val="21"/>
        </w:rPr>
        <w:t>本表根据“应收账款”科目下“应收业主款”明细科目分析填列。</w:t>
      </w:r>
    </w:p>
    <w:p>
      <w:pPr>
        <w:spacing w:line="360" w:lineRule="auto"/>
        <w:ind w:firstLine="424" w:firstLineChars="202"/>
        <w:rPr>
          <w:rFonts w:ascii="宋体" w:hAnsi="宋体"/>
          <w:szCs w:val="21"/>
        </w:rPr>
      </w:pPr>
      <w:r>
        <w:rPr>
          <w:rFonts w:hint="eastAsia" w:ascii="宋体" w:hAnsi="宋体"/>
          <w:szCs w:val="21"/>
        </w:rPr>
        <w:t>第1列“编码”，填写业主大会财务软件系统或物业收费系统的业主编码，该编码应确保唯一可识别。</w:t>
      </w:r>
    </w:p>
    <w:p>
      <w:pPr>
        <w:spacing w:line="360" w:lineRule="auto"/>
        <w:ind w:left="426"/>
        <w:rPr>
          <w:rFonts w:ascii="宋体" w:hAnsi="宋体"/>
          <w:szCs w:val="21"/>
        </w:rPr>
      </w:pPr>
      <w:r>
        <w:rPr>
          <w:rFonts w:hint="eastAsia" w:ascii="宋体" w:hAnsi="宋体"/>
          <w:szCs w:val="21"/>
        </w:rPr>
        <w:t>第2列“房间号”，填写本物业管理区域业主唯一可识别房间号，如：“景园8栋1605”。</w:t>
      </w:r>
    </w:p>
    <w:p>
      <w:pPr>
        <w:spacing w:line="360" w:lineRule="auto"/>
        <w:ind w:firstLine="420" w:firstLineChars="200"/>
        <w:rPr>
          <w:rFonts w:ascii="宋体" w:hAnsi="宋体"/>
          <w:szCs w:val="21"/>
        </w:rPr>
      </w:pPr>
      <w:r>
        <w:rPr>
          <w:rFonts w:hint="eastAsia" w:ascii="宋体" w:hAnsi="宋体"/>
          <w:szCs w:val="21"/>
        </w:rPr>
        <w:t>第3列“业主姓名（名称）”，填写业主大会财务软件系统或物业收费系统登记的业主姓名或名称，业主大会也可出于保护隐私等考虑，对业主姓名或名称中的关键字以“某某</w:t>
      </w:r>
      <w:r>
        <w:rPr>
          <w:rFonts w:ascii="宋体" w:hAnsi="宋体"/>
          <w:szCs w:val="21"/>
        </w:rPr>
        <w:t>”</w:t>
      </w:r>
      <w:r>
        <w:rPr>
          <w:rFonts w:hint="eastAsia" w:ascii="宋体" w:hAnsi="宋体"/>
          <w:szCs w:val="21"/>
        </w:rPr>
        <w:t>、“XX”代替。</w:t>
      </w:r>
    </w:p>
    <w:p>
      <w:pPr>
        <w:spacing w:line="360" w:lineRule="auto"/>
        <w:ind w:firstLine="420" w:firstLineChars="200"/>
        <w:rPr>
          <w:rFonts w:ascii="宋体" w:hAnsi="宋体"/>
          <w:szCs w:val="21"/>
        </w:rPr>
      </w:pPr>
      <w:r>
        <w:rPr>
          <w:rFonts w:hint="eastAsia" w:ascii="宋体" w:hAnsi="宋体"/>
          <w:szCs w:val="21"/>
        </w:rPr>
        <w:t>第4列“应收合计”，填列某业主截止报告期末应收账款余额，该列合计数应与账面“应收账款”科目下“应收业主款”明细科目期末余额一致。</w:t>
      </w:r>
    </w:p>
    <w:p>
      <w:pPr>
        <w:spacing w:line="360" w:lineRule="auto"/>
        <w:ind w:firstLine="420" w:firstLineChars="200"/>
        <w:rPr>
          <w:rFonts w:ascii="宋体" w:hAnsi="宋体"/>
          <w:szCs w:val="21"/>
        </w:rPr>
      </w:pPr>
      <w:r>
        <w:rPr>
          <w:rFonts w:hint="eastAsia" w:ascii="宋体" w:hAnsi="宋体"/>
          <w:szCs w:val="21"/>
        </w:rPr>
        <w:t>第5-7列，填写各业主应收账款的组成明细金额，业主大会可根据需要自行增加列次，各明细金额相加应与第4列“应收合计”一致。</w:t>
      </w:r>
    </w:p>
    <w:p>
      <w:pPr>
        <w:spacing w:line="360" w:lineRule="auto"/>
        <w:ind w:firstLine="420" w:firstLineChars="200"/>
        <w:rPr>
          <w:rFonts w:ascii="宋体" w:hAnsi="宋体"/>
          <w:szCs w:val="21"/>
        </w:rPr>
      </w:pPr>
      <w:r>
        <w:rPr>
          <w:rFonts w:hint="eastAsia" w:ascii="宋体" w:hAnsi="宋体"/>
          <w:szCs w:val="21"/>
        </w:rPr>
        <w:t>第8列，填写各业主欠款的情况说明。</w:t>
      </w:r>
    </w:p>
    <w:p>
      <w:pPr>
        <w:spacing w:line="360" w:lineRule="auto"/>
        <w:ind w:firstLine="420" w:firstLineChars="200"/>
        <w:rPr>
          <w:rFonts w:ascii="宋体" w:hAnsi="宋体"/>
          <w:szCs w:val="21"/>
        </w:rPr>
      </w:pPr>
    </w:p>
    <w:p>
      <w:pPr>
        <w:pStyle w:val="3"/>
        <w:spacing w:before="0" w:after="0" w:line="360" w:lineRule="auto"/>
        <w:jc w:val="center"/>
        <w:rPr>
          <w:sz w:val="24"/>
        </w:rPr>
      </w:pPr>
      <w:bookmarkStart w:id="26" w:name="_Toc15388370"/>
      <w:r>
        <w:rPr>
          <w:rFonts w:hint="eastAsia"/>
          <w:sz w:val="24"/>
        </w:rPr>
        <w:t>第三章  业务收支情况明细表填列说明</w:t>
      </w:r>
      <w:bookmarkEnd w:id="26"/>
    </w:p>
    <w:p>
      <w:pPr>
        <w:pStyle w:val="19"/>
        <w:spacing w:line="360" w:lineRule="auto"/>
        <w:ind w:left="1266" w:firstLine="0" w:firstLineChars="0"/>
        <w:rPr>
          <w:rFonts w:ascii="宋体" w:hAnsi="宋体"/>
          <w:b/>
          <w:szCs w:val="21"/>
        </w:rPr>
      </w:pPr>
    </w:p>
    <w:p>
      <w:pPr>
        <w:spacing w:line="360" w:lineRule="auto"/>
        <w:ind w:firstLine="420"/>
        <w:rPr>
          <w:rFonts w:ascii="宋体" w:hAnsi="宋体"/>
          <w:szCs w:val="21"/>
        </w:rPr>
      </w:pPr>
      <w:r>
        <w:rPr>
          <w:rFonts w:hint="eastAsia" w:ascii="宋体" w:hAnsi="宋体"/>
          <w:b/>
          <w:szCs w:val="21"/>
        </w:rPr>
        <w:t>第1行，“收入”栏</w:t>
      </w:r>
      <w:r>
        <w:rPr>
          <w:rFonts w:hint="eastAsia" w:ascii="宋体" w:hAnsi="宋体"/>
          <w:szCs w:val="21"/>
        </w:rPr>
        <w:t>，反映业主大会本期除物业专项维修资金以外的业主共有资金收入合计数。本项目应当根据 “捐赠收入”、“会费收入”、“提供服务收入”、“商品销售收入”、“政府补助收入”、“投资收益”、“其他收入”等会计科目的本期发生额合计填列，本项目金额与业务活动表“收入合计”一栏金额相同。</w:t>
      </w:r>
    </w:p>
    <w:p>
      <w:pPr>
        <w:spacing w:line="360" w:lineRule="auto"/>
        <w:ind w:firstLine="420"/>
        <w:rPr>
          <w:rFonts w:ascii="宋体" w:hAnsi="宋体"/>
          <w:szCs w:val="21"/>
        </w:rPr>
      </w:pPr>
      <w:r>
        <w:rPr>
          <w:rFonts w:hint="eastAsia" w:ascii="宋体" w:hAnsi="宋体"/>
          <w:szCs w:val="21"/>
        </w:rPr>
        <w:t>第2行“捐赠收入”、第3行“会费收入”栏、第12行“商品销售收入”栏、第13行“政府补助收入”栏、第14行“投资收益”栏、第15行“其他收入”栏填列方法分别与业务活动表第1、2、4、5、6、9行相同。</w:t>
      </w:r>
    </w:p>
    <w:p>
      <w:pPr>
        <w:spacing w:line="360" w:lineRule="auto"/>
        <w:ind w:firstLine="420"/>
        <w:rPr>
          <w:rFonts w:ascii="宋体" w:hAnsi="宋体"/>
          <w:b/>
          <w:szCs w:val="21"/>
        </w:rPr>
      </w:pPr>
      <w:r>
        <w:rPr>
          <w:rFonts w:hint="eastAsia" w:ascii="宋体" w:hAnsi="宋体"/>
          <w:b/>
          <w:szCs w:val="21"/>
        </w:rPr>
        <w:t>第4行，“提供服务收入”栏，</w:t>
      </w:r>
      <w:r>
        <w:rPr>
          <w:rFonts w:ascii="宋体" w:hAnsi="宋体" w:cs="宋体"/>
          <w:color w:val="626262"/>
          <w:kern w:val="0"/>
          <w:szCs w:val="21"/>
        </w:rPr>
        <w:t>反映</w:t>
      </w:r>
      <w:r>
        <w:rPr>
          <w:rFonts w:hint="eastAsia" w:ascii="宋体" w:hAnsi="宋体" w:cs="宋体"/>
          <w:color w:val="626262"/>
          <w:kern w:val="0"/>
          <w:szCs w:val="21"/>
        </w:rPr>
        <w:t>业主大会根据</w:t>
      </w:r>
      <w:r>
        <w:rPr>
          <w:rFonts w:ascii="宋体" w:hAnsi="宋体" w:cs="宋体"/>
          <w:color w:val="626262"/>
          <w:kern w:val="0"/>
          <w:szCs w:val="21"/>
        </w:rPr>
        <w:t>规定向其服务对象提供服务取得的收入总额。本项目应根据“提供服务收入”科目的发生额填列。</w:t>
      </w:r>
    </w:p>
    <w:p>
      <w:pPr>
        <w:spacing w:line="360" w:lineRule="auto"/>
        <w:ind w:firstLine="422" w:firstLineChars="200"/>
        <w:rPr>
          <w:rFonts w:ascii="宋体" w:hAnsi="宋体"/>
          <w:szCs w:val="21"/>
        </w:rPr>
      </w:pPr>
      <w:r>
        <w:rPr>
          <w:rFonts w:hint="eastAsia" w:ascii="宋体" w:hAnsi="宋体"/>
          <w:b/>
          <w:szCs w:val="21"/>
        </w:rPr>
        <w:t>第5行，“物业管理费收入”栏，</w:t>
      </w:r>
      <w:r>
        <w:rPr>
          <w:rFonts w:hint="eastAsia" w:ascii="宋体" w:hAnsi="宋体"/>
          <w:szCs w:val="21"/>
        </w:rPr>
        <w:t>反映业主大会根据国家有关规定和协议约定向业主或物业使用者收取的物业管理费所取得的收入。本项目应根据“提供服务收入”会计科目下的 “物业管理费”明细科目本期发生额填列。</w:t>
      </w:r>
    </w:p>
    <w:p>
      <w:pPr>
        <w:spacing w:line="360" w:lineRule="auto"/>
        <w:ind w:firstLine="495"/>
        <w:rPr>
          <w:rFonts w:ascii="宋体" w:hAnsi="宋体"/>
          <w:szCs w:val="21"/>
        </w:rPr>
      </w:pPr>
      <w:r>
        <w:rPr>
          <w:rFonts w:hint="eastAsia" w:ascii="宋体" w:hAnsi="宋体"/>
          <w:b/>
          <w:szCs w:val="21"/>
        </w:rPr>
        <w:t>第6行，“车位（库）收入”栏</w:t>
      </w:r>
      <w:r>
        <w:rPr>
          <w:rFonts w:hint="eastAsia" w:ascii="宋体" w:hAnsi="宋体"/>
          <w:szCs w:val="21"/>
        </w:rPr>
        <w:t>，反映业主大会向产权或收益权全部或部分属于业主共有的停车位（库）收取车位（库）租赁费、固定或临时停车费、车位管理费、服务费以及收入分成等形成的收入。本项目应根据“提供服务收入”会计科目下的 “车位（库）收入”明细科目本期发生额填列。</w:t>
      </w:r>
    </w:p>
    <w:p>
      <w:pPr>
        <w:spacing w:line="360" w:lineRule="auto"/>
        <w:ind w:firstLine="495"/>
        <w:rPr>
          <w:rFonts w:ascii="宋体" w:hAnsi="宋体"/>
          <w:szCs w:val="21"/>
        </w:rPr>
      </w:pPr>
      <w:r>
        <w:rPr>
          <w:rFonts w:hint="eastAsia" w:ascii="宋体" w:hAnsi="宋体"/>
          <w:b/>
          <w:szCs w:val="21"/>
        </w:rPr>
        <w:t>第7行，“共有物业出租收入”栏，</w:t>
      </w:r>
      <w:r>
        <w:rPr>
          <w:rFonts w:hint="eastAsia" w:ascii="宋体" w:hAnsi="宋体"/>
          <w:szCs w:val="21"/>
        </w:rPr>
        <w:t>反映</w:t>
      </w:r>
      <w:r>
        <w:rPr>
          <w:rFonts w:ascii="宋体" w:hAnsi="宋体"/>
          <w:szCs w:val="21"/>
        </w:rPr>
        <w:t>业主大会</w:t>
      </w:r>
      <w:r>
        <w:rPr>
          <w:rFonts w:hint="eastAsia" w:ascii="宋体" w:hAnsi="宋体"/>
          <w:szCs w:val="21"/>
        </w:rPr>
        <w:t>向业主共有物业的承租人收取的租金收入，本项目应根据“提供服务收入”会计科目下的 “共有物业出租收入”明细科目本期发生额填列。</w:t>
      </w:r>
    </w:p>
    <w:p>
      <w:pPr>
        <w:spacing w:line="360" w:lineRule="auto"/>
        <w:ind w:firstLine="422" w:firstLineChars="200"/>
        <w:rPr>
          <w:rFonts w:ascii="宋体" w:hAnsi="宋体"/>
          <w:szCs w:val="21"/>
        </w:rPr>
      </w:pPr>
      <w:r>
        <w:rPr>
          <w:rFonts w:hint="eastAsia" w:ascii="宋体" w:hAnsi="宋体"/>
          <w:b/>
          <w:szCs w:val="21"/>
        </w:rPr>
        <w:t>第8行，“公共场地及设备设施出租收入”栏，</w:t>
      </w:r>
      <w:r>
        <w:rPr>
          <w:rFonts w:hint="eastAsia" w:ascii="宋体" w:hAnsi="宋体"/>
          <w:szCs w:val="21"/>
        </w:rPr>
        <w:t>反映</w:t>
      </w:r>
      <w:r>
        <w:rPr>
          <w:rFonts w:ascii="宋体" w:hAnsi="宋体"/>
          <w:szCs w:val="21"/>
        </w:rPr>
        <w:t>业主大会</w:t>
      </w:r>
      <w:r>
        <w:rPr>
          <w:rFonts w:hint="eastAsia" w:ascii="宋体" w:hAnsi="宋体"/>
          <w:szCs w:val="21"/>
        </w:rPr>
        <w:t>向业主共有公共场地及设备设施的承租人收取的租金收入；本项目应根据“提供服务收入”会计科目下的 “公共场地及设备设施出租收入”明细科目本期发生额填列。</w:t>
      </w:r>
    </w:p>
    <w:p>
      <w:pPr>
        <w:spacing w:line="360" w:lineRule="auto"/>
        <w:ind w:firstLine="422" w:firstLineChars="200"/>
        <w:rPr>
          <w:rFonts w:ascii="宋体" w:hAnsi="宋体"/>
          <w:szCs w:val="21"/>
        </w:rPr>
      </w:pPr>
      <w:r>
        <w:rPr>
          <w:rFonts w:hint="eastAsia" w:ascii="宋体" w:hAnsi="宋体"/>
          <w:b/>
          <w:szCs w:val="21"/>
        </w:rPr>
        <w:t>第9行，“广告费收入”栏，</w:t>
      </w:r>
      <w:r>
        <w:rPr>
          <w:rFonts w:hint="eastAsia" w:ascii="宋体" w:hAnsi="宋体"/>
          <w:szCs w:val="21"/>
        </w:rPr>
        <w:t>反映业主大会</w:t>
      </w:r>
      <w:r>
        <w:rPr>
          <w:rFonts w:ascii="宋体" w:hAnsi="宋体"/>
          <w:szCs w:val="21"/>
        </w:rPr>
        <w:t>收取的利用物业小区公共场所或场地从事广告宣传而获取的收入，例如：电梯广告、墙体广告、牌匾广告、临时广告等</w:t>
      </w:r>
      <w:r>
        <w:rPr>
          <w:rFonts w:hint="eastAsia" w:ascii="宋体" w:hAnsi="宋体"/>
          <w:szCs w:val="21"/>
        </w:rPr>
        <w:t>；本项目应根据“提供服务收入”会计科目下的 “广告费收入”明细科目本期发生额填列。</w:t>
      </w:r>
    </w:p>
    <w:p>
      <w:pPr>
        <w:spacing w:line="360" w:lineRule="auto"/>
        <w:ind w:firstLine="422" w:firstLineChars="200"/>
        <w:rPr>
          <w:rFonts w:ascii="宋体" w:hAnsi="宋体"/>
          <w:szCs w:val="21"/>
        </w:rPr>
      </w:pPr>
      <w:r>
        <w:rPr>
          <w:rFonts w:hint="eastAsia" w:ascii="宋体" w:hAnsi="宋体"/>
          <w:b/>
          <w:szCs w:val="21"/>
        </w:rPr>
        <w:t>第10行，“水电费”栏，</w:t>
      </w:r>
      <w:r>
        <w:rPr>
          <w:rFonts w:hint="eastAsia" w:ascii="宋体" w:hAnsi="宋体"/>
          <w:szCs w:val="21"/>
        </w:rPr>
        <w:t>反映由业主大会向本物业管理区域收取水电费产生的收入；本项目应根据“提供服务收入”会计科目下的 “水电费”明细科目本期发生额填列。</w:t>
      </w:r>
    </w:p>
    <w:p>
      <w:pPr>
        <w:spacing w:line="360" w:lineRule="auto"/>
        <w:ind w:firstLine="422" w:firstLineChars="200"/>
        <w:rPr>
          <w:rFonts w:ascii="宋体" w:hAnsi="宋体"/>
          <w:szCs w:val="21"/>
        </w:rPr>
      </w:pPr>
      <w:r>
        <w:rPr>
          <w:rFonts w:hint="eastAsia" w:ascii="宋体" w:hAnsi="宋体"/>
          <w:b/>
          <w:szCs w:val="21"/>
        </w:rPr>
        <w:t>第11行，“其他服务收入”栏</w:t>
      </w:r>
      <w:r>
        <w:rPr>
          <w:rFonts w:hint="eastAsia" w:ascii="宋体" w:hAnsi="宋体"/>
          <w:szCs w:val="21"/>
        </w:rPr>
        <w:t>，反映业主大会或聘请物业公司为全体业主提供日常家居等服务产生的零星收入（如：家政、户内维修等），以及除上述事项以外其他服务收入；本项目应根据“提供服务收入”会计科目下的 “其他服务收入”明细科目本期发生额填列。</w:t>
      </w:r>
    </w:p>
    <w:p>
      <w:pPr>
        <w:spacing w:line="360" w:lineRule="auto"/>
        <w:ind w:firstLine="480"/>
        <w:rPr>
          <w:rFonts w:ascii="宋体" w:hAnsi="宋体"/>
          <w:szCs w:val="21"/>
        </w:rPr>
      </w:pPr>
      <w:r>
        <w:rPr>
          <w:rFonts w:hint="eastAsia" w:ascii="宋体" w:hAnsi="宋体"/>
          <w:b/>
          <w:szCs w:val="21"/>
        </w:rPr>
        <w:t>第16行，“费用”栏，</w:t>
      </w:r>
      <w:r>
        <w:rPr>
          <w:rFonts w:hint="eastAsia" w:ascii="宋体" w:hAnsi="宋体"/>
          <w:szCs w:val="21"/>
        </w:rPr>
        <w:t>反映业主大会本期除物业专项维修资金以外的业主共有资金支出合计数。本项目应当根据 “业务活动成本”、“管理费用”、“筹资费用”和“其他费用”会计科目的本期发生额合计填列，本项目金额与业务活动表“费用”一栏金额相同。同时在“费用”项目下侧，为业务报表使用者能清晰查看，将重要的明细项目列示，具体如下：</w:t>
      </w:r>
    </w:p>
    <w:p>
      <w:pPr>
        <w:spacing w:line="360" w:lineRule="auto"/>
        <w:ind w:firstLine="495"/>
        <w:rPr>
          <w:rFonts w:ascii="宋体" w:hAnsi="宋体"/>
          <w:szCs w:val="21"/>
        </w:rPr>
      </w:pPr>
      <w:r>
        <w:rPr>
          <w:rFonts w:hint="eastAsia" w:ascii="宋体" w:hAnsi="宋体"/>
          <w:b/>
          <w:szCs w:val="21"/>
        </w:rPr>
        <w:t>第17行，“业务活动成本</w:t>
      </w:r>
      <w:r>
        <w:rPr>
          <w:rFonts w:ascii="宋体" w:hAnsi="宋体"/>
          <w:b/>
          <w:szCs w:val="21"/>
        </w:rPr>
        <w:t>”</w:t>
      </w:r>
      <w:r>
        <w:rPr>
          <w:rFonts w:hint="eastAsia" w:ascii="宋体" w:hAnsi="宋体"/>
          <w:b/>
          <w:szCs w:val="21"/>
        </w:rPr>
        <w:t>栏</w:t>
      </w:r>
      <w:r>
        <w:rPr>
          <w:rFonts w:hint="eastAsia" w:ascii="宋体" w:hAnsi="宋体"/>
          <w:szCs w:val="21"/>
        </w:rPr>
        <w:t>，反映业主大会为了实现其业务活动目标、开展其项目活动或者提供服务所发生的费用。本项目应当根据“业务活动成本”科目的发生额填列。</w:t>
      </w:r>
    </w:p>
    <w:p>
      <w:pPr>
        <w:spacing w:line="360" w:lineRule="auto"/>
        <w:ind w:firstLine="495"/>
        <w:rPr>
          <w:rFonts w:ascii="宋体" w:hAnsi="宋体"/>
          <w:szCs w:val="21"/>
        </w:rPr>
      </w:pPr>
      <w:r>
        <w:rPr>
          <w:rFonts w:hint="eastAsia" w:ascii="宋体" w:hAnsi="宋体"/>
          <w:b/>
          <w:szCs w:val="21"/>
        </w:rPr>
        <w:t>第18行，“物业服务成本”栏，</w:t>
      </w:r>
      <w:r>
        <w:rPr>
          <w:rFonts w:hint="eastAsia" w:ascii="宋体" w:hAnsi="宋体"/>
          <w:szCs w:val="21"/>
        </w:rPr>
        <w:t>反映</w:t>
      </w:r>
      <w:r>
        <w:rPr>
          <w:rFonts w:ascii="宋体" w:hAnsi="宋体"/>
          <w:szCs w:val="21"/>
        </w:rPr>
        <w:t>业主大会为</w:t>
      </w:r>
      <w:r>
        <w:rPr>
          <w:rFonts w:hint="eastAsia" w:ascii="宋体" w:hAnsi="宋体"/>
          <w:szCs w:val="21"/>
        </w:rPr>
        <w:t>开展物业管理</w:t>
      </w:r>
      <w:r>
        <w:rPr>
          <w:rFonts w:ascii="宋体" w:hAnsi="宋体"/>
          <w:szCs w:val="21"/>
        </w:rPr>
        <w:t>活动或者</w:t>
      </w:r>
      <w:r>
        <w:rPr>
          <w:rFonts w:hint="eastAsia" w:ascii="宋体" w:hAnsi="宋体"/>
          <w:szCs w:val="21"/>
        </w:rPr>
        <w:t>购买物业</w:t>
      </w:r>
      <w:r>
        <w:rPr>
          <w:rFonts w:ascii="宋体" w:hAnsi="宋体"/>
          <w:szCs w:val="21"/>
        </w:rPr>
        <w:t>服务所发生的</w:t>
      </w:r>
      <w:r>
        <w:rPr>
          <w:rFonts w:hint="eastAsia" w:ascii="宋体" w:hAnsi="宋体"/>
          <w:szCs w:val="21"/>
        </w:rPr>
        <w:t>支出</w:t>
      </w:r>
      <w:r>
        <w:rPr>
          <w:rFonts w:ascii="宋体" w:hAnsi="宋体"/>
          <w:szCs w:val="21"/>
        </w:rPr>
        <w:t>。</w:t>
      </w:r>
      <w:r>
        <w:rPr>
          <w:rFonts w:hint="eastAsia" w:ascii="宋体" w:hAnsi="宋体"/>
          <w:szCs w:val="21"/>
        </w:rPr>
        <w:t>本项目应当根据“业务活动成本”科目下“物业服务成本”二级明细科目的发生额填列。</w:t>
      </w:r>
    </w:p>
    <w:p>
      <w:pPr>
        <w:spacing w:line="360" w:lineRule="auto"/>
        <w:ind w:firstLine="495"/>
        <w:rPr>
          <w:rFonts w:ascii="宋体" w:hAnsi="宋体"/>
          <w:szCs w:val="21"/>
        </w:rPr>
      </w:pPr>
      <w:r>
        <w:rPr>
          <w:rFonts w:hint="eastAsia" w:ascii="宋体" w:hAnsi="宋体"/>
          <w:b/>
          <w:szCs w:val="21"/>
        </w:rPr>
        <w:t>第19行，“服务总体外包支出”栏，</w:t>
      </w:r>
      <w:r>
        <w:rPr>
          <w:rFonts w:hint="eastAsia" w:ascii="宋体" w:hAnsi="宋体"/>
          <w:szCs w:val="21"/>
        </w:rPr>
        <w:t>反映业主大会将本物业管理区域的物业服务以费用总额或定额包干方式支付给物业服务单位的外包支出；本项目应根据“业务活动成本”科目下“物业服务成本”二级明细科目下的“服务总体外包支出”三级科目的发生额填列。</w:t>
      </w:r>
    </w:p>
    <w:p>
      <w:pPr>
        <w:spacing w:line="360" w:lineRule="auto"/>
        <w:ind w:firstLine="420"/>
        <w:rPr>
          <w:rFonts w:ascii="宋体" w:hAnsi="宋体"/>
          <w:szCs w:val="21"/>
        </w:rPr>
      </w:pPr>
      <w:r>
        <w:rPr>
          <w:rFonts w:hint="eastAsia" w:ascii="宋体" w:hAnsi="宋体"/>
          <w:b/>
          <w:szCs w:val="21"/>
        </w:rPr>
        <w:t>第20行，“物业服务公司酬金”栏，</w:t>
      </w:r>
      <w:r>
        <w:rPr>
          <w:rFonts w:hint="eastAsia" w:ascii="宋体" w:hAnsi="宋体"/>
          <w:szCs w:val="21"/>
        </w:rPr>
        <w:t>反映业主大会以支付固定报酬、按收入或支出的一定比例向物业服务单位支付报酬等方式支付给物业服务单位的酬金；本项目应根据“业务活动成本”科目下“物业服务成本”二级明细科目下的“物业服务公司酬金”三级科目的发生额填列。</w:t>
      </w:r>
    </w:p>
    <w:p>
      <w:pPr>
        <w:spacing w:line="360" w:lineRule="auto"/>
        <w:ind w:firstLine="420"/>
        <w:rPr>
          <w:rFonts w:ascii="宋体" w:hAnsi="宋体"/>
          <w:szCs w:val="21"/>
        </w:rPr>
      </w:pPr>
      <w:r>
        <w:rPr>
          <w:rFonts w:hint="eastAsia" w:ascii="宋体" w:hAnsi="宋体"/>
          <w:b/>
          <w:szCs w:val="21"/>
        </w:rPr>
        <w:t>第21行，“人员支出”栏，</w:t>
      </w:r>
      <w:r>
        <w:rPr>
          <w:rFonts w:hint="eastAsia" w:ascii="宋体" w:hAnsi="宋体"/>
          <w:szCs w:val="21"/>
        </w:rPr>
        <w:t>反映业主大会支付的与物业服务相关的人员费用，包括聘用员工、劳务派遣员工等。本项目应根据“业务活动成本”科目下“物业服务成本”二级明细科目下的“人员支出”三级科目的发生额填列。</w:t>
      </w:r>
    </w:p>
    <w:p>
      <w:pPr>
        <w:spacing w:line="360" w:lineRule="auto"/>
        <w:ind w:firstLine="480"/>
        <w:rPr>
          <w:rFonts w:ascii="宋体" w:hAnsi="宋体"/>
          <w:szCs w:val="21"/>
        </w:rPr>
      </w:pPr>
      <w:r>
        <w:rPr>
          <w:rFonts w:hint="eastAsia" w:ascii="宋体" w:hAnsi="宋体"/>
          <w:b/>
          <w:szCs w:val="21"/>
        </w:rPr>
        <w:t>第22行，“设施运行及维护费”栏，</w:t>
      </w:r>
      <w:r>
        <w:rPr>
          <w:rFonts w:hint="eastAsia" w:ascii="宋体" w:hAnsi="宋体"/>
          <w:szCs w:val="21"/>
        </w:rPr>
        <w:t>反映业主大会所在小区公用设施设备的运行及维护费用。本项目应根据“业务活动成本”科目下“物业服务成本”二级明细科目下的“设施运行及维护费”三级科目的发生额填列。</w:t>
      </w:r>
    </w:p>
    <w:p>
      <w:pPr>
        <w:spacing w:line="360" w:lineRule="auto"/>
        <w:ind w:firstLine="480"/>
        <w:rPr>
          <w:rFonts w:ascii="宋体" w:hAnsi="宋体"/>
          <w:szCs w:val="21"/>
        </w:rPr>
      </w:pPr>
      <w:r>
        <w:rPr>
          <w:rFonts w:hint="eastAsia" w:ascii="宋体" w:hAnsi="宋体"/>
          <w:b/>
          <w:szCs w:val="21"/>
        </w:rPr>
        <w:t>第23行，“公共能源费”栏，</w:t>
      </w:r>
      <w:r>
        <w:rPr>
          <w:rFonts w:hint="eastAsia" w:ascii="宋体" w:hAnsi="宋体"/>
          <w:szCs w:val="21"/>
        </w:rPr>
        <w:t>反映业主大会所在小区承担的公用设备设施的公共能源费用支出。本项目应根据“业务活动成本”科目下“物业服务成本”二级明细科目下的“公共能源费”三级科目的发生额填列。</w:t>
      </w:r>
    </w:p>
    <w:p>
      <w:pPr>
        <w:spacing w:line="360" w:lineRule="auto"/>
        <w:ind w:firstLine="480"/>
        <w:rPr>
          <w:rFonts w:ascii="宋体" w:hAnsi="宋体"/>
          <w:szCs w:val="21"/>
        </w:rPr>
      </w:pPr>
      <w:r>
        <w:rPr>
          <w:rFonts w:hint="eastAsia" w:ascii="宋体" w:hAnsi="宋体"/>
          <w:b/>
          <w:szCs w:val="21"/>
        </w:rPr>
        <w:t>第24行，“绿化养护费”栏，</w:t>
      </w:r>
      <w:r>
        <w:rPr>
          <w:rFonts w:hint="eastAsia" w:ascii="宋体" w:hAnsi="宋体"/>
          <w:szCs w:val="21"/>
        </w:rPr>
        <w:t>反映业主大会用于绿植、草坪养护所支出的人工及耗材费用；本项目应根据“业务活动成本”科目下“物业服务成本”二级明细科目下的“绿化养护费”三级科目的发生额填列。</w:t>
      </w:r>
    </w:p>
    <w:p>
      <w:pPr>
        <w:spacing w:line="360" w:lineRule="auto"/>
        <w:ind w:firstLine="480"/>
        <w:rPr>
          <w:rFonts w:ascii="宋体" w:hAnsi="宋体"/>
          <w:szCs w:val="21"/>
        </w:rPr>
      </w:pPr>
      <w:r>
        <w:rPr>
          <w:rFonts w:hint="eastAsia" w:ascii="宋体" w:hAnsi="宋体"/>
          <w:b/>
          <w:szCs w:val="21"/>
        </w:rPr>
        <w:t>第25行，“清洁卫生费”栏，</w:t>
      </w:r>
      <w:r>
        <w:rPr>
          <w:rFonts w:hint="eastAsia" w:ascii="宋体" w:hAnsi="宋体"/>
          <w:szCs w:val="21"/>
        </w:rPr>
        <w:t>反映业主大会用于清洁卫生支出的人工及耗材费用。本项目应根据“业务活动成本”科目下“物业服务成本”二级明细科目下的“清洁卫生费”三级科目的发生额填列。</w:t>
      </w:r>
    </w:p>
    <w:p>
      <w:pPr>
        <w:spacing w:line="360" w:lineRule="auto"/>
        <w:ind w:firstLine="480"/>
        <w:rPr>
          <w:rFonts w:ascii="宋体" w:hAnsi="宋体"/>
          <w:szCs w:val="21"/>
        </w:rPr>
      </w:pPr>
      <w:r>
        <w:rPr>
          <w:rFonts w:hint="eastAsia" w:ascii="宋体" w:hAnsi="宋体"/>
          <w:b/>
          <w:szCs w:val="21"/>
        </w:rPr>
        <w:t>第26行，“安保费用”栏，</w:t>
      </w:r>
      <w:r>
        <w:rPr>
          <w:rFonts w:hint="eastAsia" w:ascii="宋体" w:hAnsi="宋体"/>
          <w:szCs w:val="21"/>
        </w:rPr>
        <w:t>反映业主大会用于安保外包及日常耗材支出。本项目应根据“业务活动成本”科目下“物业服务成本”二级明细科目下的“安保费用”三级科目的发生额填列。</w:t>
      </w:r>
    </w:p>
    <w:p>
      <w:pPr>
        <w:spacing w:line="360" w:lineRule="auto"/>
        <w:ind w:firstLine="480"/>
        <w:rPr>
          <w:rFonts w:ascii="宋体" w:hAnsi="宋体"/>
          <w:szCs w:val="21"/>
        </w:rPr>
      </w:pPr>
      <w:r>
        <w:rPr>
          <w:rFonts w:hint="eastAsia" w:ascii="宋体" w:hAnsi="宋体"/>
          <w:b/>
          <w:szCs w:val="21"/>
        </w:rPr>
        <w:t>第27行，“折旧摊销费”栏，</w:t>
      </w:r>
      <w:r>
        <w:rPr>
          <w:rFonts w:hint="eastAsia" w:ascii="宋体" w:hAnsi="宋体"/>
          <w:szCs w:val="21"/>
        </w:rPr>
        <w:t>反映业主大会除办公以外的固定资产和无形资产计提的折旧费和无形资产摊销；本项目应根据“业务活动成本”科目下“物业服务成本”二级明细科目下的“折旧摊销费”三级科目的发生额填列。</w:t>
      </w:r>
    </w:p>
    <w:p>
      <w:pPr>
        <w:spacing w:line="360" w:lineRule="auto"/>
        <w:ind w:firstLine="480"/>
        <w:rPr>
          <w:rFonts w:ascii="宋体" w:hAnsi="宋体"/>
          <w:szCs w:val="21"/>
        </w:rPr>
      </w:pPr>
      <w:r>
        <w:rPr>
          <w:rFonts w:hint="eastAsia" w:ascii="宋体" w:hAnsi="宋体"/>
          <w:b/>
          <w:szCs w:val="21"/>
        </w:rPr>
        <w:t>第28行，“税费”栏，</w:t>
      </w:r>
      <w:r>
        <w:rPr>
          <w:rFonts w:hint="eastAsia" w:ascii="宋体" w:hAnsi="宋体"/>
          <w:szCs w:val="21"/>
        </w:rPr>
        <w:t>反映应由业主大会承担的除企业所得税以外的其他税费；本项目应根据“业务活动成本”科目下“物业服务成本”二级明细科目下的“税费”三级科目的发生额填列。</w:t>
      </w:r>
    </w:p>
    <w:p>
      <w:pPr>
        <w:spacing w:line="360" w:lineRule="auto"/>
        <w:ind w:firstLine="480"/>
        <w:rPr>
          <w:rFonts w:ascii="宋体" w:hAnsi="宋体"/>
          <w:szCs w:val="21"/>
        </w:rPr>
      </w:pPr>
      <w:r>
        <w:rPr>
          <w:rFonts w:hint="eastAsia" w:ascii="宋体" w:hAnsi="宋体"/>
          <w:b/>
          <w:szCs w:val="21"/>
        </w:rPr>
        <w:t>第29行，“其他”栏，</w:t>
      </w:r>
      <w:r>
        <w:rPr>
          <w:rFonts w:hint="eastAsia" w:ascii="宋体" w:hAnsi="宋体"/>
          <w:szCs w:val="21"/>
        </w:rPr>
        <w:t>反映业主大会除上述事项以外的其他业务活动成本；本项目应根据“业务活动成本”科目下“物业服务成本”二级明细科目下的“其他”三级科目的发生额填列。如业主大会根据自身需要另行新增设立了其他三级科目，其发生额并入本项目反映。</w:t>
      </w:r>
    </w:p>
    <w:p>
      <w:pPr>
        <w:spacing w:line="360" w:lineRule="auto"/>
        <w:ind w:firstLine="495"/>
        <w:rPr>
          <w:rFonts w:ascii="宋体" w:hAnsi="宋体"/>
          <w:szCs w:val="21"/>
        </w:rPr>
      </w:pPr>
      <w:r>
        <w:rPr>
          <w:rFonts w:hint="eastAsia" w:ascii="宋体" w:hAnsi="宋体"/>
          <w:b/>
          <w:szCs w:val="21"/>
        </w:rPr>
        <w:t>第30行，“车位（库）支出</w:t>
      </w:r>
      <w:r>
        <w:rPr>
          <w:rFonts w:ascii="宋体" w:hAnsi="宋体"/>
          <w:b/>
          <w:szCs w:val="21"/>
        </w:rPr>
        <w:t>”</w:t>
      </w:r>
      <w:r>
        <w:rPr>
          <w:rFonts w:hint="eastAsia" w:ascii="宋体" w:hAnsi="宋体"/>
          <w:b/>
          <w:szCs w:val="21"/>
        </w:rPr>
        <w:t>栏，</w:t>
      </w:r>
      <w:r>
        <w:rPr>
          <w:rFonts w:hint="eastAsia" w:ascii="宋体" w:hAnsi="宋体"/>
          <w:szCs w:val="21"/>
        </w:rPr>
        <w:t>反映业主大会为维护停车位（库）达到正常可使用状态以获取车位（库）收入所发生的直接支出以及向开发商或其他单位支付的车位（库）收入分成；本项目应根据“业务活动成本”科目下“车位（库）支出”二级明细科目的发生额填列。</w:t>
      </w:r>
    </w:p>
    <w:p>
      <w:pPr>
        <w:spacing w:line="360" w:lineRule="auto"/>
        <w:ind w:firstLine="420"/>
        <w:rPr>
          <w:rFonts w:ascii="宋体" w:hAnsi="宋体"/>
          <w:szCs w:val="21"/>
        </w:rPr>
      </w:pPr>
      <w:r>
        <w:rPr>
          <w:rFonts w:hint="eastAsia" w:ascii="宋体" w:hAnsi="宋体"/>
          <w:b/>
          <w:szCs w:val="21"/>
        </w:rPr>
        <w:t>第31行，“共有物业出租支出”栏，</w:t>
      </w:r>
      <w:r>
        <w:rPr>
          <w:rFonts w:hint="eastAsia" w:ascii="宋体" w:hAnsi="宋体"/>
          <w:szCs w:val="21"/>
        </w:rPr>
        <w:t>反映业主大会为维护共有物业达到正常可使用状态以获取租金收入所发生的直接支出以及向开发商或其他单位支付的租金分成；本项目应根据“业务活动成本”科目下“共有物业出租支出”二级明细科目的发生额填列。</w:t>
      </w:r>
    </w:p>
    <w:p>
      <w:pPr>
        <w:spacing w:line="360" w:lineRule="auto"/>
        <w:ind w:firstLine="420"/>
        <w:rPr>
          <w:rFonts w:ascii="宋体" w:hAnsi="宋体"/>
          <w:szCs w:val="21"/>
        </w:rPr>
      </w:pPr>
      <w:r>
        <w:rPr>
          <w:rFonts w:hint="eastAsia" w:ascii="宋体" w:hAnsi="宋体"/>
          <w:b/>
          <w:szCs w:val="21"/>
        </w:rPr>
        <w:t>第32行，“公共场地及设备设施支出”栏，</w:t>
      </w:r>
      <w:r>
        <w:rPr>
          <w:rFonts w:hint="eastAsia" w:ascii="宋体" w:hAnsi="宋体"/>
          <w:szCs w:val="21"/>
        </w:rPr>
        <w:t>反映业主大会为维护公共场地及设备设施达到正常可使用状态以获取出租收入所发生的直接支出以及向开发商或其他单位支付的收入分成；本项目应根据“业务活动成本”科目下“公共场地及设备设施支出”二级明细科目的发生额填列。</w:t>
      </w:r>
    </w:p>
    <w:p>
      <w:pPr>
        <w:spacing w:line="360" w:lineRule="auto"/>
        <w:ind w:firstLine="420"/>
        <w:rPr>
          <w:rFonts w:ascii="宋体" w:hAnsi="宋体"/>
          <w:szCs w:val="21"/>
        </w:rPr>
      </w:pPr>
      <w:r>
        <w:rPr>
          <w:rFonts w:hint="eastAsia" w:ascii="宋体" w:hAnsi="宋体"/>
          <w:b/>
          <w:szCs w:val="21"/>
        </w:rPr>
        <w:t>第33行，“广告相关支出”栏，</w:t>
      </w:r>
      <w:r>
        <w:rPr>
          <w:rFonts w:hint="eastAsia" w:ascii="宋体" w:hAnsi="宋体"/>
          <w:szCs w:val="21"/>
        </w:rPr>
        <w:t>反映业主大会为获取广告费收入所发生的直接支出；本项目应根据“业务活动成本”科目下“广告相关支出”二级明细科目的发生额填列。</w:t>
      </w:r>
    </w:p>
    <w:p>
      <w:pPr>
        <w:spacing w:line="360" w:lineRule="auto"/>
        <w:ind w:firstLine="420"/>
        <w:rPr>
          <w:rFonts w:ascii="宋体" w:hAnsi="宋体"/>
          <w:szCs w:val="21"/>
        </w:rPr>
      </w:pPr>
      <w:r>
        <w:rPr>
          <w:rFonts w:hint="eastAsia" w:ascii="宋体" w:hAnsi="宋体"/>
          <w:b/>
          <w:szCs w:val="21"/>
        </w:rPr>
        <w:t>第34行，“水电费支出”栏，</w:t>
      </w:r>
      <w:r>
        <w:rPr>
          <w:rFonts w:hint="eastAsia" w:ascii="宋体" w:hAnsi="宋体"/>
          <w:szCs w:val="21"/>
        </w:rPr>
        <w:t>反映业主大会基于向物业管理区域收取水电费而向供水、供电部门支付的水电费；本项目应根据“业务活动成本”科目下“水电费支出”二级明细科目的发生额填列。</w:t>
      </w:r>
    </w:p>
    <w:p>
      <w:pPr>
        <w:spacing w:line="360" w:lineRule="auto"/>
        <w:ind w:firstLine="420"/>
        <w:rPr>
          <w:rFonts w:ascii="宋体" w:hAnsi="宋体"/>
          <w:szCs w:val="21"/>
        </w:rPr>
      </w:pPr>
      <w:r>
        <w:rPr>
          <w:rFonts w:hint="eastAsia" w:ascii="宋体" w:hAnsi="宋体"/>
          <w:b/>
          <w:szCs w:val="21"/>
        </w:rPr>
        <w:t>第35行，“其他支出”栏，</w:t>
      </w:r>
      <w:r>
        <w:rPr>
          <w:rFonts w:hint="eastAsia" w:ascii="宋体" w:hAnsi="宋体"/>
          <w:szCs w:val="21"/>
        </w:rPr>
        <w:t>反映业主大会为获取其他收入所发生的直接支出。本项目应根据“业务活动成本”科目下“其他支出”二级明细科目的发生额填列。</w:t>
      </w:r>
    </w:p>
    <w:p>
      <w:pPr>
        <w:spacing w:line="360" w:lineRule="auto"/>
        <w:ind w:firstLine="480"/>
        <w:rPr>
          <w:rFonts w:ascii="宋体" w:hAnsi="宋体"/>
          <w:szCs w:val="21"/>
        </w:rPr>
      </w:pPr>
      <w:r>
        <w:rPr>
          <w:rFonts w:hint="eastAsia" w:ascii="宋体" w:hAnsi="宋体"/>
          <w:b/>
          <w:szCs w:val="21"/>
        </w:rPr>
        <w:t>第36行，“管理费用”栏，</w:t>
      </w:r>
      <w:r>
        <w:rPr>
          <w:rFonts w:hint="eastAsia" w:ascii="宋体" w:hAnsi="宋体"/>
          <w:szCs w:val="21"/>
        </w:rPr>
        <w:t>反映业主大会为组织和管理其业务活动所发生的各项费用。本项目应当根据“管理费用”科目的发生额填列。</w:t>
      </w:r>
    </w:p>
    <w:p>
      <w:pPr>
        <w:spacing w:line="360" w:lineRule="auto"/>
        <w:ind w:firstLine="480"/>
        <w:rPr>
          <w:rFonts w:ascii="宋体" w:hAnsi="宋体"/>
          <w:szCs w:val="21"/>
        </w:rPr>
      </w:pPr>
      <w:r>
        <w:rPr>
          <w:rFonts w:hint="eastAsia" w:ascii="宋体" w:hAnsi="宋体"/>
          <w:b/>
          <w:szCs w:val="21"/>
        </w:rPr>
        <w:t>第37行，“人员支出”栏，</w:t>
      </w:r>
      <w:r>
        <w:rPr>
          <w:rFonts w:hint="eastAsia" w:ascii="宋体" w:hAnsi="宋体"/>
          <w:szCs w:val="21"/>
        </w:rPr>
        <w:t>反映业主大会管理人员或业委会成员的费用，包括聘用员工、劳务派遣员工等；本项目应根据“管理费用”科目下“人员支出”二级明细科目的发生额填列。</w:t>
      </w:r>
    </w:p>
    <w:p>
      <w:pPr>
        <w:spacing w:line="360" w:lineRule="auto"/>
        <w:ind w:firstLine="480"/>
        <w:rPr>
          <w:rFonts w:ascii="宋体" w:hAnsi="宋体"/>
          <w:szCs w:val="21"/>
        </w:rPr>
      </w:pPr>
      <w:r>
        <w:rPr>
          <w:rFonts w:hint="eastAsia" w:ascii="宋体" w:hAnsi="宋体"/>
          <w:b/>
          <w:szCs w:val="21"/>
        </w:rPr>
        <w:t>第38行，“业委会津贴”栏，</w:t>
      </w:r>
      <w:r>
        <w:rPr>
          <w:rFonts w:hint="eastAsia" w:ascii="宋体" w:hAnsi="宋体"/>
          <w:szCs w:val="21"/>
        </w:rPr>
        <w:t>反映业主大会支付给业委会成员的各种津贴、补贴；本项目应根据“管理费用”科目下“业委会津贴”二级明细科目的发生额填列。</w:t>
      </w:r>
    </w:p>
    <w:p>
      <w:pPr>
        <w:spacing w:line="360" w:lineRule="auto"/>
        <w:ind w:firstLine="480"/>
        <w:rPr>
          <w:rFonts w:ascii="宋体" w:hAnsi="宋体"/>
          <w:szCs w:val="21"/>
        </w:rPr>
      </w:pPr>
      <w:r>
        <w:rPr>
          <w:rFonts w:hint="eastAsia" w:ascii="宋体" w:hAnsi="宋体"/>
          <w:b/>
          <w:szCs w:val="21"/>
        </w:rPr>
        <w:t>第39行，“办公费”栏，</w:t>
      </w:r>
      <w:r>
        <w:rPr>
          <w:rFonts w:hint="eastAsia" w:ascii="宋体" w:hAnsi="宋体"/>
          <w:szCs w:val="21"/>
        </w:rPr>
        <w:t>反映业主大会日常发生</w:t>
      </w:r>
      <w:r>
        <w:rPr>
          <w:rFonts w:ascii="宋体" w:hAnsi="宋体"/>
          <w:szCs w:val="21"/>
        </w:rPr>
        <w:t>的</w:t>
      </w:r>
      <w:r>
        <w:fldChar w:fldCharType="begin"/>
      </w:r>
      <w:r>
        <w:instrText xml:space="preserve">HYPERLINK "https://baike.baidu.com/item/æå·/9427471" \t "_blank" </w:instrText>
      </w:r>
      <w:r>
        <w:fldChar w:fldCharType="separate"/>
      </w:r>
      <w:r>
        <w:rPr>
          <w:rFonts w:ascii="宋体" w:hAnsi="宋体"/>
          <w:szCs w:val="21"/>
        </w:rPr>
        <w:t>文具</w:t>
      </w:r>
      <w:r>
        <w:fldChar w:fldCharType="end"/>
      </w:r>
      <w:r>
        <w:rPr>
          <w:rFonts w:ascii="宋体" w:hAnsi="宋体"/>
          <w:szCs w:val="21"/>
        </w:rPr>
        <w:t>、</w:t>
      </w:r>
      <w:r>
        <w:fldChar w:fldCharType="begin"/>
      </w:r>
      <w:r>
        <w:instrText xml:space="preserve">HYPERLINK "https://baike.baidu.com/item/å°å·/368780" \t "_blank" </w:instrText>
      </w:r>
      <w:r>
        <w:fldChar w:fldCharType="separate"/>
      </w:r>
      <w:r>
        <w:rPr>
          <w:rFonts w:ascii="宋体" w:hAnsi="宋体"/>
          <w:szCs w:val="21"/>
        </w:rPr>
        <w:t>印刷</w:t>
      </w:r>
      <w:r>
        <w:fldChar w:fldCharType="end"/>
      </w:r>
      <w:r>
        <w:rPr>
          <w:rFonts w:ascii="宋体" w:hAnsi="宋体"/>
          <w:szCs w:val="21"/>
        </w:rPr>
        <w:t>、</w:t>
      </w:r>
      <w:r>
        <w:fldChar w:fldCharType="begin"/>
      </w:r>
      <w:r>
        <w:instrText xml:space="preserve">HYPERLINK "https://baike.baidu.com/item/é®çµ/7254476" \t "_blank" </w:instrText>
      </w:r>
      <w:r>
        <w:fldChar w:fldCharType="separate"/>
      </w:r>
      <w:r>
        <w:rPr>
          <w:rFonts w:ascii="宋体" w:hAnsi="宋体"/>
          <w:szCs w:val="21"/>
        </w:rPr>
        <w:t>邮电</w:t>
      </w:r>
      <w:r>
        <w:fldChar w:fldCharType="end"/>
      </w:r>
      <w:r>
        <w:rPr>
          <w:rFonts w:ascii="宋体" w:hAnsi="宋体"/>
          <w:szCs w:val="21"/>
        </w:rPr>
        <w:t>、办公用品及</w:t>
      </w:r>
      <w:r>
        <w:fldChar w:fldCharType="begin"/>
      </w:r>
      <w:r>
        <w:instrText xml:space="preserve">HYPERLINK "https://baike.baidu.com/item/æ¥å/2851057" \t "_blank" </w:instrText>
      </w:r>
      <w:r>
        <w:fldChar w:fldCharType="separate"/>
      </w:r>
      <w:r>
        <w:rPr>
          <w:rFonts w:ascii="宋体" w:hAnsi="宋体"/>
          <w:szCs w:val="21"/>
        </w:rPr>
        <w:t>报刊</w:t>
      </w:r>
      <w:r>
        <w:fldChar w:fldCharType="end"/>
      </w:r>
      <w:r>
        <w:rPr>
          <w:rFonts w:ascii="宋体" w:hAnsi="宋体"/>
          <w:szCs w:val="21"/>
        </w:rPr>
        <w:t>杂志等办公</w:t>
      </w:r>
      <w:r>
        <w:fldChar w:fldCharType="begin"/>
      </w:r>
      <w:r>
        <w:instrText xml:space="preserve">HYPERLINK "https://baike.baidu.com/item/è´¹ç¨/9277833" \t "_blank" </w:instrText>
      </w:r>
      <w:r>
        <w:fldChar w:fldCharType="separate"/>
      </w:r>
      <w:r>
        <w:rPr>
          <w:rFonts w:ascii="宋体" w:hAnsi="宋体"/>
          <w:szCs w:val="21"/>
        </w:rPr>
        <w:t>费用</w:t>
      </w:r>
      <w:r>
        <w:fldChar w:fldCharType="end"/>
      </w:r>
      <w:r>
        <w:rPr>
          <w:rFonts w:hint="eastAsia" w:ascii="宋体" w:hAnsi="宋体"/>
          <w:szCs w:val="21"/>
        </w:rPr>
        <w:t>；本项目应根据“管理费用”科目下“办公费”二级明细科目的发生额填列。</w:t>
      </w:r>
    </w:p>
    <w:p>
      <w:pPr>
        <w:spacing w:line="360" w:lineRule="auto"/>
        <w:ind w:firstLine="480"/>
        <w:rPr>
          <w:rFonts w:ascii="宋体" w:hAnsi="宋体"/>
          <w:szCs w:val="21"/>
        </w:rPr>
      </w:pPr>
      <w:r>
        <w:rPr>
          <w:rFonts w:hint="eastAsia" w:ascii="宋体" w:hAnsi="宋体"/>
          <w:b/>
          <w:szCs w:val="21"/>
        </w:rPr>
        <w:t>第40行，“交通差旅费”栏，</w:t>
      </w:r>
      <w:r>
        <w:rPr>
          <w:rFonts w:hint="eastAsia" w:ascii="宋体" w:hAnsi="宋体"/>
          <w:szCs w:val="21"/>
        </w:rPr>
        <w:t>反映业主大会因公报销的市内交通费（主要为公交车、出租车费等）和报销的外地差旅费（主要为住宿费、外地交通费、餐费补贴等）；本项目应根据“管理费用”科目下“交通差旅费”二级明细科目的发生额填列。</w:t>
      </w:r>
    </w:p>
    <w:p>
      <w:pPr>
        <w:spacing w:line="360" w:lineRule="auto"/>
        <w:ind w:firstLine="480"/>
        <w:rPr>
          <w:rFonts w:ascii="宋体" w:hAnsi="宋体"/>
          <w:szCs w:val="21"/>
        </w:rPr>
      </w:pPr>
      <w:r>
        <w:rPr>
          <w:rFonts w:hint="eastAsia" w:ascii="宋体" w:hAnsi="宋体"/>
          <w:b/>
          <w:szCs w:val="21"/>
        </w:rPr>
        <w:t>第41行，“党建工作经费”栏，</w:t>
      </w:r>
      <w:r>
        <w:rPr>
          <w:rFonts w:hint="eastAsia" w:ascii="宋体" w:hAnsi="宋体"/>
          <w:szCs w:val="21"/>
        </w:rPr>
        <w:t>反映业主大会与党建工作相关的经费；本项目应根据“管理费用”科目下“党建工作经费”二级明细科目的发生额填列。</w:t>
      </w:r>
    </w:p>
    <w:p>
      <w:pPr>
        <w:spacing w:line="360" w:lineRule="auto"/>
        <w:ind w:firstLine="480"/>
        <w:rPr>
          <w:rFonts w:ascii="宋体" w:hAnsi="宋体"/>
          <w:szCs w:val="21"/>
        </w:rPr>
      </w:pPr>
      <w:r>
        <w:rPr>
          <w:rFonts w:hint="eastAsia" w:ascii="宋体" w:hAnsi="宋体"/>
          <w:b/>
          <w:szCs w:val="21"/>
        </w:rPr>
        <w:t>第42行，“水电费”栏，</w:t>
      </w:r>
      <w:r>
        <w:rPr>
          <w:rFonts w:hint="eastAsia" w:ascii="宋体" w:hAnsi="宋体"/>
          <w:szCs w:val="21"/>
        </w:rPr>
        <w:t>反映业主大会办公室水电费用支出；本项目应根据“管理费用”科目下“水电费”二级明细科目的发生额填列。</w:t>
      </w:r>
    </w:p>
    <w:p>
      <w:pPr>
        <w:spacing w:line="360" w:lineRule="auto"/>
        <w:ind w:firstLine="480"/>
        <w:rPr>
          <w:rFonts w:ascii="宋体" w:hAnsi="宋体"/>
          <w:szCs w:val="21"/>
        </w:rPr>
      </w:pPr>
      <w:r>
        <w:rPr>
          <w:rFonts w:hint="eastAsia" w:ascii="宋体" w:hAnsi="宋体"/>
          <w:b/>
          <w:szCs w:val="21"/>
        </w:rPr>
        <w:t>第43行，“业务招待费”栏，</w:t>
      </w:r>
      <w:r>
        <w:rPr>
          <w:rFonts w:hint="eastAsia" w:ascii="宋体" w:hAnsi="宋体"/>
          <w:szCs w:val="21"/>
        </w:rPr>
        <w:t>反映业主大会各项因公招待费用；本项目应根据“管理费用”科目下“业务招待费”二级明细科目的发生额填列。</w:t>
      </w:r>
    </w:p>
    <w:p>
      <w:pPr>
        <w:spacing w:line="360" w:lineRule="auto"/>
        <w:ind w:firstLine="480"/>
        <w:rPr>
          <w:rFonts w:ascii="宋体" w:hAnsi="宋体"/>
          <w:szCs w:val="21"/>
        </w:rPr>
      </w:pPr>
      <w:r>
        <w:rPr>
          <w:rFonts w:hint="eastAsia" w:ascii="宋体" w:hAnsi="宋体"/>
          <w:b/>
          <w:szCs w:val="21"/>
        </w:rPr>
        <w:t>第44行，“折旧摊销”栏，</w:t>
      </w:r>
      <w:r>
        <w:rPr>
          <w:rFonts w:hint="eastAsia" w:ascii="宋体" w:hAnsi="宋体"/>
          <w:szCs w:val="21"/>
        </w:rPr>
        <w:t>反映业主大会办公用固定资产和无形资产的折旧和摊销费用；本项目应根据“管理费用”科目下“折旧摊销”二级明细科目的发生额填列。</w:t>
      </w:r>
    </w:p>
    <w:p>
      <w:pPr>
        <w:spacing w:line="360" w:lineRule="auto"/>
        <w:ind w:firstLine="480"/>
        <w:rPr>
          <w:rFonts w:ascii="宋体" w:hAnsi="宋体"/>
          <w:szCs w:val="21"/>
        </w:rPr>
      </w:pPr>
      <w:r>
        <w:rPr>
          <w:rFonts w:hint="eastAsia" w:ascii="宋体" w:hAnsi="宋体"/>
          <w:b/>
          <w:szCs w:val="21"/>
        </w:rPr>
        <w:t>第45行，“会议费”栏，</w:t>
      </w:r>
      <w:r>
        <w:rPr>
          <w:rFonts w:hint="eastAsia" w:ascii="宋体" w:hAnsi="宋体"/>
          <w:szCs w:val="21"/>
        </w:rPr>
        <w:t>反映业主大会召开各类会议所发生的费用；本项目应根据“管理费用”科目下“会议费”二级明细科目的发生额填列。</w:t>
      </w:r>
    </w:p>
    <w:p>
      <w:pPr>
        <w:spacing w:line="360" w:lineRule="auto"/>
        <w:ind w:firstLine="480"/>
        <w:rPr>
          <w:rFonts w:ascii="宋体" w:hAnsi="宋体"/>
          <w:szCs w:val="21"/>
        </w:rPr>
      </w:pPr>
      <w:r>
        <w:rPr>
          <w:rFonts w:hint="eastAsia" w:ascii="宋体" w:hAnsi="宋体"/>
          <w:b/>
          <w:szCs w:val="21"/>
        </w:rPr>
        <w:t>第46行，“其他”栏，</w:t>
      </w:r>
      <w:r>
        <w:rPr>
          <w:rFonts w:hint="eastAsia" w:ascii="宋体" w:hAnsi="宋体"/>
          <w:szCs w:val="21"/>
        </w:rPr>
        <w:t>反映上述明细以外的其他管理费用。本项目应根据“管理费用”科目下“其他”二级明细科目的发生额填列。如业主大会根据自身需要另行新增设立了其他二级科目，其发生额并入本项目反映。</w:t>
      </w:r>
    </w:p>
    <w:p>
      <w:pPr>
        <w:spacing w:line="360" w:lineRule="auto"/>
        <w:ind w:firstLine="495"/>
        <w:rPr>
          <w:rFonts w:ascii="宋体" w:hAnsi="宋体"/>
          <w:b/>
          <w:szCs w:val="21"/>
        </w:rPr>
      </w:pPr>
      <w:r>
        <w:rPr>
          <w:rFonts w:hint="eastAsia" w:ascii="宋体" w:hAnsi="宋体"/>
          <w:b/>
          <w:szCs w:val="21"/>
        </w:rPr>
        <w:t>第47行，“</w:t>
      </w:r>
      <w:r>
        <w:rPr>
          <w:rFonts w:hint="eastAsia" w:ascii="宋体" w:hAnsi="宋体" w:eastAsia="宋体" w:cs="宋体"/>
          <w:b/>
          <w:color w:val="000000"/>
          <w:kern w:val="0"/>
          <w:szCs w:val="21"/>
        </w:rPr>
        <w:t>筹资费用”栏，</w:t>
      </w:r>
      <w:r>
        <w:rPr>
          <w:rFonts w:ascii="宋体" w:hAnsi="宋体"/>
          <w:szCs w:val="21"/>
        </w:rPr>
        <w:t>反映</w:t>
      </w:r>
      <w:r>
        <w:rPr>
          <w:rFonts w:hint="eastAsia" w:ascii="宋体" w:hAnsi="宋体"/>
          <w:szCs w:val="21"/>
        </w:rPr>
        <w:t>业主大会</w:t>
      </w:r>
      <w:r>
        <w:rPr>
          <w:rFonts w:ascii="宋体" w:hAnsi="宋体"/>
          <w:szCs w:val="21"/>
        </w:rPr>
        <w:t>为筹集业务活动所需资金而发生的各项费用总额。本项目应当根据“筹资费用”科目的发生额填列。</w:t>
      </w:r>
    </w:p>
    <w:p>
      <w:pPr>
        <w:spacing w:line="360" w:lineRule="auto"/>
        <w:ind w:firstLine="495"/>
        <w:rPr>
          <w:rFonts w:ascii="宋体" w:hAnsi="宋体"/>
          <w:b/>
          <w:szCs w:val="21"/>
        </w:rPr>
      </w:pPr>
      <w:r>
        <w:rPr>
          <w:rFonts w:hint="eastAsia" w:ascii="宋体" w:hAnsi="宋体"/>
          <w:b/>
          <w:szCs w:val="21"/>
        </w:rPr>
        <w:t>第48行，“其他费用”栏，</w:t>
      </w:r>
      <w:r>
        <w:rPr>
          <w:rFonts w:hint="eastAsia" w:ascii="宋体" w:hAnsi="宋体"/>
          <w:szCs w:val="21"/>
        </w:rPr>
        <w:t>反映业主大会除以上费用项目之外发生的其他费用总额。本项目应当根据“其他费用”科目的发生额填列。</w:t>
      </w:r>
    </w:p>
    <w:p>
      <w:pPr>
        <w:spacing w:line="360" w:lineRule="auto"/>
        <w:ind w:firstLine="495"/>
        <w:rPr>
          <w:rFonts w:ascii="宋体" w:hAnsi="宋体"/>
          <w:b/>
          <w:szCs w:val="21"/>
        </w:rPr>
      </w:pPr>
      <w:r>
        <w:rPr>
          <w:rFonts w:hint="eastAsia" w:ascii="宋体" w:hAnsi="宋体"/>
          <w:b/>
          <w:szCs w:val="21"/>
        </w:rPr>
        <w:t>第49行，“本期非专项资金净资产净增加</w:t>
      </w:r>
      <w:r>
        <w:rPr>
          <w:rFonts w:ascii="宋体" w:hAnsi="宋体"/>
          <w:b/>
          <w:szCs w:val="21"/>
        </w:rPr>
        <w:t>”</w:t>
      </w:r>
      <w:r>
        <w:rPr>
          <w:rFonts w:hint="eastAsia" w:ascii="宋体" w:hAnsi="宋体"/>
          <w:b/>
          <w:szCs w:val="21"/>
        </w:rPr>
        <w:t>栏，</w:t>
      </w:r>
      <w:r>
        <w:rPr>
          <w:rFonts w:hint="eastAsia" w:ascii="宋体" w:hAnsi="宋体"/>
          <w:szCs w:val="21"/>
        </w:rPr>
        <w:t>反映本期非专项资金净资产净增加额。本项目根据第1行“收入”减去第16行“费用”栏的余额填列。</w:t>
      </w:r>
    </w:p>
    <w:p>
      <w:pPr>
        <w:spacing w:line="360" w:lineRule="auto"/>
        <w:ind w:firstLine="495"/>
        <w:rPr>
          <w:rFonts w:ascii="宋体" w:hAnsi="宋体" w:eastAsia="宋体" w:cs="宋体"/>
          <w:color w:val="000000"/>
          <w:kern w:val="0"/>
          <w:sz w:val="20"/>
          <w:szCs w:val="20"/>
        </w:rPr>
      </w:pPr>
      <w:r>
        <w:rPr>
          <w:rFonts w:hint="eastAsia" w:ascii="宋体" w:hAnsi="宋体"/>
          <w:b/>
          <w:szCs w:val="21"/>
        </w:rPr>
        <w:t>第50行，“期初非专项资金净资产”栏，</w:t>
      </w:r>
      <w:r>
        <w:rPr>
          <w:rFonts w:hint="eastAsia" w:ascii="宋体" w:hAnsi="宋体"/>
          <w:szCs w:val="21"/>
        </w:rPr>
        <w:t>填列非专项资金净资产的期初余额。</w:t>
      </w:r>
    </w:p>
    <w:p>
      <w:pPr>
        <w:spacing w:line="360" w:lineRule="auto"/>
        <w:ind w:firstLine="495"/>
        <w:rPr>
          <w:rFonts w:ascii="宋体" w:hAnsi="宋体"/>
          <w:szCs w:val="21"/>
        </w:rPr>
      </w:pPr>
      <w:r>
        <w:rPr>
          <w:rFonts w:hint="eastAsia" w:ascii="宋体" w:hAnsi="宋体"/>
          <w:b/>
          <w:szCs w:val="21"/>
        </w:rPr>
        <w:t>第51行，“其他变动”栏，</w:t>
      </w:r>
      <w:r>
        <w:rPr>
          <w:rFonts w:hint="eastAsia" w:ascii="宋体" w:hAnsi="宋体"/>
          <w:szCs w:val="21"/>
        </w:rPr>
        <w:t>反映其他因素对本期非专项资金净资产的影响金额；本项目根据非限定性净资产科目下“非专项资金净资产”明细科目发生额分析填列。</w:t>
      </w:r>
    </w:p>
    <w:p>
      <w:pPr>
        <w:spacing w:line="360" w:lineRule="auto"/>
        <w:ind w:firstLine="495"/>
        <w:rPr>
          <w:rFonts w:ascii="宋体" w:hAnsi="宋体"/>
          <w:szCs w:val="21"/>
        </w:rPr>
      </w:pPr>
      <w:r>
        <w:rPr>
          <w:rFonts w:hint="eastAsia" w:ascii="宋体" w:hAnsi="宋体"/>
          <w:b/>
          <w:szCs w:val="21"/>
        </w:rPr>
        <w:t>第52行，“期末非专项资金净资产余额”栏，</w:t>
      </w:r>
      <w:r>
        <w:rPr>
          <w:rFonts w:hint="eastAsia" w:ascii="宋体" w:hAnsi="宋体"/>
          <w:szCs w:val="21"/>
        </w:rPr>
        <w:t>反映报告期末非专项资金净资产余额；本项目根据“本期非专项资金净资产净增加”加上“期初非专项资金净资产余额”、“其他变动”栏的金额计算填列。</w:t>
      </w:r>
    </w:p>
    <w:p>
      <w:pPr>
        <w:spacing w:line="360" w:lineRule="auto"/>
        <w:ind w:firstLine="495"/>
        <w:rPr>
          <w:rFonts w:ascii="宋体" w:hAnsi="宋体"/>
          <w:szCs w:val="21"/>
        </w:rPr>
      </w:pPr>
      <w:r>
        <w:rPr>
          <w:rFonts w:hint="eastAsia" w:ascii="宋体" w:hAnsi="宋体"/>
          <w:b/>
          <w:szCs w:val="21"/>
        </w:rPr>
        <w:t>第53行，“</w:t>
      </w:r>
      <w:r>
        <w:rPr>
          <w:rFonts w:hint="eastAsia" w:ascii="宋体" w:hAnsi="宋体"/>
          <w:b/>
          <w:szCs w:val="21"/>
          <w:highlight w:val="magenta"/>
        </w:rPr>
        <w:t>物业</w:t>
      </w:r>
      <w:r>
        <w:rPr>
          <w:rFonts w:hint="eastAsia" w:ascii="宋体" w:hAnsi="宋体"/>
          <w:b/>
          <w:szCs w:val="21"/>
        </w:rPr>
        <w:t>专项维修资金净资产期初结余”栏，</w:t>
      </w:r>
      <w:r>
        <w:rPr>
          <w:rFonts w:hint="eastAsia" w:ascii="宋体" w:hAnsi="宋体"/>
          <w:szCs w:val="21"/>
        </w:rPr>
        <w:t>填列专项维修资金净资产的期初余额。</w:t>
      </w:r>
    </w:p>
    <w:p>
      <w:pPr>
        <w:spacing w:line="360" w:lineRule="auto"/>
        <w:ind w:firstLine="495"/>
        <w:rPr>
          <w:rFonts w:ascii="宋体" w:hAnsi="宋体"/>
          <w:szCs w:val="21"/>
        </w:rPr>
      </w:pPr>
      <w:r>
        <w:rPr>
          <w:rFonts w:hint="eastAsia" w:ascii="宋体" w:hAnsi="宋体"/>
          <w:b/>
          <w:szCs w:val="21"/>
        </w:rPr>
        <w:t>第54行，“</w:t>
      </w:r>
      <w:r>
        <w:rPr>
          <w:rFonts w:hint="eastAsia" w:ascii="宋体" w:hAnsi="宋体" w:eastAsia="宋体" w:cs="宋体"/>
          <w:b/>
          <w:color w:val="000000"/>
          <w:kern w:val="0"/>
          <w:szCs w:val="21"/>
        </w:rPr>
        <w:t>本期</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专项维修资金收入”栏，</w:t>
      </w:r>
      <w:r>
        <w:rPr>
          <w:rFonts w:hint="eastAsia" w:ascii="宋体" w:hAnsi="宋体" w:eastAsia="宋体" w:cs="宋体"/>
          <w:color w:val="000000"/>
          <w:kern w:val="0"/>
          <w:szCs w:val="21"/>
        </w:rPr>
        <w:t>反映收取的各项物业专项维修资金。本项目应当根据非限定性净资产科目下“专项资金净资产”二级科目下的“专项维修资金收入”三级科目的发生额填列。</w:t>
      </w:r>
    </w:p>
    <w:p>
      <w:pPr>
        <w:spacing w:line="360" w:lineRule="auto"/>
        <w:ind w:firstLine="480"/>
        <w:rPr>
          <w:rFonts w:ascii="宋体" w:hAnsi="宋体"/>
          <w:szCs w:val="21"/>
        </w:rPr>
      </w:pPr>
      <w:r>
        <w:rPr>
          <w:rFonts w:hint="eastAsia" w:ascii="宋体" w:hAnsi="宋体"/>
          <w:b/>
          <w:szCs w:val="21"/>
        </w:rPr>
        <w:t>第55行，“日常收取的</w:t>
      </w:r>
      <w:r>
        <w:rPr>
          <w:rFonts w:hint="eastAsia" w:ascii="宋体" w:hAnsi="宋体"/>
          <w:b/>
          <w:szCs w:val="21"/>
          <w:highlight w:val="magenta"/>
        </w:rPr>
        <w:t>物业</w:t>
      </w:r>
      <w:r>
        <w:rPr>
          <w:rFonts w:hint="eastAsia" w:ascii="宋体" w:hAnsi="宋体"/>
          <w:b/>
          <w:szCs w:val="21"/>
        </w:rPr>
        <w:t>专项维修资金”栏，</w:t>
      </w:r>
      <w:r>
        <w:rPr>
          <w:rFonts w:hint="eastAsia" w:ascii="宋体" w:hAnsi="宋体"/>
          <w:szCs w:val="21"/>
        </w:rPr>
        <w:t>反映业主大会收取的由业主承担的物业专项维修资金；</w:t>
      </w:r>
      <w:r>
        <w:rPr>
          <w:rFonts w:hint="eastAsia" w:ascii="宋体" w:hAnsi="宋体" w:eastAsia="宋体" w:cs="宋体"/>
          <w:color w:val="000000"/>
          <w:kern w:val="0"/>
          <w:szCs w:val="21"/>
        </w:rPr>
        <w:t>本项目应当根据非限定性净资产科目下“专项资金净资产”二级科目下的“专项维修资金收入”三级科目下的“</w:t>
      </w:r>
      <w:r>
        <w:rPr>
          <w:rFonts w:hint="eastAsia" w:ascii="宋体" w:hAnsi="宋体"/>
          <w:szCs w:val="21"/>
        </w:rPr>
        <w:t>日常收取的物业专项维修资金”明细科目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宋体" w:hAnsi="宋体"/>
          <w:b/>
          <w:szCs w:val="21"/>
        </w:rPr>
        <w:t>第56行，“首期归集的</w:t>
      </w:r>
      <w:r>
        <w:rPr>
          <w:rFonts w:hint="eastAsia" w:ascii="宋体" w:hAnsi="宋体"/>
          <w:b/>
          <w:szCs w:val="21"/>
          <w:highlight w:val="magenta"/>
        </w:rPr>
        <w:t>物业</w:t>
      </w:r>
      <w:r>
        <w:rPr>
          <w:rFonts w:hint="eastAsia" w:ascii="宋体" w:hAnsi="宋体"/>
          <w:b/>
          <w:szCs w:val="21"/>
        </w:rPr>
        <w:t>专项维修资金”栏，</w:t>
      </w:r>
      <w:r>
        <w:rPr>
          <w:rFonts w:hint="eastAsia" w:ascii="宋体" w:hAnsi="宋体"/>
          <w:szCs w:val="21"/>
        </w:rPr>
        <w:t>反映业主大会收取的由建设单位承担的物业专项维修资金，</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首期归集的</w:t>
      </w:r>
      <w:r>
        <w:rPr>
          <w:rFonts w:hint="eastAsia" w:ascii="宋体" w:hAnsi="宋体"/>
          <w:szCs w:val="21"/>
          <w:highlight w:val="magenta"/>
        </w:rPr>
        <w:t>物业</w:t>
      </w:r>
      <w:r>
        <w:rPr>
          <w:rFonts w:hint="eastAsia" w:ascii="宋体" w:hAnsi="宋体"/>
          <w:szCs w:val="21"/>
        </w:rPr>
        <w:t>专项维修资金”明细科目</w:t>
      </w:r>
      <w:r>
        <w:rPr>
          <w:rFonts w:hint="eastAsia" w:ascii="宋体" w:hAnsi="宋体" w:eastAsia="宋体" w:cs="宋体"/>
          <w:color w:val="000000"/>
          <w:kern w:val="0"/>
          <w:szCs w:val="21"/>
        </w:rPr>
        <w:t>的发生额填列。</w:t>
      </w:r>
    </w:p>
    <w:p>
      <w:pPr>
        <w:spacing w:line="360" w:lineRule="auto"/>
        <w:ind w:firstLine="480"/>
        <w:rPr>
          <w:rFonts w:ascii="宋体" w:hAnsi="宋体"/>
          <w:szCs w:val="21"/>
        </w:rPr>
      </w:pPr>
      <w:r>
        <w:rPr>
          <w:rFonts w:hint="eastAsia" w:ascii="宋体" w:hAnsi="宋体"/>
          <w:b/>
          <w:szCs w:val="21"/>
          <w:highlight w:val="magenta"/>
        </w:rPr>
        <w:t>第57行，“公共收益转入”栏，</w:t>
      </w:r>
      <w:r>
        <w:rPr>
          <w:rFonts w:hint="eastAsia" w:ascii="宋体" w:hAnsi="宋体"/>
          <w:szCs w:val="21"/>
          <w:highlight w:val="magenta"/>
        </w:rPr>
        <w:t>反映业主大会经程序确定由公共收益转入的物业专项维修资金。</w:t>
      </w:r>
      <w:r>
        <w:rPr>
          <w:rFonts w:hint="eastAsia" w:ascii="宋体" w:hAnsi="宋体" w:eastAsia="宋体" w:cs="宋体"/>
          <w:color w:val="000000"/>
          <w:kern w:val="0"/>
          <w:szCs w:val="21"/>
          <w:highlight w:val="magenta"/>
        </w:rPr>
        <w:t>本项目应当根据非限定性净资产科目下“专项资金净资产”二级科目下的“物业专项维修资金收入”三级科目下的“</w:t>
      </w:r>
      <w:r>
        <w:rPr>
          <w:rFonts w:hint="eastAsia" w:ascii="宋体" w:hAnsi="宋体"/>
          <w:szCs w:val="21"/>
          <w:highlight w:val="magenta"/>
        </w:rPr>
        <w:t>公共收益转入”明细科目</w:t>
      </w:r>
      <w:r>
        <w:rPr>
          <w:rFonts w:hint="eastAsia" w:ascii="宋体" w:hAnsi="宋体" w:eastAsia="宋体" w:cs="宋体"/>
          <w:color w:val="000000"/>
          <w:kern w:val="0"/>
          <w:szCs w:val="21"/>
          <w:highlight w:val="magenta"/>
        </w:rPr>
        <w:t>的发生额填列。</w:t>
      </w:r>
    </w:p>
    <w:p>
      <w:pPr>
        <w:spacing w:line="360" w:lineRule="auto"/>
        <w:ind w:firstLine="480"/>
        <w:rPr>
          <w:rFonts w:ascii="宋体" w:hAnsi="宋体"/>
          <w:szCs w:val="21"/>
        </w:rPr>
      </w:pPr>
      <w:r>
        <w:rPr>
          <w:rFonts w:hint="eastAsia" w:ascii="宋体" w:hAnsi="宋体"/>
          <w:b/>
          <w:szCs w:val="21"/>
        </w:rPr>
        <w:t>第58行，“利息收入”栏，</w:t>
      </w:r>
      <w:r>
        <w:rPr>
          <w:rFonts w:hint="eastAsia" w:ascii="宋体" w:hAnsi="宋体"/>
          <w:szCs w:val="21"/>
        </w:rPr>
        <w:t>反映物业专项维修资金专户产生的利息收入；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利息收入”明细科目</w:t>
      </w:r>
      <w:r>
        <w:rPr>
          <w:rFonts w:hint="eastAsia" w:ascii="宋体" w:hAnsi="宋体" w:eastAsia="宋体" w:cs="宋体"/>
          <w:color w:val="000000"/>
          <w:kern w:val="0"/>
          <w:szCs w:val="21"/>
        </w:rPr>
        <w:t>的发生额填列。</w:t>
      </w:r>
    </w:p>
    <w:p>
      <w:pPr>
        <w:spacing w:line="360" w:lineRule="auto"/>
        <w:ind w:firstLine="480"/>
        <w:rPr>
          <w:rFonts w:ascii="宋体" w:hAnsi="宋体"/>
          <w:szCs w:val="21"/>
        </w:rPr>
      </w:pPr>
      <w:r>
        <w:rPr>
          <w:rFonts w:hint="eastAsia" w:ascii="宋体" w:hAnsi="宋体"/>
          <w:b/>
          <w:szCs w:val="21"/>
        </w:rPr>
        <w:t>第59行，“其他”栏，</w:t>
      </w:r>
      <w:r>
        <w:rPr>
          <w:rFonts w:hint="eastAsia" w:ascii="宋体" w:hAnsi="宋体"/>
          <w:szCs w:val="21"/>
        </w:rPr>
        <w:t>反映应属于物业专项维修资金的其他收入；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其他”明细科目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宋体" w:hAnsi="宋体"/>
          <w:b/>
          <w:szCs w:val="21"/>
        </w:rPr>
        <w:t>第60行，“本期</w:t>
      </w:r>
      <w:r>
        <w:rPr>
          <w:rFonts w:hint="eastAsia" w:ascii="宋体" w:hAnsi="宋体"/>
          <w:b/>
          <w:szCs w:val="21"/>
          <w:highlight w:val="magenta"/>
        </w:rPr>
        <w:t>物业</w:t>
      </w:r>
      <w:r>
        <w:rPr>
          <w:rFonts w:hint="eastAsia" w:ascii="宋体" w:hAnsi="宋体"/>
          <w:b/>
          <w:szCs w:val="21"/>
        </w:rPr>
        <w:t>专项维修资金支出”栏，</w:t>
      </w:r>
      <w:r>
        <w:rPr>
          <w:rFonts w:hint="eastAsia" w:ascii="宋体" w:hAnsi="宋体"/>
          <w:szCs w:val="21"/>
        </w:rPr>
        <w:t>反映物业专项维修资金的各项实际支出。</w:t>
      </w:r>
      <w:r>
        <w:rPr>
          <w:rFonts w:hint="eastAsia" w:ascii="宋体" w:hAnsi="宋体" w:eastAsia="宋体" w:cs="宋体"/>
          <w:color w:val="000000"/>
          <w:kern w:val="0"/>
          <w:szCs w:val="21"/>
        </w:rPr>
        <w:t>本项目应当根据非限定性净资产科目下“专项资金净资产”二级科目的发生额填列。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第61行，“期末</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专项维修基金余额”栏，</w:t>
      </w:r>
      <w:r>
        <w:rPr>
          <w:rFonts w:hint="eastAsia" w:ascii="宋体" w:hAnsi="宋体" w:eastAsia="宋体" w:cs="宋体"/>
          <w:color w:val="000000"/>
          <w:kern w:val="0"/>
          <w:szCs w:val="21"/>
        </w:rPr>
        <w:t>根据“物业专项维修资金净资产期初结余”加上“本期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专项维修资金收入”再减去“本期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专项维修基金支出”计算填列。</w:t>
      </w:r>
    </w:p>
    <w:p>
      <w:pPr>
        <w:spacing w:line="360" w:lineRule="auto"/>
        <w:ind w:firstLine="495"/>
        <w:rPr>
          <w:rFonts w:ascii="宋体" w:hAnsi="宋体" w:eastAsia="宋体" w:cs="宋体"/>
          <w:color w:val="000000"/>
          <w:kern w:val="0"/>
          <w:szCs w:val="21"/>
          <w:highlight w:val="magenta"/>
        </w:rPr>
      </w:pPr>
      <w:r>
        <w:rPr>
          <w:rFonts w:hint="eastAsia" w:ascii="宋体" w:hAnsi="宋体" w:eastAsia="宋体" w:cs="宋体"/>
          <w:b/>
          <w:color w:val="000000"/>
          <w:kern w:val="0"/>
          <w:szCs w:val="21"/>
          <w:highlight w:val="magenta"/>
        </w:rPr>
        <w:t>第62行，“暂存市物业专项维修资金专户金额”栏，</w:t>
      </w:r>
      <w:r>
        <w:rPr>
          <w:rFonts w:hint="eastAsia" w:ascii="宋体" w:hAnsi="宋体" w:eastAsia="宋体" w:cs="宋体"/>
          <w:color w:val="000000"/>
          <w:kern w:val="0"/>
          <w:szCs w:val="21"/>
          <w:highlight w:val="magenta"/>
        </w:rPr>
        <w:t>反映业主大会暂存在</w:t>
      </w:r>
      <w:r>
        <w:rPr>
          <w:rFonts w:hint="eastAsia" w:ascii="宋体" w:hAnsi="宋体" w:eastAsia="宋体" w:cs="宋体"/>
          <w:b/>
          <w:color w:val="000000"/>
          <w:kern w:val="0"/>
          <w:szCs w:val="21"/>
          <w:highlight w:val="magenta"/>
        </w:rPr>
        <w:t>市物业专项维修资金</w:t>
      </w:r>
      <w:r>
        <w:rPr>
          <w:rFonts w:hint="eastAsia" w:ascii="宋体" w:hAnsi="宋体" w:eastAsia="宋体" w:cs="宋体"/>
          <w:color w:val="000000"/>
          <w:kern w:val="0"/>
          <w:szCs w:val="21"/>
          <w:highlight w:val="magenta"/>
        </w:rPr>
        <w:t>专户的余额，根据“暂存市物业专项维修资金专户”科目余额填列；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highlight w:val="magenta"/>
        </w:rPr>
        <w:t>第63行，“自管金额”栏，</w:t>
      </w:r>
      <w:r>
        <w:rPr>
          <w:rFonts w:hint="eastAsia" w:ascii="宋体" w:hAnsi="宋体" w:eastAsia="宋体" w:cs="宋体"/>
          <w:color w:val="000000"/>
          <w:kern w:val="0"/>
          <w:szCs w:val="21"/>
          <w:highlight w:val="magenta"/>
        </w:rPr>
        <w:t>反映业主大会自管或临时提取维修备用金由业主大会自管的物业专项维修资金余额，本科目应根据货币资金相关科目分析填列；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第64行，“期末非限定性净资产余额”栏，</w:t>
      </w:r>
      <w:r>
        <w:rPr>
          <w:rFonts w:hint="eastAsia" w:ascii="宋体" w:hAnsi="宋体" w:eastAsia="宋体" w:cs="宋体"/>
          <w:color w:val="000000"/>
          <w:kern w:val="0"/>
          <w:szCs w:val="21"/>
        </w:rPr>
        <w:t>根据“期末非专项资金净资产余额”加上“期末物业专项维修基金余额”计算填列。</w:t>
      </w:r>
    </w:p>
    <w:p>
      <w:pPr>
        <w:spacing w:line="360" w:lineRule="auto"/>
        <w:ind w:firstLine="422" w:firstLineChars="200"/>
        <w:rPr>
          <w:rFonts w:ascii="宋体" w:hAnsi="宋体"/>
          <w:szCs w:val="21"/>
        </w:rPr>
      </w:pPr>
      <w:r>
        <w:rPr>
          <w:rFonts w:hint="eastAsia" w:ascii="宋体" w:hAnsi="宋体"/>
          <w:b/>
          <w:szCs w:val="21"/>
        </w:rPr>
        <w:t>第65行，“期初结余”项目</w:t>
      </w:r>
      <w:r>
        <w:rPr>
          <w:rFonts w:hint="eastAsia" w:ascii="宋体" w:hAnsi="宋体"/>
          <w:szCs w:val="21"/>
        </w:rPr>
        <w:t>，反映业主大会货币资金的期初余额。本项目应当根据“现金”、“银行存款”和“其他货币资金”会计科目期初合计数填列。</w:t>
      </w:r>
    </w:p>
    <w:p>
      <w:pPr>
        <w:spacing w:line="360" w:lineRule="auto"/>
        <w:ind w:firstLine="422" w:firstLineChars="200"/>
        <w:rPr>
          <w:rFonts w:ascii="宋体" w:hAnsi="宋体"/>
          <w:szCs w:val="21"/>
        </w:rPr>
      </w:pPr>
      <w:r>
        <w:rPr>
          <w:rFonts w:hint="eastAsia" w:ascii="宋体" w:hAnsi="宋体"/>
          <w:b/>
          <w:szCs w:val="21"/>
        </w:rPr>
        <w:t>第66行，“其中：共有资金账户账面余额”项目，反映</w:t>
      </w:r>
      <w:r>
        <w:rPr>
          <w:rFonts w:hint="eastAsia" w:ascii="宋体" w:hAnsi="宋体"/>
          <w:szCs w:val="21"/>
        </w:rPr>
        <w:t>业主大会货币资金中银行存款的期初余额，本项目应当根据 “银行存款”期初合计数填列。</w:t>
      </w:r>
    </w:p>
    <w:p>
      <w:pPr>
        <w:spacing w:line="360" w:lineRule="auto"/>
        <w:ind w:firstLine="495"/>
        <w:rPr>
          <w:rFonts w:ascii="宋体" w:hAnsi="宋体"/>
          <w:szCs w:val="21"/>
        </w:rPr>
      </w:pPr>
      <w:r>
        <w:rPr>
          <w:rFonts w:hint="eastAsia" w:ascii="宋体" w:hAnsi="宋体"/>
          <w:b/>
          <w:szCs w:val="21"/>
        </w:rPr>
        <w:t>第67行，“本期增加”项目</w:t>
      </w:r>
      <w:r>
        <w:rPr>
          <w:rFonts w:hint="eastAsia" w:ascii="宋体" w:hAnsi="宋体"/>
          <w:szCs w:val="21"/>
        </w:rPr>
        <w:t>，反映业主大会货币资金的本期增加金额。本项目应当根据“现金”、“银行存款”和“其他货币资金”会计科目本期借方发生额合计数填列。</w:t>
      </w:r>
    </w:p>
    <w:p>
      <w:pPr>
        <w:spacing w:line="360" w:lineRule="auto"/>
        <w:ind w:firstLine="495"/>
        <w:rPr>
          <w:rFonts w:ascii="宋体" w:hAnsi="宋体"/>
          <w:szCs w:val="21"/>
        </w:rPr>
      </w:pPr>
      <w:r>
        <w:rPr>
          <w:rFonts w:hint="eastAsia" w:ascii="宋体" w:hAnsi="宋体"/>
          <w:b/>
          <w:szCs w:val="21"/>
        </w:rPr>
        <w:t>第68行，“本期减少”项目</w:t>
      </w:r>
      <w:r>
        <w:rPr>
          <w:rFonts w:hint="eastAsia" w:ascii="宋体" w:hAnsi="宋体"/>
          <w:szCs w:val="21"/>
        </w:rPr>
        <w:t>，反映业主大会货币资金的本期减少金额。本项目应当根据“现金”、“银行存款”和“其他货币资金”会计科目本期贷方发生额合计数填列。</w:t>
      </w:r>
    </w:p>
    <w:p>
      <w:pPr>
        <w:spacing w:line="360" w:lineRule="auto"/>
        <w:ind w:firstLine="422" w:firstLineChars="200"/>
        <w:rPr>
          <w:rFonts w:ascii="宋体" w:hAnsi="宋体"/>
          <w:szCs w:val="21"/>
        </w:rPr>
      </w:pPr>
      <w:r>
        <w:rPr>
          <w:rFonts w:hint="eastAsia" w:ascii="宋体" w:hAnsi="宋体"/>
          <w:b/>
          <w:szCs w:val="21"/>
        </w:rPr>
        <w:t>第69行，“期末结余”项目，</w:t>
      </w:r>
      <w:r>
        <w:rPr>
          <w:rFonts w:hint="eastAsia" w:ascii="宋体" w:hAnsi="宋体"/>
          <w:szCs w:val="21"/>
        </w:rPr>
        <w:t>反映业主大会货币资金的期末余额。本项目应当根据“现金”、“银行存款”和“其他货币资金”会计科目期末合计数填列。</w:t>
      </w:r>
    </w:p>
    <w:p>
      <w:pPr>
        <w:spacing w:line="360" w:lineRule="auto"/>
        <w:ind w:firstLine="422" w:firstLineChars="200"/>
        <w:rPr>
          <w:rFonts w:ascii="宋体" w:hAnsi="宋体"/>
          <w:szCs w:val="21"/>
        </w:rPr>
      </w:pPr>
      <w:r>
        <w:rPr>
          <w:rFonts w:hint="eastAsia" w:ascii="宋体" w:hAnsi="宋体"/>
          <w:b/>
          <w:szCs w:val="21"/>
        </w:rPr>
        <w:t>第70行，“其中：共有资金账户账面余额”项目，</w:t>
      </w:r>
      <w:r>
        <w:rPr>
          <w:rFonts w:hint="eastAsia" w:ascii="宋体" w:hAnsi="宋体"/>
          <w:szCs w:val="21"/>
        </w:rPr>
        <w:t>反映业主大会货币资金中银行存款的期末余额。本项目应当根据 “银行存款”会计科目期末合计数填列。</w:t>
      </w:r>
    </w:p>
    <w:p>
      <w:pPr>
        <w:spacing w:line="360" w:lineRule="auto"/>
        <w:ind w:firstLine="422" w:firstLineChars="200"/>
        <w:rPr>
          <w:rFonts w:ascii="宋体" w:hAnsi="宋体"/>
          <w:szCs w:val="21"/>
        </w:rPr>
      </w:pPr>
      <w:r>
        <w:rPr>
          <w:rFonts w:hint="eastAsia" w:ascii="宋体" w:hAnsi="宋体"/>
          <w:b/>
          <w:szCs w:val="21"/>
        </w:rPr>
        <w:t>第71行，“未达账项”项目，</w:t>
      </w:r>
      <w:r>
        <w:rPr>
          <w:rFonts w:hint="eastAsia" w:ascii="宋体" w:hAnsi="宋体"/>
          <w:szCs w:val="21"/>
        </w:rPr>
        <w:t>反映业主大会期末银行存款账面余额与共有资金账户银行对账单余额的差额，本项目应当根据 “银行存款”会计科目发生额与共有资金账户银行对账单发生额核对后填列。</w:t>
      </w:r>
    </w:p>
    <w:p>
      <w:pPr>
        <w:spacing w:line="360" w:lineRule="auto"/>
        <w:ind w:firstLine="422" w:firstLineChars="200"/>
        <w:rPr>
          <w:rFonts w:ascii="宋体" w:hAnsi="宋体"/>
          <w:szCs w:val="21"/>
        </w:rPr>
      </w:pPr>
      <w:r>
        <w:rPr>
          <w:rFonts w:hint="eastAsia" w:ascii="宋体" w:hAnsi="宋体"/>
          <w:b/>
          <w:szCs w:val="21"/>
        </w:rPr>
        <w:t>第72行，“期末共有资金账户银行对账单余额”，</w:t>
      </w:r>
      <w:r>
        <w:rPr>
          <w:rFonts w:hint="eastAsia" w:ascii="宋体" w:hAnsi="宋体"/>
          <w:szCs w:val="21"/>
        </w:rPr>
        <w:t>反映业主大会期末共有资金账户银行对账单余额，本项目应当根据期末“银行存款”余额与未达账项计算填列，数据应与期末共有资金账户银行对账单上载明的金额一致。</w:t>
      </w:r>
    </w:p>
    <w:p>
      <w:pPr>
        <w:spacing w:line="360" w:lineRule="auto"/>
        <w:ind w:firstLine="422" w:firstLineChars="200"/>
        <w:rPr>
          <w:rFonts w:ascii="宋体" w:hAnsi="宋体"/>
          <w:b/>
          <w:szCs w:val="21"/>
        </w:rPr>
      </w:pPr>
    </w:p>
    <w:p>
      <w:pPr>
        <w:pStyle w:val="3"/>
        <w:spacing w:before="0" w:after="0" w:line="360" w:lineRule="auto"/>
        <w:jc w:val="center"/>
        <w:rPr>
          <w:sz w:val="24"/>
        </w:rPr>
      </w:pPr>
      <w:bookmarkStart w:id="27" w:name="_Toc15388371"/>
      <w:r>
        <w:rPr>
          <w:rFonts w:hint="eastAsia" w:ascii="宋体" w:hAnsi="宋体"/>
          <w:sz w:val="24"/>
        </w:rPr>
        <w:t>第四章  专项维修资金收支明细表</w:t>
      </w:r>
      <w:bookmarkEnd w:id="27"/>
    </w:p>
    <w:p>
      <w:pPr>
        <w:spacing w:line="360" w:lineRule="auto"/>
        <w:ind w:firstLine="495"/>
        <w:rPr>
          <w:rFonts w:ascii="宋体" w:hAnsi="宋体"/>
          <w:szCs w:val="21"/>
        </w:rPr>
      </w:pPr>
    </w:p>
    <w:p>
      <w:pPr>
        <w:spacing w:line="360" w:lineRule="auto"/>
        <w:ind w:firstLine="495"/>
        <w:rPr>
          <w:rFonts w:ascii="宋体" w:hAnsi="宋体"/>
          <w:szCs w:val="21"/>
        </w:rPr>
      </w:pPr>
      <w:r>
        <w:rPr>
          <w:rFonts w:hint="eastAsia" w:ascii="宋体" w:hAnsi="宋体"/>
          <w:szCs w:val="21"/>
          <w:highlight w:val="magenta"/>
        </w:rPr>
        <w:t>本表根据“非限定性净资产”科目下“专项资金净资产”二级科目及下属各明细科目分析填列。</w:t>
      </w:r>
    </w:p>
    <w:p>
      <w:pPr>
        <w:spacing w:line="360" w:lineRule="auto"/>
        <w:ind w:firstLine="495"/>
        <w:rPr>
          <w:rFonts w:ascii="宋体" w:hAnsi="宋体"/>
          <w:szCs w:val="21"/>
        </w:rPr>
      </w:pPr>
      <w:r>
        <w:rPr>
          <w:rFonts w:hint="eastAsia" w:ascii="宋体" w:hAnsi="宋体"/>
          <w:szCs w:val="21"/>
        </w:rPr>
        <w:t>第1列“楼栋号”，填写业主大会财务软件系统或物业收费系统的楼栋号。</w:t>
      </w:r>
    </w:p>
    <w:p>
      <w:pPr>
        <w:spacing w:line="360" w:lineRule="auto"/>
        <w:ind w:firstLine="495"/>
        <w:rPr>
          <w:rFonts w:ascii="宋体" w:hAnsi="宋体"/>
          <w:szCs w:val="21"/>
        </w:rPr>
      </w:pPr>
      <w:r>
        <w:rPr>
          <w:rFonts w:hint="eastAsia" w:ascii="宋体" w:hAnsi="宋体"/>
          <w:szCs w:val="21"/>
          <w:highlight w:val="magenta"/>
        </w:rPr>
        <w:t>第2列“期初结余”，填列本楼栋的业主承担的物业专项维修资金截止报告期初的结余，亏空以负数反映；</w:t>
      </w:r>
    </w:p>
    <w:p>
      <w:pPr>
        <w:spacing w:line="360" w:lineRule="auto"/>
        <w:ind w:firstLine="495"/>
        <w:rPr>
          <w:rFonts w:ascii="宋体" w:hAnsi="宋体"/>
          <w:szCs w:val="21"/>
        </w:rPr>
      </w:pPr>
      <w:r>
        <w:rPr>
          <w:rFonts w:hint="eastAsia" w:ascii="宋体" w:hAnsi="宋体"/>
          <w:szCs w:val="21"/>
        </w:rPr>
        <w:t>第3列“本期归集”，填列业主大会本期收取的本楼栋的业主承担的物业专项维修资金；</w:t>
      </w:r>
    </w:p>
    <w:p>
      <w:pPr>
        <w:spacing w:line="360" w:lineRule="auto"/>
        <w:ind w:firstLine="495"/>
        <w:rPr>
          <w:rFonts w:ascii="宋体" w:hAnsi="宋体"/>
          <w:szCs w:val="21"/>
        </w:rPr>
      </w:pPr>
      <w:r>
        <w:rPr>
          <w:rFonts w:hint="eastAsia" w:ascii="宋体" w:hAnsi="宋体"/>
          <w:szCs w:val="21"/>
        </w:rPr>
        <w:t>第4列“本期支出”，填列业主大会本期支出的本楼栋的业主承担的物业专项维修资金；</w:t>
      </w:r>
    </w:p>
    <w:p>
      <w:pPr>
        <w:spacing w:line="360" w:lineRule="auto"/>
        <w:ind w:firstLine="495"/>
        <w:rPr>
          <w:rFonts w:ascii="宋体" w:hAnsi="宋体"/>
          <w:szCs w:val="21"/>
        </w:rPr>
      </w:pPr>
      <w:r>
        <w:rPr>
          <w:rFonts w:hint="eastAsia" w:ascii="宋体" w:hAnsi="宋体"/>
          <w:szCs w:val="21"/>
        </w:rPr>
        <w:t>第5列“本年累计归集”，填列业主大会本年累计收取的本楼栋的业主承担的物业专项维修资金；</w:t>
      </w:r>
    </w:p>
    <w:p>
      <w:pPr>
        <w:spacing w:line="360" w:lineRule="auto"/>
        <w:ind w:firstLine="495"/>
        <w:rPr>
          <w:rFonts w:ascii="宋体" w:hAnsi="宋体"/>
          <w:szCs w:val="21"/>
        </w:rPr>
      </w:pPr>
      <w:r>
        <w:rPr>
          <w:rFonts w:hint="eastAsia" w:ascii="宋体" w:hAnsi="宋体"/>
          <w:szCs w:val="21"/>
        </w:rPr>
        <w:t>第6列“本年累计支出”，填列业主大会本年累计支出的本楼栋的业主承担的物业专项维修资金；</w:t>
      </w:r>
    </w:p>
    <w:p>
      <w:pPr>
        <w:spacing w:line="360" w:lineRule="auto"/>
        <w:ind w:firstLine="495"/>
        <w:rPr>
          <w:rFonts w:ascii="宋体" w:hAnsi="宋体"/>
          <w:szCs w:val="21"/>
        </w:rPr>
      </w:pPr>
      <w:r>
        <w:rPr>
          <w:rFonts w:hint="eastAsia" w:ascii="宋体" w:hAnsi="宋体"/>
          <w:szCs w:val="21"/>
        </w:rPr>
        <w:t>第7列“期末结余”，填列本楼栋的业主承担的物业专项维修资金截止报告期末的结余，亏空以负数反映；</w:t>
      </w:r>
    </w:p>
    <w:p>
      <w:pPr>
        <w:spacing w:line="360" w:lineRule="auto"/>
        <w:ind w:firstLine="495"/>
        <w:rPr>
          <w:rFonts w:ascii="宋体" w:hAnsi="宋体"/>
          <w:szCs w:val="21"/>
        </w:rPr>
      </w:pPr>
      <w:r>
        <w:rPr>
          <w:rFonts w:hint="eastAsia" w:ascii="宋体" w:hAnsi="宋体"/>
          <w:szCs w:val="21"/>
        </w:rPr>
        <w:t>第8列“年初结余”，填列本楼栋的业主承担的物业专项维修资金年初的结余，亏空以负数反映；</w:t>
      </w:r>
    </w:p>
    <w:p>
      <w:pPr>
        <w:spacing w:line="360" w:lineRule="auto"/>
        <w:ind w:firstLine="495"/>
        <w:rPr>
          <w:rFonts w:ascii="宋体" w:hAnsi="宋体"/>
          <w:szCs w:val="21"/>
        </w:rPr>
      </w:pPr>
      <w:r>
        <w:rPr>
          <w:rFonts w:hint="eastAsia" w:ascii="宋体" w:hAnsi="宋体"/>
          <w:szCs w:val="21"/>
        </w:rPr>
        <w:t>第9列“备注”，填写与各楼栋与物业专项维修资金相关的其他重要情况。</w:t>
      </w:r>
    </w:p>
    <w:p/>
    <w:p/>
    <w:p/>
    <w:p>
      <w:pPr>
        <w:widowControl/>
        <w:jc w:val="left"/>
      </w:pPr>
      <w:r>
        <w:br w:type="page"/>
      </w:r>
    </w:p>
    <w:p/>
    <w:p>
      <w:pPr>
        <w:pStyle w:val="2"/>
        <w:spacing w:before="0" w:after="0" w:line="360" w:lineRule="auto"/>
        <w:jc w:val="center"/>
        <w:rPr>
          <w:sz w:val="36"/>
        </w:rPr>
      </w:pPr>
      <w:bookmarkStart w:id="28" w:name="_Toc15388372"/>
      <w:r>
        <w:rPr>
          <w:rFonts w:hint="eastAsia"/>
          <w:sz w:val="36"/>
        </w:rPr>
        <w:t>第五部分  附件</w:t>
      </w:r>
      <w:bookmarkEnd w:id="28"/>
    </w:p>
    <w:p>
      <w:pPr>
        <w:spacing w:line="480" w:lineRule="auto"/>
        <w:rPr>
          <w:rFonts w:ascii="宋体" w:hAnsi="宋体"/>
          <w:sz w:val="24"/>
          <w:szCs w:val="32"/>
          <w:highlight w:val="yellow"/>
        </w:rPr>
      </w:pPr>
    </w:p>
    <w:p>
      <w:pPr>
        <w:spacing w:line="480" w:lineRule="auto"/>
        <w:ind w:firstLine="440" w:firstLineChars="200"/>
        <w:rPr>
          <w:rFonts w:ascii="宋体" w:hAnsi="宋体"/>
          <w:sz w:val="22"/>
          <w:szCs w:val="32"/>
          <w:highlight w:val="yellow"/>
        </w:rPr>
      </w:pPr>
      <w:r>
        <w:rPr>
          <w:rFonts w:hint="eastAsia" w:ascii="宋体" w:hAnsi="宋体"/>
          <w:sz w:val="22"/>
          <w:szCs w:val="32"/>
          <w:highlight w:val="yellow"/>
        </w:rPr>
        <w:t>附件一  会计报表</w:t>
      </w:r>
    </w:p>
    <w:p>
      <w:pPr>
        <w:spacing w:line="480" w:lineRule="auto"/>
        <w:ind w:firstLine="1320" w:firstLineChars="600"/>
        <w:rPr>
          <w:rFonts w:ascii="宋体" w:hAnsi="宋体"/>
          <w:sz w:val="22"/>
          <w:szCs w:val="32"/>
        </w:rPr>
      </w:pPr>
      <w:r>
        <w:rPr>
          <w:rFonts w:hint="eastAsia" w:ascii="宋体" w:hAnsi="宋体"/>
          <w:sz w:val="22"/>
          <w:szCs w:val="32"/>
          <w:highlight w:val="yellow"/>
        </w:rPr>
        <w:t>资产负债表（</w:t>
      </w:r>
      <w:r>
        <w:rPr>
          <w:rFonts w:hint="eastAsia" w:ascii="宋体" w:hAnsi="宋体"/>
          <w:sz w:val="22"/>
          <w:szCs w:val="32"/>
        </w:rPr>
        <w:t>会民非01表）</w:t>
      </w:r>
    </w:p>
    <w:p>
      <w:pPr>
        <w:spacing w:line="480" w:lineRule="auto"/>
        <w:ind w:firstLine="1320" w:firstLineChars="600"/>
        <w:rPr>
          <w:rFonts w:ascii="宋体" w:hAnsi="宋体"/>
          <w:sz w:val="22"/>
          <w:szCs w:val="32"/>
        </w:rPr>
      </w:pPr>
      <w:r>
        <w:rPr>
          <w:rFonts w:hint="eastAsia" w:ascii="宋体" w:hAnsi="宋体"/>
          <w:sz w:val="22"/>
          <w:szCs w:val="32"/>
          <w:highlight w:val="yellow"/>
        </w:rPr>
        <w:t>业务活动表（</w:t>
      </w:r>
      <w:r>
        <w:rPr>
          <w:rFonts w:hint="eastAsia" w:ascii="宋体" w:hAnsi="宋体"/>
          <w:sz w:val="22"/>
          <w:szCs w:val="32"/>
        </w:rPr>
        <w:t>会民非02表）</w:t>
      </w:r>
    </w:p>
    <w:p>
      <w:pPr>
        <w:spacing w:line="480" w:lineRule="auto"/>
        <w:ind w:firstLine="1320" w:firstLineChars="600"/>
        <w:rPr>
          <w:rFonts w:ascii="宋体" w:hAnsi="宋体"/>
          <w:sz w:val="22"/>
          <w:szCs w:val="32"/>
        </w:rPr>
      </w:pPr>
      <w:r>
        <w:rPr>
          <w:rFonts w:hint="eastAsia" w:ascii="宋体" w:hAnsi="宋体"/>
          <w:sz w:val="22"/>
          <w:szCs w:val="32"/>
          <w:highlight w:val="yellow"/>
        </w:rPr>
        <w:t>现金流量表（</w:t>
      </w:r>
      <w:r>
        <w:rPr>
          <w:rFonts w:hint="eastAsia" w:ascii="宋体" w:hAnsi="宋体"/>
          <w:sz w:val="22"/>
          <w:szCs w:val="32"/>
        </w:rPr>
        <w:t>会民非03表）</w:t>
      </w:r>
    </w:p>
    <w:p>
      <w:pPr>
        <w:spacing w:line="480" w:lineRule="auto"/>
        <w:ind w:firstLine="440" w:firstLineChars="200"/>
        <w:rPr>
          <w:rFonts w:ascii="宋体" w:hAnsi="宋体"/>
          <w:sz w:val="22"/>
          <w:szCs w:val="32"/>
          <w:highlight w:val="yellow"/>
        </w:rPr>
      </w:pPr>
      <w:r>
        <w:rPr>
          <w:rFonts w:hint="eastAsia" w:ascii="宋体" w:hAnsi="宋体"/>
          <w:sz w:val="22"/>
          <w:szCs w:val="32"/>
          <w:highlight w:val="yellow"/>
        </w:rPr>
        <w:t>附件二  会计科目表</w:t>
      </w:r>
    </w:p>
    <w:p>
      <w:pPr>
        <w:spacing w:line="480" w:lineRule="auto"/>
        <w:ind w:firstLine="440" w:firstLineChars="200"/>
        <w:rPr>
          <w:rFonts w:ascii="宋体" w:hAnsi="宋体"/>
          <w:sz w:val="22"/>
          <w:szCs w:val="32"/>
        </w:rPr>
      </w:pPr>
      <w:r>
        <w:rPr>
          <w:rFonts w:hint="eastAsia" w:ascii="宋体" w:hAnsi="宋体"/>
          <w:sz w:val="22"/>
          <w:szCs w:val="32"/>
          <w:highlight w:val="yellow"/>
        </w:rPr>
        <w:t>附件三  业务报表</w:t>
      </w:r>
    </w:p>
    <w:p>
      <w:pPr>
        <w:spacing w:line="480" w:lineRule="auto"/>
        <w:ind w:firstLine="1320" w:firstLineChars="600"/>
        <w:rPr>
          <w:rFonts w:ascii="宋体" w:hAnsi="宋体"/>
          <w:sz w:val="22"/>
          <w:szCs w:val="32"/>
        </w:rPr>
      </w:pPr>
      <w:r>
        <w:rPr>
          <w:rFonts w:hint="eastAsia" w:ascii="宋体" w:hAnsi="宋体"/>
          <w:sz w:val="22"/>
          <w:szCs w:val="32"/>
        </w:rPr>
        <w:t>01-1应收账款-应收业主款明细表</w:t>
      </w:r>
    </w:p>
    <w:p>
      <w:pPr>
        <w:spacing w:line="480" w:lineRule="auto"/>
        <w:ind w:firstLine="1320" w:firstLineChars="600"/>
        <w:rPr>
          <w:rFonts w:ascii="宋体" w:hAnsi="宋体"/>
          <w:sz w:val="22"/>
          <w:szCs w:val="32"/>
        </w:rPr>
      </w:pPr>
      <w:r>
        <w:rPr>
          <w:rFonts w:hint="eastAsia" w:ascii="宋体" w:hAnsi="宋体"/>
          <w:sz w:val="22"/>
          <w:szCs w:val="32"/>
        </w:rPr>
        <w:t>02-1业务收支情况明细表</w:t>
      </w:r>
    </w:p>
    <w:p>
      <w:pPr>
        <w:spacing w:line="480" w:lineRule="auto"/>
        <w:ind w:firstLine="1320" w:firstLineChars="600"/>
        <w:rPr>
          <w:rFonts w:ascii="宋体" w:hAnsi="宋体"/>
          <w:sz w:val="22"/>
          <w:szCs w:val="32"/>
        </w:rPr>
      </w:pPr>
      <w:r>
        <w:rPr>
          <w:rFonts w:hint="eastAsia" w:ascii="宋体" w:hAnsi="宋体"/>
          <w:sz w:val="22"/>
          <w:szCs w:val="32"/>
        </w:rPr>
        <w:t>02-2物业专项维修资金收支明细表</w:t>
      </w:r>
    </w:p>
    <w:p>
      <w:pPr>
        <w:spacing w:line="360" w:lineRule="auto"/>
        <w:ind w:firstLine="420" w:firstLineChars="200"/>
        <w:rPr>
          <w:rFonts w:ascii="宋体" w:hAnsi="宋体"/>
          <w:szCs w:val="21"/>
        </w:rPr>
      </w:pPr>
    </w:p>
    <w:sectPr>
      <w:footerReference r:id="rId4" w:type="default"/>
      <w:pgSz w:w="11906" w:h="16838"/>
      <w:pgMar w:top="1418" w:right="1418" w:bottom="1418" w:left="1418" w:header="737" w:footer="73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rPr>
    </w:pPr>
    <w:r>
      <w:rPr>
        <w:rFonts w:ascii="宋体" w:hAnsi="宋体"/>
        <w:b/>
        <w:bCs/>
        <w:sz w:val="24"/>
        <w:szCs w:val="24"/>
      </w:rPr>
      <w:fldChar w:fldCharType="begin"/>
    </w:r>
    <w:r>
      <w:rPr>
        <w:rFonts w:ascii="宋体" w:hAnsi="宋体"/>
        <w:b/>
        <w:bCs/>
      </w:rPr>
      <w:instrText xml:space="preserve">PAGE</w:instrText>
    </w:r>
    <w:r>
      <w:rPr>
        <w:rFonts w:ascii="宋体" w:hAnsi="宋体"/>
        <w:b/>
        <w:bCs/>
        <w:sz w:val="24"/>
        <w:szCs w:val="24"/>
      </w:rPr>
      <w:fldChar w:fldCharType="separate"/>
    </w:r>
    <w:r>
      <w:rPr>
        <w:rFonts w:ascii="宋体" w:hAnsi="宋体"/>
        <w:b/>
        <w:bCs/>
      </w:rPr>
      <w:t>2</w:t>
    </w:r>
    <w:r>
      <w:rPr>
        <w:rFonts w:ascii="宋体" w:hAnsi="宋体"/>
        <w:b/>
        <w:bCs/>
        <w:sz w:val="24"/>
        <w:szCs w:val="24"/>
      </w:rPr>
      <w:fldChar w:fldCharType="end"/>
    </w:r>
    <w:r>
      <w:rPr>
        <w:rFonts w:ascii="宋体" w:hAnsi="宋体"/>
        <w:lang w:val="zh-CN"/>
      </w:rPr>
      <w:t xml:space="preserve"> / </w:t>
    </w:r>
    <w:r>
      <w:rPr>
        <w:rFonts w:ascii="宋体" w:hAnsi="宋体"/>
        <w:b/>
        <w:bCs/>
        <w:sz w:val="24"/>
        <w:szCs w:val="24"/>
      </w:rPr>
      <w:fldChar w:fldCharType="begin"/>
    </w:r>
    <w:r>
      <w:rPr>
        <w:rFonts w:ascii="宋体" w:hAnsi="宋体"/>
        <w:b/>
        <w:bCs/>
      </w:rPr>
      <w:instrText xml:space="preserve">NUMPAGES</w:instrText>
    </w:r>
    <w:r>
      <w:rPr>
        <w:rFonts w:ascii="宋体" w:hAnsi="宋体"/>
        <w:b/>
        <w:bCs/>
        <w:sz w:val="24"/>
        <w:szCs w:val="24"/>
      </w:rPr>
      <w:fldChar w:fldCharType="separate"/>
    </w:r>
    <w:r>
      <w:rPr>
        <w:rFonts w:ascii="宋体" w:hAnsi="宋体"/>
        <w:b/>
        <w:bCs/>
      </w:rPr>
      <w:t>54</w:t>
    </w:r>
    <w:r>
      <w:rPr>
        <w:rFonts w:ascii="宋体" w:hAnsi="宋体"/>
        <w:b/>
        <w:bCs/>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2589935">
    <w:nsid w:val="133A54EF"/>
    <w:multiLevelType w:val="multilevel"/>
    <w:tmpl w:val="133A54EF"/>
    <w:lvl w:ilvl="0" w:tentative="1">
      <w:start w:val="1"/>
      <w:numFmt w:val="japaneseCounting"/>
      <w:lvlText w:val="第%1条"/>
      <w:lvlJc w:val="left"/>
      <w:pPr>
        <w:ind w:left="5235" w:hanging="840"/>
      </w:pPr>
      <w:rPr>
        <w:rFonts w:hint="default"/>
        <w:b/>
        <w:lang w:val="en-US"/>
      </w:rPr>
    </w:lvl>
    <w:lvl w:ilvl="1" w:tentative="1">
      <w:start w:val="1"/>
      <w:numFmt w:val="japaneseCounting"/>
      <w:lvlText w:val="（%2）"/>
      <w:lvlJc w:val="left"/>
      <w:pPr>
        <w:ind w:left="1560" w:hanging="72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64925733">
    <w:nsid w:val="0FCA7225"/>
    <w:multiLevelType w:val="multilevel"/>
    <w:tmpl w:val="0FCA7225"/>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4509314">
    <w:nsid w:val="4AC64B02"/>
    <w:multiLevelType w:val="multilevel"/>
    <w:tmpl w:val="4AC64B02"/>
    <w:lvl w:ilvl="0" w:tentative="1">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379078">
    <w:nsid w:val="7A364D46"/>
    <w:multiLevelType w:val="multilevel"/>
    <w:tmpl w:val="7A364D46"/>
    <w:lvl w:ilvl="0" w:tentative="1">
      <w:start w:val="1"/>
      <w:numFmt w:val="japaneseCounting"/>
      <w:lvlText w:val="（%1）"/>
      <w:lvlJc w:val="left"/>
      <w:pPr>
        <w:ind w:left="1470" w:hanging="105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833930">
    <w:nsid w:val="7A3D3E0A"/>
    <w:multiLevelType w:val="multilevel"/>
    <w:tmpl w:val="7A3D3E0A"/>
    <w:lvl w:ilvl="0" w:tentative="1">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322589935"/>
  </w:num>
  <w:num w:numId="2">
    <w:abstractNumId w:val="264925733"/>
  </w:num>
  <w:num w:numId="3">
    <w:abstractNumId w:val="2050833930"/>
  </w:num>
  <w:num w:numId="4">
    <w:abstractNumId w:val="2050379078"/>
  </w:num>
  <w:num w:numId="5">
    <w:abstractNumId w:val="1254509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14C6F"/>
    <w:rsid w:val="00005311"/>
    <w:rsid w:val="000127E0"/>
    <w:rsid w:val="000133DB"/>
    <w:rsid w:val="00013D00"/>
    <w:rsid w:val="00013EFF"/>
    <w:rsid w:val="00015CA5"/>
    <w:rsid w:val="000164B3"/>
    <w:rsid w:val="000178C9"/>
    <w:rsid w:val="00023E0D"/>
    <w:rsid w:val="000268B6"/>
    <w:rsid w:val="00026C1B"/>
    <w:rsid w:val="0003294E"/>
    <w:rsid w:val="00032AE7"/>
    <w:rsid w:val="00035A8E"/>
    <w:rsid w:val="00037D16"/>
    <w:rsid w:val="00040B1A"/>
    <w:rsid w:val="000414DE"/>
    <w:rsid w:val="00043E15"/>
    <w:rsid w:val="0005214B"/>
    <w:rsid w:val="00052151"/>
    <w:rsid w:val="0005495C"/>
    <w:rsid w:val="00054A61"/>
    <w:rsid w:val="00056952"/>
    <w:rsid w:val="000608B5"/>
    <w:rsid w:val="00064E83"/>
    <w:rsid w:val="000703F5"/>
    <w:rsid w:val="00070F02"/>
    <w:rsid w:val="00077DC3"/>
    <w:rsid w:val="000837FF"/>
    <w:rsid w:val="000840C9"/>
    <w:rsid w:val="00096400"/>
    <w:rsid w:val="00096841"/>
    <w:rsid w:val="00097B93"/>
    <w:rsid w:val="000A1733"/>
    <w:rsid w:val="000A2368"/>
    <w:rsid w:val="000A29D6"/>
    <w:rsid w:val="000A4ADA"/>
    <w:rsid w:val="000A68F2"/>
    <w:rsid w:val="000B017E"/>
    <w:rsid w:val="000B1083"/>
    <w:rsid w:val="000B3111"/>
    <w:rsid w:val="000B40F8"/>
    <w:rsid w:val="000B4808"/>
    <w:rsid w:val="000B681B"/>
    <w:rsid w:val="000C00EE"/>
    <w:rsid w:val="000C4510"/>
    <w:rsid w:val="000C6788"/>
    <w:rsid w:val="000D112E"/>
    <w:rsid w:val="000D5FB6"/>
    <w:rsid w:val="000F0337"/>
    <w:rsid w:val="000F1105"/>
    <w:rsid w:val="000F1353"/>
    <w:rsid w:val="000F6AE2"/>
    <w:rsid w:val="000F6E75"/>
    <w:rsid w:val="000F7FA4"/>
    <w:rsid w:val="00104AAD"/>
    <w:rsid w:val="0010531D"/>
    <w:rsid w:val="001102F7"/>
    <w:rsid w:val="00110BB7"/>
    <w:rsid w:val="001147AA"/>
    <w:rsid w:val="0011664A"/>
    <w:rsid w:val="0011795C"/>
    <w:rsid w:val="0013325A"/>
    <w:rsid w:val="00137394"/>
    <w:rsid w:val="00141CAD"/>
    <w:rsid w:val="00153B1A"/>
    <w:rsid w:val="00154CE4"/>
    <w:rsid w:val="001610F1"/>
    <w:rsid w:val="00171893"/>
    <w:rsid w:val="00172E6B"/>
    <w:rsid w:val="00174D4F"/>
    <w:rsid w:val="00175197"/>
    <w:rsid w:val="001820C1"/>
    <w:rsid w:val="0018312D"/>
    <w:rsid w:val="00184374"/>
    <w:rsid w:val="0018471B"/>
    <w:rsid w:val="0018593E"/>
    <w:rsid w:val="00187743"/>
    <w:rsid w:val="001926CD"/>
    <w:rsid w:val="00195E7E"/>
    <w:rsid w:val="0019746F"/>
    <w:rsid w:val="001A0BCE"/>
    <w:rsid w:val="001A2342"/>
    <w:rsid w:val="001A6BA6"/>
    <w:rsid w:val="001B65AF"/>
    <w:rsid w:val="001C27BC"/>
    <w:rsid w:val="001C7414"/>
    <w:rsid w:val="001D12C7"/>
    <w:rsid w:val="001D3D3A"/>
    <w:rsid w:val="001D5043"/>
    <w:rsid w:val="001E1D00"/>
    <w:rsid w:val="001E23E3"/>
    <w:rsid w:val="001E4AFC"/>
    <w:rsid w:val="001F18BD"/>
    <w:rsid w:val="001F3AC2"/>
    <w:rsid w:val="001F4A12"/>
    <w:rsid w:val="00200D87"/>
    <w:rsid w:val="00203B1A"/>
    <w:rsid w:val="00203C82"/>
    <w:rsid w:val="00205D35"/>
    <w:rsid w:val="00212382"/>
    <w:rsid w:val="00215A2E"/>
    <w:rsid w:val="00216FAD"/>
    <w:rsid w:val="00225EFF"/>
    <w:rsid w:val="00231B3A"/>
    <w:rsid w:val="00232389"/>
    <w:rsid w:val="00233769"/>
    <w:rsid w:val="00235C8F"/>
    <w:rsid w:val="00235EAF"/>
    <w:rsid w:val="00236D13"/>
    <w:rsid w:val="002402B7"/>
    <w:rsid w:val="0025135B"/>
    <w:rsid w:val="00251C2B"/>
    <w:rsid w:val="002522E7"/>
    <w:rsid w:val="00253F68"/>
    <w:rsid w:val="00254710"/>
    <w:rsid w:val="00256EE2"/>
    <w:rsid w:val="00257D13"/>
    <w:rsid w:val="0026050D"/>
    <w:rsid w:val="0026284E"/>
    <w:rsid w:val="00263B84"/>
    <w:rsid w:val="00264B01"/>
    <w:rsid w:val="002663AA"/>
    <w:rsid w:val="00266D8D"/>
    <w:rsid w:val="00270907"/>
    <w:rsid w:val="002711F5"/>
    <w:rsid w:val="00274CBB"/>
    <w:rsid w:val="00282ABE"/>
    <w:rsid w:val="00287A38"/>
    <w:rsid w:val="00295446"/>
    <w:rsid w:val="002965FB"/>
    <w:rsid w:val="002A48E6"/>
    <w:rsid w:val="002A5974"/>
    <w:rsid w:val="002A7558"/>
    <w:rsid w:val="002B1204"/>
    <w:rsid w:val="002B1888"/>
    <w:rsid w:val="002B2630"/>
    <w:rsid w:val="002B4175"/>
    <w:rsid w:val="002B661E"/>
    <w:rsid w:val="002B7158"/>
    <w:rsid w:val="002B7569"/>
    <w:rsid w:val="002B7654"/>
    <w:rsid w:val="002C1353"/>
    <w:rsid w:val="002C188C"/>
    <w:rsid w:val="002C27F4"/>
    <w:rsid w:val="002C29DB"/>
    <w:rsid w:val="002C74A9"/>
    <w:rsid w:val="002C7E56"/>
    <w:rsid w:val="002D0026"/>
    <w:rsid w:val="002D1204"/>
    <w:rsid w:val="002D753C"/>
    <w:rsid w:val="002D7C7F"/>
    <w:rsid w:val="002E00E3"/>
    <w:rsid w:val="002E1F77"/>
    <w:rsid w:val="002E3B0C"/>
    <w:rsid w:val="002E423E"/>
    <w:rsid w:val="002E736B"/>
    <w:rsid w:val="002E7B64"/>
    <w:rsid w:val="002F616B"/>
    <w:rsid w:val="002F6FB7"/>
    <w:rsid w:val="00300E48"/>
    <w:rsid w:val="00301CB3"/>
    <w:rsid w:val="00302338"/>
    <w:rsid w:val="0031534A"/>
    <w:rsid w:val="0031610F"/>
    <w:rsid w:val="003179BF"/>
    <w:rsid w:val="003215B8"/>
    <w:rsid w:val="00323013"/>
    <w:rsid w:val="00325503"/>
    <w:rsid w:val="003276EA"/>
    <w:rsid w:val="003311DD"/>
    <w:rsid w:val="0033364D"/>
    <w:rsid w:val="00334419"/>
    <w:rsid w:val="00340DE8"/>
    <w:rsid w:val="003428C5"/>
    <w:rsid w:val="0035159C"/>
    <w:rsid w:val="003518ED"/>
    <w:rsid w:val="0035325C"/>
    <w:rsid w:val="00353B5D"/>
    <w:rsid w:val="00353CC7"/>
    <w:rsid w:val="0035605A"/>
    <w:rsid w:val="003578AB"/>
    <w:rsid w:val="003700D1"/>
    <w:rsid w:val="00370A4A"/>
    <w:rsid w:val="0037258A"/>
    <w:rsid w:val="003757C9"/>
    <w:rsid w:val="00376A07"/>
    <w:rsid w:val="00376DC4"/>
    <w:rsid w:val="003839D1"/>
    <w:rsid w:val="0038436B"/>
    <w:rsid w:val="00385F6D"/>
    <w:rsid w:val="003916E5"/>
    <w:rsid w:val="00393B24"/>
    <w:rsid w:val="00394C3E"/>
    <w:rsid w:val="003950EA"/>
    <w:rsid w:val="00397138"/>
    <w:rsid w:val="003A15D3"/>
    <w:rsid w:val="003A459A"/>
    <w:rsid w:val="003A5696"/>
    <w:rsid w:val="003A6C6F"/>
    <w:rsid w:val="003A73FF"/>
    <w:rsid w:val="003B4767"/>
    <w:rsid w:val="003B4944"/>
    <w:rsid w:val="003B4EFF"/>
    <w:rsid w:val="003C0C70"/>
    <w:rsid w:val="003C2DFB"/>
    <w:rsid w:val="003C35F5"/>
    <w:rsid w:val="003C6C16"/>
    <w:rsid w:val="003C72AB"/>
    <w:rsid w:val="003D0CB1"/>
    <w:rsid w:val="003D4DD3"/>
    <w:rsid w:val="003E185F"/>
    <w:rsid w:val="003E3DBC"/>
    <w:rsid w:val="003F6133"/>
    <w:rsid w:val="004013F8"/>
    <w:rsid w:val="00403D5A"/>
    <w:rsid w:val="004217A4"/>
    <w:rsid w:val="0042342B"/>
    <w:rsid w:val="00432C25"/>
    <w:rsid w:val="004339B8"/>
    <w:rsid w:val="00433FD6"/>
    <w:rsid w:val="00436B37"/>
    <w:rsid w:val="00441EAA"/>
    <w:rsid w:val="00443129"/>
    <w:rsid w:val="00444A43"/>
    <w:rsid w:val="00444B11"/>
    <w:rsid w:val="00446035"/>
    <w:rsid w:val="00450B17"/>
    <w:rsid w:val="00454CC6"/>
    <w:rsid w:val="004602D2"/>
    <w:rsid w:val="004604AC"/>
    <w:rsid w:val="00462855"/>
    <w:rsid w:val="00465ACB"/>
    <w:rsid w:val="00465B5A"/>
    <w:rsid w:val="00465BB6"/>
    <w:rsid w:val="0046726B"/>
    <w:rsid w:val="00480ED0"/>
    <w:rsid w:val="00482703"/>
    <w:rsid w:val="00483A01"/>
    <w:rsid w:val="00484D33"/>
    <w:rsid w:val="00491C50"/>
    <w:rsid w:val="004A2564"/>
    <w:rsid w:val="004A496B"/>
    <w:rsid w:val="004A7498"/>
    <w:rsid w:val="004A7F2F"/>
    <w:rsid w:val="004B0E02"/>
    <w:rsid w:val="004B2366"/>
    <w:rsid w:val="004B2D41"/>
    <w:rsid w:val="004C5274"/>
    <w:rsid w:val="004D08A6"/>
    <w:rsid w:val="004D2495"/>
    <w:rsid w:val="004D4814"/>
    <w:rsid w:val="004E102E"/>
    <w:rsid w:val="004E48F5"/>
    <w:rsid w:val="00502D1A"/>
    <w:rsid w:val="00504705"/>
    <w:rsid w:val="005064DE"/>
    <w:rsid w:val="005075FD"/>
    <w:rsid w:val="005114F8"/>
    <w:rsid w:val="0051365F"/>
    <w:rsid w:val="00515402"/>
    <w:rsid w:val="005163F7"/>
    <w:rsid w:val="005174AA"/>
    <w:rsid w:val="00525C7D"/>
    <w:rsid w:val="00525E27"/>
    <w:rsid w:val="00526607"/>
    <w:rsid w:val="005270BD"/>
    <w:rsid w:val="00532EB3"/>
    <w:rsid w:val="005343A8"/>
    <w:rsid w:val="00534E91"/>
    <w:rsid w:val="00544EE1"/>
    <w:rsid w:val="005510FD"/>
    <w:rsid w:val="00552D6A"/>
    <w:rsid w:val="005539BB"/>
    <w:rsid w:val="005626F8"/>
    <w:rsid w:val="00566378"/>
    <w:rsid w:val="005745D5"/>
    <w:rsid w:val="005763C5"/>
    <w:rsid w:val="005768C6"/>
    <w:rsid w:val="00580C3E"/>
    <w:rsid w:val="00587E24"/>
    <w:rsid w:val="00591656"/>
    <w:rsid w:val="00596CE9"/>
    <w:rsid w:val="005A0B90"/>
    <w:rsid w:val="005A5A52"/>
    <w:rsid w:val="005A6546"/>
    <w:rsid w:val="005B08D9"/>
    <w:rsid w:val="005B1A98"/>
    <w:rsid w:val="005B61CF"/>
    <w:rsid w:val="005C02AE"/>
    <w:rsid w:val="005C1D4B"/>
    <w:rsid w:val="005C329E"/>
    <w:rsid w:val="005C36FE"/>
    <w:rsid w:val="005D215D"/>
    <w:rsid w:val="005D46CF"/>
    <w:rsid w:val="005D4821"/>
    <w:rsid w:val="005D553E"/>
    <w:rsid w:val="005D655F"/>
    <w:rsid w:val="005E36FF"/>
    <w:rsid w:val="005F30AD"/>
    <w:rsid w:val="005F3A9C"/>
    <w:rsid w:val="005F6209"/>
    <w:rsid w:val="0060026D"/>
    <w:rsid w:val="00602175"/>
    <w:rsid w:val="0060247F"/>
    <w:rsid w:val="00605BC4"/>
    <w:rsid w:val="00614B45"/>
    <w:rsid w:val="00614C6F"/>
    <w:rsid w:val="00617673"/>
    <w:rsid w:val="00622DFD"/>
    <w:rsid w:val="0062325C"/>
    <w:rsid w:val="00624CF4"/>
    <w:rsid w:val="006269AC"/>
    <w:rsid w:val="006278FD"/>
    <w:rsid w:val="006315EF"/>
    <w:rsid w:val="0063734F"/>
    <w:rsid w:val="00644952"/>
    <w:rsid w:val="00656CF7"/>
    <w:rsid w:val="006572C2"/>
    <w:rsid w:val="006606EC"/>
    <w:rsid w:val="00660A4A"/>
    <w:rsid w:val="0066258A"/>
    <w:rsid w:val="0066358F"/>
    <w:rsid w:val="00666F62"/>
    <w:rsid w:val="00674BDE"/>
    <w:rsid w:val="0067730E"/>
    <w:rsid w:val="006774EE"/>
    <w:rsid w:val="00680170"/>
    <w:rsid w:val="00681916"/>
    <w:rsid w:val="00683459"/>
    <w:rsid w:val="00683832"/>
    <w:rsid w:val="00684B7A"/>
    <w:rsid w:val="00684BC7"/>
    <w:rsid w:val="00684FE6"/>
    <w:rsid w:val="00687B27"/>
    <w:rsid w:val="006900B1"/>
    <w:rsid w:val="0069151B"/>
    <w:rsid w:val="00697D81"/>
    <w:rsid w:val="006A0EAE"/>
    <w:rsid w:val="006A3BFC"/>
    <w:rsid w:val="006A50D6"/>
    <w:rsid w:val="006A5A53"/>
    <w:rsid w:val="006A71AD"/>
    <w:rsid w:val="006A7B16"/>
    <w:rsid w:val="006B075A"/>
    <w:rsid w:val="006B37E7"/>
    <w:rsid w:val="006B6B66"/>
    <w:rsid w:val="006B7723"/>
    <w:rsid w:val="006C214F"/>
    <w:rsid w:val="006C4BB0"/>
    <w:rsid w:val="006C799A"/>
    <w:rsid w:val="006D000A"/>
    <w:rsid w:val="006D0E60"/>
    <w:rsid w:val="006D0E76"/>
    <w:rsid w:val="006D18F7"/>
    <w:rsid w:val="006D7BA1"/>
    <w:rsid w:val="006E00C9"/>
    <w:rsid w:val="006E0118"/>
    <w:rsid w:val="006E1D14"/>
    <w:rsid w:val="006E5770"/>
    <w:rsid w:val="006E57CF"/>
    <w:rsid w:val="006F2008"/>
    <w:rsid w:val="00700046"/>
    <w:rsid w:val="007020DD"/>
    <w:rsid w:val="0070331C"/>
    <w:rsid w:val="00703FF1"/>
    <w:rsid w:val="00705FF0"/>
    <w:rsid w:val="007113BE"/>
    <w:rsid w:val="0071377D"/>
    <w:rsid w:val="007230DF"/>
    <w:rsid w:val="00735E88"/>
    <w:rsid w:val="007362E4"/>
    <w:rsid w:val="00740083"/>
    <w:rsid w:val="00740D84"/>
    <w:rsid w:val="007419ED"/>
    <w:rsid w:val="00741CA7"/>
    <w:rsid w:val="0074581B"/>
    <w:rsid w:val="0074588F"/>
    <w:rsid w:val="00750A57"/>
    <w:rsid w:val="00751FE2"/>
    <w:rsid w:val="0075280E"/>
    <w:rsid w:val="00753319"/>
    <w:rsid w:val="0075374E"/>
    <w:rsid w:val="00753DEF"/>
    <w:rsid w:val="007609DC"/>
    <w:rsid w:val="00764ADA"/>
    <w:rsid w:val="00767EDC"/>
    <w:rsid w:val="0077506A"/>
    <w:rsid w:val="007764A8"/>
    <w:rsid w:val="007778B4"/>
    <w:rsid w:val="00784912"/>
    <w:rsid w:val="007A0772"/>
    <w:rsid w:val="007A1E01"/>
    <w:rsid w:val="007B15EA"/>
    <w:rsid w:val="007B2282"/>
    <w:rsid w:val="007B2C7E"/>
    <w:rsid w:val="007B35E0"/>
    <w:rsid w:val="007B3E5C"/>
    <w:rsid w:val="007B6669"/>
    <w:rsid w:val="007C033A"/>
    <w:rsid w:val="007C138F"/>
    <w:rsid w:val="007C18AC"/>
    <w:rsid w:val="007C35D8"/>
    <w:rsid w:val="007C37FB"/>
    <w:rsid w:val="007C6AD3"/>
    <w:rsid w:val="007C73C1"/>
    <w:rsid w:val="007D1B47"/>
    <w:rsid w:val="007D4222"/>
    <w:rsid w:val="007D6E28"/>
    <w:rsid w:val="007E0B22"/>
    <w:rsid w:val="007E100B"/>
    <w:rsid w:val="007E50BC"/>
    <w:rsid w:val="007E5433"/>
    <w:rsid w:val="007E5BC5"/>
    <w:rsid w:val="007E7CDD"/>
    <w:rsid w:val="007F0A95"/>
    <w:rsid w:val="007F13F0"/>
    <w:rsid w:val="007F2B11"/>
    <w:rsid w:val="007F3748"/>
    <w:rsid w:val="008031FB"/>
    <w:rsid w:val="00805B34"/>
    <w:rsid w:val="00806B34"/>
    <w:rsid w:val="00810DCF"/>
    <w:rsid w:val="008205C9"/>
    <w:rsid w:val="008212D7"/>
    <w:rsid w:val="0082313E"/>
    <w:rsid w:val="008260E0"/>
    <w:rsid w:val="00827A98"/>
    <w:rsid w:val="0083388F"/>
    <w:rsid w:val="00833BAF"/>
    <w:rsid w:val="00833D29"/>
    <w:rsid w:val="00835E93"/>
    <w:rsid w:val="0083724C"/>
    <w:rsid w:val="00837B71"/>
    <w:rsid w:val="00840262"/>
    <w:rsid w:val="0084176F"/>
    <w:rsid w:val="00842DC2"/>
    <w:rsid w:val="008444E5"/>
    <w:rsid w:val="008445CA"/>
    <w:rsid w:val="0085268A"/>
    <w:rsid w:val="0085285F"/>
    <w:rsid w:val="0085412C"/>
    <w:rsid w:val="008542D5"/>
    <w:rsid w:val="008574EE"/>
    <w:rsid w:val="00870674"/>
    <w:rsid w:val="0087102D"/>
    <w:rsid w:val="00875009"/>
    <w:rsid w:val="008767F0"/>
    <w:rsid w:val="008775B5"/>
    <w:rsid w:val="00882CDB"/>
    <w:rsid w:val="00882F81"/>
    <w:rsid w:val="00882FAE"/>
    <w:rsid w:val="0088360C"/>
    <w:rsid w:val="00885D1E"/>
    <w:rsid w:val="00886D16"/>
    <w:rsid w:val="00887B63"/>
    <w:rsid w:val="008916A5"/>
    <w:rsid w:val="00894DC9"/>
    <w:rsid w:val="008A049B"/>
    <w:rsid w:val="008A273F"/>
    <w:rsid w:val="008A2F06"/>
    <w:rsid w:val="008A56FB"/>
    <w:rsid w:val="008A7532"/>
    <w:rsid w:val="008B68C0"/>
    <w:rsid w:val="008B6A02"/>
    <w:rsid w:val="008D13DF"/>
    <w:rsid w:val="008D2E44"/>
    <w:rsid w:val="008D7E36"/>
    <w:rsid w:val="008E0C9A"/>
    <w:rsid w:val="008E2186"/>
    <w:rsid w:val="008E24D5"/>
    <w:rsid w:val="008E3DEF"/>
    <w:rsid w:val="008F03DE"/>
    <w:rsid w:val="008F082A"/>
    <w:rsid w:val="008F0BFC"/>
    <w:rsid w:val="008F27D8"/>
    <w:rsid w:val="008F6252"/>
    <w:rsid w:val="00906D36"/>
    <w:rsid w:val="0090750E"/>
    <w:rsid w:val="0091073E"/>
    <w:rsid w:val="00913BFC"/>
    <w:rsid w:val="009211F0"/>
    <w:rsid w:val="009242FE"/>
    <w:rsid w:val="00931F38"/>
    <w:rsid w:val="00932E11"/>
    <w:rsid w:val="00933EA4"/>
    <w:rsid w:val="00935922"/>
    <w:rsid w:val="00937A97"/>
    <w:rsid w:val="00943E77"/>
    <w:rsid w:val="00950431"/>
    <w:rsid w:val="00951AB2"/>
    <w:rsid w:val="009530E8"/>
    <w:rsid w:val="0095606C"/>
    <w:rsid w:val="00956A9A"/>
    <w:rsid w:val="00957602"/>
    <w:rsid w:val="009634A4"/>
    <w:rsid w:val="00963560"/>
    <w:rsid w:val="00963F89"/>
    <w:rsid w:val="009656A1"/>
    <w:rsid w:val="009672B8"/>
    <w:rsid w:val="0097018A"/>
    <w:rsid w:val="0097540A"/>
    <w:rsid w:val="009776F6"/>
    <w:rsid w:val="00981255"/>
    <w:rsid w:val="0098399C"/>
    <w:rsid w:val="00990947"/>
    <w:rsid w:val="00992E6A"/>
    <w:rsid w:val="0099321D"/>
    <w:rsid w:val="0099567A"/>
    <w:rsid w:val="009962AD"/>
    <w:rsid w:val="009A2A74"/>
    <w:rsid w:val="009A462A"/>
    <w:rsid w:val="009A5EDC"/>
    <w:rsid w:val="009A60DD"/>
    <w:rsid w:val="009A7F2E"/>
    <w:rsid w:val="009B1279"/>
    <w:rsid w:val="009B43E3"/>
    <w:rsid w:val="009C2124"/>
    <w:rsid w:val="009D12D6"/>
    <w:rsid w:val="009D3EEA"/>
    <w:rsid w:val="009D6185"/>
    <w:rsid w:val="009E0314"/>
    <w:rsid w:val="009E0A9E"/>
    <w:rsid w:val="009E12E1"/>
    <w:rsid w:val="009E2132"/>
    <w:rsid w:val="009E272A"/>
    <w:rsid w:val="009E2F39"/>
    <w:rsid w:val="009E3F0A"/>
    <w:rsid w:val="009E7B34"/>
    <w:rsid w:val="009F4A0A"/>
    <w:rsid w:val="00A001AF"/>
    <w:rsid w:val="00A04D22"/>
    <w:rsid w:val="00A100B4"/>
    <w:rsid w:val="00A10206"/>
    <w:rsid w:val="00A131C0"/>
    <w:rsid w:val="00A158A7"/>
    <w:rsid w:val="00A16771"/>
    <w:rsid w:val="00A20508"/>
    <w:rsid w:val="00A30F0B"/>
    <w:rsid w:val="00A33F9B"/>
    <w:rsid w:val="00A37F93"/>
    <w:rsid w:val="00A441AB"/>
    <w:rsid w:val="00A441CA"/>
    <w:rsid w:val="00A444C4"/>
    <w:rsid w:val="00A5185C"/>
    <w:rsid w:val="00A52914"/>
    <w:rsid w:val="00A53980"/>
    <w:rsid w:val="00A54014"/>
    <w:rsid w:val="00A54800"/>
    <w:rsid w:val="00A54A37"/>
    <w:rsid w:val="00A55180"/>
    <w:rsid w:val="00A55D28"/>
    <w:rsid w:val="00A57123"/>
    <w:rsid w:val="00A57245"/>
    <w:rsid w:val="00A57CF2"/>
    <w:rsid w:val="00A621C2"/>
    <w:rsid w:val="00A6347D"/>
    <w:rsid w:val="00A6388B"/>
    <w:rsid w:val="00A64AAF"/>
    <w:rsid w:val="00A651E4"/>
    <w:rsid w:val="00A71520"/>
    <w:rsid w:val="00A83957"/>
    <w:rsid w:val="00A84FE0"/>
    <w:rsid w:val="00A90213"/>
    <w:rsid w:val="00A914A4"/>
    <w:rsid w:val="00A93BF2"/>
    <w:rsid w:val="00A956DE"/>
    <w:rsid w:val="00AA6360"/>
    <w:rsid w:val="00AB1A3B"/>
    <w:rsid w:val="00AB76A2"/>
    <w:rsid w:val="00AC4D1D"/>
    <w:rsid w:val="00AC5322"/>
    <w:rsid w:val="00AC78BB"/>
    <w:rsid w:val="00AD0660"/>
    <w:rsid w:val="00AE52F1"/>
    <w:rsid w:val="00AF03EC"/>
    <w:rsid w:val="00AF372F"/>
    <w:rsid w:val="00AF3A95"/>
    <w:rsid w:val="00AF4E05"/>
    <w:rsid w:val="00AF57B7"/>
    <w:rsid w:val="00B02B30"/>
    <w:rsid w:val="00B06070"/>
    <w:rsid w:val="00B13389"/>
    <w:rsid w:val="00B17934"/>
    <w:rsid w:val="00B275E4"/>
    <w:rsid w:val="00B309C2"/>
    <w:rsid w:val="00B31E54"/>
    <w:rsid w:val="00B3438A"/>
    <w:rsid w:val="00B37769"/>
    <w:rsid w:val="00B37CD8"/>
    <w:rsid w:val="00B41622"/>
    <w:rsid w:val="00B4264E"/>
    <w:rsid w:val="00B448CA"/>
    <w:rsid w:val="00B4792F"/>
    <w:rsid w:val="00B5021C"/>
    <w:rsid w:val="00B51540"/>
    <w:rsid w:val="00B518D6"/>
    <w:rsid w:val="00B54433"/>
    <w:rsid w:val="00B56A95"/>
    <w:rsid w:val="00B578ED"/>
    <w:rsid w:val="00B61BA7"/>
    <w:rsid w:val="00B6352E"/>
    <w:rsid w:val="00B7036F"/>
    <w:rsid w:val="00B753A7"/>
    <w:rsid w:val="00B81427"/>
    <w:rsid w:val="00B83D5A"/>
    <w:rsid w:val="00B95E2C"/>
    <w:rsid w:val="00B96522"/>
    <w:rsid w:val="00BA1B0D"/>
    <w:rsid w:val="00BA5BE8"/>
    <w:rsid w:val="00BB273B"/>
    <w:rsid w:val="00BB30A5"/>
    <w:rsid w:val="00BB72BE"/>
    <w:rsid w:val="00BC573A"/>
    <w:rsid w:val="00BC61E1"/>
    <w:rsid w:val="00BC72FD"/>
    <w:rsid w:val="00BD4F79"/>
    <w:rsid w:val="00BE2B8D"/>
    <w:rsid w:val="00BE6405"/>
    <w:rsid w:val="00BE6A50"/>
    <w:rsid w:val="00BE7E67"/>
    <w:rsid w:val="00BF0DEF"/>
    <w:rsid w:val="00BF4ABC"/>
    <w:rsid w:val="00BF60D6"/>
    <w:rsid w:val="00BF64A8"/>
    <w:rsid w:val="00BF66C0"/>
    <w:rsid w:val="00C00EA6"/>
    <w:rsid w:val="00C0504F"/>
    <w:rsid w:val="00C1599D"/>
    <w:rsid w:val="00C15D29"/>
    <w:rsid w:val="00C22C50"/>
    <w:rsid w:val="00C27257"/>
    <w:rsid w:val="00C2775B"/>
    <w:rsid w:val="00C30B69"/>
    <w:rsid w:val="00C30BA8"/>
    <w:rsid w:val="00C3172B"/>
    <w:rsid w:val="00C32690"/>
    <w:rsid w:val="00C36B1A"/>
    <w:rsid w:val="00C37924"/>
    <w:rsid w:val="00C37A22"/>
    <w:rsid w:val="00C37F73"/>
    <w:rsid w:val="00C40DD4"/>
    <w:rsid w:val="00C51CF1"/>
    <w:rsid w:val="00C53459"/>
    <w:rsid w:val="00C53B67"/>
    <w:rsid w:val="00C53B70"/>
    <w:rsid w:val="00C55845"/>
    <w:rsid w:val="00C57A4D"/>
    <w:rsid w:val="00C650C4"/>
    <w:rsid w:val="00C6632E"/>
    <w:rsid w:val="00C700DE"/>
    <w:rsid w:val="00C72CCB"/>
    <w:rsid w:val="00C739A3"/>
    <w:rsid w:val="00C744E4"/>
    <w:rsid w:val="00C84B36"/>
    <w:rsid w:val="00C85B74"/>
    <w:rsid w:val="00C878DC"/>
    <w:rsid w:val="00C87A7E"/>
    <w:rsid w:val="00C97401"/>
    <w:rsid w:val="00CA1D33"/>
    <w:rsid w:val="00CA3AFE"/>
    <w:rsid w:val="00CA51DD"/>
    <w:rsid w:val="00CA6187"/>
    <w:rsid w:val="00CB3110"/>
    <w:rsid w:val="00CB60C9"/>
    <w:rsid w:val="00CB642A"/>
    <w:rsid w:val="00CC2D34"/>
    <w:rsid w:val="00CC404A"/>
    <w:rsid w:val="00CC56A8"/>
    <w:rsid w:val="00CC5B71"/>
    <w:rsid w:val="00CC68EF"/>
    <w:rsid w:val="00CD1174"/>
    <w:rsid w:val="00CD1819"/>
    <w:rsid w:val="00CE1C07"/>
    <w:rsid w:val="00CE1E57"/>
    <w:rsid w:val="00CE4536"/>
    <w:rsid w:val="00CF2060"/>
    <w:rsid w:val="00CF7A95"/>
    <w:rsid w:val="00D001A5"/>
    <w:rsid w:val="00D0059F"/>
    <w:rsid w:val="00D0273E"/>
    <w:rsid w:val="00D02EDD"/>
    <w:rsid w:val="00D06A61"/>
    <w:rsid w:val="00D07C72"/>
    <w:rsid w:val="00D20005"/>
    <w:rsid w:val="00D22615"/>
    <w:rsid w:val="00D23A5B"/>
    <w:rsid w:val="00D26D10"/>
    <w:rsid w:val="00D30AC2"/>
    <w:rsid w:val="00D375B0"/>
    <w:rsid w:val="00D41F4A"/>
    <w:rsid w:val="00D42878"/>
    <w:rsid w:val="00D43476"/>
    <w:rsid w:val="00D454F0"/>
    <w:rsid w:val="00D500F3"/>
    <w:rsid w:val="00D50C6D"/>
    <w:rsid w:val="00D62D18"/>
    <w:rsid w:val="00D64E06"/>
    <w:rsid w:val="00D65A91"/>
    <w:rsid w:val="00D71776"/>
    <w:rsid w:val="00D72D64"/>
    <w:rsid w:val="00D75386"/>
    <w:rsid w:val="00D76FD5"/>
    <w:rsid w:val="00D8034D"/>
    <w:rsid w:val="00D81DA8"/>
    <w:rsid w:val="00D85874"/>
    <w:rsid w:val="00D87CB3"/>
    <w:rsid w:val="00D9167F"/>
    <w:rsid w:val="00D9317F"/>
    <w:rsid w:val="00DA0975"/>
    <w:rsid w:val="00DA2142"/>
    <w:rsid w:val="00DA42E8"/>
    <w:rsid w:val="00DA6A2A"/>
    <w:rsid w:val="00DB3FDF"/>
    <w:rsid w:val="00DB510E"/>
    <w:rsid w:val="00DB659A"/>
    <w:rsid w:val="00DC33C8"/>
    <w:rsid w:val="00DC3A81"/>
    <w:rsid w:val="00DD011E"/>
    <w:rsid w:val="00DD0A07"/>
    <w:rsid w:val="00DD44BE"/>
    <w:rsid w:val="00DE3DB0"/>
    <w:rsid w:val="00DF0084"/>
    <w:rsid w:val="00DF17E8"/>
    <w:rsid w:val="00DF58E6"/>
    <w:rsid w:val="00DF6FBB"/>
    <w:rsid w:val="00E03ABB"/>
    <w:rsid w:val="00E03B85"/>
    <w:rsid w:val="00E04516"/>
    <w:rsid w:val="00E072FB"/>
    <w:rsid w:val="00E07E7F"/>
    <w:rsid w:val="00E11827"/>
    <w:rsid w:val="00E1640E"/>
    <w:rsid w:val="00E170CF"/>
    <w:rsid w:val="00E17304"/>
    <w:rsid w:val="00E21B50"/>
    <w:rsid w:val="00E21CD8"/>
    <w:rsid w:val="00E22560"/>
    <w:rsid w:val="00E22981"/>
    <w:rsid w:val="00E245F9"/>
    <w:rsid w:val="00E309DD"/>
    <w:rsid w:val="00E30CEB"/>
    <w:rsid w:val="00E31AC9"/>
    <w:rsid w:val="00E3429E"/>
    <w:rsid w:val="00E34B3A"/>
    <w:rsid w:val="00E368E9"/>
    <w:rsid w:val="00E36BB7"/>
    <w:rsid w:val="00E3721F"/>
    <w:rsid w:val="00E512CF"/>
    <w:rsid w:val="00E55DFC"/>
    <w:rsid w:val="00E600DC"/>
    <w:rsid w:val="00E608EA"/>
    <w:rsid w:val="00E60911"/>
    <w:rsid w:val="00E61658"/>
    <w:rsid w:val="00E64E21"/>
    <w:rsid w:val="00E65D9A"/>
    <w:rsid w:val="00E70BD8"/>
    <w:rsid w:val="00E71A20"/>
    <w:rsid w:val="00E74234"/>
    <w:rsid w:val="00E742F1"/>
    <w:rsid w:val="00E7532B"/>
    <w:rsid w:val="00E75D4D"/>
    <w:rsid w:val="00E80657"/>
    <w:rsid w:val="00E83144"/>
    <w:rsid w:val="00E926CB"/>
    <w:rsid w:val="00E943A0"/>
    <w:rsid w:val="00E945A0"/>
    <w:rsid w:val="00E96831"/>
    <w:rsid w:val="00EA201E"/>
    <w:rsid w:val="00EA3D23"/>
    <w:rsid w:val="00EA4B52"/>
    <w:rsid w:val="00EA583D"/>
    <w:rsid w:val="00EA69DB"/>
    <w:rsid w:val="00EA6E56"/>
    <w:rsid w:val="00EA7551"/>
    <w:rsid w:val="00EB0FA4"/>
    <w:rsid w:val="00EB1F31"/>
    <w:rsid w:val="00EB3A45"/>
    <w:rsid w:val="00EC2C48"/>
    <w:rsid w:val="00EC3C9F"/>
    <w:rsid w:val="00ED3C6D"/>
    <w:rsid w:val="00ED61A8"/>
    <w:rsid w:val="00EE0322"/>
    <w:rsid w:val="00EE1D1C"/>
    <w:rsid w:val="00EE1E9D"/>
    <w:rsid w:val="00EE35F8"/>
    <w:rsid w:val="00EE58F6"/>
    <w:rsid w:val="00EF41EA"/>
    <w:rsid w:val="00EF5F68"/>
    <w:rsid w:val="00EF6435"/>
    <w:rsid w:val="00EF6C57"/>
    <w:rsid w:val="00F027D5"/>
    <w:rsid w:val="00F14465"/>
    <w:rsid w:val="00F20C8C"/>
    <w:rsid w:val="00F2103B"/>
    <w:rsid w:val="00F215D2"/>
    <w:rsid w:val="00F22C26"/>
    <w:rsid w:val="00F24B3B"/>
    <w:rsid w:val="00F2710B"/>
    <w:rsid w:val="00F3418C"/>
    <w:rsid w:val="00F35171"/>
    <w:rsid w:val="00F37692"/>
    <w:rsid w:val="00F4069F"/>
    <w:rsid w:val="00F4265A"/>
    <w:rsid w:val="00F43F6A"/>
    <w:rsid w:val="00F4577C"/>
    <w:rsid w:val="00F60959"/>
    <w:rsid w:val="00F67F43"/>
    <w:rsid w:val="00F72780"/>
    <w:rsid w:val="00F73508"/>
    <w:rsid w:val="00F8028E"/>
    <w:rsid w:val="00F84D21"/>
    <w:rsid w:val="00F85060"/>
    <w:rsid w:val="00F871B5"/>
    <w:rsid w:val="00F909CD"/>
    <w:rsid w:val="00FA1002"/>
    <w:rsid w:val="00FA328F"/>
    <w:rsid w:val="00FA638F"/>
    <w:rsid w:val="00FA7EE0"/>
    <w:rsid w:val="00FB05E5"/>
    <w:rsid w:val="00FB150E"/>
    <w:rsid w:val="00FB4449"/>
    <w:rsid w:val="00FC1DC4"/>
    <w:rsid w:val="00FC2D04"/>
    <w:rsid w:val="00FC52AC"/>
    <w:rsid w:val="00FC7C41"/>
    <w:rsid w:val="00FD4A72"/>
    <w:rsid w:val="00FD76A6"/>
    <w:rsid w:val="00FE269C"/>
    <w:rsid w:val="25112632"/>
    <w:rsid w:val="50881701"/>
    <w:rsid w:val="6A9232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4">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4">
    <w:name w:val="annotation subject"/>
    <w:basedOn w:val="5"/>
    <w:next w:val="5"/>
    <w:link w:val="29"/>
    <w:unhideWhenUsed/>
    <w:uiPriority w:val="99"/>
    <w:rPr>
      <w:b/>
      <w:bCs/>
    </w:r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27"/>
    <w:uiPriority w:val="0"/>
    <w:rPr>
      <w:rFonts w:ascii="宋体" w:hAnsi="Courier New" w:eastAsia="宋体" w:cs="黑体"/>
      <w:szCs w:val="21"/>
    </w:rPr>
  </w:style>
  <w:style w:type="paragraph" w:styleId="8">
    <w:name w:val="Balloon Text"/>
    <w:basedOn w:val="1"/>
    <w:link w:val="30"/>
    <w:unhideWhenUsed/>
    <w:uiPriority w:val="99"/>
    <w:rPr>
      <w:sz w:val="18"/>
      <w:szCs w:val="18"/>
    </w:rPr>
  </w:style>
  <w:style w:type="paragraph" w:styleId="9">
    <w:name w:val="footer"/>
    <w:basedOn w:val="1"/>
    <w:link w:val="26"/>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60"/>
      </w:tabs>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uiPriority w:val="99"/>
    <w:rPr>
      <w:color w:val="0000FF"/>
      <w:u w:val="single"/>
    </w:rPr>
  </w:style>
  <w:style w:type="character" w:styleId="17">
    <w:name w:val="annotation reference"/>
    <w:basedOn w:val="14"/>
    <w:unhideWhenUsed/>
    <w:uiPriority w:val="99"/>
    <w:rPr>
      <w:sz w:val="21"/>
      <w:szCs w:val="21"/>
    </w:rPr>
  </w:style>
  <w:style w:type="paragraph" w:customStyle="1" w:styleId="19">
    <w:name w:val="List Paragraph"/>
    <w:basedOn w:val="1"/>
    <w:qFormat/>
    <w:uiPriority w:val="34"/>
    <w:pPr>
      <w:ind w:firstLine="420" w:firstLineChars="200"/>
    </w:pPr>
  </w:style>
  <w:style w:type="paragraph" w:customStyle="1" w:styleId="20">
    <w:name w:val="Revision"/>
    <w:hidden/>
    <w:semiHidden/>
    <w:uiPriority w:val="99"/>
    <w:rPr>
      <w:rFonts w:ascii="Calibri" w:hAnsi="Calibri" w:eastAsia="宋体" w:cs="黑体"/>
      <w:kern w:val="2"/>
      <w:sz w:val="21"/>
      <w:szCs w:val="22"/>
      <w:lang w:val="en-US" w:eastAsia="zh-CN" w:bidi="ar-SA"/>
    </w:rPr>
  </w:style>
  <w:style w:type="paragraph" w:customStyle="1" w:styleId="21">
    <w:name w:val="doc-a"/>
    <w:basedOn w:val="1"/>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2">
    <w:name w:val="shubia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No Spacing"/>
    <w:link w:val="33"/>
    <w:qFormat/>
    <w:uiPriority w:val="1"/>
    <w:rPr>
      <w:rFonts w:ascii="Calibri" w:hAnsi="Calibri" w:eastAsia="宋体" w:cs="黑体"/>
      <w:kern w:val="0"/>
      <w:sz w:val="22"/>
      <w:szCs w:val="22"/>
      <w:lang w:val="en-US" w:eastAsia="zh-CN" w:bidi="ar-SA"/>
    </w:rPr>
  </w:style>
  <w:style w:type="paragraph" w:customStyle="1" w:styleId="24">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5">
    <w:name w:val="页眉 Char"/>
    <w:basedOn w:val="14"/>
    <w:link w:val="10"/>
    <w:uiPriority w:val="99"/>
    <w:rPr>
      <w:sz w:val="18"/>
      <w:szCs w:val="18"/>
    </w:rPr>
  </w:style>
  <w:style w:type="character" w:customStyle="1" w:styleId="26">
    <w:name w:val="页脚 Char"/>
    <w:basedOn w:val="14"/>
    <w:link w:val="9"/>
    <w:uiPriority w:val="99"/>
    <w:rPr>
      <w:sz w:val="18"/>
      <w:szCs w:val="18"/>
    </w:rPr>
  </w:style>
  <w:style w:type="character" w:customStyle="1" w:styleId="27">
    <w:name w:val="纯文本 Char"/>
    <w:basedOn w:val="14"/>
    <w:link w:val="7"/>
    <w:uiPriority w:val="0"/>
    <w:rPr>
      <w:rFonts w:ascii="宋体" w:hAnsi="Courier New" w:eastAsia="宋体" w:cs="黑体"/>
      <w:szCs w:val="21"/>
    </w:rPr>
  </w:style>
  <w:style w:type="character" w:customStyle="1" w:styleId="28">
    <w:name w:val="批注文字 Char"/>
    <w:basedOn w:val="14"/>
    <w:link w:val="5"/>
    <w:qFormat/>
    <w:uiPriority w:val="99"/>
    <w:rPr/>
  </w:style>
  <w:style w:type="character" w:customStyle="1" w:styleId="29">
    <w:name w:val="批注主题 Char"/>
    <w:basedOn w:val="28"/>
    <w:link w:val="4"/>
    <w:semiHidden/>
    <w:uiPriority w:val="99"/>
    <w:rPr>
      <w:b/>
      <w:bCs/>
    </w:rPr>
  </w:style>
  <w:style w:type="character" w:customStyle="1" w:styleId="30">
    <w:name w:val="批注框文本 Char"/>
    <w:basedOn w:val="14"/>
    <w:link w:val="8"/>
    <w:semiHidden/>
    <w:uiPriority w:val="99"/>
    <w:rPr>
      <w:sz w:val="18"/>
      <w:szCs w:val="18"/>
    </w:rPr>
  </w:style>
  <w:style w:type="character" w:customStyle="1" w:styleId="31">
    <w:name w:val="标题 1 Char"/>
    <w:basedOn w:val="14"/>
    <w:link w:val="2"/>
    <w:uiPriority w:val="9"/>
    <w:rPr>
      <w:b/>
      <w:bCs/>
      <w:kern w:val="44"/>
      <w:sz w:val="44"/>
      <w:szCs w:val="44"/>
    </w:rPr>
  </w:style>
  <w:style w:type="character" w:customStyle="1" w:styleId="32">
    <w:name w:val="标题 2 Char"/>
    <w:basedOn w:val="14"/>
    <w:link w:val="3"/>
    <w:uiPriority w:val="9"/>
    <w:rPr>
      <w:rFonts w:ascii="Cambria" w:hAnsi="Cambria" w:eastAsia="宋体" w:cs="黑体"/>
      <w:b/>
      <w:bCs/>
      <w:sz w:val="32"/>
      <w:szCs w:val="32"/>
    </w:rPr>
  </w:style>
  <w:style w:type="character" w:customStyle="1" w:styleId="33">
    <w:name w:val="无间隔 Char"/>
    <w:basedOn w:val="14"/>
    <w:link w:val="23"/>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思创会计师</Company>
  <Pages>55</Pages>
  <Words>7333</Words>
  <Characters>41799</Characters>
  <Lines>348</Lines>
  <Paragraphs>98</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2018-11-08T07:57:00Z</dcterms:created>
  <cp:lastModifiedBy>张宇红</cp:lastModifiedBy>
  <dcterms:modified xsi:type="dcterms:W3CDTF">2019-12-02T03:58:19Z</dcterms:modified>
  <dc:subject>【2019版】</dc:subject>
  <dc:title>业主大会会计核算手册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