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1C9FC" w14:textId="216BDD45" w:rsidR="005051DD" w:rsidRDefault="005051DD" w:rsidP="005051DD">
      <w:pPr>
        <w:pStyle w:val="3"/>
        <w:jc w:val="center"/>
        <w:rPr>
          <w:rFonts w:ascii="黑体" w:eastAsia="黑体" w:hAnsi="黑体" w:hint="eastAsia"/>
          <w:sz w:val="44"/>
          <w:szCs w:val="44"/>
        </w:rPr>
      </w:pPr>
      <w:r>
        <w:rPr>
          <w:rFonts w:ascii="黑体" w:eastAsia="黑体" w:hAnsi="黑体" w:hint="eastAsia"/>
          <w:sz w:val="44"/>
          <w:szCs w:val="44"/>
        </w:rPr>
        <w:t>《深圳市住房保障及住房和建设系统行政处罚自由裁量权基准》（征求意见稿）和《深圳市住房保障及住房和建设系统行政处罚自由裁量权基准适用规则》（征求意见稿）公开征求意见</w:t>
      </w:r>
      <w:r w:rsidR="00082220">
        <w:rPr>
          <w:rFonts w:ascii="黑体" w:eastAsia="黑体" w:hAnsi="黑体" w:hint="eastAsia"/>
          <w:sz w:val="44"/>
          <w:szCs w:val="44"/>
        </w:rPr>
        <w:t>反馈</w:t>
      </w:r>
    </w:p>
    <w:p w14:paraId="0F1E8B03" w14:textId="77777777" w:rsidR="005051DD" w:rsidRDefault="005051DD" w:rsidP="005051DD">
      <w:pPr>
        <w:pStyle w:val="3"/>
        <w:jc w:val="center"/>
        <w:rPr>
          <w:rFonts w:ascii="黑体" w:eastAsia="黑体" w:hAnsi="黑体"/>
          <w:sz w:val="44"/>
          <w:szCs w:val="44"/>
        </w:rPr>
      </w:pPr>
      <w:r>
        <w:rPr>
          <w:rFonts w:ascii="黑体" w:eastAsia="黑体" w:hAnsi="黑体" w:hint="eastAsia"/>
          <w:sz w:val="44"/>
          <w:szCs w:val="44"/>
        </w:rPr>
        <w:t>及采纳情况一览表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4148"/>
        <w:gridCol w:w="1702"/>
        <w:gridCol w:w="6014"/>
      </w:tblGrid>
      <w:tr w:rsidR="002148D7" w14:paraId="21A173DA" w14:textId="77777777" w:rsidTr="00BD6A0C">
        <w:trPr>
          <w:trHeight w:val="300"/>
        </w:trPr>
        <w:tc>
          <w:tcPr>
            <w:tcW w:w="747" w:type="pct"/>
          </w:tcPr>
          <w:p w14:paraId="21C7A9FD" w14:textId="77777777" w:rsidR="005051DD" w:rsidRDefault="005051DD" w:rsidP="00FE22C6">
            <w:pPr>
              <w:jc w:val="center"/>
              <w:rPr>
                <w:b/>
                <w:sz w:val="32"/>
                <w:szCs w:val="32"/>
              </w:rPr>
            </w:pPr>
            <w:r>
              <w:rPr>
                <w:rFonts w:hint="eastAsia"/>
                <w:b/>
                <w:sz w:val="32"/>
                <w:szCs w:val="32"/>
              </w:rPr>
              <w:t>意见人</w:t>
            </w:r>
          </w:p>
        </w:tc>
        <w:tc>
          <w:tcPr>
            <w:tcW w:w="1487" w:type="pct"/>
          </w:tcPr>
          <w:p w14:paraId="03D115B9" w14:textId="77777777" w:rsidR="005051DD" w:rsidRDefault="005051DD" w:rsidP="00FE22C6">
            <w:pPr>
              <w:jc w:val="center"/>
              <w:rPr>
                <w:b/>
                <w:sz w:val="32"/>
                <w:szCs w:val="32"/>
              </w:rPr>
            </w:pPr>
            <w:r>
              <w:rPr>
                <w:rFonts w:hint="eastAsia"/>
                <w:b/>
                <w:sz w:val="32"/>
                <w:szCs w:val="32"/>
              </w:rPr>
              <w:t>提出的意见或建议</w:t>
            </w:r>
          </w:p>
        </w:tc>
        <w:tc>
          <w:tcPr>
            <w:tcW w:w="610" w:type="pct"/>
          </w:tcPr>
          <w:p w14:paraId="073B0046" w14:textId="77777777" w:rsidR="005051DD" w:rsidRDefault="005051DD" w:rsidP="00FE22C6">
            <w:pPr>
              <w:jc w:val="center"/>
              <w:rPr>
                <w:b/>
                <w:sz w:val="32"/>
                <w:szCs w:val="32"/>
              </w:rPr>
            </w:pPr>
            <w:r>
              <w:rPr>
                <w:rFonts w:hint="eastAsia"/>
                <w:b/>
                <w:sz w:val="32"/>
                <w:szCs w:val="32"/>
              </w:rPr>
              <w:t>意见处理</w:t>
            </w:r>
          </w:p>
        </w:tc>
        <w:tc>
          <w:tcPr>
            <w:tcW w:w="2156" w:type="pct"/>
          </w:tcPr>
          <w:p w14:paraId="7D863B64" w14:textId="77777777" w:rsidR="005051DD" w:rsidRDefault="005051DD" w:rsidP="00FE22C6">
            <w:pPr>
              <w:jc w:val="center"/>
              <w:rPr>
                <w:b/>
                <w:sz w:val="32"/>
                <w:szCs w:val="32"/>
              </w:rPr>
            </w:pPr>
            <w:r>
              <w:rPr>
                <w:rFonts w:hint="eastAsia"/>
                <w:b/>
                <w:sz w:val="32"/>
                <w:szCs w:val="32"/>
              </w:rPr>
              <w:t>情况说明</w:t>
            </w:r>
          </w:p>
        </w:tc>
      </w:tr>
      <w:tr w:rsidR="002148D7" w:rsidRPr="00112325" w14:paraId="62401264" w14:textId="77777777" w:rsidTr="00BD6A0C">
        <w:trPr>
          <w:trHeight w:val="300"/>
        </w:trPr>
        <w:tc>
          <w:tcPr>
            <w:tcW w:w="747" w:type="pct"/>
            <w:vMerge w:val="restart"/>
          </w:tcPr>
          <w:p w14:paraId="62B4846F" w14:textId="7C9461EB" w:rsidR="00016A16" w:rsidRPr="00EC6872" w:rsidRDefault="00016A16" w:rsidP="00FE22C6">
            <w:pPr>
              <w:jc w:val="center"/>
              <w:rPr>
                <w:rFonts w:hint="eastAsia"/>
                <w:bCs/>
                <w:szCs w:val="21"/>
              </w:rPr>
            </w:pPr>
            <w:r w:rsidRPr="00EC6872">
              <w:rPr>
                <w:bCs/>
                <w:szCs w:val="21"/>
              </w:rPr>
              <w:t>1076686746@qq.com</w:t>
            </w:r>
          </w:p>
        </w:tc>
        <w:tc>
          <w:tcPr>
            <w:tcW w:w="1487" w:type="pct"/>
          </w:tcPr>
          <w:p w14:paraId="42498FEF" w14:textId="5643D7B8" w:rsidR="00016A16" w:rsidRPr="00EC6872" w:rsidRDefault="00016A16" w:rsidP="00F064FE">
            <w:pPr>
              <w:rPr>
                <w:rFonts w:hint="eastAsia"/>
                <w:bCs/>
                <w:szCs w:val="21"/>
              </w:rPr>
            </w:pPr>
            <w:r w:rsidRPr="00016A16">
              <w:rPr>
                <w:rFonts w:hint="eastAsia"/>
                <w:bCs/>
                <w:szCs w:val="21"/>
              </w:rPr>
              <w:t>进一步细化违法情节。本次征求意见稿中大多数条款按照“轻微”、“一般”、“严重”三种情形分别对应“未造成危害后果或造成轻微危害后果”、“造成一般危害后果”、“造成严重危害后果”来区分违法程度。一方面，赋予执法人员的自由裁量权可能过大，实际上并不能达到给自由裁量权设定基准的目的。另一方面，普通群众难以知晓具体什么是“轻微”、“一般”、“严重”，导致法律的指引作用略有缺憾。</w:t>
            </w:r>
          </w:p>
        </w:tc>
        <w:tc>
          <w:tcPr>
            <w:tcW w:w="610" w:type="pct"/>
          </w:tcPr>
          <w:p w14:paraId="1B239619" w14:textId="4F7AC01F" w:rsidR="00016A16" w:rsidRPr="00EC6872" w:rsidRDefault="00016A16" w:rsidP="00FE22C6">
            <w:pPr>
              <w:jc w:val="center"/>
              <w:rPr>
                <w:rFonts w:hint="eastAsia"/>
                <w:bCs/>
                <w:szCs w:val="21"/>
              </w:rPr>
            </w:pPr>
            <w:r>
              <w:rPr>
                <w:rFonts w:hint="eastAsia"/>
                <w:bCs/>
                <w:szCs w:val="21"/>
              </w:rPr>
              <w:t>解释</w:t>
            </w:r>
          </w:p>
        </w:tc>
        <w:tc>
          <w:tcPr>
            <w:tcW w:w="2156" w:type="pct"/>
          </w:tcPr>
          <w:p w14:paraId="3F42017E" w14:textId="42329A62" w:rsidR="00016A16" w:rsidRPr="00EC6872" w:rsidRDefault="00BD5E55" w:rsidP="00F064FE">
            <w:pPr>
              <w:rPr>
                <w:rFonts w:hint="eastAsia"/>
                <w:bCs/>
                <w:szCs w:val="21"/>
              </w:rPr>
            </w:pPr>
            <w:r>
              <w:rPr>
                <w:rFonts w:hint="eastAsia"/>
                <w:bCs/>
                <w:szCs w:val="21"/>
              </w:rPr>
              <w:t>基准的制订综合考虑</w:t>
            </w:r>
            <w:r w:rsidR="00112325">
              <w:rPr>
                <w:rFonts w:hint="eastAsia"/>
                <w:bCs/>
                <w:szCs w:val="21"/>
              </w:rPr>
              <w:t>了</w:t>
            </w:r>
            <w:r>
              <w:rPr>
                <w:rFonts w:hint="eastAsia"/>
                <w:bCs/>
                <w:szCs w:val="21"/>
              </w:rPr>
              <w:t>具体违法行为和后果，对能够量化的已尽量予以量化</w:t>
            </w:r>
            <w:r w:rsidR="00112325">
              <w:rPr>
                <w:rFonts w:hint="eastAsia"/>
                <w:bCs/>
                <w:szCs w:val="21"/>
              </w:rPr>
              <w:t>，对于部分未进行量化的违法情节，采取“未造成后果或造成轻微危害后果”、“造成一般危害后果”和“造成严重危害后果”来对应区分“轻微”、“一般”、“严重”</w:t>
            </w:r>
            <w:r w:rsidR="00D70815">
              <w:rPr>
                <w:rFonts w:hint="eastAsia"/>
                <w:bCs/>
                <w:szCs w:val="21"/>
              </w:rPr>
              <w:t>三种档次的违法程度，主要是考虑到以下因素：（</w:t>
            </w:r>
            <w:r w:rsidR="00D70815">
              <w:rPr>
                <w:rFonts w:hint="eastAsia"/>
                <w:bCs/>
                <w:szCs w:val="21"/>
              </w:rPr>
              <w:t>1</w:t>
            </w:r>
            <w:r w:rsidR="00D70815">
              <w:rPr>
                <w:rFonts w:hint="eastAsia"/>
                <w:bCs/>
                <w:szCs w:val="21"/>
              </w:rPr>
              <w:t>）市住房保障和工程建设领域行政处罚案件情形复杂，难以穷尽，客观上也存在部分违法情形难以具体量化的情况，若强行进行量化，可能</w:t>
            </w:r>
            <w:bookmarkStart w:id="0" w:name="_GoBack"/>
            <w:bookmarkEnd w:id="0"/>
            <w:r w:rsidR="00D70815">
              <w:rPr>
                <w:rFonts w:hint="eastAsia"/>
                <w:bCs/>
                <w:szCs w:val="21"/>
              </w:rPr>
              <w:t>导致无法针对具体情况区分处理，不利于实现个案公正；（</w:t>
            </w:r>
            <w:r w:rsidR="00D70815">
              <w:rPr>
                <w:rFonts w:hint="eastAsia"/>
                <w:bCs/>
                <w:szCs w:val="21"/>
              </w:rPr>
              <w:t>2</w:t>
            </w:r>
            <w:r w:rsidR="00D70815">
              <w:rPr>
                <w:rFonts w:hint="eastAsia"/>
                <w:bCs/>
                <w:szCs w:val="21"/>
              </w:rPr>
              <w:t>）法律、法规、规章等规定天然具有滞后性，有限的规定无法穷尽所有违法行为，</w:t>
            </w:r>
            <w:r w:rsidR="00D70815" w:rsidRPr="00D70815">
              <w:rPr>
                <w:rFonts w:hint="eastAsia"/>
                <w:bCs/>
                <w:szCs w:val="21"/>
              </w:rPr>
              <w:t>完全采取“具体行为量化”的方式可能导致</w:t>
            </w:r>
            <w:r w:rsidR="00F064FE">
              <w:rPr>
                <w:rFonts w:hint="eastAsia"/>
                <w:bCs/>
                <w:szCs w:val="21"/>
              </w:rPr>
              <w:t>制订的</w:t>
            </w:r>
            <w:r w:rsidR="00D70815" w:rsidRPr="00D70815">
              <w:rPr>
                <w:rFonts w:hint="eastAsia"/>
                <w:bCs/>
                <w:szCs w:val="21"/>
              </w:rPr>
              <w:t>裁量基准在较短的时间内便失去适用价值，不能实现裁量基准</w:t>
            </w:r>
            <w:r w:rsidR="00F064FE">
              <w:rPr>
                <w:rFonts w:hint="eastAsia"/>
                <w:bCs/>
                <w:szCs w:val="21"/>
              </w:rPr>
              <w:t>的</w:t>
            </w:r>
            <w:r w:rsidR="00D70815" w:rsidRPr="00D70815">
              <w:rPr>
                <w:rFonts w:hint="eastAsia"/>
                <w:bCs/>
                <w:szCs w:val="21"/>
              </w:rPr>
              <w:t>编制初衷</w:t>
            </w:r>
            <w:r w:rsidR="00D70815">
              <w:rPr>
                <w:rFonts w:hint="eastAsia"/>
                <w:bCs/>
                <w:szCs w:val="21"/>
              </w:rPr>
              <w:t>。</w:t>
            </w:r>
          </w:p>
        </w:tc>
      </w:tr>
      <w:tr w:rsidR="002148D7" w14:paraId="57A988C8" w14:textId="77777777" w:rsidTr="00BD6A0C">
        <w:trPr>
          <w:trHeight w:val="300"/>
        </w:trPr>
        <w:tc>
          <w:tcPr>
            <w:tcW w:w="747" w:type="pct"/>
            <w:vMerge/>
          </w:tcPr>
          <w:p w14:paraId="035738FE" w14:textId="77777777" w:rsidR="00016A16" w:rsidRPr="00016A16" w:rsidRDefault="00016A16" w:rsidP="00FE22C6">
            <w:pPr>
              <w:jc w:val="center"/>
              <w:rPr>
                <w:rFonts w:hint="eastAsia"/>
                <w:bCs/>
                <w:szCs w:val="21"/>
              </w:rPr>
            </w:pPr>
          </w:p>
        </w:tc>
        <w:tc>
          <w:tcPr>
            <w:tcW w:w="1487" w:type="pct"/>
          </w:tcPr>
          <w:p w14:paraId="44321CA6" w14:textId="3A7BAFE8" w:rsidR="00016A16" w:rsidRPr="00016A16" w:rsidRDefault="00016A16" w:rsidP="00F064FE">
            <w:pPr>
              <w:rPr>
                <w:rFonts w:hint="eastAsia"/>
                <w:bCs/>
                <w:szCs w:val="21"/>
              </w:rPr>
            </w:pPr>
            <w:r w:rsidRPr="00016A16">
              <w:rPr>
                <w:rFonts w:hint="eastAsia"/>
                <w:bCs/>
                <w:szCs w:val="21"/>
              </w:rPr>
              <w:t>对于部分并非属于行政处罚范畴的措施，建议予以删除，例如对公职人员的行政处分。</w:t>
            </w:r>
          </w:p>
        </w:tc>
        <w:tc>
          <w:tcPr>
            <w:tcW w:w="610" w:type="pct"/>
          </w:tcPr>
          <w:p w14:paraId="5181E4DF" w14:textId="33294459" w:rsidR="00016A16" w:rsidRPr="00016A16" w:rsidRDefault="00016A16" w:rsidP="00FE22C6">
            <w:pPr>
              <w:jc w:val="center"/>
              <w:rPr>
                <w:rFonts w:hint="eastAsia"/>
                <w:bCs/>
                <w:szCs w:val="21"/>
              </w:rPr>
            </w:pPr>
            <w:r w:rsidRPr="00016A16">
              <w:rPr>
                <w:rFonts w:hint="eastAsia"/>
                <w:bCs/>
                <w:szCs w:val="21"/>
              </w:rPr>
              <w:t>拟采纳</w:t>
            </w:r>
          </w:p>
        </w:tc>
        <w:tc>
          <w:tcPr>
            <w:tcW w:w="2156" w:type="pct"/>
          </w:tcPr>
          <w:p w14:paraId="7F360D4F" w14:textId="7F1C61B8" w:rsidR="00016A16" w:rsidRPr="00D70815" w:rsidRDefault="00F064FE" w:rsidP="00F064FE">
            <w:pPr>
              <w:rPr>
                <w:rFonts w:hint="eastAsia"/>
                <w:bCs/>
                <w:szCs w:val="21"/>
              </w:rPr>
            </w:pPr>
            <w:r>
              <w:rPr>
                <w:rFonts w:hint="eastAsia"/>
                <w:bCs/>
                <w:szCs w:val="21"/>
              </w:rPr>
              <w:t>鉴于裁量基准是为了规范市住</w:t>
            </w:r>
            <w:proofErr w:type="gramStart"/>
            <w:r>
              <w:rPr>
                <w:rFonts w:hint="eastAsia"/>
                <w:bCs/>
                <w:szCs w:val="21"/>
              </w:rPr>
              <w:t>建部门</w:t>
            </w:r>
            <w:proofErr w:type="gramEnd"/>
            <w:r>
              <w:rPr>
                <w:rFonts w:hint="eastAsia"/>
                <w:bCs/>
                <w:szCs w:val="21"/>
              </w:rPr>
              <w:t>的行政处罚自由裁量权，针对的是市住</w:t>
            </w:r>
            <w:proofErr w:type="gramStart"/>
            <w:r>
              <w:rPr>
                <w:rFonts w:hint="eastAsia"/>
                <w:bCs/>
                <w:szCs w:val="21"/>
              </w:rPr>
              <w:t>建部门</w:t>
            </w:r>
            <w:proofErr w:type="gramEnd"/>
            <w:r>
              <w:rPr>
                <w:rFonts w:hint="eastAsia"/>
                <w:bCs/>
                <w:szCs w:val="21"/>
              </w:rPr>
              <w:t>作为行政执法机关对当事人的行政处罚，因此</w:t>
            </w:r>
            <w:r>
              <w:rPr>
                <w:rFonts w:hint="eastAsia"/>
                <w:bCs/>
                <w:szCs w:val="21"/>
              </w:rPr>
              <w:lastRenderedPageBreak/>
              <w:t>对法律</w:t>
            </w:r>
            <w:r w:rsidR="00565997">
              <w:rPr>
                <w:rFonts w:hint="eastAsia"/>
                <w:bCs/>
                <w:szCs w:val="21"/>
              </w:rPr>
              <w:t>法规</w:t>
            </w:r>
            <w:r>
              <w:rPr>
                <w:rFonts w:hint="eastAsia"/>
                <w:bCs/>
                <w:szCs w:val="21"/>
              </w:rPr>
              <w:t>规定对公职人员的行政处分事项予以删除。</w:t>
            </w:r>
          </w:p>
        </w:tc>
      </w:tr>
      <w:tr w:rsidR="002148D7" w14:paraId="4CA178A2" w14:textId="77777777" w:rsidTr="00BD6A0C">
        <w:trPr>
          <w:trHeight w:val="300"/>
        </w:trPr>
        <w:tc>
          <w:tcPr>
            <w:tcW w:w="747" w:type="pct"/>
          </w:tcPr>
          <w:p w14:paraId="48717DA6" w14:textId="246FCEFC" w:rsidR="00016A16" w:rsidRPr="00016A16" w:rsidRDefault="00016A16" w:rsidP="00FE22C6">
            <w:pPr>
              <w:jc w:val="center"/>
              <w:rPr>
                <w:rFonts w:hint="eastAsia"/>
                <w:bCs/>
                <w:szCs w:val="21"/>
              </w:rPr>
            </w:pPr>
            <w:r w:rsidRPr="00016A16">
              <w:rPr>
                <w:bCs/>
                <w:szCs w:val="21"/>
              </w:rPr>
              <w:lastRenderedPageBreak/>
              <w:t>2856404679@qq.com</w:t>
            </w:r>
          </w:p>
        </w:tc>
        <w:tc>
          <w:tcPr>
            <w:tcW w:w="1487" w:type="pct"/>
          </w:tcPr>
          <w:p w14:paraId="44EE30EE" w14:textId="266E538F" w:rsidR="00016A16" w:rsidRPr="00016A16" w:rsidRDefault="00016A16" w:rsidP="00F064FE">
            <w:pPr>
              <w:rPr>
                <w:rFonts w:hint="eastAsia"/>
                <w:bCs/>
                <w:szCs w:val="21"/>
              </w:rPr>
            </w:pPr>
            <w:r>
              <w:rPr>
                <w:rFonts w:ascii="Simsun" w:hAnsi="Simsun"/>
                <w:color w:val="000000"/>
                <w:szCs w:val="21"/>
              </w:rPr>
              <w:t>有关招投标的规定，大多数违法情节和后果是按照</w:t>
            </w:r>
            <w:r>
              <w:rPr>
                <w:rFonts w:ascii="Simsun" w:hAnsi="Simsun"/>
                <w:color w:val="000000"/>
                <w:szCs w:val="21"/>
              </w:rPr>
              <w:t>“</w:t>
            </w:r>
            <w:r>
              <w:rPr>
                <w:rFonts w:ascii="Simsun" w:hAnsi="Simsun"/>
                <w:color w:val="000000"/>
                <w:szCs w:val="21"/>
              </w:rPr>
              <w:t>未造成后果或造成轻微危害后果的</w:t>
            </w:r>
            <w:r>
              <w:rPr>
                <w:rFonts w:ascii="Simsun" w:hAnsi="Simsun"/>
                <w:color w:val="000000"/>
                <w:szCs w:val="21"/>
              </w:rPr>
              <w:t>”</w:t>
            </w:r>
            <w:r>
              <w:rPr>
                <w:rFonts w:ascii="Simsun" w:hAnsi="Simsun"/>
                <w:color w:val="000000"/>
                <w:szCs w:val="21"/>
              </w:rPr>
              <w:t>、</w:t>
            </w:r>
            <w:r>
              <w:rPr>
                <w:rFonts w:ascii="Simsun" w:hAnsi="Simsun"/>
                <w:color w:val="000000"/>
                <w:szCs w:val="21"/>
              </w:rPr>
              <w:t>“</w:t>
            </w:r>
            <w:r>
              <w:rPr>
                <w:rFonts w:ascii="Simsun" w:hAnsi="Simsun"/>
                <w:color w:val="000000"/>
                <w:szCs w:val="21"/>
              </w:rPr>
              <w:t>造成一般危害后果的</w:t>
            </w:r>
            <w:r>
              <w:rPr>
                <w:rFonts w:ascii="Simsun" w:hAnsi="Simsun"/>
                <w:color w:val="000000"/>
                <w:szCs w:val="21"/>
              </w:rPr>
              <w:t>”</w:t>
            </w:r>
            <w:r>
              <w:rPr>
                <w:rFonts w:ascii="Simsun" w:hAnsi="Simsun"/>
                <w:color w:val="000000"/>
                <w:szCs w:val="21"/>
              </w:rPr>
              <w:t>和</w:t>
            </w:r>
            <w:r>
              <w:rPr>
                <w:rFonts w:ascii="Simsun" w:hAnsi="Simsun"/>
                <w:color w:val="000000"/>
                <w:szCs w:val="21"/>
              </w:rPr>
              <w:t>“</w:t>
            </w:r>
            <w:r>
              <w:rPr>
                <w:rFonts w:ascii="Simsun" w:hAnsi="Simsun"/>
                <w:color w:val="000000"/>
                <w:szCs w:val="21"/>
              </w:rPr>
              <w:t>造成严重危害后果的</w:t>
            </w:r>
            <w:r>
              <w:rPr>
                <w:rFonts w:ascii="Simsun" w:hAnsi="Simsun"/>
                <w:color w:val="000000"/>
                <w:szCs w:val="21"/>
              </w:rPr>
              <w:t>”</w:t>
            </w:r>
            <w:r>
              <w:rPr>
                <w:rFonts w:ascii="Simsun" w:hAnsi="Simsun"/>
                <w:color w:val="000000"/>
                <w:szCs w:val="21"/>
              </w:rPr>
              <w:t>衡量，建议能够进一步细化，规定具体的情节，例如以合同价款、工程项目价款、招投标程序的进程、招投标项目的进程等进行规定。</w:t>
            </w:r>
          </w:p>
        </w:tc>
        <w:tc>
          <w:tcPr>
            <w:tcW w:w="610" w:type="pct"/>
          </w:tcPr>
          <w:p w14:paraId="00D7FC52" w14:textId="37291F02" w:rsidR="00016A16" w:rsidRPr="00016A16" w:rsidRDefault="00016A16" w:rsidP="00FE22C6">
            <w:pPr>
              <w:jc w:val="center"/>
              <w:rPr>
                <w:rFonts w:hint="eastAsia"/>
                <w:bCs/>
                <w:szCs w:val="21"/>
              </w:rPr>
            </w:pPr>
            <w:r>
              <w:rPr>
                <w:rFonts w:hint="eastAsia"/>
                <w:bCs/>
                <w:szCs w:val="21"/>
              </w:rPr>
              <w:t>解释</w:t>
            </w:r>
          </w:p>
        </w:tc>
        <w:tc>
          <w:tcPr>
            <w:tcW w:w="2156" w:type="pct"/>
          </w:tcPr>
          <w:p w14:paraId="78F791CE" w14:textId="62543F53" w:rsidR="00016A16" w:rsidRPr="00565997" w:rsidRDefault="00565997" w:rsidP="00082220">
            <w:pPr>
              <w:rPr>
                <w:rFonts w:hint="eastAsia"/>
                <w:bCs/>
                <w:szCs w:val="21"/>
              </w:rPr>
            </w:pPr>
            <w:r>
              <w:rPr>
                <w:rFonts w:hint="eastAsia"/>
                <w:bCs/>
                <w:szCs w:val="21"/>
              </w:rPr>
              <w:t>同整个基准的制定</w:t>
            </w:r>
            <w:r w:rsidR="00E70C96">
              <w:rPr>
                <w:rFonts w:hint="eastAsia"/>
                <w:bCs/>
                <w:szCs w:val="21"/>
              </w:rPr>
              <w:t>情况一致，</w:t>
            </w:r>
            <w:r>
              <w:rPr>
                <w:rFonts w:hint="eastAsia"/>
                <w:bCs/>
                <w:szCs w:val="21"/>
              </w:rPr>
              <w:t>招投标相关的裁量基准，</w:t>
            </w:r>
            <w:r w:rsidR="00E70C96">
              <w:rPr>
                <w:rFonts w:hint="eastAsia"/>
                <w:bCs/>
                <w:szCs w:val="21"/>
              </w:rPr>
              <w:t>在综合考虑具体违法行为和后果的基础上，对能够量化的已尽量予以量化，例如对</w:t>
            </w:r>
            <w:proofErr w:type="gramStart"/>
            <w:r w:rsidR="00E70C96">
              <w:rPr>
                <w:rFonts w:hint="eastAsia"/>
                <w:bCs/>
                <w:szCs w:val="21"/>
              </w:rPr>
              <w:t>施工类招投标</w:t>
            </w:r>
            <w:proofErr w:type="gramEnd"/>
            <w:r w:rsidR="00E70C96">
              <w:rPr>
                <w:rFonts w:hint="eastAsia"/>
                <w:bCs/>
                <w:szCs w:val="21"/>
              </w:rPr>
              <w:t>的基准统一采用工程合同价款或者招标项目的估算价作为违法情节和后果的区分标准，对设计和货物相关的基准采取开标前发现违法行为</w:t>
            </w:r>
            <w:r w:rsidR="00082220">
              <w:rPr>
                <w:rFonts w:hint="eastAsia"/>
                <w:bCs/>
                <w:szCs w:val="21"/>
              </w:rPr>
              <w:t>、</w:t>
            </w:r>
            <w:r w:rsidR="00E70C96">
              <w:rPr>
                <w:rFonts w:hint="eastAsia"/>
                <w:bCs/>
                <w:szCs w:val="21"/>
              </w:rPr>
              <w:t>在开标后但在开工前发现违法行为</w:t>
            </w:r>
            <w:r w:rsidR="00082220">
              <w:rPr>
                <w:rFonts w:hint="eastAsia"/>
                <w:bCs/>
                <w:szCs w:val="21"/>
              </w:rPr>
              <w:t>、</w:t>
            </w:r>
            <w:r w:rsidR="00E70C96">
              <w:rPr>
                <w:rFonts w:hint="eastAsia"/>
                <w:bCs/>
                <w:szCs w:val="21"/>
              </w:rPr>
              <w:t>在开标后发现违法行为或其他情节恶劣或造成严重后果的违法行为作为区分标准，对剩余未进行量化的</w:t>
            </w:r>
            <w:r w:rsidR="00082220">
              <w:rPr>
                <w:rFonts w:hint="eastAsia"/>
                <w:bCs/>
                <w:szCs w:val="21"/>
              </w:rPr>
              <w:t>情形，主要是出于</w:t>
            </w:r>
            <w:r w:rsidR="00082220">
              <w:rPr>
                <w:rFonts w:hint="eastAsia"/>
                <w:bCs/>
                <w:szCs w:val="21"/>
              </w:rPr>
              <w:t>情形复杂</w:t>
            </w:r>
            <w:r w:rsidR="00082220">
              <w:rPr>
                <w:rFonts w:hint="eastAsia"/>
                <w:bCs/>
                <w:szCs w:val="21"/>
              </w:rPr>
              <w:t>，难以量化，为维护个案公正的</w:t>
            </w:r>
            <w:proofErr w:type="gramStart"/>
            <w:r w:rsidR="00082220">
              <w:rPr>
                <w:rFonts w:hint="eastAsia"/>
                <w:bCs/>
                <w:szCs w:val="21"/>
              </w:rPr>
              <w:t>考量</w:t>
            </w:r>
            <w:proofErr w:type="gramEnd"/>
            <w:r w:rsidR="00082220">
              <w:rPr>
                <w:rFonts w:hint="eastAsia"/>
                <w:bCs/>
                <w:szCs w:val="21"/>
              </w:rPr>
              <w:t>。</w:t>
            </w:r>
          </w:p>
        </w:tc>
      </w:tr>
    </w:tbl>
    <w:p w14:paraId="401D9482" w14:textId="77777777" w:rsidR="00125E94" w:rsidRDefault="00125E94" w:rsidP="00FE0F2B">
      <w:pPr>
        <w:ind w:firstLine="480"/>
      </w:pPr>
    </w:p>
    <w:p w14:paraId="49D7147F" w14:textId="77777777" w:rsidR="000209FC" w:rsidRDefault="000209FC" w:rsidP="00FE0F2B">
      <w:pPr>
        <w:ind w:firstLine="480"/>
      </w:pPr>
    </w:p>
    <w:sectPr w:rsidR="000209FC" w:rsidSect="005051D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4DB97" w14:textId="77777777" w:rsidR="00BD7ABE" w:rsidRDefault="00BD7ABE" w:rsidP="00812032">
      <w:r>
        <w:separator/>
      </w:r>
    </w:p>
  </w:endnote>
  <w:endnote w:type="continuationSeparator" w:id="0">
    <w:p w14:paraId="6D2024B3" w14:textId="77777777" w:rsidR="00BD7ABE" w:rsidRDefault="00BD7ABE" w:rsidP="008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78006" w14:textId="77777777" w:rsidR="00BD7ABE" w:rsidRDefault="00BD7ABE" w:rsidP="00812032">
      <w:r>
        <w:separator/>
      </w:r>
    </w:p>
  </w:footnote>
  <w:footnote w:type="continuationSeparator" w:id="0">
    <w:p w14:paraId="75C07F86" w14:textId="77777777" w:rsidR="00BD7ABE" w:rsidRDefault="00BD7ABE" w:rsidP="008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DD"/>
    <w:rsid w:val="00016A16"/>
    <w:rsid w:val="000209FC"/>
    <w:rsid w:val="00082220"/>
    <w:rsid w:val="00112325"/>
    <w:rsid w:val="00125E94"/>
    <w:rsid w:val="002148D7"/>
    <w:rsid w:val="0038310B"/>
    <w:rsid w:val="00443C12"/>
    <w:rsid w:val="005051DD"/>
    <w:rsid w:val="00527C55"/>
    <w:rsid w:val="00565997"/>
    <w:rsid w:val="0072359B"/>
    <w:rsid w:val="007F2651"/>
    <w:rsid w:val="00812032"/>
    <w:rsid w:val="00862858"/>
    <w:rsid w:val="00AE2ECB"/>
    <w:rsid w:val="00B774C9"/>
    <w:rsid w:val="00B841B1"/>
    <w:rsid w:val="00BD5E55"/>
    <w:rsid w:val="00BD6A0C"/>
    <w:rsid w:val="00BD7ABE"/>
    <w:rsid w:val="00D5043B"/>
    <w:rsid w:val="00D70815"/>
    <w:rsid w:val="00E70C96"/>
    <w:rsid w:val="00EC6872"/>
    <w:rsid w:val="00EF7409"/>
    <w:rsid w:val="00F064FE"/>
    <w:rsid w:val="00FE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0530"/>
  <w15:chartTrackingRefBased/>
  <w15:docId w15:val="{1D88AEAC-61F5-4DF7-A859-19F9160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DD"/>
    <w:pPr>
      <w:widowControl w:val="0"/>
      <w:jc w:val="both"/>
    </w:pPr>
    <w:rPr>
      <w:rFonts w:ascii="Times New Roman" w:eastAsia="宋体" w:hAnsi="Times New Roman" w:cs="Times New Roman"/>
      <w:szCs w:val="20"/>
    </w:rPr>
  </w:style>
  <w:style w:type="paragraph" w:styleId="1">
    <w:name w:val="heading 1"/>
    <w:basedOn w:val="a"/>
    <w:next w:val="a"/>
    <w:link w:val="10"/>
    <w:autoRedefine/>
    <w:uiPriority w:val="9"/>
    <w:qFormat/>
    <w:rsid w:val="0038310B"/>
    <w:pPr>
      <w:keepNext/>
      <w:keepLines/>
      <w:spacing w:before="100" w:beforeAutospacing="1" w:after="100" w:afterAutospacing="1"/>
      <w:outlineLvl w:val="0"/>
    </w:pPr>
    <w:rPr>
      <w:rFonts w:eastAsia="仿宋"/>
      <w:b/>
      <w:bCs/>
      <w:kern w:val="44"/>
      <w:sz w:val="28"/>
      <w:szCs w:val="44"/>
    </w:rPr>
  </w:style>
  <w:style w:type="paragraph" w:styleId="3">
    <w:name w:val="heading 3"/>
    <w:basedOn w:val="a"/>
    <w:next w:val="a"/>
    <w:link w:val="30"/>
    <w:uiPriority w:val="9"/>
    <w:qFormat/>
    <w:rsid w:val="005051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10B"/>
    <w:rPr>
      <w:rFonts w:eastAsia="仿宋"/>
      <w:b/>
      <w:bCs/>
      <w:kern w:val="44"/>
      <w:sz w:val="28"/>
      <w:szCs w:val="44"/>
    </w:rPr>
  </w:style>
  <w:style w:type="character" w:customStyle="1" w:styleId="30">
    <w:name w:val="标题 3 字符"/>
    <w:basedOn w:val="a0"/>
    <w:link w:val="3"/>
    <w:uiPriority w:val="9"/>
    <w:rsid w:val="005051DD"/>
    <w:rPr>
      <w:rFonts w:ascii="Times New Roman" w:eastAsia="宋体" w:hAnsi="Times New Roman" w:cs="Times New Roman"/>
      <w:b/>
      <w:bCs/>
      <w:sz w:val="32"/>
      <w:szCs w:val="32"/>
    </w:rPr>
  </w:style>
  <w:style w:type="paragraph" w:styleId="a3">
    <w:name w:val="header"/>
    <w:basedOn w:val="a"/>
    <w:link w:val="a4"/>
    <w:uiPriority w:val="99"/>
    <w:unhideWhenUsed/>
    <w:rsid w:val="008120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2032"/>
    <w:rPr>
      <w:rFonts w:ascii="Times New Roman" w:eastAsia="宋体" w:hAnsi="Times New Roman" w:cs="Times New Roman"/>
      <w:sz w:val="18"/>
      <w:szCs w:val="18"/>
    </w:rPr>
  </w:style>
  <w:style w:type="paragraph" w:styleId="a5">
    <w:name w:val="footer"/>
    <w:basedOn w:val="a"/>
    <w:link w:val="a6"/>
    <w:uiPriority w:val="99"/>
    <w:unhideWhenUsed/>
    <w:rsid w:val="00812032"/>
    <w:pPr>
      <w:tabs>
        <w:tab w:val="center" w:pos="4153"/>
        <w:tab w:val="right" w:pos="8306"/>
      </w:tabs>
      <w:snapToGrid w:val="0"/>
      <w:jc w:val="left"/>
    </w:pPr>
    <w:rPr>
      <w:sz w:val="18"/>
      <w:szCs w:val="18"/>
    </w:rPr>
  </w:style>
  <w:style w:type="character" w:customStyle="1" w:styleId="a6">
    <w:name w:val="页脚 字符"/>
    <w:basedOn w:val="a0"/>
    <w:link w:val="a5"/>
    <w:uiPriority w:val="99"/>
    <w:rsid w:val="008120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张晓静（赖湘平律师团队）</dc:creator>
  <cp:keywords/>
  <dc:description/>
  <cp:lastModifiedBy>张晓静（赖湘平律师团队）</cp:lastModifiedBy>
  <cp:revision>7</cp:revision>
  <dcterms:created xsi:type="dcterms:W3CDTF">2019-11-29T10:17:00Z</dcterms:created>
  <dcterms:modified xsi:type="dcterms:W3CDTF">2019-12-02T03:10:00Z</dcterms:modified>
</cp:coreProperties>
</file>