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《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深圳市普通高中学校设计导则</w:t>
      </w:r>
      <w:r>
        <w:rPr>
          <w:rFonts w:ascii="Times New Roman" w:hAnsi="Times New Roman" w:eastAsia="宋体" w:cs="Times New Roman"/>
          <w:b/>
          <w:sz w:val="32"/>
          <w:szCs w:val="32"/>
        </w:rPr>
        <w:t>》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征求意见及处理情况统计</w:t>
      </w:r>
      <w:bookmarkStart w:id="0" w:name="OLE_LINK1"/>
      <w:r>
        <w:rPr>
          <w:rFonts w:hint="eastAsia" w:cs="Times New Roman"/>
          <w:b/>
          <w:sz w:val="32"/>
          <w:szCs w:val="32"/>
          <w:lang w:eastAsia="zh-CN"/>
        </w:rPr>
        <w:t>表（部分）</w:t>
      </w:r>
      <w:bookmarkEnd w:id="0"/>
    </w:p>
    <w:tbl>
      <w:tblPr>
        <w:tblStyle w:val="4"/>
        <w:tblW w:w="9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56"/>
        <w:gridCol w:w="4466"/>
        <w:gridCol w:w="1022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条文</w:t>
            </w:r>
          </w:p>
        </w:tc>
        <w:tc>
          <w:tcPr>
            <w:tcW w:w="4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修改意见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采纳情况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修改说明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前言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本导则的主要内容包括“…场地和总平面”，应与正文中“场地与总平面”统一。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前言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本导则的主要内容包括：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建议增加：本导则的主要技术内容包括：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建议增加：概括阐述主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szCs w:val="21"/>
              </w:rPr>
              <w:t>要技术内容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前言部分稍显简单，建议按照工程建设标准的编制格式，在前言部分明确本导则与现行国家标准在执行强度、约束等级、内容属性等方面的匹配关系；同时，明确本导则共分多少章和几个附录，并概况出本导则的主要技术内容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1.0.2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right" w:leader="dot" w:pos="9000"/>
              </w:tabs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民办和职业高中参照执行，不做强行要求</w:t>
            </w:r>
          </w:p>
          <w:p>
            <w:pPr>
              <w:widowControl/>
              <w:tabs>
                <w:tab w:val="right" w:leader="dot" w:pos="9000"/>
              </w:tabs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理由：可鼓励有条件的民办和职业高中按较高标准建设。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1.0.2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both"/>
              <w:outlineLvl w:val="9"/>
              <w:rPr>
                <w:rFonts w:ascii="Times New Roman" w:hAnsi="Times New Roman" w:eastAsia="宋体" w:cs="Times New Roman"/>
                <w:b w:val="0"/>
                <w:bCs w:val="0"/>
                <w:kern w:val="2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 w:val="0"/>
                <w:kern w:val="2"/>
                <w:szCs w:val="21"/>
                <w:lang w:val="en-US"/>
              </w:rPr>
              <w:t>【导则的适用范围】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"/>
                <w:szCs w:val="21"/>
                <w:lang w:val="en-US"/>
              </w:rPr>
              <w:t>深圳市新建、改建和扩建公办普通高中学校的规划设计、建设施工和运行维护应遵守本导则。</w:t>
            </w:r>
          </w:p>
          <w:p>
            <w:pPr>
              <w:widowControl/>
              <w:tabs>
                <w:tab w:val="right" w:leader="dot" w:pos="9000"/>
              </w:tabs>
              <w:ind w:firstLine="454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理由：高中和初中的差异性体现在哪些方面，还是仅对高中提出要求？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1.0.3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“安全、实用…”,宜为“安全、适用…”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理由：与国家基本建设方针相一致。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适用：应根据一定时期的政治、经济和技术条件来决定，同时还要根据不同地区、民族、用途、性质和等级的建筑物，进行区别对待。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“安全、实用、美观、绿色…”,宜增加为“安全、适用、美观、绿色、健康…”。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理由：根据社会发展及此次疫情带来的思考。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1.0.3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both"/>
              <w:outlineLvl w:val="9"/>
              <w:rPr>
                <w:rFonts w:ascii="Times New Roman" w:hAnsi="Times New Roman" w:eastAsia="宋体" w:cs="Times New Roman"/>
                <w:b w:val="0"/>
                <w:bCs w:val="0"/>
                <w:kern w:val="2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 w:val="0"/>
                <w:kern w:val="2"/>
                <w:szCs w:val="21"/>
                <w:lang w:val="en-US"/>
              </w:rPr>
              <w:t>【导则的共性要求】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"/>
                <w:szCs w:val="21"/>
                <w:lang w:val="en-US"/>
              </w:rPr>
              <w:t>深圳市公办普通高中学校的建设应遵循安全、实用、美观、绿色、智慧和适度先进的原则。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理由：合理、经济性也是客观需要的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2.0.1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应增加“含民间投资交由政府管理办学或政企（自然人）混合所有制”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理由：民间对教育的重视及国家最近提出的“混合所有制”体制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2.0.1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与规范所提的“高级中学”对应？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2.0.1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公办普通高中学校：政府投资建设的普通高中学校，不包括民办高中和职业高中等。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建议增加：不包括公办特殊学校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理由：《深圳市城市规划标准与准则》（2018年版）中，明确教育设施包括特殊学校。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2.0.2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补充智慧校园术语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2.0.2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智慧校园，应给定什么叫“智慧校园”名词解释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2.0.2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智慧校园：术语缺项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建议增加：绿色设计，包括绿色校园与绿色建筑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建议增加：安全设计，包括校园环境安全与建筑本质安全</w:t>
            </w:r>
          </w:p>
          <w:p>
            <w:pPr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理由：《中小学校设计规范》GB 50099-2011第2.0.8条、第2.0.9条、第3.0.5条、第3.0.8条，均对安全设计、绿色设计做出明确的术语和基本规定。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基本规定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建议增加机电抗震设计要求。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作为紧急避难场所，应有措施保障机电系统在地震时的安全运行。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3.0.1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为加快建设速度、提高建设质量，高中学校宜采用装配式建造方式建设，并满足深圳市装配式建筑相关要求。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理由：因为深圳市装配式建筑除评分规则以外，还有其它相关的要求，原则上随着技术的发展也会有调整，所以如果只单一说评分规则不是很全面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3.0.3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可省略“新建、改建和扩建”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理由：1.0.2条已说明导则的适用范围，不必再重复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采纳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20FC6"/>
    <w:rsid w:val="6A8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黑体"/>
      <w:b/>
      <w:bCs/>
      <w:kern w:val="28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2020-04-22T07:56:00Z</dcterms:created>
  <dc:creator>叶镇宙</dc:creator>
  <cp:lastModifiedBy>叶镇宙</cp:lastModifiedBy>
  <dcterms:modified xsi:type="dcterms:W3CDTF">2020-04-22T07:57:27Z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