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560" w:lineRule="exact"/>
        <w:jc w:val="right"/>
        <w:rPr>
          <w:rFonts w:ascii="仿宋_GB2312" w:hAnsi="黑体" w:eastAsia="仿宋_GB2312"/>
          <w:b/>
          <w:color w:val="auto"/>
          <w:sz w:val="32"/>
          <w:szCs w:val="32"/>
        </w:rPr>
      </w:pPr>
    </w:p>
    <w:p>
      <w:pPr>
        <w:snapToGrid w:val="0"/>
        <w:spacing w:line="560" w:lineRule="exact"/>
        <w:jc w:val="right"/>
        <w:rPr>
          <w:rFonts w:ascii="仿宋_GB2312" w:hAnsi="黑体" w:eastAsia="仿宋_GB2312"/>
          <w:b/>
          <w:color w:val="auto"/>
          <w:sz w:val="32"/>
          <w:szCs w:val="32"/>
        </w:rPr>
      </w:pPr>
      <w:r>
        <w:rPr>
          <w:rFonts w:hint="eastAsia" w:ascii="仿宋_GB2312" w:hAnsi="黑体" w:eastAsia="仿宋_GB2312"/>
          <w:b/>
          <w:color w:val="auto"/>
          <w:sz w:val="32"/>
          <w:szCs w:val="32"/>
        </w:rPr>
        <w:t>合同编号：      号</w:t>
      </w:r>
    </w:p>
    <w:p>
      <w:pPr>
        <w:snapToGrid w:val="0"/>
        <w:spacing w:line="560" w:lineRule="exact"/>
        <w:jc w:val="right"/>
        <w:rPr>
          <w:rFonts w:ascii="仿宋_GB2312" w:hAnsi="黑体" w:eastAsia="仿宋_GB2312"/>
          <w:color w:val="auto"/>
          <w:sz w:val="30"/>
          <w:szCs w:val="30"/>
        </w:rPr>
      </w:pPr>
    </w:p>
    <w:p>
      <w:pPr>
        <w:snapToGrid w:val="0"/>
        <w:spacing w:line="560" w:lineRule="exact"/>
        <w:rPr>
          <w:rFonts w:ascii="仿宋_GB2312" w:hAnsi="黑体" w:eastAsia="仿宋_GB2312"/>
          <w:color w:val="auto"/>
          <w:sz w:val="32"/>
          <w:szCs w:val="32"/>
        </w:rPr>
      </w:pPr>
    </w:p>
    <w:p>
      <w:pPr>
        <w:tabs>
          <w:tab w:val="left" w:pos="6750"/>
        </w:tabs>
        <w:snapToGrid w:val="0"/>
        <w:spacing w:line="560" w:lineRule="exact"/>
        <w:rPr>
          <w:rFonts w:ascii="仿宋_GB2312" w:hAnsi="黑体" w:eastAsia="仿宋_GB2312"/>
          <w:color w:val="auto"/>
          <w:sz w:val="32"/>
          <w:szCs w:val="32"/>
        </w:rPr>
      </w:pPr>
      <w:r>
        <w:rPr>
          <w:rFonts w:ascii="仿宋_GB2312" w:hAnsi="黑体" w:eastAsia="仿宋_GB2312"/>
          <w:color w:val="auto"/>
          <w:sz w:val="32"/>
          <w:szCs w:val="32"/>
        </w:rPr>
        <w:tab/>
      </w:r>
    </w:p>
    <w:p>
      <w:pPr>
        <w:spacing w:line="560" w:lineRule="exact"/>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深圳市前期物业服务合同</w:t>
      </w:r>
    </w:p>
    <w:p>
      <w:pPr>
        <w:suppressAutoHyphens/>
        <w:snapToGrid w:val="0"/>
        <w:spacing w:line="560" w:lineRule="exact"/>
        <w:jc w:val="center"/>
        <w:rPr>
          <w:rFonts w:hint="eastAsia" w:ascii="宋体" w:hAnsi="宋体" w:eastAsia="宋体" w:cs="宋体"/>
          <w:b w:val="0"/>
          <w:bCs/>
          <w:color w:val="auto"/>
          <w:sz w:val="44"/>
          <w:szCs w:val="44"/>
        </w:rPr>
      </w:pPr>
      <w:r>
        <w:rPr>
          <w:rFonts w:hint="eastAsia" w:ascii="宋体" w:hAnsi="宋体" w:eastAsia="宋体" w:cs="宋体"/>
          <w:b w:val="0"/>
          <w:bCs/>
          <w:color w:val="auto"/>
          <w:sz w:val="44"/>
          <w:szCs w:val="44"/>
        </w:rPr>
        <w:t>（示范文本）</w:t>
      </w:r>
    </w:p>
    <w:p>
      <w:pPr>
        <w:snapToGrid w:val="0"/>
        <w:spacing w:line="560" w:lineRule="exact"/>
        <w:rPr>
          <w:rFonts w:ascii="仿宋_GB2312" w:hAnsi="黑体" w:eastAsia="仿宋_GB2312"/>
          <w:color w:val="auto"/>
          <w:szCs w:val="21"/>
        </w:rPr>
      </w:pPr>
    </w:p>
    <w:p>
      <w:pPr>
        <w:snapToGrid w:val="0"/>
        <w:spacing w:line="560" w:lineRule="exact"/>
        <w:rPr>
          <w:rFonts w:ascii="仿宋_GB2312" w:hAnsi="黑体" w:eastAsia="仿宋_GB2312"/>
          <w:color w:val="auto"/>
          <w:szCs w:val="21"/>
        </w:rPr>
      </w:pPr>
    </w:p>
    <w:p>
      <w:pPr>
        <w:snapToGrid w:val="0"/>
        <w:spacing w:line="560" w:lineRule="exact"/>
        <w:rPr>
          <w:rFonts w:ascii="仿宋_GB2312" w:hAnsi="黑体" w:eastAsia="仿宋_GB2312"/>
          <w:color w:val="auto"/>
          <w:szCs w:val="21"/>
        </w:rPr>
      </w:pPr>
    </w:p>
    <w:p>
      <w:pPr>
        <w:snapToGrid w:val="0"/>
        <w:spacing w:line="560" w:lineRule="exact"/>
        <w:rPr>
          <w:rFonts w:ascii="仿宋_GB2312" w:hAnsi="黑体" w:eastAsia="仿宋_GB2312"/>
          <w:color w:val="auto"/>
          <w:szCs w:val="21"/>
        </w:rPr>
      </w:pPr>
    </w:p>
    <w:p>
      <w:pPr>
        <w:snapToGrid w:val="0"/>
        <w:spacing w:line="560" w:lineRule="exact"/>
        <w:rPr>
          <w:rFonts w:ascii="仿宋_GB2312" w:hAnsi="黑体" w:eastAsia="仿宋_GB2312"/>
          <w:color w:val="auto"/>
          <w:sz w:val="30"/>
          <w:szCs w:val="30"/>
        </w:rPr>
      </w:pPr>
    </w:p>
    <w:p>
      <w:pPr>
        <w:suppressAutoHyphens/>
        <w:snapToGrid w:val="0"/>
        <w:spacing w:line="560" w:lineRule="exact"/>
        <w:rPr>
          <w:rFonts w:ascii="黑体" w:hAnsi="黑体" w:eastAsia="黑体"/>
          <w:color w:val="auto"/>
          <w:sz w:val="44"/>
          <w:szCs w:val="44"/>
          <w:u w:val="single"/>
        </w:rPr>
      </w:pPr>
      <w:r>
        <w:rPr>
          <w:rFonts w:ascii="宋体" w:hAnsi="宋体"/>
          <w:b/>
          <w:color w:val="auto"/>
          <w:sz w:val="36"/>
          <w:szCs w:val="36"/>
        </w:rPr>
        <w:t>甲方（</w:t>
      </w:r>
      <w:r>
        <w:rPr>
          <w:rFonts w:hint="eastAsia" w:ascii="宋体" w:hAnsi="宋体"/>
          <w:b/>
          <w:color w:val="auto"/>
          <w:sz w:val="36"/>
          <w:szCs w:val="36"/>
        </w:rPr>
        <w:t>建设单位</w:t>
      </w:r>
      <w:r>
        <w:rPr>
          <w:rFonts w:ascii="宋体" w:hAnsi="宋体"/>
          <w:b/>
          <w:color w:val="auto"/>
          <w:sz w:val="36"/>
          <w:szCs w:val="36"/>
        </w:rPr>
        <w:t>）</w:t>
      </w:r>
      <w:r>
        <w:rPr>
          <w:rFonts w:hint="eastAsia" w:ascii="黑体" w:hAnsi="黑体" w:eastAsia="黑体"/>
          <w:color w:val="auto"/>
          <w:sz w:val="44"/>
          <w:szCs w:val="44"/>
        </w:rPr>
        <w:t>：</w:t>
      </w:r>
      <w:r>
        <w:rPr>
          <w:rFonts w:hint="eastAsia" w:ascii="黑体" w:hAnsi="黑体" w:eastAsia="黑体"/>
          <w:color w:val="auto"/>
          <w:sz w:val="44"/>
          <w:szCs w:val="44"/>
          <w:u w:val="single"/>
        </w:rPr>
        <w:t xml:space="preserve">                              </w:t>
      </w:r>
    </w:p>
    <w:p>
      <w:pPr>
        <w:suppressAutoHyphens/>
        <w:snapToGrid w:val="0"/>
        <w:spacing w:line="560" w:lineRule="exact"/>
        <w:jc w:val="center"/>
        <w:rPr>
          <w:rFonts w:ascii="黑体" w:hAnsi="黑体" w:eastAsia="黑体"/>
          <w:color w:val="auto"/>
          <w:sz w:val="44"/>
          <w:szCs w:val="44"/>
        </w:rPr>
      </w:pPr>
    </w:p>
    <w:p>
      <w:pPr>
        <w:suppressAutoHyphens/>
        <w:snapToGrid w:val="0"/>
        <w:spacing w:line="560" w:lineRule="exact"/>
        <w:jc w:val="center"/>
        <w:rPr>
          <w:rFonts w:ascii="黑体" w:hAnsi="黑体" w:eastAsia="黑体"/>
          <w:color w:val="auto"/>
          <w:sz w:val="44"/>
          <w:szCs w:val="44"/>
        </w:rPr>
      </w:pPr>
    </w:p>
    <w:p>
      <w:pPr>
        <w:suppressAutoHyphens/>
        <w:snapToGrid w:val="0"/>
        <w:spacing w:line="560" w:lineRule="exact"/>
        <w:rPr>
          <w:rFonts w:ascii="黑体" w:hAnsi="黑体" w:eastAsia="黑体"/>
          <w:color w:val="auto"/>
          <w:sz w:val="44"/>
          <w:szCs w:val="44"/>
          <w:u w:val="single"/>
        </w:rPr>
      </w:pPr>
      <w:r>
        <w:rPr>
          <w:rFonts w:ascii="宋体" w:hAnsi="宋体"/>
          <w:b/>
          <w:color w:val="auto"/>
          <w:sz w:val="36"/>
          <w:szCs w:val="36"/>
        </w:rPr>
        <w:t>乙方（</w:t>
      </w:r>
      <w:r>
        <w:rPr>
          <w:rFonts w:hint="eastAsia" w:ascii="宋体" w:hAnsi="宋体"/>
          <w:b/>
          <w:color w:val="auto"/>
          <w:sz w:val="36"/>
          <w:szCs w:val="36"/>
        </w:rPr>
        <w:t>物业服务企业</w:t>
      </w:r>
      <w:r>
        <w:rPr>
          <w:rFonts w:ascii="宋体" w:hAnsi="宋体"/>
          <w:b/>
          <w:color w:val="auto"/>
          <w:sz w:val="36"/>
          <w:szCs w:val="36"/>
        </w:rPr>
        <w:t>）：</w:t>
      </w:r>
      <w:r>
        <w:rPr>
          <w:rFonts w:hint="eastAsia" w:ascii="黑体" w:hAnsi="黑体" w:eastAsia="黑体"/>
          <w:color w:val="auto"/>
          <w:sz w:val="44"/>
          <w:szCs w:val="44"/>
          <w:u w:val="single"/>
        </w:rPr>
        <w:t xml:space="preserve">                     </w:t>
      </w:r>
    </w:p>
    <w:p>
      <w:pPr>
        <w:snapToGrid w:val="0"/>
        <w:spacing w:line="560" w:lineRule="exact"/>
        <w:rPr>
          <w:rFonts w:ascii="仿宋_GB2312" w:hAnsi="黑体" w:eastAsia="仿宋_GB2312"/>
          <w:color w:val="auto"/>
          <w:sz w:val="30"/>
          <w:szCs w:val="30"/>
        </w:rPr>
      </w:pPr>
      <w:r>
        <w:rPr>
          <w:rFonts w:hint="eastAsia" w:ascii="仿宋_GB2312" w:hAnsi="黑体" w:eastAsia="仿宋_GB2312"/>
          <w:color w:val="auto"/>
          <w:sz w:val="30"/>
          <w:szCs w:val="30"/>
        </w:rPr>
        <w:t xml:space="preserve"> </w:t>
      </w:r>
    </w:p>
    <w:p>
      <w:pPr>
        <w:snapToGrid w:val="0"/>
        <w:spacing w:line="560" w:lineRule="exact"/>
        <w:rPr>
          <w:rFonts w:ascii="仿宋_GB2312" w:hAnsi="黑体" w:eastAsia="仿宋_GB2312"/>
          <w:color w:val="auto"/>
          <w:sz w:val="30"/>
          <w:szCs w:val="30"/>
        </w:rPr>
      </w:pPr>
    </w:p>
    <w:p>
      <w:pPr>
        <w:snapToGrid w:val="0"/>
        <w:spacing w:line="560" w:lineRule="exact"/>
        <w:rPr>
          <w:rFonts w:ascii="仿宋_GB2312" w:hAnsi="黑体" w:eastAsia="仿宋_GB2312"/>
          <w:color w:val="auto"/>
          <w:sz w:val="30"/>
          <w:szCs w:val="30"/>
        </w:rPr>
      </w:pPr>
    </w:p>
    <w:p>
      <w:pPr>
        <w:snapToGrid w:val="0"/>
        <w:spacing w:line="560" w:lineRule="exact"/>
        <w:rPr>
          <w:rFonts w:ascii="仿宋_GB2312" w:hAnsi="黑体" w:eastAsia="仿宋_GB2312"/>
          <w:color w:val="auto"/>
          <w:sz w:val="30"/>
          <w:szCs w:val="30"/>
        </w:rPr>
      </w:pPr>
    </w:p>
    <w:p>
      <w:pPr>
        <w:snapToGrid w:val="0"/>
        <w:spacing w:line="560" w:lineRule="exact"/>
        <w:rPr>
          <w:rFonts w:ascii="仿宋_GB2312" w:hAnsi="黑体" w:eastAsia="仿宋_GB2312"/>
          <w:color w:val="auto"/>
          <w:sz w:val="30"/>
          <w:szCs w:val="30"/>
        </w:rPr>
      </w:pPr>
    </w:p>
    <w:p>
      <w:pPr>
        <w:snapToGrid w:val="0"/>
        <w:spacing w:line="560" w:lineRule="exact"/>
        <w:rPr>
          <w:rFonts w:ascii="仿宋_GB2312" w:hAnsi="黑体" w:eastAsia="仿宋_GB2312"/>
          <w:color w:val="auto"/>
          <w:sz w:val="30"/>
          <w:szCs w:val="30"/>
        </w:rPr>
      </w:pPr>
    </w:p>
    <w:p>
      <w:pPr>
        <w:spacing w:line="560" w:lineRule="exact"/>
        <w:rPr>
          <w:rFonts w:hint="eastAsia" w:ascii="Times New Roman" w:hAnsi="Times New Roman" w:eastAsia="华文中宋"/>
          <w:b/>
          <w:bCs/>
          <w:color w:val="auto"/>
          <w:kern w:val="44"/>
          <w:sz w:val="44"/>
          <w:szCs w:val="44"/>
          <w:lang w:val="zh-CN"/>
        </w:rPr>
      </w:pPr>
      <w:r>
        <w:rPr>
          <w:rFonts w:hint="eastAsia" w:ascii="Times New Roman" w:hAnsi="Times New Roman" w:eastAsia="华文中宋"/>
          <w:b/>
          <w:bCs/>
          <w:color w:val="auto"/>
          <w:kern w:val="44"/>
          <w:sz w:val="44"/>
          <w:szCs w:val="44"/>
          <w:lang w:val="zh-CN"/>
        </w:rPr>
        <w:br w:type="page"/>
      </w:r>
    </w:p>
    <w:p>
      <w:pPr>
        <w:snapToGrid w:val="0"/>
        <w:spacing w:line="560" w:lineRule="exact"/>
        <w:jc w:val="center"/>
        <w:rPr>
          <w:rFonts w:ascii="Times New Roman" w:hAnsi="Times New Roman" w:eastAsia="华文中宋"/>
          <w:b/>
          <w:bCs/>
          <w:color w:val="auto"/>
          <w:kern w:val="44"/>
          <w:sz w:val="44"/>
          <w:szCs w:val="44"/>
          <w:lang w:val="zh-CN"/>
        </w:rPr>
      </w:pPr>
      <w:r>
        <w:rPr>
          <w:rFonts w:hint="eastAsia" w:ascii="Times New Roman" w:hAnsi="Times New Roman" w:eastAsia="华文中宋"/>
          <w:b/>
          <w:bCs/>
          <w:color w:val="auto"/>
          <w:kern w:val="44"/>
          <w:sz w:val="44"/>
          <w:szCs w:val="44"/>
          <w:lang w:val="zh-CN"/>
        </w:rPr>
        <w:t>使用说明</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一、本合同为前期物业服务合同示范文本，适用于建设单位与前期物业服务企业订立合同时使用。合同双方当事人在签约之前应当仔细阅读本示范文本的内容。</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二、本合同为物业管理区域依法成立业主大会之前，建设单位与物业服务企业就</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签订的前期物业服务合同，对全体业主具有约束力。</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三、本合同文本</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0"/>
          <w:szCs w:val="30"/>
          <w:lang w:eastAsia="zh-CN"/>
        </w:rPr>
        <w:t>或</w:t>
      </w:r>
      <w:r>
        <w:rPr>
          <w:rFonts w:hint="eastAsia" w:ascii="仿宋" w:hAnsi="仿宋" w:eastAsia="仿宋" w:cs="仿宋"/>
          <w:color w:val="auto"/>
          <w:sz w:val="30"/>
          <w:szCs w:val="30"/>
          <w:lang w:val="en-US" w:eastAsia="zh-CN"/>
        </w:rPr>
        <w:t>○</w:t>
      </w:r>
      <w:r>
        <w:rPr>
          <w:rFonts w:hint="eastAsia" w:ascii="仿宋_GB2312" w:hAnsi="仿宋_GB2312" w:eastAsia="仿宋_GB2312" w:cs="仿宋_GB2312"/>
          <w:color w:val="auto"/>
          <w:sz w:val="32"/>
          <w:szCs w:val="32"/>
        </w:rPr>
        <w:t>中选择的内容、空格部位填写及其他需要删除或添加的内容，应由双方当事人协商确定。□</w:t>
      </w:r>
      <w:r>
        <w:rPr>
          <w:rFonts w:hint="eastAsia" w:ascii="仿宋_GB2312" w:hAnsi="仿宋_GB2312" w:eastAsia="仿宋_GB2312" w:cs="仿宋_GB2312"/>
          <w:color w:val="auto"/>
          <w:sz w:val="30"/>
          <w:szCs w:val="30"/>
          <w:lang w:eastAsia="zh-CN"/>
        </w:rPr>
        <w:t>或</w:t>
      </w:r>
      <w:r>
        <w:rPr>
          <w:rFonts w:hint="eastAsia" w:ascii="仿宋" w:hAnsi="仿宋" w:eastAsia="仿宋" w:cs="仿宋"/>
          <w:color w:val="auto"/>
          <w:sz w:val="30"/>
          <w:szCs w:val="30"/>
          <w:lang w:val="en-US" w:eastAsia="zh-CN"/>
        </w:rPr>
        <w:t>○</w:t>
      </w:r>
      <w:r>
        <w:rPr>
          <w:rFonts w:hint="eastAsia" w:ascii="仿宋_GB2312" w:hAnsi="仿宋_GB2312" w:eastAsia="仿宋_GB2312" w:cs="仿宋_GB2312"/>
          <w:color w:val="auto"/>
          <w:sz w:val="32"/>
          <w:szCs w:val="32"/>
        </w:rPr>
        <w:t>中选择</w:t>
      </w:r>
      <w:r>
        <w:rPr>
          <w:rFonts w:hint="eastAsia" w:ascii="仿宋_GB2312" w:hAnsi="仿宋_GB2312" w:eastAsia="仿宋_GB2312" w:cs="仿宋_GB2312"/>
          <w:color w:val="auto"/>
          <w:sz w:val="32"/>
          <w:szCs w:val="32"/>
          <w:lang w:eastAsia="zh-CN"/>
        </w:rPr>
        <w:t>约定</w:t>
      </w:r>
      <w:r>
        <w:rPr>
          <w:rFonts w:hint="eastAsia" w:ascii="仿宋_GB2312" w:hAnsi="仿宋_GB2312" w:eastAsia="仿宋_GB2312" w:cs="仿宋_GB2312"/>
          <w:color w:val="auto"/>
          <w:sz w:val="32"/>
          <w:szCs w:val="32"/>
        </w:rPr>
        <w:t>的内容，以划√方式选定；对于实际情况未发生或双方当事人不做约定的，应当在空格部位打×，以示删除。合同签订后未被修改的文本印刷条款视为双方同意的内容。</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为体现合同双方的自愿原则，本合同中相关条款附有空白行，可供合同双方自行约定。经双方当事人协商确定，可以根据实际情况对本合同条款的内容（包括选择内容、填写空格部位的内容）进行选择、修改、增补或删减。</w:t>
      </w:r>
    </w:p>
    <w:p>
      <w:pPr>
        <w:snapToGrid w:val="0"/>
        <w:spacing w:line="560" w:lineRule="exact"/>
        <w:ind w:firstLine="640" w:firstLineChars="200"/>
        <w:rPr>
          <w:rFonts w:ascii="仿宋" w:hAnsi="仿宋" w:eastAsia="仿宋" w:cs="仿宋"/>
          <w:b/>
          <w:bCs/>
          <w:color w:val="auto"/>
          <w:sz w:val="32"/>
          <w:szCs w:val="32"/>
        </w:rPr>
      </w:pPr>
      <w:r>
        <w:rPr>
          <w:rFonts w:hint="eastAsia" w:ascii="仿宋_GB2312" w:hAnsi="仿宋_GB2312" w:eastAsia="仿宋_GB2312" w:cs="仿宋_GB2312"/>
          <w:color w:val="auto"/>
          <w:sz w:val="32"/>
          <w:szCs w:val="32"/>
        </w:rPr>
        <w:t>五、在签订本合同时，合同双方应当出示有关信用证明及签约主体资格的证书、证明文件。</w:t>
      </w:r>
      <w:bookmarkStart w:id="0" w:name="_Toc30528"/>
      <w:bookmarkStart w:id="1" w:name="_Toc16613"/>
      <w:r>
        <w:rPr>
          <w:rFonts w:hint="eastAsia" w:ascii="仿宋" w:hAnsi="仿宋" w:eastAsia="仿宋" w:cs="仿宋"/>
          <w:b/>
          <w:bCs/>
          <w:color w:val="auto"/>
          <w:sz w:val="32"/>
          <w:szCs w:val="32"/>
        </w:rPr>
        <w:br w:type="page"/>
      </w:r>
    </w:p>
    <w:p>
      <w:pPr>
        <w:snapToGrid w:val="0"/>
        <w:spacing w:line="560" w:lineRule="exact"/>
        <w:ind w:firstLine="643" w:firstLineChars="200"/>
        <w:jc w:val="center"/>
        <w:rPr>
          <w:rFonts w:hint="eastAsia" w:ascii="宋体" w:hAnsi="宋体" w:eastAsia="宋体" w:cs="宋体"/>
          <w:color w:val="auto"/>
          <w:sz w:val="32"/>
          <w:szCs w:val="32"/>
        </w:rPr>
      </w:pPr>
      <w:r>
        <w:rPr>
          <w:rFonts w:hint="eastAsia" w:ascii="宋体" w:hAnsi="宋体" w:eastAsia="宋体" w:cs="宋体"/>
          <w:b/>
          <w:bCs/>
          <w:color w:val="auto"/>
          <w:sz w:val="32"/>
          <w:szCs w:val="32"/>
        </w:rPr>
        <w:t xml:space="preserve">第一章  </w:t>
      </w:r>
      <w:bookmarkEnd w:id="0"/>
      <w:r>
        <w:rPr>
          <w:rFonts w:hint="eastAsia" w:ascii="宋体" w:hAnsi="宋体" w:eastAsia="宋体" w:cs="宋体"/>
          <w:b/>
          <w:bCs/>
          <w:color w:val="auto"/>
          <w:sz w:val="32"/>
          <w:szCs w:val="32"/>
        </w:rPr>
        <w:t>合同主体</w:t>
      </w:r>
    </w:p>
    <w:bookmarkEnd w:id="1"/>
    <w:p>
      <w:pPr>
        <w:suppressAutoHyphens/>
        <w:snapToGrid w:val="0"/>
        <w:spacing w:line="560" w:lineRule="exac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甲方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建设单位</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pacing w:val="23"/>
          <w:kern w:val="0"/>
          <w:sz w:val="32"/>
          <w:szCs w:val="32"/>
        </w:rPr>
        <w:t>统一社会信用代码</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pacing w:val="24"/>
          <w:kern w:val="0"/>
          <w:sz w:val="32"/>
          <w:szCs w:val="32"/>
        </w:rPr>
        <w:t>法定代表人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25"/>
          <w:kern w:val="0"/>
          <w:sz w:val="32"/>
          <w:szCs w:val="32"/>
        </w:rPr>
        <w:t>联系电话</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pacing w:val="24"/>
          <w:kern w:val="0"/>
          <w:sz w:val="32"/>
          <w:szCs w:val="32"/>
        </w:rPr>
        <w:t>委托代理人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25"/>
          <w:kern w:val="0"/>
          <w:sz w:val="32"/>
          <w:szCs w:val="32"/>
        </w:rPr>
        <w:t>联系电话</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25"/>
          <w:kern w:val="0"/>
          <w:sz w:val="32"/>
          <w:szCs w:val="32"/>
        </w:rPr>
        <w:t>通讯地址</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25"/>
          <w:kern w:val="0"/>
          <w:sz w:val="32"/>
          <w:szCs w:val="32"/>
        </w:rPr>
        <w:t>邮政编码</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tabs>
          <w:tab w:val="left" w:pos="630"/>
        </w:tabs>
        <w:suppressAutoHyphens/>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pacing w:val="25"/>
          <w:kern w:val="0"/>
          <w:sz w:val="32"/>
          <w:szCs w:val="32"/>
        </w:rPr>
        <w:t>乙方（物业服务企业）</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snapToGrid w:val="0"/>
        <w:spacing w:line="560" w:lineRule="exac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pacing w:val="23"/>
          <w:kern w:val="0"/>
          <w:sz w:val="32"/>
          <w:szCs w:val="32"/>
        </w:rPr>
        <w:t>统一社会信用代码</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pacing w:val="24"/>
          <w:kern w:val="0"/>
          <w:sz w:val="32"/>
          <w:szCs w:val="32"/>
        </w:rPr>
        <w:t>法定代表人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25"/>
          <w:kern w:val="0"/>
          <w:sz w:val="32"/>
          <w:szCs w:val="32"/>
        </w:rPr>
        <w:t>联系电话</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pacing w:val="24"/>
          <w:kern w:val="0"/>
          <w:sz w:val="32"/>
          <w:szCs w:val="32"/>
        </w:rPr>
        <w:t>委托代理人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25"/>
          <w:kern w:val="0"/>
          <w:sz w:val="32"/>
          <w:szCs w:val="32"/>
        </w:rPr>
        <w:t>联系电话</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25"/>
          <w:kern w:val="0"/>
          <w:sz w:val="32"/>
          <w:szCs w:val="32"/>
        </w:rPr>
        <w:t>通讯地址</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25"/>
          <w:kern w:val="0"/>
          <w:sz w:val="32"/>
          <w:szCs w:val="32"/>
        </w:rPr>
        <w:t>邮政编码</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u w:val="single"/>
        </w:rPr>
        <w:t xml:space="preserve">                                                  </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根据《中华人民共和国物权法》《中华人民共和国合同法》《深圳经济特区物业管理条例》（以下简称“《条例》”）等有关法律、法规规定，甲、乙双方在自愿、平等、公平、诚实信用的基础上，就位于深圳市</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物业管理区域名称</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项目（以下称“本物业管理区域”）的前期</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事宜,协商一致订立本合同。</w:t>
      </w:r>
    </w:p>
    <w:p>
      <w:pPr>
        <w:snapToGrid w:val="0"/>
        <w:spacing w:line="560" w:lineRule="exact"/>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第二章 物业管理区域情况</w:t>
      </w:r>
    </w:p>
    <w:p>
      <w:pPr>
        <w:snapToGrid w:val="0"/>
        <w:spacing w:line="560" w:lineRule="exact"/>
        <w:ind w:firstLine="640" w:firstLineChars="200"/>
        <w:rPr>
          <w:rFonts w:ascii="黑体" w:hAnsi="黑体" w:eastAsia="黑体" w:cs="黑体"/>
          <w:color w:val="auto"/>
          <w:sz w:val="32"/>
          <w:szCs w:val="32"/>
        </w:rPr>
      </w:pPr>
      <w:bookmarkStart w:id="2" w:name="_Toc30095"/>
      <w:r>
        <w:rPr>
          <w:rFonts w:hint="eastAsia" w:ascii="黑体" w:hAnsi="黑体" w:eastAsia="黑体" w:cs="黑体"/>
          <w:color w:val="auto"/>
          <w:sz w:val="32"/>
          <w:szCs w:val="32"/>
        </w:rPr>
        <w:t>第一条 物业管理区域基本情况</w:t>
      </w:r>
      <w:bookmarkEnd w:id="2"/>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uppressAutoHyphens/>
        <w:snapToGrid w:val="0"/>
        <w:spacing w:line="560" w:lineRule="exact"/>
        <w:ind w:firstLine="640" w:firstLineChars="200"/>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rPr>
        <w:t>土地宗地号：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w:t>
      </w:r>
    </w:p>
    <w:p>
      <w:pPr>
        <w:suppressAutoHyphens/>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类型:</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坐落位置: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建筑面积:</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平方米；</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区域四至:</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东至：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南至：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西至：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北至：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本物业管理区域基本情况详见合同附件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p>
    <w:p>
      <w:pPr>
        <w:snapToGrid w:val="0"/>
        <w:spacing w:line="560" w:lineRule="exact"/>
        <w:ind w:firstLine="640" w:firstLineChars="200"/>
        <w:rPr>
          <w:rFonts w:ascii="黑体" w:hAnsi="黑体" w:eastAsia="黑体" w:cs="黑体"/>
          <w:color w:val="auto"/>
          <w:sz w:val="32"/>
          <w:szCs w:val="32"/>
        </w:rPr>
      </w:pPr>
      <w:bookmarkStart w:id="3" w:name="_Toc6452"/>
      <w:r>
        <w:rPr>
          <w:rFonts w:hint="eastAsia" w:ascii="黑体" w:hAnsi="黑体" w:eastAsia="黑体" w:cs="黑体"/>
          <w:color w:val="auto"/>
          <w:sz w:val="32"/>
          <w:szCs w:val="32"/>
        </w:rPr>
        <w:t>第二条 物业管理用房</w:t>
      </w:r>
      <w:bookmarkEnd w:id="3"/>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本物业管理区域的物业管理用房包括物业服务办公用房、</w:t>
      </w:r>
      <w:r>
        <w:rPr>
          <w:rFonts w:hint="eastAsia" w:ascii="仿宋_GB2312" w:hAnsi="仿宋_GB2312" w:eastAsia="仿宋_GB2312" w:cs="仿宋_GB2312"/>
          <w:color w:val="auto"/>
          <w:kern w:val="0"/>
          <w:sz w:val="32"/>
          <w:szCs w:val="32"/>
        </w:rPr>
        <w:t>业主委员会办公</w:t>
      </w:r>
      <w:r>
        <w:rPr>
          <w:rFonts w:hint="eastAsia" w:ascii="仿宋_GB2312" w:hAnsi="仿宋_GB2312" w:eastAsia="仿宋_GB2312" w:cs="仿宋_GB2312"/>
          <w:color w:val="auto"/>
          <w:sz w:val="32"/>
          <w:szCs w:val="32"/>
        </w:rPr>
        <w:t>用房、物业管理设施设备用房。</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物业服务办公用房建筑面积为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平方米，位于</w:t>
      </w:r>
    </w:p>
    <w:p>
      <w:pPr>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[幢]</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单元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层</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室；</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业主委员会办公用房建筑面积为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平方米，位于</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[幢]</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层</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室；</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物业管理设施设备用房建筑面积为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平方米，位于</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[幢]</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层</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室。</w:t>
      </w:r>
    </w:p>
    <w:p>
      <w:pPr>
        <w:snapToGrid w:val="0"/>
        <w:spacing w:line="560" w:lineRule="exact"/>
        <w:ind w:firstLine="640" w:firstLineChars="200"/>
        <w:jc w:val="lef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p>
    <w:p>
      <w:pPr>
        <w:snapToGrid w:val="0"/>
        <w:spacing w:line="560" w:lineRule="exact"/>
        <w:ind w:firstLine="320" w:firstLineChars="1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（注：物业管理用房为多处时，双方可在横线处自行增加内容。）</w:t>
      </w:r>
    </w:p>
    <w:p>
      <w:pPr>
        <w:snapToGrid w:val="0"/>
        <w:spacing w:line="560" w:lineRule="exact"/>
        <w:ind w:firstLine="640" w:firstLineChars="200"/>
        <w:rPr>
          <w:rFonts w:ascii="黑体" w:hAnsi="黑体" w:eastAsia="黑体" w:cs="黑体"/>
          <w:color w:val="auto"/>
          <w:sz w:val="32"/>
          <w:szCs w:val="32"/>
        </w:rPr>
      </w:pPr>
      <w:bookmarkStart w:id="4" w:name="_Toc15068"/>
      <w:bookmarkStart w:id="5" w:name="_Toc9661"/>
      <w:bookmarkStart w:id="6" w:name="_Toc3057"/>
      <w:r>
        <w:rPr>
          <w:rFonts w:hint="eastAsia" w:ascii="黑体" w:hAnsi="黑体" w:eastAsia="黑体" w:cs="黑体"/>
          <w:color w:val="auto"/>
          <w:sz w:val="32"/>
          <w:szCs w:val="32"/>
        </w:rPr>
        <w:t>第三条</w:t>
      </w:r>
      <w:bookmarkEnd w:id="4"/>
      <w:r>
        <w:rPr>
          <w:rFonts w:hint="eastAsia" w:ascii="黑体" w:hAnsi="黑体" w:eastAsia="黑体" w:cs="黑体"/>
          <w:color w:val="auto"/>
          <w:sz w:val="32"/>
          <w:szCs w:val="32"/>
        </w:rPr>
        <w:t xml:space="preserve"> </w:t>
      </w:r>
      <w:bookmarkEnd w:id="5"/>
      <w:bookmarkEnd w:id="6"/>
      <w:r>
        <w:rPr>
          <w:rFonts w:hint="eastAsia" w:ascii="黑体" w:hAnsi="黑体" w:eastAsia="黑体" w:cs="黑体"/>
          <w:bCs/>
          <w:color w:val="auto"/>
          <w:sz w:val="32"/>
          <w:szCs w:val="32"/>
        </w:rPr>
        <w:t>物业</w:t>
      </w:r>
      <w:r>
        <w:rPr>
          <w:rFonts w:hint="eastAsia" w:ascii="黑体" w:hAnsi="黑体" w:eastAsia="黑体" w:cs="黑体"/>
          <w:bCs/>
          <w:color w:val="auto"/>
          <w:sz w:val="32"/>
          <w:szCs w:val="32"/>
          <w:lang w:eastAsia="zh-CN"/>
        </w:rPr>
        <w:t>管理区域内</w:t>
      </w:r>
      <w:r>
        <w:rPr>
          <w:rFonts w:hint="eastAsia" w:ascii="黑体" w:hAnsi="黑体" w:eastAsia="黑体" w:cs="黑体"/>
          <w:bCs/>
          <w:color w:val="auto"/>
          <w:sz w:val="32"/>
          <w:szCs w:val="32"/>
        </w:rPr>
        <w:t>信息</w:t>
      </w:r>
      <w:r>
        <w:rPr>
          <w:rFonts w:hint="eastAsia" w:ascii="黑体" w:hAnsi="黑体" w:eastAsia="黑体" w:cs="黑体"/>
          <w:bCs/>
          <w:color w:val="auto"/>
          <w:sz w:val="32"/>
          <w:szCs w:val="32"/>
          <w:lang w:eastAsia="zh-CN"/>
        </w:rPr>
        <w:t>的</w:t>
      </w:r>
      <w:r>
        <w:rPr>
          <w:rFonts w:hint="eastAsia" w:ascii="黑体" w:hAnsi="黑体" w:eastAsia="黑体" w:cs="黑体"/>
          <w:bCs/>
          <w:color w:val="auto"/>
          <w:sz w:val="32"/>
          <w:szCs w:val="32"/>
        </w:rPr>
        <w:t>公示</w:t>
      </w:r>
    </w:p>
    <w:p>
      <w:pPr>
        <w:snapToGrid w:val="0"/>
        <w:spacing w:line="560" w:lineRule="exact"/>
        <w:ind w:firstLine="643" w:firstLineChars="200"/>
        <w:jc w:val="lef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（一）需</w:t>
      </w:r>
      <w:r>
        <w:rPr>
          <w:rFonts w:hint="eastAsia" w:ascii="仿宋_GB2312" w:hAnsi="仿宋_GB2312" w:eastAsia="仿宋_GB2312" w:cs="仿宋_GB2312"/>
          <w:b/>
          <w:bCs/>
          <w:color w:val="auto"/>
          <w:sz w:val="32"/>
          <w:szCs w:val="32"/>
          <w:lang w:eastAsia="zh-CN"/>
        </w:rPr>
        <w:t>持续</w:t>
      </w:r>
      <w:r>
        <w:rPr>
          <w:rFonts w:hint="eastAsia" w:ascii="仿宋_GB2312" w:hAnsi="仿宋_GB2312" w:eastAsia="仿宋_GB2312" w:cs="仿宋_GB2312"/>
          <w:b/>
          <w:bCs/>
          <w:color w:val="auto"/>
          <w:sz w:val="32"/>
          <w:szCs w:val="32"/>
        </w:rPr>
        <w:t>公示的信息</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乙方应将下列信息在本物业管理区域予以公示，并接受全体业主的监督。</w:t>
      </w:r>
    </w:p>
    <w:p>
      <w:pPr>
        <w:tabs>
          <w:tab w:val="left" w:pos="5812"/>
        </w:tabs>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1.乙方的营业执照、项目负责人的基本情况、联系方式以及物业服务投诉电话；</w:t>
      </w:r>
    </w:p>
    <w:p>
      <w:pPr>
        <w:tabs>
          <w:tab w:val="left" w:pos="5812"/>
        </w:tabs>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2.物业服务内容、服务标准、收费项目、收费标准、收费方式等；</w:t>
      </w:r>
    </w:p>
    <w:p>
      <w:pPr>
        <w:tabs>
          <w:tab w:val="left" w:pos="5812"/>
        </w:tabs>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3.电梯、消防、监控、人民防空等专项设施设备的日常维修保养单位名称、资质、联系方式、应急处置方案等；</w:t>
      </w:r>
    </w:p>
    <w:p>
      <w:pPr>
        <w:tabs>
          <w:tab w:val="left" w:pos="5812"/>
        </w:tabs>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4.业主进行房屋装饰装修活动的情况。</w:t>
      </w:r>
    </w:p>
    <w:p>
      <w:pPr>
        <w:tabs>
          <w:tab w:val="left" w:pos="5812"/>
        </w:tabs>
        <w:snapToGrid w:val="0"/>
        <w:spacing w:line="560" w:lineRule="exact"/>
        <w:ind w:firstLine="640"/>
        <w:rPr>
          <w:rFonts w:ascii="仿宋_GB2312" w:hAnsi="仿宋_GB2312" w:eastAsia="仿宋_GB2312" w:cs="仿宋_GB2312"/>
          <w:color w:val="auto"/>
          <w:kern w:val="1"/>
          <w:sz w:val="32"/>
          <w:szCs w:val="32"/>
          <w:u w:val="single"/>
        </w:rPr>
      </w:pP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1"/>
          <w:sz w:val="32"/>
          <w:szCs w:val="32"/>
          <w:u w:val="single"/>
        </w:rPr>
        <w:t xml:space="preserve">                                                 </w:t>
      </w:r>
    </w:p>
    <w:p>
      <w:pPr>
        <w:snapToGrid w:val="0"/>
        <w:spacing w:line="560" w:lineRule="exact"/>
        <w:ind w:firstLine="640" w:firstLineChars="200"/>
        <w:jc w:val="left"/>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上述公示信息如有变化，乙方应于该情况发生的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天内向本物业管理区域进行公示。</w:t>
      </w:r>
    </w:p>
    <w:p>
      <w:pPr>
        <w:snapToGrid w:val="0"/>
        <w:spacing w:line="560" w:lineRule="exact"/>
        <w:ind w:firstLine="643" w:firstLineChars="200"/>
        <w:jc w:val="lef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（二）需定期公示的信息</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乙方应将下列信息按照《条例》规定在本物业管理区域公示。</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1.乙方应</w:t>
      </w:r>
      <w:r>
        <w:rPr>
          <w:rFonts w:hint="eastAsia" w:ascii="仿宋_GB2312" w:hAnsi="仿宋_GB2312" w:eastAsia="仿宋_GB2312" w:cs="仿宋_GB2312"/>
          <w:color w:val="auto"/>
          <w:sz w:val="32"/>
          <w:szCs w:val="32"/>
          <w:lang w:eastAsia="zh-CN"/>
        </w:rPr>
        <w:t>每年</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lang w:eastAsia="zh-CN"/>
        </w:rPr>
        <w:t>日前</w:t>
      </w:r>
      <w:r>
        <w:rPr>
          <w:rFonts w:hint="eastAsia" w:ascii="仿宋_GB2312" w:hAnsi="仿宋_GB2312" w:eastAsia="仿宋_GB2312" w:cs="仿宋_GB2312"/>
          <w:color w:val="auto"/>
          <w:sz w:val="32"/>
          <w:szCs w:val="32"/>
        </w:rPr>
        <w:t>向本物业管理区域全体业主公布上一年度物业服务项目收支情况、本年度物业服务项目收支预算；</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2.乙方应每季度在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eastAsia="zh-CN"/>
        </w:rPr>
        <w:t>前</w:t>
      </w:r>
      <w:r>
        <w:rPr>
          <w:rFonts w:hint="eastAsia" w:ascii="仿宋_GB2312" w:hAnsi="仿宋_GB2312" w:eastAsia="仿宋_GB2312" w:cs="仿宋_GB2312"/>
          <w:color w:val="auto"/>
          <w:sz w:val="32"/>
          <w:szCs w:val="32"/>
        </w:rPr>
        <w:t>定期与物业管理信息平台共享相关数据的银行（以下简称“数据共享银行”）核对本物业管理区域业主共有资金账目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本物业管理区域内共有物业收益收支情况应当在业主共有资金账目中予以公示；</w:t>
      </w:r>
    </w:p>
    <w:p>
      <w:pPr>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3.乙方应每季度在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eastAsia="zh-CN"/>
        </w:rPr>
        <w:t>前</w:t>
      </w:r>
      <w:r>
        <w:rPr>
          <w:rFonts w:hint="eastAsia" w:ascii="仿宋_GB2312" w:hAnsi="仿宋_GB2312" w:eastAsia="仿宋_GB2312" w:cs="仿宋_GB2312"/>
          <w:color w:val="auto"/>
          <w:sz w:val="32"/>
          <w:szCs w:val="32"/>
        </w:rPr>
        <w:t>向本物业管理区域全体业主公示公共水电费用分摊情况、物业管理费与物业专项维修资金使用情况；</w:t>
      </w:r>
    </w:p>
    <w:p>
      <w:pPr>
        <w:snapToGrid w:val="0"/>
        <w:spacing w:line="560" w:lineRule="exac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.乙方应当将车位（库）的使用情况按月予以公示，公示内容包括可使用车位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车库</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总数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车库使用信息等。</w:t>
      </w:r>
    </w:p>
    <w:p>
      <w:pPr>
        <w:snapToGrid w:val="0"/>
        <w:spacing w:line="560" w:lineRule="exact"/>
        <w:ind w:left="0" w:leftChars="0" w:firstLine="0" w:firstLineChars="0"/>
        <w:jc w:val="center"/>
        <w:rPr>
          <w:rFonts w:hint="eastAsia" w:ascii="宋体" w:hAnsi="宋体" w:eastAsia="宋体" w:cs="宋体"/>
          <w:b/>
          <w:bCs/>
          <w:color w:val="auto"/>
          <w:sz w:val="32"/>
          <w:szCs w:val="32"/>
        </w:rPr>
      </w:pPr>
      <w:bookmarkStart w:id="7" w:name="_Toc17947"/>
      <w:r>
        <w:rPr>
          <w:rFonts w:hint="eastAsia" w:ascii="宋体" w:hAnsi="宋体" w:eastAsia="宋体" w:cs="宋体"/>
          <w:b/>
          <w:bCs/>
          <w:color w:val="auto"/>
          <w:sz w:val="32"/>
          <w:szCs w:val="32"/>
        </w:rPr>
        <w:t xml:space="preserve">第三章  </w:t>
      </w:r>
      <w:r>
        <w:rPr>
          <w:rFonts w:hint="eastAsia" w:ascii="宋体" w:hAnsi="宋体" w:eastAsia="宋体" w:cs="宋体"/>
          <w:b/>
          <w:bCs/>
          <w:color w:val="auto"/>
          <w:sz w:val="32"/>
          <w:szCs w:val="32"/>
          <w:lang w:eastAsia="zh-CN"/>
        </w:rPr>
        <w:t>物业服务</w:t>
      </w:r>
      <w:r>
        <w:rPr>
          <w:rFonts w:hint="eastAsia" w:ascii="宋体" w:hAnsi="宋体" w:eastAsia="宋体" w:cs="宋体"/>
          <w:b/>
          <w:bCs/>
          <w:color w:val="auto"/>
          <w:sz w:val="32"/>
          <w:szCs w:val="32"/>
        </w:rPr>
        <w:t>内容和标准</w:t>
      </w:r>
      <w:bookmarkEnd w:id="7"/>
    </w:p>
    <w:p>
      <w:pPr>
        <w:snapToGrid w:val="0"/>
        <w:spacing w:line="560" w:lineRule="exact"/>
        <w:ind w:firstLine="640" w:firstLineChars="200"/>
        <w:rPr>
          <w:rFonts w:ascii="黑体" w:hAnsi="黑体" w:eastAsia="黑体" w:cs="黑体"/>
          <w:color w:val="auto"/>
          <w:sz w:val="32"/>
          <w:szCs w:val="32"/>
        </w:rPr>
      </w:pPr>
      <w:bookmarkStart w:id="8" w:name="_Toc8404"/>
      <w:r>
        <w:rPr>
          <w:rFonts w:hint="eastAsia" w:ascii="黑体" w:hAnsi="黑体" w:eastAsia="黑体" w:cs="黑体"/>
          <w:color w:val="auto"/>
          <w:sz w:val="32"/>
          <w:szCs w:val="32"/>
        </w:rPr>
        <w:t>第四条 物业</w:t>
      </w:r>
      <w:r>
        <w:rPr>
          <w:rFonts w:hint="eastAsia" w:ascii="黑体" w:hAnsi="黑体" w:eastAsia="黑体" w:cs="黑体"/>
          <w:color w:val="auto"/>
          <w:sz w:val="32"/>
          <w:szCs w:val="32"/>
          <w:lang w:eastAsia="zh-CN"/>
        </w:rPr>
        <w:t>管理区域</w:t>
      </w:r>
      <w:r>
        <w:rPr>
          <w:rFonts w:hint="eastAsia" w:ascii="黑体" w:hAnsi="黑体" w:eastAsia="黑体" w:cs="黑体"/>
          <w:color w:val="auto"/>
          <w:sz w:val="32"/>
          <w:szCs w:val="32"/>
        </w:rPr>
        <w:t>资料移交</w:t>
      </w:r>
    </w:p>
    <w:p>
      <w:pPr>
        <w:snapToGrid w:val="0"/>
        <w:spacing w:line="560" w:lineRule="exact"/>
        <w:rPr>
          <w:rFonts w:ascii="仿宋_GB2312" w:hAnsi="仿宋_GB2312" w:eastAsia="仿宋_GB2312" w:cs="仿宋_GB2312"/>
          <w:color w:val="auto"/>
          <w:sz w:val="32"/>
          <w:szCs w:val="32"/>
        </w:rPr>
      </w:pP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sz w:val="32"/>
          <w:szCs w:val="32"/>
        </w:rPr>
        <w:t>甲方应</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rPr>
        <w:t>前向乙方移交以下资料：</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（一）竣工总平面图，单体建筑、结构、设备竣工图，配套设施、地下管网工程竣工图等竣工验收资料；</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（二）设施设备的清单和安装、使用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维护保养等技术资料；</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（三）物业质量保修文件和物业使用说明文件；</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（四）物业管理区域分栋分户明细表；</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（五）共有物业不动产登记簿；</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（六）本物业</w:t>
      </w:r>
      <w:r>
        <w:rPr>
          <w:rFonts w:hint="eastAsia" w:ascii="仿宋_GB2312" w:hAnsi="仿宋_GB2312" w:eastAsia="仿宋_GB2312" w:cs="仿宋_GB2312"/>
          <w:color w:val="auto"/>
          <w:sz w:val="32"/>
          <w:szCs w:val="32"/>
          <w:lang w:eastAsia="zh-CN"/>
        </w:rPr>
        <w:t>管理区域</w:t>
      </w:r>
      <w:r>
        <w:rPr>
          <w:rFonts w:hint="eastAsia" w:ascii="仿宋_GB2312" w:hAnsi="仿宋_GB2312" w:eastAsia="仿宋_GB2312" w:cs="仿宋_GB2312"/>
          <w:color w:val="auto"/>
          <w:sz w:val="32"/>
          <w:szCs w:val="32"/>
        </w:rPr>
        <w:t>初始登记前首期归集的专项维修资金缴付证明；</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（七）本物业</w:t>
      </w:r>
      <w:r>
        <w:rPr>
          <w:rFonts w:hint="eastAsia" w:ascii="仿宋_GB2312" w:hAnsi="仿宋_GB2312" w:eastAsia="仿宋_GB2312" w:cs="仿宋_GB2312"/>
          <w:color w:val="auto"/>
          <w:sz w:val="32"/>
          <w:szCs w:val="32"/>
          <w:lang w:eastAsia="zh-CN"/>
        </w:rPr>
        <w:t>管理区域</w:t>
      </w:r>
      <w:r>
        <w:rPr>
          <w:rFonts w:hint="eastAsia" w:ascii="仿宋_GB2312" w:hAnsi="仿宋_GB2312" w:eastAsia="仿宋_GB2312" w:cs="仿宋_GB2312"/>
          <w:color w:val="auto"/>
          <w:sz w:val="32"/>
          <w:szCs w:val="32"/>
        </w:rPr>
        <w:t>施工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联系方式；</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（八）本物业管理区域内出售、附赠、出租的车位（库）明细；</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（十）物业服务</w:t>
      </w:r>
      <w:r>
        <w:rPr>
          <w:rFonts w:hint="eastAsia" w:ascii="仿宋_GB2312" w:hAnsi="仿宋_GB2312" w:eastAsia="仿宋_GB2312" w:cs="仿宋_GB2312"/>
          <w:color w:val="auto"/>
          <w:sz w:val="32"/>
          <w:szCs w:val="32"/>
          <w:lang w:eastAsia="zh-CN"/>
        </w:rPr>
        <w:t>所</w:t>
      </w:r>
      <w:r>
        <w:rPr>
          <w:rFonts w:hint="eastAsia" w:ascii="仿宋_GB2312" w:hAnsi="仿宋_GB2312" w:eastAsia="仿宋_GB2312" w:cs="仿宋_GB2312"/>
          <w:color w:val="auto"/>
          <w:sz w:val="32"/>
          <w:szCs w:val="32"/>
        </w:rPr>
        <w:t>必需的其他资料。</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 xml:space="preserve">第五条 </w:t>
      </w:r>
      <w:r>
        <w:rPr>
          <w:rFonts w:hint="eastAsia" w:ascii="黑体" w:hAnsi="黑体" w:eastAsia="黑体" w:cs="黑体"/>
          <w:color w:val="auto"/>
          <w:sz w:val="32"/>
          <w:szCs w:val="32"/>
          <w:lang w:eastAsia="zh-CN"/>
        </w:rPr>
        <w:t>物业服务</w:t>
      </w:r>
      <w:r>
        <w:rPr>
          <w:rFonts w:hint="eastAsia" w:ascii="黑体" w:hAnsi="黑体" w:eastAsia="黑体" w:cs="黑体"/>
          <w:color w:val="auto"/>
          <w:sz w:val="32"/>
          <w:szCs w:val="32"/>
        </w:rPr>
        <w:t>内容</w:t>
      </w:r>
      <w:bookmarkEnd w:id="8"/>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本物业管理区域倡导绿色、智慧物业管理。乙方应尽可能采用新技术、新方法提高物业管理质量和服务水平，营造安全、舒适、文明、和谐、美好的工作和生活环境。经甲、乙双方约定，乙方</w:t>
      </w:r>
      <w:r>
        <w:rPr>
          <w:rFonts w:hint="eastAsia" w:ascii="仿宋_GB2312" w:hAnsi="仿宋_GB2312" w:eastAsia="仿宋_GB2312" w:cs="仿宋_GB2312"/>
          <w:color w:val="auto"/>
          <w:sz w:val="32"/>
          <w:szCs w:val="32"/>
          <w:lang w:eastAsia="zh-CN"/>
        </w:rPr>
        <w:t>在本物业管理区域内</w:t>
      </w:r>
      <w:r>
        <w:rPr>
          <w:rFonts w:hint="eastAsia" w:ascii="仿宋_GB2312" w:hAnsi="仿宋_GB2312" w:eastAsia="仿宋_GB2312" w:cs="仿宋_GB2312"/>
          <w:color w:val="auto"/>
          <w:sz w:val="32"/>
          <w:szCs w:val="32"/>
        </w:rPr>
        <w:t>提供的</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包括以下内容：</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共有物业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共用设施设备</w:t>
      </w:r>
      <w:r>
        <w:rPr>
          <w:rFonts w:hint="eastAsia" w:ascii="仿宋_GB2312" w:hAnsi="仿宋_GB2312" w:eastAsia="仿宋_GB2312" w:cs="仿宋_GB2312"/>
          <w:color w:val="auto"/>
          <w:sz w:val="32"/>
          <w:szCs w:val="32"/>
        </w:rPr>
        <w:t>的日常维护、运行（详见合同附件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（二）公共环境绿化服务；</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公共</w:t>
      </w:r>
      <w:r>
        <w:rPr>
          <w:rFonts w:hint="eastAsia" w:ascii="仿宋_GB2312" w:hAnsi="仿宋_GB2312" w:eastAsia="仿宋_GB2312" w:cs="仿宋_GB2312"/>
          <w:color w:val="auto"/>
          <w:sz w:val="32"/>
          <w:szCs w:val="32"/>
        </w:rPr>
        <w:t>清洁卫生服务；</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（四）公共秩序维护；</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（五）电梯的日常维护和管理；</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（六）装饰装修管理服务；</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（七）物业及设施设备查验、改造、维修、运行、保养、共有物业经营等档案资料管理服务；</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（八）业主、物业使用人档案资料管理服务；</w:t>
      </w:r>
    </w:p>
    <w:p>
      <w:pPr>
        <w:numPr>
          <w:ilvl w:val="0"/>
          <w:numId w:val="0"/>
        </w:numPr>
        <w:snapToGrid w:val="0"/>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（九）配合</w:t>
      </w:r>
      <w:r>
        <w:rPr>
          <w:rFonts w:hint="eastAsia" w:ascii="仿宋_GB2312" w:hAnsi="仿宋_GB2312" w:eastAsia="仿宋_GB2312" w:cs="仿宋_GB2312"/>
          <w:color w:val="auto"/>
          <w:sz w:val="32"/>
          <w:szCs w:val="32"/>
          <w:lang w:eastAsia="zh-CN"/>
        </w:rPr>
        <w:t>甲方将</w:t>
      </w:r>
      <w:r>
        <w:rPr>
          <w:rFonts w:hint="eastAsia" w:ascii="仿宋_GB2312" w:hAnsi="仿宋_GB2312" w:eastAsia="仿宋_GB2312" w:cs="仿宋_GB2312"/>
          <w:color w:val="auto"/>
          <w:sz w:val="32"/>
          <w:szCs w:val="32"/>
        </w:rPr>
        <w:t>供水、排水、供电、供气、</w:t>
      </w:r>
      <w:r>
        <w:rPr>
          <w:rFonts w:hint="eastAsia" w:ascii="仿宋_GB2312" w:hAnsi="仿宋_GB2312" w:eastAsia="仿宋_GB2312" w:cs="仿宋_GB2312"/>
          <w:color w:val="auto"/>
          <w:kern w:val="1"/>
          <w:sz w:val="32"/>
          <w:szCs w:val="32"/>
        </w:rPr>
        <w:t>通讯</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专营设施</w:t>
      </w:r>
      <w:r>
        <w:rPr>
          <w:rFonts w:hint="eastAsia" w:ascii="仿宋_GB2312" w:hAnsi="仿宋_GB2312" w:eastAsia="仿宋_GB2312" w:cs="仿宋_GB2312"/>
          <w:color w:val="auto"/>
          <w:sz w:val="32"/>
          <w:szCs w:val="32"/>
        </w:rPr>
        <w:t>移交</w:t>
      </w:r>
      <w:r>
        <w:rPr>
          <w:rFonts w:hint="eastAsia" w:ascii="仿宋_GB2312" w:hAnsi="仿宋_GB2312" w:eastAsia="仿宋_GB2312" w:cs="仿宋_GB2312"/>
          <w:color w:val="auto"/>
          <w:sz w:val="32"/>
          <w:szCs w:val="32"/>
          <w:lang w:eastAsia="zh-CN"/>
        </w:rPr>
        <w:t>给相关</w:t>
      </w:r>
      <w:r>
        <w:rPr>
          <w:rFonts w:hint="eastAsia" w:ascii="仿宋_GB2312" w:hAnsi="仿宋_GB2312" w:eastAsia="仿宋_GB2312" w:cs="仿宋_GB2312"/>
          <w:color w:val="auto"/>
          <w:sz w:val="32"/>
          <w:szCs w:val="32"/>
        </w:rPr>
        <w:t>专营单位</w:t>
      </w:r>
      <w:r>
        <w:rPr>
          <w:rFonts w:hint="eastAsia" w:ascii="仿宋_GB2312" w:hAnsi="仿宋_GB2312" w:eastAsia="仿宋_GB2312" w:cs="仿宋_GB2312"/>
          <w:color w:val="auto"/>
          <w:sz w:val="32"/>
          <w:szCs w:val="32"/>
          <w:lang w:eastAsia="zh-CN"/>
        </w:rPr>
        <w:t>；</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（十）配合</w:t>
      </w:r>
      <w:r>
        <w:rPr>
          <w:rFonts w:hint="eastAsia" w:ascii="仿宋_GB2312" w:hAnsi="仿宋_GB2312" w:eastAsia="仿宋_GB2312" w:cs="仿宋_GB2312"/>
          <w:color w:val="auto"/>
          <w:sz w:val="32"/>
          <w:szCs w:val="32"/>
        </w:rPr>
        <w:t>供水、排水、供电、供气、</w:t>
      </w:r>
      <w:r>
        <w:rPr>
          <w:rFonts w:hint="eastAsia" w:ascii="仿宋_GB2312" w:hAnsi="仿宋_GB2312" w:eastAsia="仿宋_GB2312" w:cs="仿宋_GB2312"/>
          <w:color w:val="auto"/>
          <w:kern w:val="1"/>
          <w:sz w:val="32"/>
          <w:szCs w:val="32"/>
        </w:rPr>
        <w:t>通讯</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相关专营单位进行管理</w:t>
      </w:r>
      <w:r>
        <w:rPr>
          <w:rFonts w:hint="eastAsia" w:ascii="仿宋_GB2312" w:hAnsi="仿宋_GB2312" w:eastAsia="仿宋_GB2312" w:cs="仿宋_GB2312"/>
          <w:color w:val="auto"/>
          <w:sz w:val="32"/>
          <w:szCs w:val="32"/>
        </w:rPr>
        <w:t>养护、改造相关设施设备或设置管线；</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）配合住建、城管、消防、公安、环保、水务等相关政府部门做好房屋安全、文明养宠、垃圾分类、消防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治安、公共卫生等事务；</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）物业使用禁止性行为的管理；</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）按照法律、法规规定和</w:t>
      </w:r>
      <w:r>
        <w:rPr>
          <w:rFonts w:hint="eastAsia" w:ascii="仿宋_GB2312" w:hAnsi="仿宋_GB2312" w:eastAsia="仿宋_GB2312" w:cs="仿宋_GB2312"/>
          <w:color w:val="auto"/>
          <w:sz w:val="32"/>
          <w:szCs w:val="32"/>
          <w:lang w:eastAsia="zh-CN"/>
        </w:rPr>
        <w:t>本物业管理区域</w:t>
      </w:r>
      <w:r>
        <w:rPr>
          <w:rFonts w:hint="eastAsia" w:ascii="仿宋_GB2312" w:hAnsi="仿宋_GB2312" w:eastAsia="仿宋_GB2312" w:cs="仿宋_GB2312"/>
          <w:color w:val="auto"/>
          <w:sz w:val="32"/>
          <w:szCs w:val="32"/>
        </w:rPr>
        <w:t>临时管理规约约定的</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事项。</w:t>
      </w:r>
    </w:p>
    <w:p>
      <w:pPr>
        <w:snapToGrid w:val="0"/>
        <w:spacing w:line="560" w:lineRule="exact"/>
        <w:ind w:firstLine="640" w:firstLineChars="200"/>
        <w:rPr>
          <w:rFonts w:ascii="黑体" w:hAnsi="黑体" w:eastAsia="黑体" w:cs="黑体"/>
          <w:color w:val="auto"/>
          <w:sz w:val="32"/>
          <w:szCs w:val="32"/>
        </w:rPr>
      </w:pPr>
      <w:bookmarkStart w:id="9" w:name="_Toc12683"/>
      <w:r>
        <w:rPr>
          <w:rFonts w:hint="eastAsia" w:ascii="黑体" w:hAnsi="黑体" w:eastAsia="黑体" w:cs="黑体"/>
          <w:color w:val="auto"/>
          <w:sz w:val="32"/>
          <w:szCs w:val="32"/>
        </w:rPr>
        <w:t xml:space="preserve">第六条 </w:t>
      </w:r>
      <w:r>
        <w:rPr>
          <w:rFonts w:hint="eastAsia" w:ascii="黑体" w:hAnsi="黑体" w:eastAsia="黑体" w:cs="黑体"/>
          <w:color w:val="auto"/>
          <w:sz w:val="32"/>
          <w:szCs w:val="32"/>
          <w:lang w:eastAsia="zh-CN"/>
        </w:rPr>
        <w:t>物业服务</w:t>
      </w:r>
      <w:r>
        <w:rPr>
          <w:rFonts w:hint="eastAsia" w:ascii="黑体" w:hAnsi="黑体" w:eastAsia="黑体" w:cs="黑体"/>
          <w:color w:val="auto"/>
          <w:sz w:val="32"/>
          <w:szCs w:val="32"/>
        </w:rPr>
        <w:t>标准</w:t>
      </w:r>
      <w:bookmarkEnd w:id="9"/>
    </w:p>
    <w:p>
      <w:pPr>
        <w:snapToGrid w:val="0"/>
        <w:spacing w:line="560" w:lineRule="exact"/>
        <w:ind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（一）乙方按照本合同双方约定的物业服务标准（详见合同附件5）提供物业服务，并将物业服务标准在本物业管理区域内进行公示。</w:t>
      </w:r>
    </w:p>
    <w:p>
      <w:pPr>
        <w:snapToGrid w:val="0"/>
        <w:spacing w:line="560" w:lineRule="exact"/>
        <w:ind w:firstLine="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本物业管理区域内业主每月</w:t>
      </w:r>
      <w:r>
        <w:rPr>
          <w:rFonts w:hint="eastAsia" w:ascii="仿宋_GB2312" w:hAnsi="仿宋_GB2312" w:eastAsia="仿宋_GB2312" w:cs="仿宋_GB2312"/>
          <w:color w:val="auto"/>
          <w:sz w:val="32"/>
          <w:szCs w:val="32"/>
          <w:lang w:eastAsia="zh-CN"/>
        </w:rPr>
        <w:t>可</w:t>
      </w:r>
      <w:r>
        <w:rPr>
          <w:rFonts w:hint="eastAsia" w:ascii="仿宋_GB2312" w:hAnsi="仿宋_GB2312" w:eastAsia="仿宋_GB2312" w:cs="仿宋_GB2312"/>
          <w:color w:val="auto"/>
          <w:sz w:val="32"/>
          <w:szCs w:val="32"/>
        </w:rPr>
        <w:t>依据《深圳市住宅小区业主满意度评价管理暂行办法》的规定对乙方当月物业管理服务进行业主满意度评价。</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（二）本物业管理区域</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实行项目负责人制度。乙方指定</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为本物业管理区域的项目负责人，负责本物业管理区域的整体运营和管理。</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乙方如更换项目负责人，应当及时按照《条例》规定予以公示。</w:t>
      </w:r>
    </w:p>
    <w:p>
      <w:pPr>
        <w:snapToGrid w:val="0"/>
        <w:spacing w:line="560" w:lineRule="exact"/>
        <w:ind w:firstLine="640" w:firstLineChars="200"/>
        <w:jc w:val="left"/>
        <w:rPr>
          <w:rFonts w:ascii="仿宋" w:hAnsi="仿宋" w:eastAsia="仿宋" w:cs="仿宋"/>
          <w:color w:val="auto"/>
          <w:sz w:val="32"/>
          <w:szCs w:val="32"/>
        </w:rPr>
      </w:pPr>
      <w:r>
        <w:rPr>
          <w:rFonts w:hint="eastAsia" w:ascii="仿宋_GB2312" w:hAnsi="仿宋_GB2312" w:eastAsia="仿宋_GB2312" w:cs="仿宋_GB2312"/>
          <w:color w:val="auto"/>
          <w:sz w:val="32"/>
          <w:szCs w:val="32"/>
        </w:rPr>
        <w:t>（三）乙方应听取甲方、业主对乙方项目负责人的评价，乙方结合相应评价，督促项目负责人依法依规承担相关责任，改进服务，提升业主满意度。</w:t>
      </w:r>
    </w:p>
    <w:p>
      <w:pPr>
        <w:snapToGrid w:val="0"/>
        <w:spacing w:line="560" w:lineRule="exact"/>
        <w:ind w:left="0" w:leftChars="0" w:firstLine="0" w:firstLineChars="0"/>
        <w:jc w:val="center"/>
        <w:rPr>
          <w:rFonts w:hint="eastAsia" w:ascii="宋体" w:hAnsi="宋体" w:eastAsia="宋体" w:cs="宋体"/>
          <w:b/>
          <w:bCs/>
          <w:color w:val="auto"/>
          <w:sz w:val="32"/>
          <w:szCs w:val="32"/>
        </w:rPr>
      </w:pPr>
      <w:bookmarkStart w:id="10" w:name="_Toc3377"/>
      <w:r>
        <w:rPr>
          <w:rFonts w:hint="eastAsia" w:ascii="宋体" w:hAnsi="宋体" w:eastAsia="宋体" w:cs="宋体"/>
          <w:b/>
          <w:bCs/>
          <w:color w:val="auto"/>
          <w:sz w:val="32"/>
          <w:szCs w:val="32"/>
        </w:rPr>
        <w:t xml:space="preserve">第四章 </w:t>
      </w:r>
      <w:r>
        <w:rPr>
          <w:rFonts w:hint="eastAsia" w:ascii="宋体" w:hAnsi="宋体" w:eastAsia="宋体" w:cs="宋体"/>
          <w:b/>
          <w:bCs/>
          <w:color w:val="auto"/>
          <w:sz w:val="32"/>
          <w:szCs w:val="32"/>
          <w:lang w:eastAsia="zh-CN"/>
        </w:rPr>
        <w:t>物业服务</w:t>
      </w:r>
      <w:r>
        <w:rPr>
          <w:rFonts w:hint="eastAsia" w:ascii="宋体" w:hAnsi="宋体" w:eastAsia="宋体" w:cs="宋体"/>
          <w:b/>
          <w:bCs/>
          <w:color w:val="auto"/>
          <w:sz w:val="32"/>
          <w:szCs w:val="32"/>
        </w:rPr>
        <w:t>相关费用</w:t>
      </w:r>
      <w:bookmarkEnd w:id="10"/>
    </w:p>
    <w:p>
      <w:pPr>
        <w:snapToGrid w:val="0"/>
        <w:spacing w:line="560" w:lineRule="exact"/>
        <w:ind w:firstLine="640" w:firstLineChars="200"/>
        <w:rPr>
          <w:rFonts w:ascii="黑体" w:hAnsi="黑体" w:eastAsia="黑体" w:cs="黑体"/>
          <w:color w:val="auto"/>
          <w:sz w:val="32"/>
          <w:szCs w:val="32"/>
        </w:rPr>
      </w:pPr>
      <w:bookmarkStart w:id="11" w:name="_Hlk18581512"/>
      <w:r>
        <w:rPr>
          <w:rFonts w:hint="eastAsia" w:ascii="黑体" w:hAnsi="黑体" w:eastAsia="黑体" w:cs="黑体"/>
          <w:color w:val="auto"/>
          <w:sz w:val="32"/>
          <w:szCs w:val="32"/>
        </w:rPr>
        <w:t>第七条 业主共有资金主要包括</w:t>
      </w:r>
    </w:p>
    <w:bookmarkEnd w:id="11"/>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（一）共有物业收益； </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（二）物业专项维修资金；</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（三）物业管理费；</w:t>
      </w:r>
    </w:p>
    <w:p>
      <w:pPr>
        <w:tabs>
          <w:tab w:val="left" w:pos="5812"/>
        </w:tabs>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（四）业主依据本物业管理区域临时管理规约或者业主共同决定分摊的费用；</w:t>
      </w:r>
    </w:p>
    <w:p>
      <w:pPr>
        <w:tabs>
          <w:tab w:val="left" w:pos="5812"/>
        </w:tabs>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（五）其他合法收入，包括：</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snapToGrid w:val="0"/>
        <w:spacing w:line="560" w:lineRule="exact"/>
        <w:ind w:firstLine="640" w:firstLineChars="200"/>
        <w:rPr>
          <w:rFonts w:ascii="黑体" w:hAnsi="黑体" w:eastAsia="黑体" w:cs="黑体"/>
          <w:color w:val="auto"/>
          <w:sz w:val="32"/>
          <w:szCs w:val="32"/>
        </w:rPr>
      </w:pPr>
      <w:bookmarkStart w:id="12" w:name="_Toc9790"/>
      <w:bookmarkStart w:id="13" w:name="_Toc16267"/>
      <w:r>
        <w:rPr>
          <w:rFonts w:hint="eastAsia" w:ascii="黑体" w:hAnsi="黑体" w:eastAsia="黑体" w:cs="黑体"/>
          <w:color w:val="auto"/>
          <w:sz w:val="32"/>
          <w:szCs w:val="32"/>
        </w:rPr>
        <w:t>第八条 业主共有资金管理</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（一）乙方应当自本合同生效之日起十日内在数据共享银行设立本物业管理区域的业主共有资金共管账户。</w:t>
      </w:r>
    </w:p>
    <w:p>
      <w:pPr>
        <w:tabs>
          <w:tab w:val="left" w:pos="5812"/>
        </w:tabs>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（二）乙方应当每季度在按照《条例》规定</w:t>
      </w:r>
      <w:r>
        <w:rPr>
          <w:rFonts w:hint="eastAsia" w:ascii="仿宋_GB2312" w:hAnsi="仿宋_GB2312" w:eastAsia="仿宋_GB2312" w:cs="仿宋_GB2312"/>
          <w:color w:val="auto"/>
          <w:sz w:val="32"/>
          <w:szCs w:val="32"/>
          <w:lang w:eastAsia="zh-CN"/>
        </w:rPr>
        <w:t>公示</w:t>
      </w:r>
      <w:r>
        <w:rPr>
          <w:rFonts w:hint="eastAsia" w:ascii="仿宋_GB2312" w:hAnsi="仿宋_GB2312" w:eastAsia="仿宋_GB2312" w:cs="仿宋_GB2312"/>
          <w:color w:val="auto"/>
          <w:sz w:val="32"/>
          <w:szCs w:val="32"/>
        </w:rPr>
        <w:t>业主共有资金共管账户收支情况。</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（三）乙方</w:t>
      </w:r>
      <w:r>
        <w:rPr>
          <w:rFonts w:hint="eastAsia" w:ascii="仿宋_GB2312" w:hAnsi="仿宋_GB2312" w:eastAsia="仿宋_GB2312" w:cs="仿宋_GB2312"/>
          <w:color w:val="auto"/>
          <w:sz w:val="32"/>
          <w:szCs w:val="32"/>
          <w:lang w:eastAsia="zh-CN"/>
        </w:rPr>
        <w:t>应在本物业管理区域建立财务管理制度，并负责保管</w:t>
      </w:r>
      <w:r>
        <w:rPr>
          <w:rFonts w:hint="eastAsia" w:ascii="仿宋_GB2312" w:hAnsi="仿宋_GB2312" w:eastAsia="仿宋_GB2312" w:cs="仿宋_GB2312"/>
          <w:color w:val="auto"/>
          <w:sz w:val="32"/>
          <w:szCs w:val="32"/>
        </w:rPr>
        <w:t>会计凭证、会计账簿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财务会计报告</w:t>
      </w:r>
      <w:r>
        <w:rPr>
          <w:rFonts w:hint="eastAsia" w:ascii="仿宋_GB2312" w:hAnsi="仿宋_GB2312" w:eastAsia="仿宋_GB2312" w:cs="仿宋_GB2312"/>
          <w:color w:val="auto"/>
          <w:sz w:val="32"/>
          <w:szCs w:val="32"/>
          <w:lang w:eastAsia="zh-CN"/>
        </w:rPr>
        <w:t>等有关财务资料。</w:t>
      </w:r>
      <w:r>
        <w:rPr>
          <w:rFonts w:hint="eastAsia" w:ascii="仿宋_GB2312" w:hAnsi="仿宋_GB2312" w:eastAsia="仿宋_GB2312" w:cs="仿宋_GB2312"/>
          <w:color w:val="auto"/>
          <w:sz w:val="32"/>
          <w:szCs w:val="32"/>
        </w:rPr>
        <w:t xml:space="preserve">当甲方对业主共有资金进行审计时，乙方应予以配合，不得转移、隐匿、篡改、毁弃、或消极提供会计凭证、会计账簿、财务会计报告以及其他与财务收支有关的资料。审计费用从业主共有资金中列支。 </w:t>
      </w:r>
    </w:p>
    <w:p>
      <w:pPr>
        <w:tabs>
          <w:tab w:val="left" w:pos="5812"/>
        </w:tabs>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（四）在本物业管理区域的业主大会决定设立业主共有资金基本账户后的十五日内，乙方应按业主大会决议将业主共有资金转入业主共有资金基本账户，并撤销业主共有资金共管账户。</w:t>
      </w:r>
    </w:p>
    <w:p>
      <w:pPr>
        <w:tabs>
          <w:tab w:val="left" w:pos="5812"/>
        </w:tabs>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（五）乙方应当接受本物业管理区域首次业主大会会议筹备组、业主大会对业主共有资金收支情况的监督。</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第九条 业主共有资金的支出</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除物业专项维修资金外，本物业管理区域内的业主共有资金用于下列支出：</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（一）业主共同决定聘请的人员费用；</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（二）经业主共同决定的其他年度预算支出；</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（三）乙方管理服务人员工资、社会保险和按规定提取的福利费等；</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宋体" w:eastAsia="仿宋_GB2312"/>
          <w:color w:val="auto"/>
          <w:sz w:val="32"/>
          <w:szCs w:val="32"/>
        </w:rPr>
        <w:t>附属配套建筑和设施的维修、养护和管理费用</w:t>
      </w:r>
      <w:r>
        <w:rPr>
          <w:rFonts w:hint="eastAsia" w:ascii="仿宋_GB2312" w:hAnsi="仿宋_GB2312" w:eastAsia="仿宋_GB2312" w:cs="仿宋_GB2312"/>
          <w:color w:val="auto"/>
          <w:sz w:val="32"/>
          <w:szCs w:val="32"/>
        </w:rPr>
        <w:t>；</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共有物业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共用设施设备</w:t>
      </w:r>
      <w:r>
        <w:rPr>
          <w:rFonts w:hint="eastAsia" w:ascii="仿宋_GB2312" w:hAnsi="仿宋_GB2312" w:eastAsia="仿宋_GB2312" w:cs="仿宋_GB2312"/>
          <w:color w:val="auto"/>
          <w:sz w:val="32"/>
          <w:szCs w:val="32"/>
        </w:rPr>
        <w:t>的日常运行、维护费用；</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（六）物业管理区域内清洁卫生、绿化养护、秩序维护费用；</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w:t>
      </w:r>
      <w:r>
        <w:rPr>
          <w:rFonts w:hint="eastAsia" w:ascii="仿宋_GB2312" w:hAnsi="仿宋_GB2312" w:eastAsia="仿宋_GB2312" w:cs="仿宋_GB2312"/>
          <w:color w:val="auto"/>
          <w:sz w:val="32"/>
          <w:szCs w:val="32"/>
          <w:lang w:eastAsia="zh-CN"/>
        </w:rPr>
        <w:t>共有物业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共用设施设备</w:t>
      </w:r>
      <w:r>
        <w:rPr>
          <w:rFonts w:hint="eastAsia" w:ascii="仿宋_GB2312" w:hAnsi="仿宋_GB2312" w:eastAsia="仿宋_GB2312" w:cs="仿宋_GB2312"/>
          <w:color w:val="auto"/>
          <w:sz w:val="32"/>
          <w:szCs w:val="32"/>
        </w:rPr>
        <w:t>的公众责任保险费用；</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（八）物业服务费；</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w:t>
      </w:r>
      <w:r>
        <w:rPr>
          <w:rFonts w:hint="eastAsia" w:ascii="仿宋_GB2312" w:hAnsi="仿宋_GB2312" w:eastAsia="仿宋_GB2312" w:cs="仿宋_GB2312"/>
          <w:color w:val="auto"/>
          <w:sz w:val="32"/>
          <w:szCs w:val="32"/>
          <w:lang w:eastAsia="zh-CN"/>
        </w:rPr>
        <w:t>乙方在本物业管理区域的办公费用及</w:t>
      </w:r>
      <w:r>
        <w:rPr>
          <w:rFonts w:hint="eastAsia" w:ascii="仿宋_GB2312" w:hAnsi="仿宋_GB2312" w:eastAsia="仿宋_GB2312" w:cs="仿宋_GB2312"/>
          <w:color w:val="auto"/>
          <w:sz w:val="32"/>
          <w:szCs w:val="32"/>
        </w:rPr>
        <w:t>固定资产折旧；</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（十）业主共同决定经营收入的法定税费；</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（十一）补充物业专项维修资金；</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（十二）其他费用：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jc w:val="left"/>
        <w:rPr>
          <w:rFonts w:ascii="仿宋" w:hAnsi="仿宋" w:eastAsia="仿宋" w:cs="仿宋"/>
          <w:color w:val="auto"/>
          <w:sz w:val="32"/>
          <w:szCs w:val="32"/>
        </w:rPr>
      </w:pPr>
      <w:r>
        <w:rPr>
          <w:rFonts w:hint="eastAsia" w:ascii="仿宋_GB2312" w:hAnsi="仿宋_GB2312" w:eastAsia="仿宋_GB2312" w:cs="仿宋_GB2312"/>
          <w:color w:val="auto"/>
          <w:sz w:val="32"/>
          <w:szCs w:val="32"/>
        </w:rPr>
        <w:t>（十三）业主共同决定或者依法应当支出的其他费用。</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第十条 物业管理费支付标准</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本物业管理区域内，物业交付前物业管理费支付标准由甲、乙双方另行约定。</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物业交付后，业主应按其拥有物业的建筑面积进行支付，具体标准如下：</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[多层住宅]：</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元/平方米/月；</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[高层住宅]：</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元/平方米/月；</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[别墅]：</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元/平方米/月；</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[公寓]：</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元/平方米/月；</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[办公楼]：</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元/平方米/月；</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[商业物业]：</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元/平方米/月；</w:t>
      </w:r>
    </w:p>
    <w:p>
      <w:pPr>
        <w:tabs>
          <w:tab w:val="left" w:pos="5812"/>
        </w:tabs>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物业：</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元/平方米/月。</w:t>
      </w:r>
    </w:p>
    <w:p>
      <w:pPr>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本物业管理区域</w:t>
      </w:r>
      <w:r>
        <w:rPr>
          <w:rFonts w:hint="eastAsia" w:ascii="仿宋_GB2312" w:hAnsi="仿宋_GB2312" w:eastAsia="仿宋_GB2312" w:cs="仿宋_GB2312"/>
          <w:color w:val="auto"/>
          <w:sz w:val="32"/>
          <w:szCs w:val="32"/>
          <w:lang w:val="en-US" w:eastAsia="zh-CN"/>
        </w:rPr>
        <w:t>每年物业管理费总收入约</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eastAsia="zh-CN"/>
        </w:rPr>
        <w:t>万元。</w:t>
      </w:r>
    </w:p>
    <w:bookmarkEnd w:id="12"/>
    <w:bookmarkEnd w:id="13"/>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第十一条 物业管理费的支付方式与违约金</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（一）对于本物业管理区域内，已竣工但甲方尚未交付给物业买受人的物业，该部分物业的物业管理费由甲方全额承担。</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（二）物业交付使用后，业主应在每月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前（日期）向业主共有资金账户支付物业管理费。</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（三）甲方、业主应当按照本合同约定按时足额支付物业管理费，逾期不支付物业管理费的，乙方应当积极督促。</w:t>
      </w:r>
      <w:r>
        <w:rPr>
          <w:rFonts w:hint="eastAsia" w:ascii="仿宋_GB2312" w:hAnsi="仿宋_GB2312" w:eastAsia="仿宋_GB2312" w:cs="仿宋_GB2312"/>
          <w:color w:val="auto"/>
          <w:sz w:val="32"/>
          <w:szCs w:val="32"/>
          <w:lang w:eastAsia="zh-CN"/>
        </w:rPr>
        <w:t>经督促仍不支付的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乙方可要求甲方</w:t>
      </w:r>
      <w:r>
        <w:rPr>
          <w:rFonts w:hint="eastAsia" w:ascii="仿宋_GB2312" w:hAnsi="仿宋_GB2312" w:eastAsia="仿宋_GB2312" w:cs="仿宋_GB2312"/>
          <w:color w:val="auto"/>
          <w:sz w:val="32"/>
          <w:szCs w:val="32"/>
        </w:rPr>
        <w:t xml:space="preserve">按照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为标准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业主按照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为标准支付违约金。该违约金系业主共有资金，违约方应直接支付至业主共有资金账户。</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第十二条 物业服务费的提取标准和方式</w:t>
      </w:r>
    </w:p>
    <w:p>
      <w:pPr>
        <w:snapToGrid w:val="0"/>
        <w:spacing w:line="560" w:lineRule="exact"/>
        <w:ind w:firstLine="640" w:firstLineChars="200"/>
        <w:rPr>
          <w:rFonts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乙方按本合同第十条约定预收的物业管理费中按下述第</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种方式提取物业服务费，其余全部用于</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合同约定的支出，结余或者不足均由本物业管理区域内全体业主共同享有或者承担。</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（一）每月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日前在预收的物业管理费中按</w:t>
      </w:r>
      <w:r>
        <w:rPr>
          <w:rFonts w:hint="eastAsia" w:ascii="仿宋_GB2312" w:hAnsi="仿宋_GB2312" w:eastAsia="仿宋_GB2312" w:cs="仿宋_GB2312"/>
          <w:color w:val="auto"/>
          <w:sz w:val="32"/>
          <w:szCs w:val="32"/>
          <w:u w:val="single"/>
        </w:rPr>
        <w:t>　　</w:t>
      </w:r>
      <w:r>
        <w:rPr>
          <w:rFonts w:hint="eastAsia" w:ascii="仿宋_GB2312" w:hAnsi="仿宋_GB2312" w:eastAsia="仿宋_GB2312" w:cs="仿宋_GB2312"/>
          <w:color w:val="auto"/>
          <w:sz w:val="32"/>
          <w:szCs w:val="32"/>
        </w:rPr>
        <w:t>%的比例提取物业服务费。</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（二）每月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日前在预收的物业管理费中提取</w:t>
      </w:r>
      <w:r>
        <w:rPr>
          <w:rFonts w:hint="eastAsia" w:ascii="仿宋_GB2312" w:hAnsi="仿宋_GB2312" w:eastAsia="仿宋_GB2312" w:cs="仿宋_GB2312"/>
          <w:color w:val="auto"/>
          <w:sz w:val="32"/>
          <w:szCs w:val="32"/>
          <w:u w:val="single"/>
        </w:rPr>
        <w:t>　　</w:t>
      </w:r>
      <w:r>
        <w:rPr>
          <w:rFonts w:hint="eastAsia" w:ascii="仿宋_GB2312" w:hAnsi="仿宋_GB2312" w:eastAsia="仿宋_GB2312" w:cs="仿宋_GB2312"/>
          <w:color w:val="auto"/>
          <w:sz w:val="32"/>
          <w:szCs w:val="32"/>
        </w:rPr>
        <w:t>万元的物业服务费。</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第十三条 停车位（库）</w:t>
      </w:r>
      <w:r>
        <w:rPr>
          <w:rFonts w:hint="eastAsia" w:ascii="黑体" w:hAnsi="黑体" w:eastAsia="黑体" w:cs="黑体"/>
          <w:color w:val="auto"/>
          <w:sz w:val="32"/>
          <w:szCs w:val="32"/>
          <w:lang w:eastAsia="zh-CN"/>
        </w:rPr>
        <w:t>的管理服务</w:t>
      </w:r>
      <w:r>
        <w:rPr>
          <w:rFonts w:hint="eastAsia" w:ascii="黑体" w:hAnsi="黑体" w:eastAsia="黑体" w:cs="黑体"/>
          <w:color w:val="auto"/>
          <w:sz w:val="32"/>
          <w:szCs w:val="32"/>
        </w:rPr>
        <w:t>及相关费用</w:t>
      </w:r>
    </w:p>
    <w:p>
      <w:pPr>
        <w:pStyle w:val="20"/>
        <w:widowControl/>
        <w:numPr>
          <w:ilvl w:val="0"/>
          <w:numId w:val="0"/>
        </w:numPr>
        <w:snapToGrid w:val="0"/>
        <w:spacing w:line="560" w:lineRule="exac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（一）停车场收费主要涉及机动车停放服务费和停车位（库）管理服务费。具体收费标准按照合同附件6《停车位（库）管理服务及相关费用协议》进行收取。</w:t>
      </w:r>
      <w:r>
        <w:rPr>
          <w:rFonts w:hint="eastAsia" w:ascii="仿宋_GB2312" w:hAnsi="仿宋_GB2312" w:eastAsia="仿宋_GB2312" w:cs="仿宋_GB2312"/>
          <w:color w:val="auto"/>
          <w:kern w:val="0"/>
          <w:sz w:val="32"/>
          <w:szCs w:val="32"/>
          <w:lang w:eastAsia="zh-CN"/>
        </w:rPr>
        <w:t xml:space="preserve"> </w:t>
      </w:r>
    </w:p>
    <w:p>
      <w:pPr>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（二）业主对机动车车辆停放有保管要求的，</w:t>
      </w:r>
      <w:r>
        <w:rPr>
          <w:rFonts w:hint="eastAsia" w:ascii="仿宋_GB2312" w:hAnsi="仿宋_GB2312" w:eastAsia="仿宋_GB2312" w:cs="仿宋_GB2312"/>
          <w:color w:val="auto"/>
          <w:kern w:val="0"/>
          <w:sz w:val="32"/>
          <w:szCs w:val="32"/>
          <w:lang w:eastAsia="zh-CN"/>
        </w:rPr>
        <w:t>可</w:t>
      </w:r>
      <w:r>
        <w:rPr>
          <w:rFonts w:hint="eastAsia" w:ascii="仿宋_GB2312" w:hAnsi="仿宋_GB2312" w:eastAsia="仿宋_GB2312" w:cs="仿宋_GB2312"/>
          <w:color w:val="auto"/>
          <w:kern w:val="0"/>
          <w:sz w:val="32"/>
          <w:szCs w:val="32"/>
        </w:rPr>
        <w:t>与乙方另行约定。</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第十四条 物业专项维修资金管理</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（一）业主应当按照法律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法规规定或业主共同决定缴纳和续筹物业专项维修资金。</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（二）物业专项维修资金</w:t>
      </w:r>
      <w:r>
        <w:rPr>
          <w:rFonts w:hint="eastAsia" w:ascii="仿宋_GB2312" w:hAnsi="仿宋_GB2312" w:eastAsia="仿宋_GB2312" w:cs="仿宋_GB2312"/>
          <w:color w:val="auto"/>
          <w:kern w:val="0"/>
          <w:sz w:val="32"/>
          <w:szCs w:val="32"/>
          <w:lang w:eastAsia="zh-CN"/>
        </w:rPr>
        <w:t>可</w:t>
      </w:r>
      <w:r>
        <w:rPr>
          <w:rFonts w:hint="eastAsia" w:ascii="仿宋_GB2312" w:hAnsi="仿宋_GB2312" w:eastAsia="仿宋_GB2312" w:cs="仿宋_GB2312"/>
          <w:color w:val="auto"/>
          <w:kern w:val="0"/>
          <w:sz w:val="32"/>
          <w:szCs w:val="32"/>
        </w:rPr>
        <w:t>用于本物业管理区域内</w:t>
      </w:r>
      <w:r>
        <w:rPr>
          <w:rFonts w:hint="eastAsia" w:ascii="仿宋_GB2312" w:hAnsi="仿宋_GB2312" w:eastAsia="仿宋_GB2312" w:cs="仿宋_GB2312"/>
          <w:color w:val="auto"/>
          <w:kern w:val="0"/>
          <w:sz w:val="32"/>
          <w:szCs w:val="32"/>
          <w:lang w:eastAsia="zh-CN"/>
        </w:rPr>
        <w:t>共有物业、共用设施设备</w:t>
      </w:r>
      <w:r>
        <w:rPr>
          <w:rFonts w:hint="eastAsia" w:ascii="仿宋_GB2312" w:hAnsi="仿宋_GB2312" w:eastAsia="仿宋_GB2312" w:cs="仿宋_GB2312"/>
          <w:color w:val="auto"/>
          <w:kern w:val="0"/>
          <w:sz w:val="32"/>
          <w:szCs w:val="32"/>
        </w:rPr>
        <w:t>的安全检测鉴定、维修、更新和改造。</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（三）乙方应当将本物业管理区域日常收取的专项维修资金移交市物业专项维修资金管理机构统一管理，依法依规按时代缴和申请使用物业专项维修资金。</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w:t>
      </w:r>
      <w:r>
        <w:rPr>
          <w:rFonts w:hint="eastAsia" w:ascii="仿宋_GB2312" w:hAnsi="仿宋_GB2312" w:eastAsia="仿宋_GB2312" w:cs="仿宋_GB2312"/>
          <w:color w:val="auto"/>
          <w:kern w:val="0"/>
          <w:sz w:val="32"/>
          <w:szCs w:val="32"/>
          <w:lang w:eastAsia="zh-CN"/>
        </w:rPr>
        <w:t>本物业管理区域</w:t>
      </w:r>
      <w:r>
        <w:rPr>
          <w:rFonts w:hint="eastAsia" w:ascii="仿宋_GB2312" w:hAnsi="仿宋_GB2312" w:eastAsia="仿宋_GB2312" w:cs="仿宋_GB2312"/>
          <w:color w:val="auto"/>
          <w:kern w:val="0"/>
          <w:sz w:val="32"/>
          <w:szCs w:val="32"/>
        </w:rPr>
        <w:t>业主未按照规定缴纳物业专项维修资金的，乙方应督促其缴纳。</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（五）本合同第九条约定属于业主共有资金支出范围的，不得使用物业专项维修资金支出。</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第十五条 共有物业收益</w:t>
      </w:r>
    </w:p>
    <w:p>
      <w:pPr>
        <w:pStyle w:val="20"/>
        <w:widowControl/>
        <w:numPr>
          <w:ilvl w:val="0"/>
          <w:numId w:val="0"/>
        </w:numPr>
        <w:snapToGrid w:val="0"/>
        <w:spacing w:line="560" w:lineRule="exact"/>
        <w:ind w:firstLine="643" w:firstLineChars="200"/>
        <w:jc w:val="left"/>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cs="仿宋_GB2312"/>
          <w:b/>
          <w:bCs/>
          <w:color w:val="auto"/>
          <w:kern w:val="0"/>
          <w:sz w:val="32"/>
          <w:szCs w:val="32"/>
          <w:lang w:eastAsia="zh-CN"/>
        </w:rPr>
        <w:t>共有物业、共用设施设备</w:t>
      </w:r>
      <w:r>
        <w:rPr>
          <w:rFonts w:hint="eastAsia" w:ascii="仿宋_GB2312" w:hAnsi="仿宋_GB2312" w:eastAsia="仿宋_GB2312" w:cs="仿宋_GB2312"/>
          <w:b/>
          <w:bCs/>
          <w:color w:val="auto"/>
          <w:kern w:val="0"/>
          <w:sz w:val="32"/>
          <w:szCs w:val="32"/>
        </w:rPr>
        <w:t>经营业务收入</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1.利用</w:t>
      </w:r>
      <w:r>
        <w:rPr>
          <w:rFonts w:hint="eastAsia" w:ascii="仿宋_GB2312" w:hAnsi="仿宋_GB2312" w:eastAsia="仿宋_GB2312" w:cs="仿宋_GB2312"/>
          <w:color w:val="auto"/>
          <w:kern w:val="0"/>
          <w:sz w:val="32"/>
          <w:szCs w:val="32"/>
          <w:lang w:eastAsia="zh-CN"/>
        </w:rPr>
        <w:t>共有物业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共用设施设备</w:t>
      </w:r>
      <w:r>
        <w:rPr>
          <w:rFonts w:hint="eastAsia" w:ascii="仿宋_GB2312" w:hAnsi="仿宋_GB2312" w:eastAsia="仿宋_GB2312" w:cs="仿宋_GB2312"/>
          <w:color w:val="auto"/>
          <w:kern w:val="0"/>
          <w:sz w:val="32"/>
          <w:szCs w:val="32"/>
        </w:rPr>
        <w:t>进行经营，所得收益依法归属全体业主共有。</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2.未经本物业管理区域内业主共同决定，乙方不得擅自利用共有物业开展经营业务。如该经营业务由乙方与第三方签订书面协议，</w:t>
      </w:r>
      <w:r>
        <w:rPr>
          <w:rFonts w:hint="eastAsia" w:ascii="仿宋_GB2312" w:hAnsi="仿宋_GB2312" w:eastAsia="仿宋_GB2312" w:cs="仿宋_GB2312"/>
          <w:color w:val="auto"/>
          <w:kern w:val="0"/>
          <w:sz w:val="32"/>
          <w:szCs w:val="32"/>
          <w:lang w:eastAsia="zh-CN"/>
        </w:rPr>
        <w:t>则</w:t>
      </w:r>
      <w:r>
        <w:rPr>
          <w:rFonts w:hint="eastAsia" w:ascii="仿宋_GB2312" w:hAnsi="仿宋_GB2312" w:eastAsia="仿宋_GB2312" w:cs="仿宋_GB2312"/>
          <w:color w:val="auto"/>
          <w:kern w:val="0"/>
          <w:sz w:val="32"/>
          <w:szCs w:val="32"/>
        </w:rPr>
        <w:t>乙方应</w:t>
      </w:r>
      <w:r>
        <w:rPr>
          <w:rFonts w:hint="eastAsia" w:ascii="仿宋_GB2312" w:hAnsi="仿宋_GB2312" w:eastAsia="仿宋_GB2312" w:cs="仿宋_GB2312"/>
          <w:color w:val="auto"/>
          <w:kern w:val="0"/>
          <w:sz w:val="32"/>
          <w:szCs w:val="32"/>
          <w:lang w:eastAsia="zh-CN"/>
        </w:rPr>
        <w:t>在协议签订前在显著位置张贴公示该协议内容，</w:t>
      </w:r>
      <w:r>
        <w:rPr>
          <w:rFonts w:hint="eastAsia" w:ascii="仿宋_GB2312" w:hAnsi="仿宋_GB2312" w:eastAsia="仿宋_GB2312" w:cs="仿宋_GB2312"/>
          <w:color w:val="auto"/>
          <w:kern w:val="0"/>
          <w:sz w:val="32"/>
          <w:szCs w:val="32"/>
        </w:rPr>
        <w:t>并接受全体业主的监督。</w:t>
      </w:r>
    </w:p>
    <w:p>
      <w:pPr>
        <w:pStyle w:val="20"/>
        <w:widowControl/>
        <w:numPr>
          <w:ilvl w:val="0"/>
          <w:numId w:val="0"/>
        </w:numPr>
        <w:snapToGrid w:val="0"/>
        <w:spacing w:line="560" w:lineRule="exact"/>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（二）共有物业经营收益管理</w:t>
      </w:r>
    </w:p>
    <w:p>
      <w:pPr>
        <w:pStyle w:val="20"/>
        <w:widowControl/>
        <w:numPr>
          <w:ilvl w:val="0"/>
          <w:numId w:val="0"/>
        </w:numPr>
        <w:snapToGrid w:val="0"/>
        <w:spacing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乙方按照业主共同决定代为经营共有物业的，</w:t>
      </w:r>
      <w:r>
        <w:rPr>
          <w:rFonts w:hint="eastAsia" w:ascii="仿宋_GB2312" w:hAnsi="仿宋_GB2312" w:eastAsia="仿宋_GB2312" w:cs="仿宋_GB2312"/>
          <w:color w:val="auto"/>
          <w:kern w:val="0"/>
          <w:sz w:val="32"/>
          <w:szCs w:val="32"/>
          <w:lang w:eastAsia="zh-CN"/>
        </w:rPr>
        <w:t>在</w:t>
      </w:r>
      <w:r>
        <w:rPr>
          <w:rFonts w:hint="eastAsia" w:ascii="仿宋_GB2312" w:hAnsi="仿宋_GB2312" w:eastAsia="仿宋_GB2312" w:cs="仿宋_GB2312"/>
          <w:color w:val="auto"/>
          <w:kern w:val="0"/>
          <w:sz w:val="32"/>
          <w:szCs w:val="32"/>
        </w:rPr>
        <w:t>扣除乙方管理服务成本后，所得收益</w:t>
      </w:r>
      <w:r>
        <w:rPr>
          <w:rFonts w:hint="eastAsia" w:ascii="仿宋_GB2312" w:hAnsi="仿宋_GB2312" w:eastAsia="仿宋_GB2312" w:cs="仿宋_GB2312"/>
          <w:color w:val="auto"/>
          <w:kern w:val="0"/>
          <w:sz w:val="32"/>
          <w:szCs w:val="32"/>
          <w:lang w:eastAsia="zh-CN"/>
        </w:rPr>
        <w:t>应</w:t>
      </w:r>
      <w:r>
        <w:rPr>
          <w:rFonts w:hint="eastAsia" w:ascii="仿宋_GB2312" w:hAnsi="仿宋_GB2312" w:eastAsia="仿宋_GB2312" w:cs="仿宋_GB2312"/>
          <w:color w:val="auto"/>
          <w:kern w:val="0"/>
          <w:sz w:val="32"/>
          <w:szCs w:val="32"/>
        </w:rPr>
        <w:t>存入业主共有资金账户，并</w:t>
      </w:r>
    </w:p>
    <w:p>
      <w:pPr>
        <w:pStyle w:val="20"/>
        <w:widowControl/>
        <w:numPr>
          <w:ilvl w:val="0"/>
          <w:numId w:val="0"/>
        </w:numPr>
        <w:snapToGrid w:val="0"/>
        <w:spacing w:line="560" w:lineRule="exact"/>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接受全体业主监督。 </w:t>
      </w:r>
    </w:p>
    <w:p>
      <w:pPr>
        <w:pStyle w:val="2"/>
        <w:snapToGrid w:val="0"/>
        <w:spacing w:line="560" w:lineRule="exact"/>
        <w:ind w:firstLine="640" w:firstLineChars="200"/>
        <w:rPr>
          <w:rFonts w:ascii="黑体" w:hAnsi="黑体" w:eastAsia="黑体" w:cs="黑体"/>
          <w:bCs/>
          <w:color w:val="auto"/>
          <w:sz w:val="32"/>
          <w:szCs w:val="32"/>
        </w:rPr>
      </w:pPr>
      <w:bookmarkStart w:id="14" w:name="_Toc19895"/>
      <w:r>
        <w:rPr>
          <w:rFonts w:hint="eastAsia" w:ascii="黑体" w:hAnsi="黑体" w:eastAsia="黑体" w:cs="黑体"/>
          <w:color w:val="auto"/>
          <w:sz w:val="32"/>
          <w:szCs w:val="32"/>
        </w:rPr>
        <w:t xml:space="preserve">第十六条 </w:t>
      </w:r>
      <w:bookmarkEnd w:id="14"/>
      <w:r>
        <w:rPr>
          <w:rFonts w:hint="eastAsia" w:ascii="黑体" w:hAnsi="黑体" w:eastAsia="黑体" w:cs="黑体"/>
          <w:bCs/>
          <w:color w:val="auto"/>
          <w:sz w:val="32"/>
          <w:szCs w:val="32"/>
        </w:rPr>
        <w:t>相关专营单位</w:t>
      </w:r>
      <w:r>
        <w:rPr>
          <w:rFonts w:hint="eastAsia" w:ascii="黑体" w:hAnsi="黑体" w:eastAsia="黑体" w:cs="黑体"/>
          <w:bCs/>
          <w:color w:val="auto"/>
          <w:sz w:val="32"/>
          <w:szCs w:val="32"/>
          <w:lang w:eastAsia="zh-CN"/>
        </w:rPr>
        <w:t>服务</w:t>
      </w:r>
      <w:r>
        <w:rPr>
          <w:rFonts w:hint="eastAsia" w:ascii="黑体" w:hAnsi="黑体" w:eastAsia="黑体" w:cs="黑体"/>
          <w:bCs/>
          <w:color w:val="auto"/>
          <w:sz w:val="32"/>
          <w:szCs w:val="32"/>
        </w:rPr>
        <w:t>项目收费</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（一）业主、物业使用人应按照规定支付供水、排水、供电、供气、通讯等</w:t>
      </w:r>
      <w:r>
        <w:rPr>
          <w:rFonts w:hint="eastAsia" w:ascii="仿宋_GB2312" w:hAnsi="仿宋_GB2312" w:eastAsia="仿宋_GB2312" w:cs="仿宋_GB2312"/>
          <w:color w:val="auto"/>
          <w:sz w:val="32"/>
          <w:szCs w:val="32"/>
          <w:lang w:eastAsia="zh-CN"/>
        </w:rPr>
        <w:t>有关</w:t>
      </w:r>
      <w:r>
        <w:rPr>
          <w:rFonts w:hint="eastAsia" w:ascii="仿宋_GB2312" w:hAnsi="仿宋_GB2312" w:eastAsia="仿宋_GB2312" w:cs="仿宋_GB2312"/>
          <w:color w:val="auto"/>
          <w:sz w:val="32"/>
          <w:szCs w:val="32"/>
        </w:rPr>
        <w:t>费用。 </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（二）乙方接受供水、排水、供电、供气、通讯等</w:t>
      </w:r>
      <w:r>
        <w:rPr>
          <w:rFonts w:hint="eastAsia" w:ascii="仿宋_GB2312" w:hAnsi="仿宋_GB2312" w:eastAsia="仿宋_GB2312" w:cs="仿宋_GB2312"/>
          <w:color w:val="auto"/>
          <w:kern w:val="1"/>
          <w:sz w:val="32"/>
          <w:szCs w:val="32"/>
        </w:rPr>
        <w:t>相关专营单位</w:t>
      </w:r>
      <w:r>
        <w:rPr>
          <w:rFonts w:hint="eastAsia" w:ascii="仿宋_GB2312" w:hAnsi="仿宋_GB2312" w:eastAsia="仿宋_GB2312" w:cs="仿宋_GB2312"/>
          <w:color w:val="auto"/>
          <w:sz w:val="32"/>
          <w:szCs w:val="32"/>
        </w:rPr>
        <w:t>委托</w:t>
      </w:r>
      <w:r>
        <w:rPr>
          <w:rFonts w:hint="eastAsia" w:ascii="仿宋_GB2312" w:hAnsi="仿宋_GB2312" w:eastAsia="仿宋_GB2312" w:cs="仿宋_GB2312"/>
          <w:color w:val="auto"/>
          <w:kern w:val="1"/>
          <w:sz w:val="32"/>
          <w:szCs w:val="32"/>
        </w:rPr>
        <w:t>代收代缴</w:t>
      </w:r>
      <w:r>
        <w:rPr>
          <w:rFonts w:hint="eastAsia" w:ascii="仿宋_GB2312" w:hAnsi="仿宋_GB2312" w:eastAsia="仿宋_GB2312" w:cs="仿宋_GB2312"/>
          <w:color w:val="auto"/>
          <w:sz w:val="32"/>
          <w:szCs w:val="32"/>
        </w:rPr>
        <w:t>上述费用的，可以向委托单位收取代办手续费，但不得向业主、物业使用人收取手续费等额外费用，不得限制或变相限制业主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物业使用人购买相关专营单位</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服务。</w:t>
      </w:r>
    </w:p>
    <w:p>
      <w:p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（三）未经供水、供电、供气等相关专营单位</w:t>
      </w:r>
      <w:r>
        <w:rPr>
          <w:rFonts w:hint="eastAsia" w:ascii="仿宋_GB2312" w:hAnsi="仿宋_GB2312" w:eastAsia="仿宋_GB2312" w:cs="仿宋_GB2312"/>
          <w:color w:val="auto"/>
          <w:kern w:val="1"/>
          <w:sz w:val="32"/>
          <w:szCs w:val="32"/>
        </w:rPr>
        <w:t>或者业主授权</w:t>
      </w:r>
      <w:r>
        <w:rPr>
          <w:rFonts w:hint="eastAsia" w:ascii="仿宋_GB2312" w:hAnsi="仿宋_GB2312" w:eastAsia="仿宋_GB2312" w:cs="仿宋_GB2312"/>
          <w:color w:val="auto"/>
          <w:sz w:val="32"/>
          <w:szCs w:val="32"/>
        </w:rPr>
        <w:t>、行政决定</w:t>
      </w:r>
      <w:r>
        <w:rPr>
          <w:rFonts w:hint="eastAsia" w:ascii="仿宋_GB2312" w:hAnsi="仿宋_GB2312" w:eastAsia="仿宋_GB2312" w:cs="仿宋_GB2312"/>
          <w:color w:val="auto"/>
          <w:sz w:val="32"/>
          <w:szCs w:val="32"/>
          <w:lang w:eastAsia="zh-CN"/>
        </w:rPr>
        <w:t>或者</w:t>
      </w:r>
      <w:r>
        <w:rPr>
          <w:rFonts w:hint="eastAsia" w:ascii="仿宋_GB2312" w:hAnsi="仿宋_GB2312" w:eastAsia="仿宋_GB2312" w:cs="仿宋_GB2312"/>
          <w:color w:val="auto"/>
          <w:sz w:val="32"/>
          <w:szCs w:val="32"/>
        </w:rPr>
        <w:t>司法裁决，乙方不得对共有物业或者物业专有部分实施停水、停电、停气等。但是，可能对业主利益或者公共安全造成重大损失的紧急情形除外。</w:t>
      </w:r>
    </w:p>
    <w:p>
      <w:pPr>
        <w:snapToGrid w:val="0"/>
        <w:spacing w:line="560" w:lineRule="exact"/>
        <w:ind w:firstLine="640" w:firstLineChars="200"/>
        <w:rPr>
          <w:rFonts w:ascii="黑体" w:hAnsi="黑体" w:eastAsia="黑体" w:cs="黑体"/>
          <w:color w:val="auto"/>
          <w:spacing w:val="-6"/>
          <w:sz w:val="32"/>
          <w:szCs w:val="32"/>
        </w:rPr>
      </w:pPr>
      <w:bookmarkStart w:id="15" w:name="_Toc481"/>
      <w:bookmarkStart w:id="16" w:name="_Toc5723"/>
      <w:r>
        <w:rPr>
          <w:rFonts w:hint="eastAsia" w:ascii="黑体" w:hAnsi="黑体" w:eastAsia="黑体" w:cs="黑体"/>
          <w:color w:val="auto"/>
          <w:sz w:val="32"/>
          <w:szCs w:val="32"/>
        </w:rPr>
        <w:t xml:space="preserve">第十七条 </w:t>
      </w:r>
      <w:r>
        <w:rPr>
          <w:rFonts w:hint="eastAsia" w:ascii="黑体" w:hAnsi="黑体" w:eastAsia="黑体" w:cs="黑体"/>
          <w:color w:val="auto"/>
          <w:spacing w:val="-6"/>
          <w:sz w:val="32"/>
          <w:szCs w:val="32"/>
          <w:lang w:eastAsia="zh-CN"/>
        </w:rPr>
        <w:t>共有物业</w:t>
      </w:r>
      <w:r>
        <w:rPr>
          <w:rFonts w:hint="eastAsia" w:ascii="黑体" w:hAnsi="黑体" w:eastAsia="黑体" w:cs="黑体"/>
          <w:color w:val="auto"/>
          <w:spacing w:val="-6"/>
          <w:sz w:val="32"/>
          <w:szCs w:val="32"/>
        </w:rPr>
        <w:t>、</w:t>
      </w:r>
      <w:r>
        <w:rPr>
          <w:rFonts w:hint="eastAsia" w:ascii="黑体" w:hAnsi="黑体" w:eastAsia="黑体" w:cs="黑体"/>
          <w:color w:val="auto"/>
          <w:spacing w:val="-6"/>
          <w:sz w:val="32"/>
          <w:szCs w:val="32"/>
          <w:lang w:eastAsia="zh-CN"/>
        </w:rPr>
        <w:t>共用设施设备</w:t>
      </w:r>
      <w:r>
        <w:rPr>
          <w:rFonts w:hint="eastAsia" w:ascii="黑体" w:hAnsi="黑体" w:eastAsia="黑体" w:cs="黑体"/>
          <w:color w:val="auto"/>
          <w:spacing w:val="-6"/>
          <w:sz w:val="32"/>
          <w:szCs w:val="32"/>
        </w:rPr>
        <w:t>维修费用的承担方式</w:t>
      </w:r>
      <w:bookmarkEnd w:id="15"/>
      <w:bookmarkEnd w:id="16"/>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（一）</w:t>
      </w:r>
      <w:r>
        <w:rPr>
          <w:rFonts w:hint="eastAsia" w:ascii="仿宋_GB2312" w:hAnsi="仿宋_GB2312" w:eastAsia="仿宋_GB2312" w:cs="仿宋_GB2312"/>
          <w:color w:val="auto"/>
          <w:kern w:val="0"/>
          <w:sz w:val="32"/>
          <w:szCs w:val="32"/>
        </w:rPr>
        <w:t>保修期内的,费用由甲方承担。</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（二）</w:t>
      </w:r>
      <w:r>
        <w:rPr>
          <w:rFonts w:hint="eastAsia" w:ascii="仿宋_GB2312" w:hAnsi="仿宋_GB2312" w:eastAsia="仿宋_GB2312" w:cs="仿宋_GB2312"/>
          <w:color w:val="auto"/>
          <w:kern w:val="0"/>
          <w:sz w:val="32"/>
          <w:szCs w:val="32"/>
        </w:rPr>
        <w:t>物业管理费不足以支付保修责任范围之外的</w:t>
      </w:r>
      <w:r>
        <w:rPr>
          <w:rFonts w:hint="eastAsia" w:ascii="仿宋_GB2312" w:hAnsi="仿宋_GB2312" w:eastAsia="仿宋_GB2312" w:cs="仿宋_GB2312"/>
          <w:color w:val="auto"/>
          <w:kern w:val="0"/>
          <w:sz w:val="32"/>
          <w:szCs w:val="32"/>
          <w:lang w:eastAsia="zh-CN"/>
        </w:rPr>
        <w:t>共有物业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共用设施设备</w:t>
      </w:r>
      <w:r>
        <w:rPr>
          <w:rFonts w:hint="eastAsia" w:ascii="仿宋_GB2312" w:hAnsi="仿宋_GB2312" w:eastAsia="仿宋_GB2312" w:cs="仿宋_GB2312"/>
          <w:color w:val="auto"/>
          <w:kern w:val="0"/>
          <w:sz w:val="32"/>
          <w:szCs w:val="32"/>
        </w:rPr>
        <w:t>维修费用时，甲方应当及时补足。</w:t>
      </w:r>
    </w:p>
    <w:p>
      <w:pPr>
        <w:snapToGrid w:val="0"/>
        <w:spacing w:line="560" w:lineRule="exact"/>
        <w:ind w:firstLine="640" w:firstLineChars="200"/>
        <w:rPr>
          <w:rFonts w:ascii="黑体" w:hAnsi="黑体" w:eastAsia="黑体" w:cs="黑体"/>
          <w:color w:val="auto"/>
          <w:sz w:val="32"/>
          <w:szCs w:val="32"/>
        </w:rPr>
      </w:pPr>
      <w:bookmarkStart w:id="17" w:name="_Toc5084"/>
      <w:r>
        <w:rPr>
          <w:rFonts w:hint="eastAsia" w:ascii="黑体" w:hAnsi="黑体" w:eastAsia="黑体" w:cs="黑体"/>
          <w:color w:val="auto"/>
          <w:sz w:val="32"/>
          <w:szCs w:val="32"/>
        </w:rPr>
        <w:t>第十八条 业主特约服务收费</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乙方应业主、物业使用人的需求对</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专有</w:t>
      </w:r>
      <w:r>
        <w:rPr>
          <w:rFonts w:hint="eastAsia" w:ascii="仿宋_GB2312" w:hAnsi="仿宋_GB2312" w:eastAsia="仿宋_GB2312" w:cs="仿宋_GB2312"/>
          <w:color w:val="auto"/>
          <w:sz w:val="32"/>
          <w:szCs w:val="32"/>
          <w:lang w:eastAsia="zh-CN"/>
        </w:rPr>
        <w:t>部分</w:t>
      </w:r>
      <w:r>
        <w:rPr>
          <w:rFonts w:hint="eastAsia" w:ascii="仿宋_GB2312" w:hAnsi="仿宋_GB2312" w:eastAsia="仿宋_GB2312" w:cs="仿宋_GB2312"/>
          <w:color w:val="auto"/>
          <w:sz w:val="32"/>
          <w:szCs w:val="32"/>
        </w:rPr>
        <w:t>、专</w:t>
      </w:r>
      <w:r>
        <w:rPr>
          <w:rFonts w:hint="eastAsia" w:ascii="仿宋_GB2312" w:hAnsi="仿宋_GB2312" w:eastAsia="仿宋_GB2312" w:cs="仿宋_GB2312"/>
          <w:color w:val="auto"/>
          <w:sz w:val="32"/>
          <w:szCs w:val="32"/>
          <w:lang w:eastAsia="zh-CN"/>
        </w:rPr>
        <w:t>用</w:t>
      </w:r>
      <w:r>
        <w:rPr>
          <w:rFonts w:hint="eastAsia" w:ascii="仿宋_GB2312" w:hAnsi="仿宋_GB2312" w:eastAsia="仿宋_GB2312" w:cs="仿宋_GB2312"/>
          <w:color w:val="auto"/>
          <w:sz w:val="32"/>
          <w:szCs w:val="32"/>
        </w:rPr>
        <w:t>设施设备提供维修养护或其他特约服务的，收费</w:t>
      </w:r>
      <w:r>
        <w:rPr>
          <w:rFonts w:hint="eastAsia" w:ascii="仿宋_GB2312" w:hAnsi="仿宋_GB2312" w:eastAsia="仿宋_GB2312" w:cs="仿宋_GB2312"/>
          <w:color w:val="auto"/>
          <w:sz w:val="32"/>
          <w:szCs w:val="32"/>
          <w:lang w:eastAsia="zh-CN"/>
        </w:rPr>
        <w:t>金额</w:t>
      </w:r>
      <w:r>
        <w:rPr>
          <w:rFonts w:hint="eastAsia" w:ascii="仿宋_GB2312" w:hAnsi="仿宋_GB2312" w:eastAsia="仿宋_GB2312" w:cs="仿宋_GB2312"/>
          <w:color w:val="auto"/>
          <w:sz w:val="32"/>
          <w:szCs w:val="32"/>
        </w:rPr>
        <w:t>以乙方公示的特约收费标准为基础，具体由乙方与业主、物业使用人另行约定收取。</w:t>
      </w:r>
    </w:p>
    <w:p>
      <w:pPr>
        <w:snapToGrid w:val="0"/>
        <w:spacing w:line="560" w:lineRule="exact"/>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第五章  双方权利与义务</w:t>
      </w:r>
      <w:bookmarkEnd w:id="17"/>
    </w:p>
    <w:p>
      <w:pPr>
        <w:snapToGrid w:val="0"/>
        <w:spacing w:line="560" w:lineRule="exact"/>
        <w:ind w:firstLine="640" w:firstLineChars="200"/>
        <w:rPr>
          <w:rFonts w:ascii="黑体" w:hAnsi="黑体" w:eastAsia="黑体" w:cs="黑体"/>
          <w:color w:val="auto"/>
          <w:sz w:val="32"/>
          <w:szCs w:val="32"/>
        </w:rPr>
      </w:pPr>
      <w:bookmarkStart w:id="18" w:name="_Toc21588"/>
      <w:r>
        <w:rPr>
          <w:rFonts w:hint="eastAsia" w:ascii="黑体" w:hAnsi="黑体" w:eastAsia="黑体" w:cs="黑体"/>
          <w:color w:val="auto"/>
          <w:sz w:val="32"/>
          <w:szCs w:val="32"/>
        </w:rPr>
        <w:t>第十九条 甲方及业主的权利义务</w:t>
      </w:r>
      <w:bookmarkEnd w:id="18"/>
    </w:p>
    <w:p>
      <w:pPr>
        <w:pStyle w:val="20"/>
        <w:widowControl/>
        <w:numPr>
          <w:ilvl w:val="0"/>
          <w:numId w:val="0"/>
        </w:numPr>
        <w:snapToGrid w:val="0"/>
        <w:spacing w:line="560" w:lineRule="exact"/>
        <w:ind w:firstLine="643" w:firstLineChars="200"/>
        <w:jc w:val="left"/>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（一）甲方的权利义务</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1.对乙方提供的</w:t>
      </w:r>
      <w:r>
        <w:rPr>
          <w:rFonts w:hint="eastAsia" w:ascii="仿宋_GB2312" w:hAnsi="仿宋_GB2312" w:eastAsia="仿宋_GB2312" w:cs="仿宋_GB2312"/>
          <w:color w:val="auto"/>
          <w:kern w:val="0"/>
          <w:sz w:val="32"/>
          <w:szCs w:val="32"/>
          <w:lang w:eastAsia="zh-CN"/>
        </w:rPr>
        <w:t>物业服务</w:t>
      </w:r>
      <w:r>
        <w:rPr>
          <w:rFonts w:hint="eastAsia" w:ascii="仿宋_GB2312" w:hAnsi="仿宋_GB2312" w:eastAsia="仿宋_GB2312" w:cs="仿宋_GB2312"/>
          <w:color w:val="auto"/>
          <w:kern w:val="0"/>
          <w:sz w:val="32"/>
          <w:szCs w:val="32"/>
        </w:rPr>
        <w:t>有知情、监督、建议等权利。</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2.监督、配合及协助乙方按照本合同和</w:t>
      </w:r>
      <w:r>
        <w:rPr>
          <w:rFonts w:hint="eastAsia" w:ascii="仿宋_GB2312" w:hAnsi="仿宋_GB2312" w:eastAsia="仿宋_GB2312" w:cs="仿宋_GB2312"/>
          <w:color w:val="auto"/>
          <w:kern w:val="0"/>
          <w:sz w:val="32"/>
          <w:szCs w:val="32"/>
          <w:lang w:eastAsia="zh-CN"/>
        </w:rPr>
        <w:t>本物业管理区域</w:t>
      </w:r>
      <w:r>
        <w:rPr>
          <w:rFonts w:hint="eastAsia" w:ascii="仿宋_GB2312" w:hAnsi="仿宋_GB2312" w:eastAsia="仿宋_GB2312" w:cs="仿宋_GB2312"/>
          <w:color w:val="auto"/>
          <w:kern w:val="0"/>
          <w:sz w:val="32"/>
          <w:szCs w:val="32"/>
        </w:rPr>
        <w:t>临时管理规约等物业管理制度的规定开展各项</w:t>
      </w:r>
      <w:r>
        <w:rPr>
          <w:rFonts w:hint="eastAsia" w:ascii="仿宋_GB2312" w:hAnsi="仿宋_GB2312" w:eastAsia="仿宋_GB2312" w:cs="仿宋_GB2312"/>
          <w:color w:val="auto"/>
          <w:kern w:val="0"/>
          <w:sz w:val="32"/>
          <w:szCs w:val="32"/>
          <w:lang w:eastAsia="zh-CN"/>
        </w:rPr>
        <w:t>物业服务</w:t>
      </w:r>
      <w:r>
        <w:rPr>
          <w:rFonts w:hint="eastAsia" w:ascii="仿宋_GB2312" w:hAnsi="仿宋_GB2312" w:eastAsia="仿宋_GB2312" w:cs="仿宋_GB2312"/>
          <w:color w:val="auto"/>
          <w:kern w:val="0"/>
          <w:sz w:val="32"/>
          <w:szCs w:val="32"/>
        </w:rPr>
        <w:t>工作。</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3.在销售物业时，将本合同和</w:t>
      </w:r>
      <w:r>
        <w:rPr>
          <w:rFonts w:hint="eastAsia" w:ascii="仿宋_GB2312" w:hAnsi="仿宋_GB2312" w:eastAsia="仿宋_GB2312" w:cs="仿宋_GB2312"/>
          <w:color w:val="auto"/>
          <w:kern w:val="0"/>
          <w:sz w:val="32"/>
          <w:szCs w:val="32"/>
          <w:lang w:eastAsia="zh-CN"/>
        </w:rPr>
        <w:t>本物业管理区域</w:t>
      </w:r>
      <w:r>
        <w:rPr>
          <w:rFonts w:hint="eastAsia" w:ascii="仿宋_GB2312" w:hAnsi="仿宋_GB2312" w:eastAsia="仿宋_GB2312" w:cs="仿宋_GB2312"/>
          <w:color w:val="auto"/>
          <w:kern w:val="0"/>
          <w:sz w:val="32"/>
          <w:szCs w:val="32"/>
        </w:rPr>
        <w:t>临时管理规约作为房地产买卖合同的附件。</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4.不得要求乙方提供</w:t>
      </w:r>
      <w:r>
        <w:rPr>
          <w:rFonts w:hint="eastAsia" w:ascii="仿宋_GB2312" w:hAnsi="仿宋_GB2312" w:eastAsia="仿宋_GB2312" w:cs="仿宋_GB2312"/>
          <w:color w:val="auto"/>
          <w:kern w:val="0"/>
          <w:sz w:val="32"/>
          <w:szCs w:val="32"/>
          <w:lang w:eastAsia="zh-CN"/>
        </w:rPr>
        <w:t>物业服务</w:t>
      </w:r>
      <w:r>
        <w:rPr>
          <w:rFonts w:hint="eastAsia" w:ascii="仿宋_GB2312" w:hAnsi="仿宋_GB2312" w:eastAsia="仿宋_GB2312" w:cs="仿宋_GB2312"/>
          <w:color w:val="auto"/>
          <w:kern w:val="0"/>
          <w:sz w:val="32"/>
          <w:szCs w:val="32"/>
        </w:rPr>
        <w:t>内容以外的无偿服务。</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5.应在乙方办理接管</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日前，提供符合办公要求的物业服务办公用房，由乙方无偿使用。</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6.如实告知、负责协调、处理本合同生效前发生的遗留问题。</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7.按照法律、法规规定和房地产买卖合同的约定，移交权属明确、资料完整、质量合格、功能完善、配套齐全的物业。</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8.按照法律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法规的规定和商品房质量保证书的约定，承担物业保修责任。</w:t>
      </w:r>
    </w:p>
    <w:p>
      <w:pPr>
        <w:pStyle w:val="20"/>
        <w:widowControl/>
        <w:numPr>
          <w:ilvl w:val="0"/>
          <w:numId w:val="0"/>
        </w:numPr>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w:t>
      </w:r>
      <w:r>
        <w:rPr>
          <w:rFonts w:hint="eastAsia" w:ascii="仿宋_GB2312" w:hAnsi="仿宋_GB2312" w:eastAsia="仿宋_GB2312" w:cs="仿宋_GB2312"/>
          <w:color w:val="auto"/>
          <w:sz w:val="32"/>
          <w:szCs w:val="32"/>
        </w:rPr>
        <w:t>为乙方履行物业管理安全生产管理职责提供场所，保障乙方在本物业管理区域内开展安全生产管理工作的支出。</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.法律、法规及</w:t>
      </w:r>
      <w:r>
        <w:rPr>
          <w:rFonts w:hint="eastAsia" w:ascii="仿宋_GB2312" w:hAnsi="仿宋_GB2312" w:eastAsia="仿宋_GB2312" w:cs="仿宋_GB2312"/>
          <w:color w:val="auto"/>
          <w:kern w:val="0"/>
          <w:sz w:val="32"/>
          <w:szCs w:val="32"/>
          <w:lang w:eastAsia="zh-CN"/>
        </w:rPr>
        <w:t>本物业管理区域</w:t>
      </w:r>
      <w:r>
        <w:rPr>
          <w:rFonts w:hint="eastAsia" w:ascii="仿宋_GB2312" w:hAnsi="仿宋_GB2312" w:eastAsia="仿宋_GB2312" w:cs="仿宋_GB2312"/>
          <w:color w:val="auto"/>
          <w:kern w:val="0"/>
          <w:sz w:val="32"/>
          <w:szCs w:val="32"/>
        </w:rPr>
        <w:t>临时管理规约等物业管理制度规定的其他权利义务。</w:t>
      </w:r>
    </w:p>
    <w:p>
      <w:pPr>
        <w:pStyle w:val="20"/>
        <w:widowControl/>
        <w:numPr>
          <w:ilvl w:val="0"/>
          <w:numId w:val="0"/>
        </w:numPr>
        <w:snapToGrid w:val="0"/>
        <w:spacing w:line="560" w:lineRule="exact"/>
        <w:ind w:firstLine="643" w:firstLineChars="200"/>
        <w:jc w:val="left"/>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（二）业主的权利义务</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1.对乙方提供的</w:t>
      </w:r>
      <w:r>
        <w:rPr>
          <w:rFonts w:hint="eastAsia" w:ascii="仿宋_GB2312" w:hAnsi="仿宋_GB2312" w:eastAsia="仿宋_GB2312" w:cs="仿宋_GB2312"/>
          <w:color w:val="auto"/>
          <w:kern w:val="0"/>
          <w:sz w:val="32"/>
          <w:szCs w:val="32"/>
          <w:lang w:eastAsia="zh-CN"/>
        </w:rPr>
        <w:t>物业服务</w:t>
      </w:r>
      <w:r>
        <w:rPr>
          <w:rFonts w:hint="eastAsia" w:ascii="仿宋_GB2312" w:hAnsi="仿宋_GB2312" w:eastAsia="仿宋_GB2312" w:cs="仿宋_GB2312"/>
          <w:color w:val="auto"/>
          <w:kern w:val="0"/>
          <w:sz w:val="32"/>
          <w:szCs w:val="32"/>
        </w:rPr>
        <w:t>有知情、监督、建议等权利。</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2.监督、配合及协助乙方按照本合同和</w:t>
      </w:r>
      <w:r>
        <w:rPr>
          <w:rFonts w:hint="eastAsia" w:ascii="仿宋_GB2312" w:hAnsi="仿宋_GB2312" w:eastAsia="仿宋_GB2312" w:cs="仿宋_GB2312"/>
          <w:color w:val="auto"/>
          <w:kern w:val="0"/>
          <w:sz w:val="32"/>
          <w:szCs w:val="32"/>
          <w:lang w:eastAsia="zh-CN"/>
        </w:rPr>
        <w:t>本物业管理区域</w:t>
      </w:r>
      <w:r>
        <w:rPr>
          <w:rFonts w:hint="eastAsia" w:ascii="仿宋_GB2312" w:hAnsi="仿宋_GB2312" w:eastAsia="仿宋_GB2312" w:cs="仿宋_GB2312"/>
          <w:color w:val="auto"/>
          <w:kern w:val="0"/>
          <w:sz w:val="32"/>
          <w:szCs w:val="32"/>
        </w:rPr>
        <w:t>临时管理规约等物业管理制度的规定开展各项</w:t>
      </w:r>
      <w:r>
        <w:rPr>
          <w:rFonts w:hint="eastAsia" w:ascii="仿宋_GB2312" w:hAnsi="仿宋_GB2312" w:eastAsia="仿宋_GB2312" w:cs="仿宋_GB2312"/>
          <w:color w:val="auto"/>
          <w:kern w:val="0"/>
          <w:sz w:val="32"/>
          <w:szCs w:val="32"/>
          <w:lang w:eastAsia="zh-CN"/>
        </w:rPr>
        <w:t>物业服务</w:t>
      </w:r>
      <w:r>
        <w:rPr>
          <w:rFonts w:hint="eastAsia" w:ascii="仿宋_GB2312" w:hAnsi="仿宋_GB2312" w:eastAsia="仿宋_GB2312" w:cs="仿宋_GB2312"/>
          <w:color w:val="auto"/>
          <w:kern w:val="0"/>
          <w:sz w:val="32"/>
          <w:szCs w:val="32"/>
        </w:rPr>
        <w:t>工作。</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3.按时如额支付物业管理费，且不得要求乙方提供本合同以外的无偿服务。</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4.本物业管理区域业主、物业使用人应当按照规定分类投放生活垃圾，减少生活垃圾</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产生量，促进资源节约。</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5.法律、法规及</w:t>
      </w:r>
      <w:r>
        <w:rPr>
          <w:rFonts w:hint="eastAsia" w:ascii="仿宋_GB2312" w:hAnsi="仿宋_GB2312" w:eastAsia="仿宋_GB2312" w:cs="仿宋_GB2312"/>
          <w:color w:val="auto"/>
          <w:kern w:val="0"/>
          <w:sz w:val="32"/>
          <w:szCs w:val="32"/>
          <w:lang w:eastAsia="zh-CN"/>
        </w:rPr>
        <w:t>本物业管理区域</w:t>
      </w:r>
      <w:r>
        <w:rPr>
          <w:rFonts w:hint="eastAsia" w:ascii="仿宋_GB2312" w:hAnsi="仿宋_GB2312" w:eastAsia="仿宋_GB2312" w:cs="仿宋_GB2312"/>
          <w:color w:val="auto"/>
          <w:kern w:val="0"/>
          <w:sz w:val="32"/>
          <w:szCs w:val="32"/>
        </w:rPr>
        <w:t>临时管理规约等物业管理制度规定的其他权利义务。</w:t>
      </w:r>
    </w:p>
    <w:p>
      <w:pPr>
        <w:snapToGrid w:val="0"/>
        <w:spacing w:line="560" w:lineRule="exact"/>
        <w:ind w:firstLine="640" w:firstLineChars="200"/>
        <w:rPr>
          <w:rFonts w:ascii="黑体" w:hAnsi="黑体" w:eastAsia="黑体" w:cs="黑体"/>
          <w:color w:val="auto"/>
          <w:sz w:val="32"/>
          <w:szCs w:val="32"/>
        </w:rPr>
      </w:pPr>
      <w:bookmarkStart w:id="19" w:name="_Toc14613"/>
      <w:r>
        <w:rPr>
          <w:rFonts w:hint="eastAsia" w:ascii="黑体" w:hAnsi="黑体" w:eastAsia="黑体" w:cs="黑体"/>
          <w:color w:val="auto"/>
          <w:sz w:val="32"/>
          <w:szCs w:val="32"/>
        </w:rPr>
        <w:t>第二十条 乙方权利义务</w:t>
      </w:r>
      <w:bookmarkEnd w:id="19"/>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（一）根据法律、法规规定和</w:t>
      </w:r>
      <w:r>
        <w:rPr>
          <w:rFonts w:hint="eastAsia" w:ascii="仿宋_GB2312" w:hAnsi="仿宋_GB2312" w:eastAsia="仿宋_GB2312" w:cs="仿宋_GB2312"/>
          <w:color w:val="auto"/>
          <w:kern w:val="0"/>
          <w:sz w:val="32"/>
          <w:szCs w:val="32"/>
          <w:lang w:eastAsia="zh-CN"/>
        </w:rPr>
        <w:t>本物业管理区域</w:t>
      </w:r>
      <w:r>
        <w:rPr>
          <w:rFonts w:hint="eastAsia" w:ascii="仿宋_GB2312" w:hAnsi="仿宋_GB2312" w:eastAsia="仿宋_GB2312" w:cs="仿宋_GB2312"/>
          <w:color w:val="auto"/>
          <w:kern w:val="0"/>
          <w:sz w:val="32"/>
          <w:szCs w:val="32"/>
        </w:rPr>
        <w:t>临时管理规约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本合同的约定，制订</w:t>
      </w:r>
      <w:r>
        <w:rPr>
          <w:rFonts w:hint="eastAsia" w:ascii="仿宋_GB2312" w:hAnsi="仿宋_GB2312" w:eastAsia="仿宋_GB2312" w:cs="仿宋_GB2312"/>
          <w:color w:val="auto"/>
          <w:kern w:val="0"/>
          <w:sz w:val="32"/>
          <w:szCs w:val="32"/>
          <w:lang w:eastAsia="zh-CN"/>
        </w:rPr>
        <w:t>物业服务</w:t>
      </w:r>
      <w:r>
        <w:rPr>
          <w:rFonts w:hint="eastAsia" w:ascii="仿宋_GB2312" w:hAnsi="仿宋_GB2312" w:eastAsia="仿宋_GB2312" w:cs="仿宋_GB2312"/>
          <w:color w:val="auto"/>
          <w:kern w:val="0"/>
          <w:sz w:val="32"/>
          <w:szCs w:val="32"/>
        </w:rPr>
        <w:t>有关方案、制度并组织实施。按照</w:t>
      </w:r>
      <w:r>
        <w:rPr>
          <w:rFonts w:hint="eastAsia" w:ascii="仿宋_GB2312" w:hAnsi="仿宋_GB2312" w:eastAsia="仿宋_GB2312" w:cs="仿宋_GB2312"/>
          <w:color w:val="auto"/>
          <w:kern w:val="0"/>
          <w:sz w:val="32"/>
          <w:szCs w:val="32"/>
          <w:lang w:eastAsia="zh-CN"/>
        </w:rPr>
        <w:t>物业服务</w:t>
      </w:r>
      <w:r>
        <w:rPr>
          <w:rFonts w:hint="eastAsia" w:ascii="仿宋_GB2312" w:hAnsi="仿宋_GB2312" w:eastAsia="仿宋_GB2312" w:cs="仿宋_GB2312"/>
          <w:color w:val="auto"/>
          <w:kern w:val="0"/>
          <w:sz w:val="32"/>
          <w:szCs w:val="32"/>
        </w:rPr>
        <w:t>标准和内容提供物业服务，收取物业服务费、特约服务费用、</w:t>
      </w:r>
      <w:r>
        <w:rPr>
          <w:rFonts w:hint="eastAsia" w:ascii="仿宋_GB2312" w:hAnsi="仿宋_GB2312" w:eastAsia="仿宋_GB2312" w:cs="仿宋_GB2312"/>
          <w:color w:val="auto"/>
          <w:kern w:val="2"/>
          <w:sz w:val="32"/>
          <w:szCs w:val="32"/>
          <w:lang w:val="en-US" w:eastAsia="zh-CN" w:bidi="ar-SA"/>
        </w:rPr>
        <w:t>停车位（库）管理服务费、</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等费用。</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（二）结合本物业管理区域的实际情况，制定</w:t>
      </w:r>
      <w:r>
        <w:rPr>
          <w:rFonts w:hint="eastAsia" w:ascii="仿宋_GB2312" w:hAnsi="仿宋_GB2312" w:eastAsia="仿宋_GB2312" w:cs="仿宋_GB2312"/>
          <w:color w:val="auto"/>
          <w:kern w:val="0"/>
          <w:sz w:val="32"/>
          <w:szCs w:val="32"/>
          <w:lang w:eastAsia="zh-CN"/>
        </w:rPr>
        <w:t>物业服务</w:t>
      </w:r>
      <w:r>
        <w:rPr>
          <w:rFonts w:hint="eastAsia" w:ascii="仿宋_GB2312" w:hAnsi="仿宋_GB2312" w:eastAsia="仿宋_GB2312" w:cs="仿宋_GB2312"/>
          <w:color w:val="auto"/>
          <w:kern w:val="0"/>
          <w:sz w:val="32"/>
          <w:szCs w:val="32"/>
        </w:rPr>
        <w:t>计划，负责编制房屋、附属建筑物、设施设备、绿化的年度维修养护计划</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年度费用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预算</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和决算报告</w:t>
      </w:r>
      <w:r>
        <w:rPr>
          <w:rFonts w:hint="eastAsia" w:ascii="仿宋_GB2312" w:hAnsi="仿宋_GB2312" w:eastAsia="仿宋_GB2312" w:cs="仿宋_GB2312"/>
          <w:color w:val="auto"/>
          <w:kern w:val="0"/>
          <w:sz w:val="32"/>
          <w:szCs w:val="32"/>
        </w:rPr>
        <w:t>。</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可以选聘专业机构承担本物业管理区域内的特种设备维修养护、清洁卫生、园林绿化、工程施工等专项服务。但是，不得将本物业管理区域内的全部物业服务一并委托给其他单位或个人。乙方与所选定的专业机构签订合同的服务标准不得低于本合同，并对专业机构的服务行为承担连带责任。</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（四）妥善保管和正确使用本物业管理区域的档案资料，及时记载有关变更信息。妥善管理业主</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物业使用人</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档案信息，不得擅自向第三方提供或以任何方式泄露该信息。</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（五）及时向甲方、业主</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物业使用人通报本物业管理区域内有关</w:t>
      </w:r>
      <w:r>
        <w:rPr>
          <w:rFonts w:hint="eastAsia" w:ascii="仿宋_GB2312" w:hAnsi="仿宋_GB2312" w:eastAsia="仿宋_GB2312" w:cs="仿宋_GB2312"/>
          <w:color w:val="auto"/>
          <w:kern w:val="0"/>
          <w:sz w:val="32"/>
          <w:szCs w:val="32"/>
          <w:lang w:eastAsia="zh-CN"/>
        </w:rPr>
        <w:t>物业服务</w:t>
      </w:r>
      <w:r>
        <w:rPr>
          <w:rFonts w:hint="eastAsia" w:ascii="仿宋_GB2312" w:hAnsi="仿宋_GB2312" w:eastAsia="仿宋_GB2312" w:cs="仿宋_GB2312"/>
          <w:color w:val="auto"/>
          <w:kern w:val="0"/>
          <w:sz w:val="32"/>
          <w:szCs w:val="32"/>
        </w:rPr>
        <w:t>的重大事项，接受甲方和业主的监督。</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（六）对甲方、业主</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物业使用人违反</w:t>
      </w:r>
      <w:r>
        <w:rPr>
          <w:rFonts w:hint="eastAsia" w:ascii="仿宋_GB2312" w:hAnsi="仿宋_GB2312" w:eastAsia="仿宋_GB2312" w:cs="仿宋_GB2312"/>
          <w:color w:val="auto"/>
          <w:kern w:val="0"/>
          <w:sz w:val="32"/>
          <w:szCs w:val="32"/>
          <w:lang w:eastAsia="zh-CN"/>
        </w:rPr>
        <w:t>本物业管理区域</w:t>
      </w:r>
      <w:r>
        <w:rPr>
          <w:rFonts w:hint="eastAsia" w:ascii="仿宋_GB2312" w:hAnsi="仿宋_GB2312" w:eastAsia="仿宋_GB2312" w:cs="仿宋_GB2312"/>
          <w:color w:val="auto"/>
          <w:kern w:val="0"/>
          <w:sz w:val="32"/>
          <w:szCs w:val="32"/>
        </w:rPr>
        <w:t>临时管理规约等物业管理制度的行为，采取告知、劝说和建议等方式督促甲方、业主</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物业使用人改正。</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（七）不得擅自占用</w:t>
      </w:r>
      <w:r>
        <w:rPr>
          <w:rFonts w:hint="eastAsia" w:ascii="仿宋_GB2312" w:hAnsi="仿宋_GB2312" w:eastAsia="仿宋_GB2312" w:cs="仿宋_GB2312"/>
          <w:color w:val="auto"/>
          <w:kern w:val="0"/>
          <w:sz w:val="32"/>
          <w:szCs w:val="32"/>
          <w:lang w:eastAsia="zh-CN"/>
        </w:rPr>
        <w:t>共有物业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共用设施设备</w:t>
      </w:r>
      <w:r>
        <w:rPr>
          <w:rFonts w:hint="eastAsia" w:ascii="仿宋_GB2312" w:hAnsi="仿宋_GB2312" w:eastAsia="仿宋_GB2312" w:cs="仿宋_GB2312"/>
          <w:color w:val="auto"/>
          <w:kern w:val="0"/>
          <w:sz w:val="32"/>
          <w:szCs w:val="32"/>
        </w:rPr>
        <w:t>或改变用途，不得擅自占用、挖掘道路、场地。</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确需临时占用、挖掘道路、场地的，应按规定办理相关手续，制定施工方案，开工前要在本物业管理区域内进行公示，施工过程中尽可能减少对正常秩序的影响，并及时恢复原状。</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在紧急情况下，乙方为了公共利益可以先行施工，但事后应予以说明。</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（八）乙方应当加强对本物业管理区域内天面、外墙、楼梯间等共有物业的日常巡查。如发现业主、物业使用人使用的窗户、阳台、搁置物、悬挂物存在安全隐患的，应当通知业主</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物业使用人及时处理；发现有影响相关专营设施安全情形的，应当及时报告相关专营单位。</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（九）本物业管理区域内需另行配备相关设施设备的，乙方应与甲方、业主协商解决。</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（十）物业装饰装修前，乙方应当告知业主、物业使用人相关的禁止行为和注意事项，并将装饰装修的时间、地点等情况在该业主、物业使用人所在建筑物内进行公示。除收取装修保证金、垃圾清运费、</w:t>
      </w:r>
      <w:r>
        <w:rPr>
          <w:rFonts w:hint="eastAsia" w:ascii="仿宋_GB2312" w:hAnsi="仿宋_GB2312" w:eastAsia="仿宋_GB2312" w:cs="仿宋_GB2312"/>
          <w:color w:val="auto"/>
          <w:kern w:val="0"/>
          <w:sz w:val="32"/>
          <w:szCs w:val="32"/>
          <w:u w:val="single"/>
        </w:rPr>
        <w:t>　     　</w:t>
      </w:r>
      <w:r>
        <w:rPr>
          <w:rFonts w:hint="eastAsia" w:ascii="仿宋_GB2312" w:hAnsi="仿宋_GB2312" w:eastAsia="仿宋_GB2312" w:cs="仿宋_GB2312"/>
          <w:color w:val="auto"/>
          <w:kern w:val="0"/>
          <w:sz w:val="32"/>
          <w:szCs w:val="32"/>
        </w:rPr>
        <w:t>（费用名称）外，乙方不得以任何名目向业主、物业使用人另行收取其他费用。</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乙方应依法依规对装饰装修进行监督，对未经备案私自开工或存在安全隐患的项目，应予以劝阻，并告知甲方和本物业所在地的街道办事处。</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（十一）乙方按照法律、法规的规定履行其在本物业管理区域生活垃圾分类投放管理</w:t>
      </w:r>
      <w:r>
        <w:rPr>
          <w:rFonts w:hint="eastAsia" w:ascii="仿宋_GB2312" w:hAnsi="仿宋_GB2312" w:eastAsia="仿宋_GB2312" w:cs="仿宋_GB2312"/>
          <w:color w:val="auto"/>
          <w:kern w:val="0"/>
          <w:sz w:val="32"/>
          <w:szCs w:val="32"/>
          <w:lang w:eastAsia="zh-CN"/>
        </w:rPr>
        <w:t>责任</w:t>
      </w:r>
      <w:r>
        <w:rPr>
          <w:rFonts w:hint="eastAsia" w:ascii="仿宋_GB2312" w:hAnsi="仿宋_GB2312" w:eastAsia="仿宋_GB2312" w:cs="仿宋_GB2312"/>
          <w:color w:val="auto"/>
          <w:kern w:val="0"/>
          <w:sz w:val="32"/>
          <w:szCs w:val="32"/>
        </w:rPr>
        <w:t>人的职责，有权对任何单位和个人违反生活垃圾分类规定的行为予以劝阻、举报。</w:t>
      </w:r>
    </w:p>
    <w:p>
      <w:pPr>
        <w:pStyle w:val="20"/>
        <w:widowControl/>
        <w:numPr>
          <w:ilvl w:val="0"/>
          <w:numId w:val="0"/>
        </w:numPr>
        <w:snapToGrid w:val="0"/>
        <w:spacing w:line="560" w:lineRule="exact"/>
        <w:ind w:left="596" w:leftChars="284"/>
        <w:jc w:val="left"/>
        <w:rPr>
          <w:rFonts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kern w:val="0"/>
          <w:sz w:val="32"/>
          <w:szCs w:val="32"/>
        </w:rPr>
        <w:t>（十二）乙方在不侵犯他人隐私的情况下，可通过在</w:t>
      </w:r>
      <w:r>
        <w:rPr>
          <w:rFonts w:hint="eastAsia" w:ascii="仿宋_GB2312" w:hAnsi="仿宋_GB2312" w:eastAsia="仿宋_GB2312" w:cs="仿宋_GB2312"/>
          <w:color w:val="auto"/>
          <w:kern w:val="0"/>
          <w:sz w:val="32"/>
          <w:szCs w:val="32"/>
          <w:u w:val="single"/>
        </w:rPr>
        <w:t xml:space="preserve">     </w:t>
      </w:r>
    </w:p>
    <w:p>
      <w:pPr>
        <w:pStyle w:val="20"/>
        <w:widowControl/>
        <w:numPr>
          <w:ilvl w:val="0"/>
          <w:numId w:val="0"/>
        </w:numPr>
        <w:snapToGrid w:val="0"/>
        <w:spacing w:line="560" w:lineRule="exact"/>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eastAsia="zh-CN"/>
        </w:rPr>
        <w:t>（地点）</w:t>
      </w:r>
      <w:r>
        <w:rPr>
          <w:rFonts w:hint="eastAsia" w:ascii="仿宋_GB2312" w:hAnsi="仿宋_GB2312" w:eastAsia="仿宋_GB2312" w:cs="仿宋_GB2312"/>
          <w:color w:val="auto"/>
          <w:kern w:val="0"/>
          <w:sz w:val="32"/>
          <w:szCs w:val="32"/>
        </w:rPr>
        <w:t>安装监控摄像头等方式就抛掷物品危害他人身财产安全、破坏环境卫生等行为收集相应证据。乙方需妥善保管录音录像等证据，不得擅自毁损破坏</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eastAsia="zh-CN"/>
        </w:rPr>
        <w:t>并且</w:t>
      </w:r>
      <w:r>
        <w:rPr>
          <w:rFonts w:hint="eastAsia" w:ascii="仿宋_GB2312" w:hAnsi="仿宋_GB2312" w:eastAsia="仿宋_GB2312" w:cs="仿宋_GB2312"/>
          <w:color w:val="auto"/>
          <w:sz w:val="32"/>
          <w:szCs w:val="32"/>
        </w:rPr>
        <w:t>未经法定程序</w:t>
      </w:r>
      <w:r>
        <w:rPr>
          <w:rFonts w:hint="eastAsia" w:ascii="仿宋_GB2312" w:hAnsi="仿宋_GB2312" w:eastAsia="仿宋_GB2312" w:cs="仿宋_GB2312"/>
          <w:color w:val="auto"/>
          <w:sz w:val="32"/>
          <w:szCs w:val="32"/>
          <w:lang w:eastAsia="zh-CN"/>
        </w:rPr>
        <w:t>不得</w:t>
      </w:r>
      <w:r>
        <w:rPr>
          <w:rFonts w:hint="eastAsia" w:ascii="仿宋_GB2312" w:hAnsi="仿宋_GB2312" w:eastAsia="仿宋_GB2312" w:cs="仿宋_GB2312"/>
          <w:color w:val="auto"/>
          <w:sz w:val="32"/>
          <w:szCs w:val="32"/>
        </w:rPr>
        <w:t>擅自向第三方公开</w:t>
      </w:r>
      <w:r>
        <w:rPr>
          <w:rFonts w:hint="eastAsia" w:ascii="仿宋_GB2312" w:hAnsi="仿宋_GB2312" w:eastAsia="仿宋_GB2312" w:cs="仿宋_GB2312"/>
          <w:color w:val="auto"/>
          <w:kern w:val="0"/>
          <w:sz w:val="32"/>
          <w:szCs w:val="32"/>
        </w:rPr>
        <w:t>。</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（十三）加强物业管理区域内物业安全使用管理，对因自身原因造成的安全事故承担责任并负责善后处理。</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（十四）乙方应当遵守安全生产、公共卫生、治安消防、防灾管理等有关公共安全法律、法规的规定，制定本物业管理区域安全防范应急预案，在</w:t>
      </w:r>
      <w:r>
        <w:rPr>
          <w:rFonts w:hint="eastAsia" w:ascii="仿宋_GB2312" w:hAnsi="仿宋_GB2312" w:eastAsia="仿宋_GB2312" w:cs="仿宋_GB2312"/>
          <w:color w:val="auto"/>
          <w:sz w:val="32"/>
          <w:szCs w:val="32"/>
          <w:lang w:eastAsia="zh-CN"/>
        </w:rPr>
        <w:t>住建、应急管理、水务等部门</w:t>
      </w:r>
      <w:r>
        <w:rPr>
          <w:rFonts w:hint="eastAsia" w:ascii="仿宋_GB2312" w:hAnsi="仿宋_GB2312" w:eastAsia="仿宋_GB2312" w:cs="仿宋_GB2312"/>
          <w:color w:val="auto"/>
          <w:kern w:val="0"/>
          <w:sz w:val="32"/>
          <w:szCs w:val="32"/>
        </w:rPr>
        <w:t>指导下做好本物业管理区域的安全管理工作。安全防范应急预案应当报区住房和建设部门备案。</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当本物业管理区域内发生安全事故或者其他突发事件时，乙方应当及时采取应急措施，并按照规定向有关政府部门或者相关专营单位报告，协助做好相关工作。</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（十五）乙方不得将本物业管理区域的业主共有资金转入非本物业管理区域的业主共有资金共管账户等其他账户。</w:t>
      </w:r>
    </w:p>
    <w:p>
      <w:pPr>
        <w:pStyle w:val="20"/>
        <w:widowControl/>
        <w:numPr>
          <w:ilvl w:val="0"/>
          <w:numId w:val="0"/>
        </w:numPr>
        <w:snapToGrid w:val="0"/>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（十六）对相关政府部门需进入本物业管理区域的宣传、检查、执法、救援等公共事务，乙方应当予以积极配合。</w:t>
      </w:r>
    </w:p>
    <w:p>
      <w:pPr>
        <w:pStyle w:val="20"/>
        <w:widowControl/>
        <w:numPr>
          <w:ilvl w:val="0"/>
          <w:numId w:val="0"/>
        </w:numPr>
        <w:snapToGrid w:val="0"/>
        <w:spacing w:line="560" w:lineRule="exact"/>
        <w:ind w:firstLine="640" w:firstLineChars="200"/>
        <w:jc w:val="left"/>
        <w:rPr>
          <w:rFonts w:ascii="仿宋" w:hAnsi="仿宋" w:eastAsia="仿宋_GB2312" w:cs="仿宋"/>
          <w:bCs/>
          <w:color w:val="auto"/>
          <w:sz w:val="32"/>
          <w:szCs w:val="32"/>
          <w:u w:val="single"/>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十</w:t>
      </w:r>
      <w:r>
        <w:rPr>
          <w:rFonts w:hint="eastAsia" w:ascii="仿宋_GB2312" w:hAnsi="仿宋_GB2312" w:eastAsia="仿宋_GB2312" w:cs="仿宋_GB2312"/>
          <w:color w:val="auto"/>
          <w:kern w:val="0"/>
          <w:sz w:val="32"/>
          <w:szCs w:val="32"/>
        </w:rPr>
        <w:t>七）</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w:t>
      </w:r>
    </w:p>
    <w:p>
      <w:pPr>
        <w:snapToGrid w:val="0"/>
        <w:spacing w:line="560" w:lineRule="exact"/>
        <w:ind w:firstLine="640" w:firstLineChars="200"/>
        <w:rPr>
          <w:rFonts w:ascii="黑体" w:hAnsi="黑体" w:eastAsia="黑体" w:cs="黑体"/>
          <w:color w:val="auto"/>
          <w:sz w:val="32"/>
          <w:szCs w:val="32"/>
        </w:rPr>
      </w:pPr>
      <w:bookmarkStart w:id="20" w:name="_Hlk21434848"/>
      <w:r>
        <w:rPr>
          <w:rFonts w:hint="eastAsia" w:ascii="黑体" w:hAnsi="黑体" w:eastAsia="黑体" w:cs="黑体"/>
          <w:color w:val="auto"/>
          <w:sz w:val="32"/>
          <w:szCs w:val="32"/>
        </w:rPr>
        <w:t>第二十一条 突发事件处理</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为维护公共利益，在不可预见情况下，如发生煤气泄漏、漏电、火灾、水管破裂、救助生命、协助相关政府部门处理突发事件等，乙方因采取紧急避险措施造成损失的，相关当事人应按</w:t>
      </w:r>
      <w:r>
        <w:rPr>
          <w:rFonts w:hint="eastAsia" w:ascii="仿宋_GB2312" w:hAnsi="仿宋_GB2312" w:eastAsia="仿宋_GB2312" w:cs="仿宋_GB2312"/>
          <w:bCs/>
          <w:color w:val="auto"/>
          <w:sz w:val="32"/>
          <w:szCs w:val="32"/>
          <w:lang w:eastAsia="zh-CN"/>
        </w:rPr>
        <w:t>法律法规的</w:t>
      </w:r>
      <w:r>
        <w:rPr>
          <w:rFonts w:hint="eastAsia" w:ascii="仿宋_GB2312" w:hAnsi="仿宋_GB2312" w:eastAsia="仿宋_GB2312" w:cs="仿宋_GB2312"/>
          <w:bCs/>
          <w:color w:val="auto"/>
          <w:sz w:val="32"/>
          <w:szCs w:val="32"/>
        </w:rPr>
        <w:t>规定处理。</w:t>
      </w:r>
    </w:p>
    <w:p>
      <w:pPr>
        <w:snapToGrid w:val="0"/>
        <w:spacing w:line="560" w:lineRule="exact"/>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第六章  合同时效</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第二十二条 合同期限</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本合同期限自</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日起至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日止，本合同最长期限不得超过两年。但在本合同期限内，业主共同决定与其选聘的新物业服务企业签订的物业服务合同生效时，本合同自动终止。</w:t>
      </w:r>
    </w:p>
    <w:p>
      <w:pPr>
        <w:snapToGrid w:val="0"/>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第二十三条 物业交接</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乙方办理物业管理交接，应当同时移交下列资金、资料和物品：</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（一）业主共有资金共管账户内业主共有资金结余；</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（二）物业服务办公用房、物业管理设施设备用房；</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（三）物业承接查验资料；</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（四）提供物业服务期间形成的有关物业及设施设备改造、维修、运行、保养的资料；</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（五）利用共有物业从事经营活动的相关资料、公共水电分摊费用缴纳记录等资料；</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w:t>
      </w:r>
    </w:p>
    <w:p>
      <w:pPr>
        <w:snapToGrid w:val="0"/>
        <w:spacing w:line="560" w:lineRule="exact"/>
        <w:ind w:firstLine="640"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（七）其他应当移交的资金、资料和物品。</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 接管前处理</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本合同终止后，在新物业服务企业接管本物业管理区域之前，乙方应当继续提供</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，各方的权利义务继续按照本合同执行。</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 不可抗力的终止</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因不可抗力致使合同无法继续履行的，根据不可抗力的影响，部分或全部免除责任，其他事宜由甲、乙双方及业主依法协商处理。</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 终止后处理</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（一）本合同终止后，甲、乙双方及业主应共同做好债权债务处理事宜，包括业主共有资金的结算、对外与第三方订立的协议进行处置等。</w:t>
      </w:r>
    </w:p>
    <w:p>
      <w:pPr>
        <w:snapToGrid w:val="0"/>
        <w:spacing w:line="560" w:lineRule="exact"/>
        <w:ind w:firstLine="640" w:firstLineChars="200"/>
        <w:jc w:val="left"/>
        <w:rPr>
          <w:rFonts w:ascii="仿宋" w:hAnsi="仿宋" w:eastAsia="仿宋" w:cs="仿宋"/>
          <w:bCs/>
          <w:color w:val="auto"/>
          <w:sz w:val="32"/>
          <w:szCs w:val="32"/>
        </w:rPr>
      </w:pPr>
      <w:r>
        <w:rPr>
          <w:rFonts w:hint="eastAsia" w:ascii="仿宋_GB2312" w:hAnsi="仿宋_GB2312" w:eastAsia="仿宋_GB2312" w:cs="仿宋_GB2312"/>
          <w:color w:val="auto"/>
          <w:sz w:val="32"/>
          <w:szCs w:val="32"/>
        </w:rPr>
        <w:t>（二）甲、乙双方及业主应相互配合，做好</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的交接和善后工作。</w:t>
      </w:r>
    </w:p>
    <w:bookmarkEnd w:id="20"/>
    <w:p>
      <w:pPr>
        <w:snapToGrid w:val="0"/>
        <w:spacing w:line="560" w:lineRule="exact"/>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第七章  违约责任及免责约定</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 甲方违约责任</w:t>
      </w:r>
    </w:p>
    <w:p>
      <w:pPr>
        <w:snapToGrid w:val="0"/>
        <w:spacing w:line="560" w:lineRule="exact"/>
        <w:ind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甲方或业主违反本合同约定，导致乙方未能完成</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内容或</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内容无法达到约定标准的，乙方有权要求甲方或业主限期予以解决；逾期未解决的，乙方可按</w:t>
      </w:r>
      <w:r>
        <w:rPr>
          <w:rFonts w:hint="eastAsia" w:ascii="仿宋_GB2312" w:hAnsi="仿宋_GB2312" w:eastAsia="仿宋_GB2312" w:cs="仿宋_GB2312"/>
          <w:color w:val="auto"/>
          <w:sz w:val="32"/>
          <w:szCs w:val="32"/>
          <w:lang w:eastAsia="zh-CN"/>
        </w:rPr>
        <w:t>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标准向甲方或业主主张违约金；造成损失的，乙方可要求甲方或业主承担相应的法律责任。</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 乙方违约责任</w:t>
      </w:r>
    </w:p>
    <w:p>
      <w:pPr>
        <w:numPr>
          <w:ilvl w:val="0"/>
          <w:numId w:val="1"/>
        </w:numPr>
        <w:snapToGrid w:val="0"/>
        <w:spacing w:line="560" w:lineRule="exact"/>
        <w:ind w:firstLine="482"/>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乙方违反本合同义务，或不能完成本合同约定服务内容和标准的，甲方或业主有权要求乙方在合理期限内进行整改，乙方逾期未能完成整改的，甲方或业主可按</w:t>
      </w:r>
      <w:r>
        <w:rPr>
          <w:rFonts w:hint="eastAsia" w:ascii="仿宋_GB2312" w:hAnsi="仿宋_GB2312" w:eastAsia="仿宋_GB2312" w:cs="仿宋_GB2312"/>
          <w:color w:val="auto"/>
          <w:sz w:val="32"/>
          <w:szCs w:val="32"/>
          <w:lang w:eastAsia="zh-CN"/>
        </w:rPr>
        <w:t>照</w:t>
      </w:r>
      <w:r>
        <w:rPr>
          <w:rFonts w:hint="eastAsia" w:ascii="仿宋_GB2312" w:hAnsi="仿宋_GB2312" w:eastAsia="仿宋_GB2312" w:cs="仿宋_GB2312"/>
          <w:color w:val="auto"/>
          <w:sz w:val="32"/>
          <w:szCs w:val="32"/>
          <w:u w:val="single"/>
          <w:lang w:val="en-US" w:eastAsia="zh-CN"/>
        </w:rPr>
        <w:t xml:space="preserve">    </w:t>
      </w:r>
    </w:p>
    <w:p>
      <w:pPr>
        <w:numPr>
          <w:ilvl w:val="0"/>
          <w:numId w:val="0"/>
        </w:numPr>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标准向乙方主张违约金。如乙方违约行为给业主、物业使用人造成损失的，有关当事人可要求乙方承担相应的法律责任。</w:t>
      </w:r>
    </w:p>
    <w:p>
      <w:pPr>
        <w:numPr>
          <w:ilvl w:val="0"/>
          <w:numId w:val="1"/>
        </w:numPr>
        <w:snapToGrid w:val="0"/>
        <w:spacing w:line="560" w:lineRule="exact"/>
        <w:ind w:firstLine="48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乙方未按《条例》规定向</w:t>
      </w:r>
      <w:r>
        <w:rPr>
          <w:rFonts w:hint="eastAsia" w:ascii="仿宋_GB2312" w:hAnsi="仿宋_GB2312" w:eastAsia="仿宋_GB2312" w:cs="仿宋_GB2312"/>
          <w:color w:val="auto"/>
          <w:sz w:val="32"/>
          <w:szCs w:val="32"/>
          <w:lang w:eastAsia="zh-CN"/>
        </w:rPr>
        <w:t>业主大会</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lang w:eastAsia="zh-CN"/>
        </w:rPr>
        <w:t>业主大会</w:t>
      </w:r>
      <w:r>
        <w:rPr>
          <w:rFonts w:hint="eastAsia" w:ascii="仿宋_GB2312" w:hAnsi="仿宋_GB2312" w:eastAsia="仿宋_GB2312" w:cs="仿宋_GB2312"/>
          <w:color w:val="auto"/>
          <w:sz w:val="32"/>
          <w:szCs w:val="32"/>
        </w:rPr>
        <w:t>指定主体进行移交资金、资料和物品，或拒不退出本物业管理区域的，</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标准向</w:t>
      </w:r>
      <w:r>
        <w:rPr>
          <w:rFonts w:hint="eastAsia" w:ascii="仿宋_GB2312" w:hAnsi="仿宋_GB2312" w:eastAsia="仿宋_GB2312" w:cs="仿宋_GB2312"/>
          <w:color w:val="auto"/>
          <w:sz w:val="32"/>
          <w:szCs w:val="32"/>
          <w:lang w:eastAsia="zh-CN"/>
        </w:rPr>
        <w:t>业主大会</w:t>
      </w:r>
      <w:r>
        <w:rPr>
          <w:rFonts w:hint="eastAsia" w:ascii="仿宋_GB2312" w:hAnsi="仿宋_GB2312" w:eastAsia="仿宋_GB2312" w:cs="仿宋_GB2312"/>
          <w:color w:val="auto"/>
          <w:sz w:val="32"/>
          <w:szCs w:val="32"/>
        </w:rPr>
        <w:t>支付违约金。</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本条</w:t>
      </w:r>
      <w:r>
        <w:rPr>
          <w:rFonts w:hint="eastAsia" w:ascii="仿宋_GB2312" w:hAnsi="仿宋_GB2312" w:eastAsia="仿宋_GB2312" w:cs="仿宋_GB2312"/>
          <w:color w:val="auto"/>
          <w:sz w:val="32"/>
          <w:szCs w:val="32"/>
        </w:rPr>
        <w:t>违约金均系业主共有资金，应纳入业主共有资金统一管理，</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应直接支付至业主共有资金账户。</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 提前解约责任</w:t>
      </w:r>
    </w:p>
    <w:p>
      <w:pPr>
        <w:snapToGrid w:val="0"/>
        <w:spacing w:line="560" w:lineRule="exact"/>
        <w:ind w:firstLine="640" w:firstLineChars="200"/>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除本合同第六章规定的合同终止情形外，甲、乙双方及业主均不得提前解除本合同，否则无过错方可要求按</w:t>
      </w:r>
      <w:r>
        <w:rPr>
          <w:rFonts w:hint="eastAsia" w:ascii="仿宋_GB2312" w:hAnsi="仿宋_GB2312" w:eastAsia="仿宋_GB2312" w:cs="仿宋_GB2312"/>
          <w:color w:val="auto"/>
          <w:sz w:val="32"/>
          <w:szCs w:val="32"/>
          <w:lang w:eastAsia="zh-CN"/>
        </w:rPr>
        <w:t>照</w:t>
      </w:r>
      <w:r>
        <w:rPr>
          <w:rFonts w:hint="eastAsia" w:ascii="仿宋_GB2312" w:hAnsi="仿宋_GB2312" w:eastAsia="仿宋_GB2312" w:cs="仿宋_GB2312"/>
          <w:color w:val="auto"/>
          <w:sz w:val="32"/>
          <w:szCs w:val="32"/>
          <w:u w:val="single"/>
          <w:lang w:val="en-US" w:eastAsia="zh-CN"/>
        </w:rPr>
        <w:t xml:space="preserve">           </w:t>
      </w:r>
    </w:p>
    <w:p>
      <w:pPr>
        <w:snapToGrid w:val="0"/>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标准向违约方主张违约金；造成损失的，无过错方可要求其承担相应的法律责任。</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本条</w:t>
      </w:r>
      <w:r>
        <w:rPr>
          <w:rFonts w:hint="eastAsia" w:ascii="仿宋_GB2312" w:hAnsi="仿宋_GB2312" w:eastAsia="仿宋_GB2312" w:cs="仿宋_GB2312"/>
          <w:color w:val="auto"/>
          <w:sz w:val="32"/>
          <w:szCs w:val="32"/>
        </w:rPr>
        <w:t>业主所</w:t>
      </w:r>
      <w:r>
        <w:rPr>
          <w:rFonts w:hint="eastAsia" w:ascii="仿宋_GB2312" w:hAnsi="仿宋_GB2312" w:eastAsia="仿宋_GB2312" w:cs="仿宋_GB2312"/>
          <w:color w:val="auto"/>
          <w:sz w:val="32"/>
          <w:szCs w:val="32"/>
          <w:lang w:eastAsia="zh-CN"/>
        </w:rPr>
        <w:t>主张</w:t>
      </w:r>
      <w:r>
        <w:rPr>
          <w:rFonts w:hint="eastAsia" w:ascii="仿宋_GB2312" w:hAnsi="仿宋_GB2312" w:eastAsia="仿宋_GB2312" w:cs="仿宋_GB2312"/>
          <w:color w:val="auto"/>
          <w:sz w:val="32"/>
          <w:szCs w:val="32"/>
        </w:rPr>
        <w:t>的违约金系业主共有资金，应纳入业主共有资金统一管理，违约方应直接支付至业主共有资金账户。</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三十</w:t>
      </w:r>
      <w:r>
        <w:rPr>
          <w:rFonts w:hint="eastAsia" w:ascii="黑体" w:hAnsi="黑体" w:eastAsia="黑体" w:cs="黑体"/>
          <w:color w:val="auto"/>
          <w:sz w:val="32"/>
          <w:szCs w:val="32"/>
        </w:rPr>
        <w:t>条 本合同其他相关违约责任的约定</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 乙方免责条款</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下列情形之一的，乙方不承担违约责任：</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（一）由于甲方、业主或物业使用人的原因导致乙方的服务无法达到合同要求的。</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（二）非乙方责任出现供水、排水、供电、供气、通讯及其他</w:t>
      </w:r>
      <w:r>
        <w:rPr>
          <w:rFonts w:hint="eastAsia" w:ascii="仿宋_GB2312" w:hAnsi="仿宋_GB2312" w:eastAsia="仿宋_GB2312" w:cs="仿宋_GB2312"/>
          <w:color w:val="auto"/>
          <w:sz w:val="32"/>
          <w:szCs w:val="32"/>
          <w:lang w:eastAsia="zh-CN"/>
        </w:rPr>
        <w:t>共用设施设备</w:t>
      </w:r>
      <w:r>
        <w:rPr>
          <w:rFonts w:hint="eastAsia" w:ascii="仿宋_GB2312" w:hAnsi="仿宋_GB2312" w:eastAsia="仿宋_GB2312" w:cs="仿宋_GB2312"/>
          <w:color w:val="auto"/>
          <w:sz w:val="32"/>
          <w:szCs w:val="32"/>
        </w:rPr>
        <w:t>运行障碍造成损失，乙方已采取应急措施的。</w:t>
      </w:r>
    </w:p>
    <w:p>
      <w:pPr>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snapToGrid w:val="0"/>
        <w:spacing w:line="560" w:lineRule="exact"/>
        <w:ind w:left="0" w:leftChars="0" w:firstLine="0" w:firstLineChars="0"/>
        <w:jc w:val="center"/>
        <w:rPr>
          <w:rFonts w:hint="eastAsia" w:ascii="宋体" w:hAnsi="宋体" w:eastAsia="宋体" w:cs="宋体"/>
          <w:b/>
          <w:bCs/>
          <w:color w:val="auto"/>
          <w:sz w:val="32"/>
          <w:szCs w:val="32"/>
        </w:rPr>
      </w:pPr>
      <w:bookmarkStart w:id="21" w:name="_Toc19649"/>
      <w:bookmarkStart w:id="22" w:name="_Toc3447"/>
      <w:r>
        <w:rPr>
          <w:rFonts w:hint="eastAsia" w:ascii="宋体" w:hAnsi="宋体" w:eastAsia="宋体" w:cs="宋体"/>
          <w:b/>
          <w:bCs/>
          <w:color w:val="auto"/>
          <w:sz w:val="32"/>
          <w:szCs w:val="32"/>
        </w:rPr>
        <w:t>第八章  争议解决</w:t>
      </w:r>
      <w:bookmarkEnd w:id="21"/>
      <w:bookmarkEnd w:id="22"/>
    </w:p>
    <w:p>
      <w:pPr>
        <w:snapToGrid w:val="0"/>
        <w:spacing w:line="560" w:lineRule="exact"/>
        <w:ind w:firstLine="640" w:firstLineChars="200"/>
        <w:rPr>
          <w:rFonts w:ascii="黑体" w:hAnsi="黑体" w:eastAsia="黑体" w:cs="黑体"/>
          <w:color w:val="auto"/>
          <w:sz w:val="32"/>
          <w:szCs w:val="32"/>
        </w:rPr>
      </w:pPr>
      <w:bookmarkStart w:id="23" w:name="_Toc24822"/>
      <w:bookmarkStart w:id="24" w:name="_Toc21859"/>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 争议解决</w:t>
      </w:r>
      <w:bookmarkEnd w:id="23"/>
      <w:bookmarkEnd w:id="24"/>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因合同的解释或履行发生争议，双方应协商解决，协商不成的，可采取以下方式处理：</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（一）向有管辖权的人民法院提起诉讼。</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申请仲裁。</w:t>
      </w:r>
    </w:p>
    <w:p>
      <w:pPr>
        <w:snapToGrid w:val="0"/>
        <w:spacing w:line="560" w:lineRule="exact"/>
        <w:ind w:left="0" w:leftChars="0" w:firstLine="0" w:firstLineChars="0"/>
        <w:jc w:val="center"/>
        <w:rPr>
          <w:rFonts w:hint="eastAsia" w:ascii="宋体" w:hAnsi="宋体" w:eastAsia="宋体" w:cs="宋体"/>
          <w:b/>
          <w:bCs/>
          <w:color w:val="auto"/>
          <w:sz w:val="32"/>
          <w:szCs w:val="32"/>
        </w:rPr>
      </w:pPr>
      <w:bookmarkStart w:id="25" w:name="_Toc9583"/>
      <w:bookmarkStart w:id="26" w:name="_Toc6366"/>
    </w:p>
    <w:p>
      <w:pPr>
        <w:snapToGrid w:val="0"/>
        <w:spacing w:line="560" w:lineRule="exact"/>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第九章  附 则</w:t>
      </w:r>
      <w:bookmarkEnd w:id="25"/>
      <w:bookmarkEnd w:id="26"/>
    </w:p>
    <w:p>
      <w:pPr>
        <w:snapToGrid w:val="0"/>
        <w:spacing w:line="560" w:lineRule="exact"/>
        <w:ind w:firstLine="640" w:firstLineChars="200"/>
        <w:rPr>
          <w:rFonts w:ascii="黑体" w:hAnsi="黑体" w:eastAsia="黑体" w:cs="黑体"/>
          <w:color w:val="auto"/>
          <w:sz w:val="32"/>
          <w:szCs w:val="32"/>
        </w:rPr>
      </w:pPr>
      <w:bookmarkStart w:id="27" w:name="_Toc8423"/>
      <w:bookmarkStart w:id="28" w:name="_Toc31649"/>
      <w:r>
        <w:rPr>
          <w:rFonts w:hint="eastAsia" w:ascii="黑体" w:hAnsi="黑体" w:eastAsia="黑体" w:cs="黑体"/>
          <w:color w:val="auto"/>
          <w:sz w:val="32"/>
          <w:szCs w:val="32"/>
        </w:rPr>
        <w:t>第三十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 其他约定</w:t>
      </w:r>
      <w:bookmarkEnd w:id="27"/>
      <w:bookmarkEnd w:id="28"/>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（一）本合同未尽事宜，国家有相关规定的，依规定解决；没有规定的，由双方协商解决，并签订书面协议。</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（二）对本合同的任何修改、补充或变更应经双方书面确认,并作为本合同附件，与本合同具有同等的法律效力。</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（三）本合同正文连同附件共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页，一式</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份。本合同副本报区住房和建设部门备案，甲、乙方、</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各执</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份，具有同等法律效力。</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（四）本合同经双方法定代表人或授权代表人签字并签章后生效。</w:t>
      </w:r>
    </w:p>
    <w:p>
      <w:pPr>
        <w:snapToGrid w:val="0"/>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（正文完）</w:t>
      </w:r>
    </w:p>
    <w:p>
      <w:pPr>
        <w:snapToGrid w:val="0"/>
        <w:spacing w:line="560" w:lineRule="exact"/>
        <w:rPr>
          <w:rFonts w:ascii="黑体" w:hAnsi="黑体" w:eastAsia="黑体" w:cs="黑体"/>
          <w:color w:val="auto"/>
          <w:sz w:val="32"/>
          <w:szCs w:val="32"/>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本合同附件包含如下：</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.工程竣工验收报告</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.规划平面图</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.物业构成明细</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.物业共用部位、</w:t>
      </w:r>
      <w:r>
        <w:rPr>
          <w:rFonts w:hint="eastAsia" w:ascii="仿宋_GB2312" w:hAnsi="仿宋_GB2312" w:eastAsia="仿宋_GB2312" w:cs="仿宋_GB2312"/>
          <w:color w:val="auto"/>
          <w:sz w:val="32"/>
          <w:szCs w:val="32"/>
          <w:lang w:eastAsia="zh-CN"/>
        </w:rPr>
        <w:t>共用设施设备</w:t>
      </w:r>
      <w:r>
        <w:rPr>
          <w:rFonts w:hint="eastAsia" w:ascii="仿宋_GB2312" w:hAnsi="仿宋_GB2312" w:eastAsia="仿宋_GB2312" w:cs="仿宋_GB2312"/>
          <w:color w:val="auto"/>
          <w:sz w:val="32"/>
          <w:szCs w:val="32"/>
        </w:rPr>
        <w:t>明细</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标准</w:t>
      </w:r>
    </w:p>
    <w:p>
      <w:pPr>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.车位（库）</w:t>
      </w:r>
      <w:r>
        <w:rPr>
          <w:rFonts w:hint="eastAsia" w:ascii="仿宋_GB2312" w:hAnsi="仿宋_GB2312" w:eastAsia="仿宋_GB2312" w:cs="仿宋_GB2312"/>
          <w:color w:val="auto"/>
          <w:sz w:val="32"/>
          <w:szCs w:val="32"/>
          <w:lang w:eastAsia="zh-CN"/>
        </w:rPr>
        <w:t>物业服务</w:t>
      </w:r>
      <w:r>
        <w:rPr>
          <w:rFonts w:hint="eastAsia" w:ascii="仿宋_GB2312" w:hAnsi="仿宋_GB2312" w:eastAsia="仿宋_GB2312" w:cs="仿宋_GB2312"/>
          <w:color w:val="auto"/>
          <w:sz w:val="32"/>
          <w:szCs w:val="32"/>
        </w:rPr>
        <w:t>及相关费用协议</w:t>
      </w: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jc w:val="left"/>
        <w:rPr>
          <w:rFonts w:ascii="仿宋_GB2312" w:hAnsi="仿宋_GB2312" w:eastAsia="仿宋_GB2312" w:cs="仿宋_GB2312"/>
          <w:b/>
          <w:color w:val="auto"/>
          <w:sz w:val="32"/>
          <w:szCs w:val="32"/>
        </w:rPr>
      </w:pPr>
      <w:r>
        <w:rPr>
          <w:rFonts w:hint="eastAsia" w:ascii="仿宋" w:hAnsi="仿宋" w:eastAsia="仿宋" w:cs="仿宋"/>
          <w:color w:val="auto"/>
          <w:sz w:val="32"/>
          <w:szCs w:val="32"/>
        </w:rPr>
        <w:br w:type="page"/>
      </w:r>
      <w:r>
        <w:rPr>
          <w:rFonts w:hint="eastAsia" w:ascii="仿宋_GB2312" w:hAnsi="仿宋_GB2312" w:eastAsia="仿宋_GB2312" w:cs="仿宋_GB2312"/>
          <w:color w:val="auto"/>
          <w:sz w:val="32"/>
          <w:szCs w:val="32"/>
        </w:rPr>
        <w:t>（本页无正文，系深圳市</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街道</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物业管理区域前期物业服务合同签字页）</w:t>
      </w:r>
    </w:p>
    <w:p>
      <w:pPr>
        <w:snapToGrid w:val="0"/>
        <w:spacing w:line="560" w:lineRule="exact"/>
        <w:rPr>
          <w:rFonts w:ascii="仿宋_GB2312" w:hAnsi="仿宋_GB2312" w:eastAsia="仿宋_GB2312" w:cs="仿宋_GB2312"/>
          <w:color w:val="auto"/>
          <w:sz w:val="32"/>
          <w:szCs w:val="32"/>
        </w:rPr>
      </w:pPr>
    </w:p>
    <w:p>
      <w:pPr>
        <w:snapToGrid w:val="0"/>
        <w:spacing w:before="316" w:beforeLines="100" w:after="316" w:afterLines="100"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rPr>
        <w:t>甲方</w:t>
      </w:r>
      <w:r>
        <w:rPr>
          <w:rFonts w:hint="eastAsia" w:ascii="仿宋_GB2312" w:hAnsi="仿宋_GB2312" w:eastAsia="仿宋_GB2312" w:cs="仿宋_GB2312"/>
          <w:b/>
          <w:color w:val="auto"/>
          <w:sz w:val="32"/>
          <w:szCs w:val="32"/>
          <w:lang w:eastAsia="zh-CN"/>
        </w:rPr>
        <w:t>（盖章）</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pPr>
        <w:snapToGrid w:val="0"/>
        <w:spacing w:before="316" w:beforeLines="100" w:after="316" w:afterLines="100" w:line="56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法定代表人（签名）：</w:t>
      </w:r>
    </w:p>
    <w:p>
      <w:pPr>
        <w:snapToGrid w:val="0"/>
        <w:spacing w:before="316" w:beforeLines="100" w:after="316" w:afterLines="100"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委托代理人（签名）：</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snapToGrid w:val="0"/>
        <w:spacing w:before="316" w:beforeLines="100" w:after="316" w:afterLines="100"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p>
    <w:p>
      <w:pPr>
        <w:snapToGrid w:val="0"/>
        <w:spacing w:before="316" w:beforeLines="100" w:after="316" w:afterLines="100" w:line="56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lang w:eastAsia="zh-CN"/>
        </w:rPr>
        <w:t>乙方（盖章）</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pPr>
        <w:snapToGrid w:val="0"/>
        <w:spacing w:before="316" w:beforeLines="100" w:after="316" w:afterLines="100" w:line="56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法定代表人（签名）：</w:t>
      </w:r>
    </w:p>
    <w:p>
      <w:pPr>
        <w:snapToGrid w:val="0"/>
        <w:spacing w:before="316" w:beforeLines="100" w:after="316" w:afterLines="100" w:line="560" w:lineRule="exac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2"/>
          <w:szCs w:val="32"/>
          <w:lang w:eastAsia="zh-CN"/>
        </w:rPr>
        <w:t>委托代理人（签名）：</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 w:hAnsi="仿宋" w:eastAsia="仿宋" w:cs="仿宋"/>
          <w:color w:val="auto"/>
          <w:sz w:val="32"/>
          <w:szCs w:val="32"/>
        </w:rPr>
        <w:br w:type="page"/>
      </w:r>
      <w:r>
        <w:rPr>
          <w:rFonts w:hint="eastAsia" w:ascii="仿宋_GB2312" w:hAnsi="仿宋_GB2312" w:eastAsia="仿宋_GB2312" w:cs="仿宋_GB2312"/>
          <w:color w:val="auto"/>
          <w:sz w:val="30"/>
          <w:szCs w:val="30"/>
        </w:rPr>
        <w:t>附件1</w:t>
      </w:r>
      <w:r>
        <w:rPr>
          <w:rFonts w:hint="eastAsia" w:ascii="仿宋_GB2312" w:hAnsi="仿宋_GB2312" w:eastAsia="仿宋_GB2312" w:cs="仿宋_GB2312"/>
          <w:color w:val="auto"/>
          <w:sz w:val="30"/>
          <w:szCs w:val="30"/>
          <w:lang w:eastAsia="zh-CN"/>
        </w:rPr>
        <w:t>：</w:t>
      </w:r>
    </w:p>
    <w:p>
      <w:pPr>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工程竣工验收报告</w:t>
      </w:r>
    </w:p>
    <w:p>
      <w:pPr>
        <w:spacing w:line="560" w:lineRule="exact"/>
        <w:ind w:firstLine="4160" w:firstLineChars="1300"/>
        <w:rPr>
          <w:rFonts w:ascii="仿宋" w:hAnsi="仿宋" w:eastAsia="仿宋" w:cs="仿宋"/>
          <w:color w:val="auto"/>
          <w:sz w:val="32"/>
          <w:szCs w:val="32"/>
        </w:rPr>
      </w:pPr>
    </w:p>
    <w:p>
      <w:pPr>
        <w:spacing w:line="560" w:lineRule="exact"/>
        <w:ind w:firstLine="4160" w:firstLineChars="1300"/>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pacing w:line="560" w:lineRule="exac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附件</w:t>
      </w:r>
      <w:r>
        <w:rPr>
          <w:rFonts w:ascii="仿宋_GB2312" w:hAnsi="仿宋_GB2312" w:eastAsia="仿宋_GB2312" w:cs="仿宋_GB2312"/>
          <w:color w:val="auto"/>
          <w:sz w:val="30"/>
          <w:szCs w:val="30"/>
        </w:rPr>
        <w:t>2</w:t>
      </w:r>
      <w:r>
        <w:rPr>
          <w:rFonts w:hint="eastAsia" w:ascii="仿宋_GB2312" w:hAnsi="仿宋_GB2312" w:eastAsia="仿宋_GB2312" w:cs="仿宋_GB2312"/>
          <w:color w:val="auto"/>
          <w:sz w:val="30"/>
          <w:szCs w:val="30"/>
          <w:lang w:eastAsia="zh-CN"/>
        </w:rPr>
        <w:t>：</w:t>
      </w:r>
    </w:p>
    <w:p>
      <w:pPr>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规划平面图</w:t>
      </w:r>
    </w:p>
    <w:p>
      <w:pPr>
        <w:snapToGrid w:val="0"/>
        <w:spacing w:line="560" w:lineRule="exact"/>
        <w:rPr>
          <w:rFonts w:ascii="仿宋" w:hAnsi="仿宋" w:eastAsia="仿宋" w:cs="仿宋"/>
          <w:color w:val="auto"/>
          <w:sz w:val="32"/>
          <w:szCs w:val="32"/>
        </w:rPr>
      </w:pPr>
    </w:p>
    <w:p>
      <w:pPr>
        <w:snapToGrid w:val="0"/>
        <w:spacing w:line="560" w:lineRule="exact"/>
        <w:rPr>
          <w:rFonts w:ascii="仿宋" w:hAnsi="仿宋" w:eastAsia="仿宋" w:cs="仿宋"/>
          <w:color w:val="auto"/>
          <w:sz w:val="32"/>
          <w:szCs w:val="32"/>
        </w:rPr>
      </w:pPr>
    </w:p>
    <w:p>
      <w:pPr>
        <w:spacing w:line="560" w:lineRule="exact"/>
        <w:rPr>
          <w:rFonts w:hint="eastAsia" w:ascii="仿宋_GB2312" w:hAnsi="仿宋_GB2312" w:eastAsia="仿宋_GB2312" w:cs="仿宋_GB2312"/>
          <w:color w:val="auto"/>
          <w:sz w:val="30"/>
          <w:szCs w:val="30"/>
          <w:lang w:eastAsia="zh-CN"/>
        </w:rPr>
      </w:pPr>
      <w:r>
        <w:rPr>
          <w:rFonts w:hint="eastAsia" w:ascii="仿宋" w:hAnsi="仿宋" w:eastAsia="仿宋" w:cs="仿宋"/>
          <w:color w:val="auto"/>
          <w:sz w:val="32"/>
          <w:szCs w:val="32"/>
        </w:rPr>
        <w:br w:type="page"/>
      </w:r>
      <w:r>
        <w:rPr>
          <w:rFonts w:hint="eastAsia" w:ascii="仿宋_GB2312" w:hAnsi="仿宋_GB2312" w:eastAsia="仿宋_GB2312" w:cs="仿宋_GB2312"/>
          <w:color w:val="auto"/>
          <w:sz w:val="30"/>
          <w:szCs w:val="30"/>
        </w:rPr>
        <w:t>附件</w:t>
      </w:r>
      <w:r>
        <w:rPr>
          <w:rFonts w:ascii="仿宋_GB2312" w:hAnsi="仿宋_GB2312" w:eastAsia="仿宋_GB2312" w:cs="仿宋_GB2312"/>
          <w:color w:val="auto"/>
          <w:sz w:val="30"/>
          <w:szCs w:val="30"/>
        </w:rPr>
        <w:t>3</w:t>
      </w:r>
      <w:r>
        <w:rPr>
          <w:rFonts w:hint="eastAsia" w:ascii="仿宋_GB2312" w:hAnsi="仿宋_GB2312" w:eastAsia="仿宋_GB2312" w:cs="仿宋_GB2312"/>
          <w:color w:val="auto"/>
          <w:sz w:val="30"/>
          <w:szCs w:val="30"/>
          <w:lang w:eastAsia="zh-CN"/>
        </w:rPr>
        <w:t>：</w:t>
      </w:r>
    </w:p>
    <w:p>
      <w:pPr>
        <w:spacing w:after="156" w:afterLines="50" w:line="560" w:lineRule="exact"/>
        <w:jc w:val="center"/>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物业构成明细</w:t>
      </w:r>
    </w:p>
    <w:tbl>
      <w:tblPr>
        <w:tblStyle w:val="9"/>
        <w:tblW w:w="8204" w:type="dxa"/>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2036"/>
        <w:gridCol w:w="2161"/>
        <w:gridCol w:w="20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48"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类  型</w:t>
            </w:r>
          </w:p>
        </w:tc>
        <w:tc>
          <w:tcPr>
            <w:tcW w:w="2036"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幢  数</w:t>
            </w:r>
          </w:p>
        </w:tc>
        <w:tc>
          <w:tcPr>
            <w:tcW w:w="216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套（单元）数</w:t>
            </w:r>
          </w:p>
        </w:tc>
        <w:tc>
          <w:tcPr>
            <w:tcW w:w="20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建筑面积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高层住宅</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多层住宅</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2"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别  墅</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商业用房</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工业用房</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办公楼</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车  库</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会  所</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  校</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幼儿园</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用房</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u w:val="single"/>
              </w:rPr>
            </w:pP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  计</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trPr>
        <w:tc>
          <w:tcPr>
            <w:tcW w:w="1941" w:type="dxa"/>
            <w:vAlign w:val="center"/>
          </w:tcPr>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  注</w:t>
            </w:r>
          </w:p>
        </w:tc>
        <w:tc>
          <w:tcPr>
            <w:tcW w:w="2036" w:type="dxa"/>
            <w:vAlign w:val="center"/>
          </w:tcPr>
          <w:p>
            <w:pPr>
              <w:spacing w:line="560" w:lineRule="exact"/>
              <w:jc w:val="center"/>
              <w:rPr>
                <w:rFonts w:ascii="仿宋_GB2312" w:hAnsi="仿宋_GB2312" w:eastAsia="仿宋_GB2312" w:cs="仿宋_GB2312"/>
                <w:color w:val="auto"/>
                <w:sz w:val="28"/>
                <w:szCs w:val="28"/>
              </w:rPr>
            </w:pPr>
          </w:p>
        </w:tc>
        <w:tc>
          <w:tcPr>
            <w:tcW w:w="2161" w:type="dxa"/>
            <w:vAlign w:val="center"/>
          </w:tcPr>
          <w:p>
            <w:pPr>
              <w:spacing w:line="560" w:lineRule="exact"/>
              <w:jc w:val="center"/>
              <w:rPr>
                <w:rFonts w:ascii="仿宋_GB2312" w:hAnsi="仿宋_GB2312" w:eastAsia="仿宋_GB2312" w:cs="仿宋_GB2312"/>
                <w:color w:val="auto"/>
                <w:sz w:val="28"/>
                <w:szCs w:val="28"/>
              </w:rPr>
            </w:pPr>
          </w:p>
        </w:tc>
        <w:tc>
          <w:tcPr>
            <w:tcW w:w="2066" w:type="dxa"/>
            <w:vAlign w:val="center"/>
          </w:tcPr>
          <w:p>
            <w:pPr>
              <w:spacing w:line="560" w:lineRule="exact"/>
              <w:jc w:val="center"/>
              <w:rPr>
                <w:rFonts w:ascii="仿宋_GB2312" w:hAnsi="仿宋_GB2312" w:eastAsia="仿宋_GB2312" w:cs="仿宋_GB2312"/>
                <w:color w:val="auto"/>
                <w:sz w:val="28"/>
                <w:szCs w:val="28"/>
              </w:rPr>
            </w:pPr>
          </w:p>
        </w:tc>
      </w:tr>
    </w:tbl>
    <w:p>
      <w:pPr>
        <w:snapToGrid w:val="0"/>
        <w:spacing w:line="560" w:lineRule="exact"/>
        <w:rPr>
          <w:rFonts w:hint="eastAsia" w:ascii="仿宋_GB2312" w:hAnsi="仿宋_GB2312" w:eastAsia="仿宋_GB2312" w:cs="仿宋_GB2312"/>
          <w:color w:val="auto"/>
          <w:sz w:val="30"/>
          <w:szCs w:val="30"/>
          <w:lang w:eastAsia="zh-CN"/>
        </w:rPr>
      </w:pPr>
      <w:r>
        <w:rPr>
          <w:rFonts w:hint="eastAsia" w:ascii="仿宋" w:hAnsi="仿宋" w:eastAsia="仿宋" w:cs="仿宋"/>
          <w:color w:val="auto"/>
          <w:sz w:val="32"/>
          <w:szCs w:val="32"/>
        </w:rPr>
        <w:br w:type="page"/>
      </w:r>
      <w:r>
        <w:rPr>
          <w:rFonts w:hint="eastAsia" w:ascii="仿宋_GB2312" w:hAnsi="仿宋_GB2312" w:eastAsia="仿宋_GB2312" w:cs="仿宋_GB2312"/>
          <w:color w:val="auto"/>
          <w:sz w:val="30"/>
          <w:szCs w:val="30"/>
        </w:rPr>
        <w:t>附件</w:t>
      </w:r>
      <w:r>
        <w:rPr>
          <w:rFonts w:ascii="仿宋_GB2312" w:hAnsi="仿宋_GB2312" w:eastAsia="仿宋_GB2312" w:cs="仿宋_GB2312"/>
          <w:color w:val="auto"/>
          <w:sz w:val="30"/>
          <w:szCs w:val="30"/>
        </w:rPr>
        <w:t>4</w:t>
      </w:r>
      <w:r>
        <w:rPr>
          <w:rFonts w:hint="eastAsia" w:ascii="仿宋_GB2312" w:hAnsi="仿宋_GB2312" w:eastAsia="仿宋_GB2312" w:cs="仿宋_GB2312"/>
          <w:color w:val="auto"/>
          <w:sz w:val="30"/>
          <w:szCs w:val="30"/>
          <w:lang w:eastAsia="zh-CN"/>
        </w:rPr>
        <w:t>：</w:t>
      </w:r>
    </w:p>
    <w:p>
      <w:pPr>
        <w:spacing w:after="156" w:afterLines="50"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物业</w:t>
      </w:r>
      <w:r>
        <w:rPr>
          <w:rFonts w:hint="eastAsia" w:ascii="黑体" w:hAnsi="黑体" w:eastAsia="黑体" w:cs="黑体"/>
          <w:color w:val="auto"/>
          <w:sz w:val="32"/>
          <w:szCs w:val="32"/>
          <w:lang w:eastAsia="zh-CN"/>
        </w:rPr>
        <w:t>共有部分</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共用设施设备</w:t>
      </w:r>
      <w:r>
        <w:rPr>
          <w:rFonts w:hint="eastAsia" w:ascii="黑体" w:hAnsi="黑体" w:eastAsia="黑体" w:cs="黑体"/>
          <w:color w:val="auto"/>
          <w:sz w:val="32"/>
          <w:szCs w:val="32"/>
        </w:rPr>
        <w:t>明细</w:t>
      </w:r>
    </w:p>
    <w:tbl>
      <w:tblPr>
        <w:tblStyle w:val="9"/>
        <w:tblW w:w="9429" w:type="dxa"/>
        <w:jc w:val="center"/>
        <w:tblInd w:w="0" w:type="dxa"/>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1552"/>
        <w:gridCol w:w="1016"/>
        <w:gridCol w:w="7"/>
        <w:gridCol w:w="1061"/>
        <w:gridCol w:w="1461"/>
        <w:gridCol w:w="576"/>
        <w:gridCol w:w="898"/>
        <w:gridCol w:w="938"/>
        <w:gridCol w:w="376"/>
        <w:gridCol w:w="82"/>
        <w:gridCol w:w="1462"/>
      </w:tblGrid>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物业管理区域内房屋建筑本体之外的</w:t>
            </w:r>
            <w:r>
              <w:rPr>
                <w:rFonts w:hint="eastAsia" w:ascii="仿宋_GB2312" w:hAnsi="仿宋_GB2312" w:eastAsia="仿宋_GB2312" w:cs="仿宋_GB2312"/>
                <w:color w:val="auto"/>
                <w:szCs w:val="21"/>
                <w:lang w:eastAsia="zh-CN"/>
              </w:rPr>
              <w:t>共用设施设备</w:t>
            </w:r>
            <w:r>
              <w:rPr>
                <w:rFonts w:hint="eastAsia" w:ascii="仿宋_GB2312" w:hAnsi="仿宋_GB2312" w:eastAsia="仿宋_GB2312" w:cs="仿宋_GB2312"/>
                <w:color w:val="auto"/>
                <w:szCs w:val="21"/>
              </w:rPr>
              <w:t xml:space="preserve">情况  </w:t>
            </w: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小区车辆出入口</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人行出入口</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道路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车行道</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绿化面积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园林建筑小品</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污水管长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污水检查井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雨水管长</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雨水检查井</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雨水进水井</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m</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化粪池</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座</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路灯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地灯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草坪灯</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其他照明设施</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个</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垃圾箱</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个</w:t>
            </w:r>
          </w:p>
        </w:tc>
        <w:tc>
          <w:tcPr>
            <w:tcW w:w="221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垃圾房建筑面积</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体育设施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儿童娱乐设施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休闲设施</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ind w:left="113" w:right="113"/>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房屋建筑本体</w:t>
            </w:r>
            <w:r>
              <w:rPr>
                <w:rFonts w:hint="eastAsia" w:ascii="仿宋_GB2312" w:hAnsi="仿宋_GB2312" w:eastAsia="仿宋_GB2312" w:cs="仿宋_GB2312"/>
                <w:color w:val="auto"/>
                <w:szCs w:val="21"/>
                <w:lang w:eastAsia="zh-CN"/>
              </w:rPr>
              <w:t>共有部分</w:t>
            </w:r>
            <w:r>
              <w:rPr>
                <w:rFonts w:hint="eastAsia" w:ascii="仿宋_GB2312" w:hAnsi="仿宋_GB2312" w:eastAsia="仿宋_GB2312" w:cs="仿宋_GB2312"/>
                <w:color w:val="auto"/>
                <w:szCs w:val="21"/>
              </w:rPr>
              <w:t>及本体</w:t>
            </w:r>
            <w:r>
              <w:rPr>
                <w:rFonts w:hint="eastAsia" w:ascii="仿宋_GB2312" w:hAnsi="仿宋_GB2312" w:eastAsia="仿宋_GB2312" w:cs="仿宋_GB2312"/>
                <w:color w:val="auto"/>
                <w:szCs w:val="21"/>
                <w:lang w:eastAsia="zh-CN"/>
              </w:rPr>
              <w:t>共用设施设备</w:t>
            </w:r>
          </w:p>
        </w:tc>
        <w:tc>
          <w:tcPr>
            <w:tcW w:w="102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电梯</w:t>
            </w:r>
          </w:p>
        </w:tc>
        <w:tc>
          <w:tcPr>
            <w:tcW w:w="10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功率</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10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配电房变压器</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数量</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台</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容量</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品牌型号</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启用时间</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千瓦</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1016"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发电机组</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功率</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c>
          <w:tcPr>
            <w:tcW w:w="18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品牌型号</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10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启用时间</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生活蓄水池</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消防水池</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消防水箱</w:t>
            </w:r>
          </w:p>
        </w:tc>
        <w:tc>
          <w:tcPr>
            <w:tcW w:w="1462" w:type="dxa"/>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生活水泵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消防水泵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排污水泵</w:t>
            </w:r>
          </w:p>
        </w:tc>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功率</w:t>
            </w:r>
          </w:p>
        </w:tc>
        <w:tc>
          <w:tcPr>
            <w:tcW w:w="147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c>
          <w:tcPr>
            <w:tcW w:w="139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启用时间</w:t>
            </w:r>
          </w:p>
        </w:tc>
        <w:tc>
          <w:tcPr>
            <w:tcW w:w="1462" w:type="dxa"/>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消防系统情况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智能化系统情况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其他设施设备情况</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right"/>
              <w:rPr>
                <w:rFonts w:ascii="仿宋_GB2312" w:hAnsi="仿宋_GB2312" w:eastAsia="仿宋_GB2312" w:cs="仿宋_GB2312"/>
                <w:color w:val="auto"/>
                <w:szCs w:val="21"/>
              </w:rPr>
            </w:pP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669"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业主委员会活动用房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ind w:right="420"/>
              <w:rPr>
                <w:rFonts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坐落位置</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物业服务办公用房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ind w:right="42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坐落位置</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w:t>
            </w:r>
          </w:p>
        </w:tc>
      </w:tr>
      <w:tr>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Ex>
        <w:trPr>
          <w:cantSplit/>
          <w:trHeight w:val="510" w:hRule="atLeast"/>
          <w:jc w:val="center"/>
        </w:trPr>
        <w:tc>
          <w:tcPr>
            <w:tcW w:w="1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color w:val="auto"/>
                <w:szCs w:val="21"/>
              </w:rPr>
            </w:pPr>
          </w:p>
        </w:tc>
        <w:tc>
          <w:tcPr>
            <w:tcW w:w="208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color w:val="auto"/>
                <w:szCs w:val="21"/>
              </w:rPr>
            </w:pPr>
            <w:r>
              <w:rPr>
                <w:rFonts w:hint="eastAsia" w:ascii="仿宋" w:hAnsi="仿宋" w:eastAsia="仿宋" w:cs="仿宋"/>
                <w:color w:val="auto"/>
                <w:szCs w:val="21"/>
              </w:rPr>
              <w:t>物业管理</w:t>
            </w:r>
            <w:r>
              <w:rPr>
                <w:rFonts w:hint="eastAsia" w:ascii="仿宋" w:hAnsi="仿宋" w:eastAsia="仿宋" w:cs="仿宋"/>
                <w:color w:val="auto"/>
                <w:szCs w:val="21"/>
                <w:lang w:eastAsia="zh-CN"/>
              </w:rPr>
              <w:t>设施设备用房</w:t>
            </w:r>
          </w:p>
        </w:tc>
        <w:tc>
          <w:tcPr>
            <w:tcW w:w="5793"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ind w:right="420"/>
              <w:rPr>
                <w:rFonts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坐落位置</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w:t>
            </w:r>
          </w:p>
        </w:tc>
      </w:tr>
    </w:tbl>
    <w:p>
      <w:pPr>
        <w:spacing w:line="560" w:lineRule="exact"/>
        <w:rPr>
          <w:rFonts w:ascii="仿宋" w:hAnsi="仿宋" w:eastAsia="仿宋" w:cs="仿宋"/>
          <w:color w:val="auto"/>
          <w:sz w:val="32"/>
          <w:szCs w:val="32"/>
        </w:rPr>
      </w:pPr>
    </w:p>
    <w:p>
      <w:pPr>
        <w:spacing w:line="560" w:lineRule="exact"/>
        <w:rPr>
          <w:rFonts w:ascii="仿宋" w:hAnsi="仿宋" w:eastAsia="仿宋" w:cs="仿宋"/>
          <w:color w:val="auto"/>
          <w:sz w:val="32"/>
          <w:szCs w:val="32"/>
        </w:rPr>
      </w:pPr>
    </w:p>
    <w:p>
      <w:pPr>
        <w:spacing w:line="560" w:lineRule="exact"/>
        <w:rPr>
          <w:rFonts w:ascii="仿宋" w:hAnsi="仿宋" w:eastAsia="仿宋" w:cs="仿宋"/>
          <w:color w:val="auto"/>
          <w:sz w:val="32"/>
          <w:szCs w:val="32"/>
        </w:rPr>
      </w:pPr>
    </w:p>
    <w:p>
      <w:pPr>
        <w:spacing w:line="560" w:lineRule="exact"/>
        <w:rPr>
          <w:rFonts w:hint="eastAsia" w:ascii="仿宋_GB2312" w:hAnsi="仿宋_GB2312" w:eastAsia="仿宋_GB2312" w:cs="仿宋_GB2312"/>
          <w:color w:val="auto"/>
          <w:sz w:val="30"/>
          <w:szCs w:val="30"/>
          <w:lang w:eastAsia="zh-CN"/>
        </w:rPr>
      </w:pPr>
      <w:r>
        <w:rPr>
          <w:rFonts w:hint="eastAsia" w:ascii="仿宋" w:hAnsi="仿宋" w:eastAsia="仿宋" w:cs="仿宋"/>
          <w:color w:val="auto"/>
          <w:sz w:val="32"/>
          <w:szCs w:val="32"/>
        </w:rPr>
        <w:br w:type="page"/>
      </w:r>
      <w:r>
        <w:rPr>
          <w:rFonts w:hint="eastAsia" w:ascii="仿宋_GB2312" w:hAnsi="仿宋_GB2312" w:eastAsia="仿宋_GB2312" w:cs="仿宋_GB2312"/>
          <w:color w:val="auto"/>
          <w:sz w:val="30"/>
          <w:szCs w:val="30"/>
        </w:rPr>
        <w:t>附件</w:t>
      </w:r>
      <w:r>
        <w:rPr>
          <w:rFonts w:ascii="仿宋_GB2312" w:hAnsi="仿宋_GB2312" w:eastAsia="仿宋_GB2312" w:cs="仿宋_GB2312"/>
          <w:color w:val="auto"/>
          <w:sz w:val="30"/>
          <w:szCs w:val="30"/>
        </w:rPr>
        <w:t>5</w:t>
      </w:r>
      <w:r>
        <w:rPr>
          <w:rFonts w:hint="eastAsia" w:ascii="仿宋_GB2312" w:hAnsi="仿宋_GB2312" w:eastAsia="仿宋_GB2312" w:cs="仿宋_GB2312"/>
          <w:color w:val="auto"/>
          <w:sz w:val="30"/>
          <w:szCs w:val="30"/>
          <w:lang w:eastAsia="zh-CN"/>
        </w:rPr>
        <w:t>：</w:t>
      </w:r>
    </w:p>
    <w:p>
      <w:pPr>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lang w:eastAsia="zh-CN"/>
        </w:rPr>
        <w:t>物业服务</w:t>
      </w:r>
      <w:r>
        <w:rPr>
          <w:rFonts w:hint="eastAsia" w:ascii="黑体" w:hAnsi="黑体" w:eastAsia="黑体" w:cs="黑体"/>
          <w:color w:val="auto"/>
          <w:sz w:val="32"/>
          <w:szCs w:val="32"/>
        </w:rPr>
        <w:t>标准</w:t>
      </w:r>
    </w:p>
    <w:p>
      <w:pPr>
        <w:spacing w:line="560" w:lineRule="exac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甲方可参照下列标准制定本物业管理区域的物业服务标准：</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《物业服务通用规范》（SZDB/Z 42-2011）</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《物业服务区域秩序维护规范》（SZDB/Z 170-2016）</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《物业服务人员管理规范》（SZDB/Z 171-2016）</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《物业绿化养护管理规范》（SZDB/Z 173-2016）</w:t>
      </w:r>
    </w:p>
    <w:p>
      <w:pPr>
        <w:spacing w:line="560" w:lineRule="exac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《住宅物业服务内容与质量规范》（</w:t>
      </w:r>
      <w:r>
        <w:rPr>
          <w:rFonts w:hint="eastAsia" w:ascii="仿宋" w:hAnsi="仿宋" w:eastAsia="仿宋" w:cs="仿宋"/>
          <w:color w:val="auto"/>
          <w:sz w:val="32"/>
          <w:szCs w:val="32"/>
          <w:lang w:val="en-US" w:eastAsia="zh-CN"/>
        </w:rPr>
        <w:t>SZDB/Z 203-2016</w:t>
      </w:r>
      <w:r>
        <w:rPr>
          <w:rFonts w:hint="eastAsia" w:ascii="仿宋" w:hAnsi="仿宋" w:eastAsia="仿宋" w:cs="仿宋"/>
          <w:color w:val="auto"/>
          <w:sz w:val="32"/>
          <w:szCs w:val="32"/>
          <w:lang w:eastAsia="zh-CN"/>
        </w:rPr>
        <w:t>）</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《物业管理基础术语》（SZDB/Z 287-2018）</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《物业服务行业安全管理检查评价规范》（SZDB/Z 307-2018）</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《绿色物业管理项目评价标准》（SJG 50-2018）</w:t>
      </w:r>
    </w:p>
    <w:p>
      <w:pPr>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《深圳市住宅物业服务收费指导标准》</w:t>
      </w:r>
    </w:p>
    <w:p>
      <w:pPr>
        <w:spacing w:line="560" w:lineRule="exact"/>
        <w:rPr>
          <w:rFonts w:ascii="仿宋" w:hAnsi="仿宋" w:eastAsia="仿宋" w:cs="仿宋"/>
          <w:color w:val="auto"/>
          <w:sz w:val="32"/>
          <w:szCs w:val="32"/>
        </w:rPr>
      </w:pPr>
    </w:p>
    <w:p>
      <w:pPr>
        <w:spacing w:line="560" w:lineRule="exact"/>
        <w:rPr>
          <w:rFonts w:ascii="仿宋" w:hAnsi="仿宋" w:eastAsia="仿宋" w:cs="仿宋"/>
          <w:color w:val="auto"/>
          <w:sz w:val="32"/>
          <w:szCs w:val="32"/>
        </w:rPr>
      </w:pPr>
    </w:p>
    <w:p>
      <w:pPr>
        <w:spacing w:line="560" w:lineRule="exact"/>
        <w:rPr>
          <w:rFonts w:ascii="仿宋" w:hAnsi="仿宋" w:eastAsia="仿宋" w:cs="仿宋"/>
          <w:color w:val="auto"/>
          <w:sz w:val="32"/>
          <w:szCs w:val="32"/>
        </w:rPr>
      </w:pPr>
    </w:p>
    <w:p>
      <w:pPr>
        <w:spacing w:line="560" w:lineRule="exact"/>
        <w:rPr>
          <w:rFonts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0"/>
          <w:szCs w:val="30"/>
          <w:lang w:eastAsia="zh-CN"/>
        </w:rPr>
      </w:pPr>
      <w:r>
        <w:rPr>
          <w:rFonts w:hint="eastAsia" w:ascii="仿宋" w:hAnsi="仿宋" w:eastAsia="仿宋" w:cs="仿宋"/>
          <w:color w:val="auto"/>
          <w:sz w:val="32"/>
          <w:szCs w:val="32"/>
        </w:rPr>
        <w:br w:type="page"/>
      </w:r>
      <w:r>
        <w:rPr>
          <w:rFonts w:hint="eastAsia" w:ascii="仿宋_GB2312" w:hAnsi="仿宋_GB2312" w:eastAsia="仿宋_GB2312" w:cs="仿宋_GB2312"/>
          <w:color w:val="auto"/>
          <w:sz w:val="30"/>
          <w:szCs w:val="30"/>
        </w:rPr>
        <w:t>附件</w:t>
      </w:r>
      <w:r>
        <w:rPr>
          <w:rFonts w:ascii="仿宋_GB2312" w:hAnsi="仿宋_GB2312" w:eastAsia="仿宋_GB2312" w:cs="仿宋_GB2312"/>
          <w:color w:val="auto"/>
          <w:sz w:val="30"/>
          <w:szCs w:val="30"/>
        </w:rPr>
        <w:t>6</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cs="黑体"/>
          <w:bCs/>
          <w:color w:val="auto"/>
          <w:sz w:val="32"/>
          <w:szCs w:val="32"/>
        </w:rPr>
      </w:pPr>
      <w:r>
        <w:rPr>
          <w:rFonts w:hint="eastAsia" w:ascii="黑体" w:hAnsi="黑体" w:eastAsia="黑体" w:cs="黑体"/>
          <w:bCs/>
          <w:color w:val="auto"/>
          <w:sz w:val="32"/>
          <w:szCs w:val="32"/>
          <w:lang w:eastAsia="zh-CN"/>
        </w:rPr>
        <w:t>停</w:t>
      </w:r>
      <w:r>
        <w:rPr>
          <w:rFonts w:hint="eastAsia" w:ascii="黑体" w:hAnsi="黑体" w:eastAsia="黑体" w:cs="黑体"/>
          <w:bCs/>
          <w:color w:val="auto"/>
          <w:sz w:val="32"/>
          <w:szCs w:val="32"/>
        </w:rPr>
        <w:t>车位（库）</w:t>
      </w:r>
      <w:r>
        <w:rPr>
          <w:rFonts w:hint="eastAsia" w:ascii="黑体" w:hAnsi="黑体" w:eastAsia="黑体" w:cs="黑体"/>
          <w:bCs/>
          <w:color w:val="auto"/>
          <w:sz w:val="32"/>
          <w:szCs w:val="32"/>
          <w:lang w:eastAsia="zh-CN"/>
        </w:rPr>
        <w:t>管理服务</w:t>
      </w:r>
      <w:r>
        <w:rPr>
          <w:rFonts w:hint="eastAsia" w:ascii="黑体" w:hAnsi="黑体" w:eastAsia="黑体" w:cs="黑体"/>
          <w:bCs/>
          <w:color w:val="auto"/>
          <w:sz w:val="32"/>
          <w:szCs w:val="32"/>
        </w:rPr>
        <w:t>及相关费用协议</w:t>
      </w:r>
    </w:p>
    <w:p>
      <w:pPr>
        <w:keepNext w:val="0"/>
        <w:keepLines w:val="0"/>
        <w:pageBreakBefore w:val="0"/>
        <w:widowControl w:val="0"/>
        <w:kinsoku/>
        <w:wordWrap/>
        <w:overflowPunct/>
        <w:topLinePunct w:val="0"/>
        <w:autoSpaceDE/>
        <w:autoSpaceDN/>
        <w:bidi w:val="0"/>
        <w:adjustRightInd/>
        <w:snapToGrid/>
        <w:spacing w:before="157" w:line="560" w:lineRule="exact"/>
        <w:ind w:firstLine="600" w:firstLineChars="200"/>
        <w:textAlignment w:val="auto"/>
        <w:outlineLvl w:val="9"/>
        <w:rPr>
          <w:rFonts w:ascii="Times New Roman" w:hAnsi="Times New Roman" w:eastAsia="仿宋_GB2312"/>
          <w:color w:val="auto"/>
          <w:sz w:val="30"/>
          <w:szCs w:val="30"/>
        </w:rPr>
      </w:pPr>
      <w:r>
        <w:rPr>
          <w:rFonts w:hint="eastAsia" w:ascii="Times New Roman" w:hAnsi="Times New Roman" w:eastAsia="仿宋_GB2312"/>
          <w:color w:val="auto"/>
          <w:sz w:val="30"/>
          <w:szCs w:val="30"/>
        </w:rPr>
        <w:t>甲方</w:t>
      </w:r>
      <w:r>
        <w:rPr>
          <w:rFonts w:ascii="Times New Roman" w:hAnsi="Times New Roman" w:eastAsia="仿宋_GB2312"/>
          <w:color w:val="auto"/>
          <w:sz w:val="30"/>
          <w:szCs w:val="30"/>
        </w:rPr>
        <w:t>（</w:t>
      </w:r>
      <w:r>
        <w:rPr>
          <w:rFonts w:hint="eastAsia" w:ascii="Times New Roman" w:hAnsi="Times New Roman" w:eastAsia="仿宋_GB2312"/>
          <w:color w:val="auto"/>
          <w:sz w:val="30"/>
          <w:szCs w:val="30"/>
          <w:lang w:eastAsia="zh-CN"/>
        </w:rPr>
        <w:t>建设单位</w:t>
      </w:r>
      <w:r>
        <w:rPr>
          <w:rFonts w:ascii="Times New Roman" w:hAnsi="Times New Roman" w:eastAsia="仿宋_GB2312"/>
          <w:color w:val="auto"/>
          <w:sz w:val="30"/>
          <w:szCs w:val="30"/>
        </w:rPr>
        <w:t>全称）：</w:t>
      </w:r>
      <w:r>
        <w:rPr>
          <w:rFonts w:ascii="Times New Roman" w:hAnsi="Times New Roman" w:eastAsia="仿宋_GB2312"/>
          <w:color w:val="auto"/>
          <w:sz w:val="30"/>
          <w:szCs w:val="30"/>
          <w:u w:val="single"/>
        </w:rPr>
        <w:t xml:space="preserve">                         </w:t>
      </w:r>
      <w:r>
        <w:rPr>
          <w:rFonts w:ascii="Times New Roman" w:hAnsi="Times New Roman" w:eastAsia="仿宋_GB2312"/>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imes New Roman" w:hAnsi="Times New Roman" w:eastAsia="仿宋_GB2312"/>
          <w:color w:val="auto"/>
          <w:sz w:val="30"/>
          <w:szCs w:val="30"/>
        </w:rPr>
      </w:pPr>
      <w:r>
        <w:rPr>
          <w:rFonts w:ascii="Times New Roman" w:hAnsi="Times New Roman" w:eastAsia="仿宋_GB2312"/>
          <w:color w:val="auto"/>
          <w:sz w:val="30"/>
          <w:szCs w:val="30"/>
        </w:rPr>
        <w:t>　　</w:t>
      </w:r>
      <w:r>
        <w:rPr>
          <w:rFonts w:hint="eastAsia" w:ascii="Times New Roman" w:hAnsi="Times New Roman" w:eastAsia="仿宋_GB2312"/>
          <w:color w:val="auto"/>
          <w:sz w:val="30"/>
          <w:szCs w:val="30"/>
        </w:rPr>
        <w:t>乙方</w:t>
      </w:r>
      <w:r>
        <w:rPr>
          <w:rFonts w:ascii="Times New Roman" w:hAnsi="Times New Roman" w:eastAsia="仿宋_GB2312"/>
          <w:color w:val="auto"/>
          <w:sz w:val="30"/>
          <w:szCs w:val="30"/>
        </w:rPr>
        <w:t>（全称）：</w:t>
      </w:r>
      <w:r>
        <w:rPr>
          <w:rFonts w:ascii="Times New Roman" w:hAnsi="Times New Roman" w:eastAsia="仿宋_GB2312"/>
          <w:color w:val="auto"/>
          <w:sz w:val="30"/>
          <w:szCs w:val="30"/>
          <w:u w:val="single"/>
        </w:rPr>
        <w:t xml:space="preserve">                                </w:t>
      </w:r>
      <w:r>
        <w:rPr>
          <w:rFonts w:ascii="Times New Roman" w:hAnsi="Times New Roman" w:eastAsia="仿宋_GB2312"/>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Times New Roman" w:hAnsi="Times New Roman" w:eastAsia="仿宋_GB2312"/>
          <w:color w:val="auto"/>
          <w:sz w:val="30"/>
          <w:szCs w:val="30"/>
        </w:rPr>
      </w:pPr>
      <w:r>
        <w:rPr>
          <w:rFonts w:ascii="Times New Roman" w:hAnsi="Times New Roman" w:eastAsia="仿宋_GB2312"/>
          <w:color w:val="auto"/>
          <w:sz w:val="30"/>
          <w:szCs w:val="30"/>
        </w:rPr>
        <w:t>根据</w:t>
      </w:r>
      <w:r>
        <w:rPr>
          <w:rFonts w:hint="eastAsia" w:ascii="仿宋_GB2312" w:hAnsi="仿宋_GB2312" w:eastAsia="仿宋_GB2312" w:cs="仿宋_GB2312"/>
          <w:color w:val="auto"/>
          <w:sz w:val="30"/>
          <w:szCs w:val="30"/>
        </w:rPr>
        <w:t>《深圳经济特区物业管理条例》《深圳市停车场规划建设和机动车停放管理条例》</w:t>
      </w:r>
      <w:r>
        <w:rPr>
          <w:rFonts w:ascii="Times New Roman" w:hAnsi="Times New Roman" w:eastAsia="仿宋_GB2312"/>
          <w:color w:val="auto"/>
          <w:sz w:val="30"/>
          <w:szCs w:val="30"/>
        </w:rPr>
        <w:t>，</w:t>
      </w:r>
      <w:r>
        <w:rPr>
          <w:rFonts w:hint="eastAsia" w:ascii="Times New Roman" w:hAnsi="Times New Roman" w:eastAsia="仿宋_GB2312"/>
          <w:color w:val="auto"/>
          <w:sz w:val="30"/>
          <w:szCs w:val="30"/>
          <w:lang w:eastAsia="zh-CN"/>
        </w:rPr>
        <w:t>双方</w:t>
      </w:r>
      <w:r>
        <w:rPr>
          <w:rFonts w:ascii="Times New Roman" w:hAnsi="Times New Roman" w:eastAsia="仿宋_GB2312"/>
          <w:color w:val="auto"/>
          <w:sz w:val="30"/>
          <w:szCs w:val="30"/>
        </w:rPr>
        <w:t>经协商一致就</w:t>
      </w:r>
      <w:r>
        <w:rPr>
          <w:rFonts w:hint="eastAsia" w:ascii="Times New Roman" w:hAnsi="Times New Roman" w:eastAsia="仿宋_GB2312"/>
          <w:color w:val="auto"/>
          <w:sz w:val="30"/>
          <w:szCs w:val="30"/>
          <w:u w:val="single"/>
        </w:rPr>
        <w:t xml:space="preserve">      </w:t>
      </w:r>
      <w:r>
        <w:rPr>
          <w:rFonts w:hint="eastAsia" w:ascii="Times New Roman" w:hAnsi="Times New Roman" w:eastAsia="仿宋_GB2312"/>
          <w:color w:val="auto"/>
          <w:sz w:val="30"/>
          <w:szCs w:val="30"/>
          <w:u w:val="single"/>
          <w:lang w:val="en-US" w:eastAsia="zh-CN"/>
        </w:rPr>
        <w:t xml:space="preserve">   </w:t>
      </w:r>
      <w:r>
        <w:rPr>
          <w:rFonts w:ascii="Times New Roman" w:hAnsi="Times New Roman" w:eastAsia="仿宋_GB2312"/>
          <w:color w:val="auto"/>
          <w:sz w:val="30"/>
          <w:szCs w:val="30"/>
          <w:u w:val="single"/>
        </w:rPr>
        <w:t xml:space="preserve"> </w:t>
      </w:r>
      <w:r>
        <w:rPr>
          <w:rFonts w:ascii="Times New Roman" w:hAnsi="Times New Roman" w:eastAsia="仿宋_GB2312"/>
          <w:color w:val="auto"/>
          <w:sz w:val="30"/>
          <w:szCs w:val="30"/>
        </w:rPr>
        <w:t>（</w:t>
      </w:r>
      <w:r>
        <w:rPr>
          <w:rFonts w:hint="eastAsia" w:ascii="Times New Roman" w:hAnsi="Times New Roman" w:eastAsia="仿宋_GB2312"/>
          <w:color w:val="auto"/>
          <w:sz w:val="30"/>
          <w:szCs w:val="30"/>
        </w:rPr>
        <w:t>物业</w:t>
      </w:r>
      <w:r>
        <w:rPr>
          <w:rFonts w:hint="eastAsia" w:ascii="Times New Roman" w:hAnsi="Times New Roman" w:eastAsia="仿宋_GB2312"/>
          <w:color w:val="auto"/>
          <w:sz w:val="30"/>
          <w:szCs w:val="30"/>
          <w:lang w:eastAsia="zh-CN"/>
        </w:rPr>
        <w:t>管理区域名称</w:t>
      </w:r>
      <w:r>
        <w:rPr>
          <w:rFonts w:ascii="Times New Roman" w:hAnsi="Times New Roman" w:eastAsia="仿宋_GB2312"/>
          <w:color w:val="auto"/>
          <w:sz w:val="30"/>
          <w:szCs w:val="30"/>
        </w:rPr>
        <w:t>）签订</w:t>
      </w:r>
      <w:r>
        <w:rPr>
          <w:rFonts w:hint="eastAsia" w:ascii="Times New Roman" w:hAnsi="Times New Roman" w:eastAsia="仿宋_GB2312"/>
          <w:color w:val="auto"/>
          <w:sz w:val="30"/>
          <w:szCs w:val="30"/>
          <w:lang w:eastAsia="zh-CN"/>
        </w:rPr>
        <w:t>停</w:t>
      </w:r>
      <w:r>
        <w:rPr>
          <w:rFonts w:hint="eastAsia" w:ascii="Times New Roman" w:hAnsi="Times New Roman" w:eastAsia="仿宋_GB2312"/>
          <w:color w:val="auto"/>
          <w:sz w:val="30"/>
          <w:szCs w:val="30"/>
        </w:rPr>
        <w:t>车位（库）</w:t>
      </w:r>
      <w:r>
        <w:rPr>
          <w:rFonts w:hint="eastAsia" w:ascii="仿宋_GB2312" w:hAnsi="仿宋_GB2312" w:eastAsia="仿宋_GB2312" w:cs="仿宋_GB2312"/>
          <w:color w:val="auto"/>
          <w:sz w:val="30"/>
          <w:szCs w:val="30"/>
        </w:rPr>
        <w:t>（以下简称“</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w:t>
      </w:r>
      <w:r>
        <w:rPr>
          <w:rFonts w:hint="eastAsia" w:ascii="Times New Roman" w:hAnsi="Times New Roman" w:eastAsia="仿宋_GB2312"/>
          <w:color w:val="auto"/>
          <w:sz w:val="30"/>
          <w:szCs w:val="30"/>
          <w:lang w:eastAsia="zh-CN"/>
        </w:rPr>
        <w:t>管理服务</w:t>
      </w:r>
      <w:r>
        <w:rPr>
          <w:rFonts w:hint="eastAsia" w:ascii="Times New Roman" w:hAnsi="Times New Roman" w:eastAsia="仿宋_GB2312"/>
          <w:color w:val="auto"/>
          <w:sz w:val="30"/>
          <w:szCs w:val="30"/>
        </w:rPr>
        <w:t>及相关费用协议</w:t>
      </w:r>
      <w:r>
        <w:rPr>
          <w:rFonts w:ascii="Times New Roman" w:hAnsi="Times New Roman" w:eastAsia="仿宋_GB2312"/>
          <w:color w:val="auto"/>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黑体" w:hAnsi="黑体" w:eastAsia="黑体" w:cs="黑体"/>
          <w:color w:val="auto"/>
          <w:sz w:val="30"/>
          <w:szCs w:val="30"/>
        </w:rPr>
      </w:pPr>
      <w:r>
        <w:rPr>
          <w:rFonts w:hint="eastAsia" w:ascii="黑体" w:hAnsi="黑体" w:eastAsia="黑体" w:cs="黑体"/>
          <w:color w:val="auto"/>
          <w:sz w:val="30"/>
          <w:szCs w:val="30"/>
        </w:rPr>
        <w:t>一、车位</w:t>
      </w:r>
      <w:r>
        <w:rPr>
          <w:rFonts w:hint="eastAsia" w:ascii="黑体" w:hAnsi="黑体" w:eastAsia="黑体" w:cs="黑体"/>
          <w:color w:val="auto"/>
          <w:sz w:val="30"/>
          <w:szCs w:val="30"/>
          <w:lang w:eastAsia="zh-CN"/>
        </w:rPr>
        <w:t>、车</w:t>
      </w:r>
      <w:r>
        <w:rPr>
          <w:rFonts w:hint="eastAsia" w:ascii="黑体" w:hAnsi="黑体" w:eastAsia="黑体" w:cs="黑体"/>
          <w:color w:val="auto"/>
          <w:sz w:val="30"/>
          <w:szCs w:val="30"/>
        </w:rPr>
        <w:t>库</w:t>
      </w:r>
      <w:r>
        <w:rPr>
          <w:rFonts w:hint="eastAsia" w:ascii="黑体" w:hAnsi="黑体" w:eastAsia="黑体" w:cs="黑体"/>
          <w:color w:val="auto"/>
          <w:sz w:val="30"/>
          <w:szCs w:val="30"/>
          <w:lang w:eastAsia="zh-CN"/>
        </w:rPr>
        <w:t>使用</w:t>
      </w:r>
      <w:r>
        <w:rPr>
          <w:rFonts w:hint="eastAsia" w:ascii="黑体" w:hAnsi="黑体" w:eastAsia="黑体" w:cs="黑体"/>
          <w:color w:val="auto"/>
          <w:sz w:val="30"/>
          <w:szCs w:val="30"/>
        </w:rPr>
        <w:t>及</w:t>
      </w:r>
      <w:r>
        <w:rPr>
          <w:rFonts w:hint="eastAsia" w:ascii="黑体" w:hAnsi="黑体" w:eastAsia="黑体" w:cs="黑体"/>
          <w:color w:val="auto"/>
          <w:sz w:val="30"/>
          <w:szCs w:val="30"/>
          <w:lang w:eastAsia="zh-CN"/>
        </w:rPr>
        <w:t>管理服务</w:t>
      </w:r>
      <w:r>
        <w:rPr>
          <w:rFonts w:hint="eastAsia" w:ascii="黑体" w:hAnsi="黑体" w:eastAsia="黑体" w:cs="黑体"/>
          <w:color w:val="auto"/>
          <w:sz w:val="30"/>
          <w:szCs w:val="30"/>
        </w:rPr>
        <w:t>原则</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（一）本物业管理区域内车位、车库交由乙方统一进行管理。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（二）任何单位和个人不得擅自改变经批准建成的</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的功能或挪作他用。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（三）本物业管理区域内</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按照《中华人民共和国物权法》《深圳经济特区物业管理条例》等法律规定优先满足本物业管理区域内业主使用。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（四）本物业管理区域内</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管理情况接受全体业主的监督。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（五）甲、乙双方及业主应严格遵守本物业管理区域内相关</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管理制度。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黑体" w:hAnsi="黑体" w:eastAsia="黑体" w:cs="黑体"/>
          <w:color w:val="auto"/>
          <w:sz w:val="30"/>
          <w:szCs w:val="30"/>
        </w:rPr>
      </w:pPr>
      <w:r>
        <w:rPr>
          <w:rFonts w:hint="eastAsia" w:ascii="黑体" w:hAnsi="黑体" w:eastAsia="黑体" w:cs="黑体"/>
          <w:color w:val="auto"/>
          <w:sz w:val="30"/>
          <w:szCs w:val="30"/>
        </w:rPr>
        <w:t>二、</w:t>
      </w:r>
      <w:r>
        <w:rPr>
          <w:rFonts w:hint="eastAsia" w:ascii="黑体" w:hAnsi="黑体" w:eastAsia="黑体" w:cs="黑体"/>
          <w:color w:val="auto"/>
          <w:sz w:val="30"/>
          <w:szCs w:val="30"/>
          <w:lang w:eastAsia="zh-CN"/>
        </w:rPr>
        <w:t>车位、车库</w:t>
      </w:r>
      <w:r>
        <w:rPr>
          <w:rFonts w:hint="eastAsia" w:ascii="黑体" w:hAnsi="黑体" w:eastAsia="黑体" w:cs="黑体"/>
          <w:color w:val="auto"/>
          <w:sz w:val="30"/>
          <w:szCs w:val="30"/>
        </w:rPr>
        <w:t>情况、费用标准及收益分配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（一）本物业管理区域内</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总数</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个，其中地</w:t>
      </w:r>
      <w:r>
        <w:rPr>
          <w:rFonts w:hint="eastAsia" w:ascii="仿宋_GB2312" w:hAnsi="仿宋_GB2312" w:eastAsia="仿宋_GB2312" w:cs="仿宋_GB2312"/>
          <w:color w:val="auto"/>
          <w:sz w:val="30"/>
          <w:szCs w:val="30"/>
          <w:lang w:eastAsia="zh-CN"/>
        </w:rPr>
        <w:t>上</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个，地下</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个。</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color w:val="auto"/>
          <w:sz w:val="30"/>
          <w:szCs w:val="30"/>
          <w:lang w:eastAsia="zh-CN"/>
        </w:rPr>
      </w:pPr>
      <w:bookmarkStart w:id="29" w:name="_GoBack"/>
      <w:r>
        <w:rPr>
          <w:rFonts w:hint="eastAsia" w:ascii="仿宋_GB2312" w:hAnsi="仿宋_GB2312" w:eastAsia="仿宋_GB2312" w:cs="仿宋_GB2312"/>
          <w:color w:val="auto"/>
          <w:sz w:val="30"/>
          <w:szCs w:val="30"/>
        </w:rPr>
        <w:t>（二）</w:t>
      </w:r>
      <w:r>
        <w:rPr>
          <w:rFonts w:hint="eastAsia" w:ascii="仿宋" w:hAnsi="仿宋" w:eastAsia="仿宋" w:cs="仿宋"/>
          <w:color w:val="auto"/>
          <w:sz w:val="30"/>
          <w:szCs w:val="30"/>
        </w:rPr>
        <w:t>业主按以下标准支付</w:t>
      </w:r>
      <w:r>
        <w:rPr>
          <w:rFonts w:hint="eastAsia" w:ascii="仿宋" w:hAnsi="仿宋" w:eastAsia="仿宋" w:cs="仿宋"/>
          <w:color w:val="auto"/>
          <w:sz w:val="30"/>
          <w:szCs w:val="30"/>
          <w:lang w:eastAsia="zh-CN"/>
        </w:rPr>
        <w:t>机动车停放服务费</w:t>
      </w:r>
    </w:p>
    <w:p>
      <w:pPr>
        <w:spacing w:line="56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本物业管理区域停车高峰期是指每日的下午</w:t>
      </w:r>
      <w:r>
        <w:rPr>
          <w:rFonts w:ascii="仿宋" w:hAnsi="仿宋" w:eastAsia="仿宋" w:cs="仿宋"/>
          <w:color w:val="auto"/>
          <w:sz w:val="30"/>
          <w:szCs w:val="30"/>
          <w:u w:val="single"/>
        </w:rPr>
        <w:t xml:space="preserve">  </w:t>
      </w:r>
      <w:r>
        <w:rPr>
          <w:rFonts w:hint="eastAsia" w:ascii="仿宋" w:hAnsi="仿宋" w:eastAsia="仿宋" w:cs="仿宋"/>
          <w:color w:val="auto"/>
          <w:sz w:val="30"/>
          <w:szCs w:val="30"/>
        </w:rPr>
        <w:t>点起至次日上午</w:t>
      </w:r>
      <w:r>
        <w:rPr>
          <w:rFonts w:ascii="仿宋" w:hAnsi="仿宋" w:eastAsia="仿宋" w:cs="仿宋"/>
          <w:color w:val="auto"/>
          <w:sz w:val="30"/>
          <w:szCs w:val="30"/>
          <w:u w:val="single"/>
        </w:rPr>
        <w:t xml:space="preserve">  </w:t>
      </w:r>
      <w:r>
        <w:rPr>
          <w:rFonts w:hint="eastAsia" w:ascii="仿宋" w:hAnsi="仿宋" w:eastAsia="仿宋" w:cs="仿宋"/>
          <w:color w:val="auto"/>
          <w:sz w:val="30"/>
          <w:szCs w:val="30"/>
        </w:rPr>
        <w:t>点前，停车平峰期是指每日的上午</w:t>
      </w:r>
      <w:r>
        <w:rPr>
          <w:rFonts w:ascii="仿宋" w:hAnsi="仿宋" w:eastAsia="仿宋" w:cs="仿宋"/>
          <w:color w:val="auto"/>
          <w:sz w:val="30"/>
          <w:szCs w:val="30"/>
          <w:u w:val="single"/>
        </w:rPr>
        <w:t xml:space="preserve">  </w:t>
      </w:r>
      <w:r>
        <w:rPr>
          <w:rFonts w:hint="eastAsia" w:ascii="仿宋" w:hAnsi="仿宋" w:eastAsia="仿宋" w:cs="仿宋"/>
          <w:color w:val="auto"/>
          <w:sz w:val="30"/>
          <w:szCs w:val="30"/>
        </w:rPr>
        <w:t>点起至下午</w:t>
      </w:r>
      <w:r>
        <w:rPr>
          <w:rFonts w:ascii="仿宋" w:hAnsi="仿宋" w:eastAsia="仿宋" w:cs="仿宋"/>
          <w:color w:val="auto"/>
          <w:sz w:val="30"/>
          <w:szCs w:val="30"/>
          <w:u w:val="single"/>
        </w:rPr>
        <w:t xml:space="preserve">  </w:t>
      </w:r>
      <w:r>
        <w:rPr>
          <w:rFonts w:hint="eastAsia" w:ascii="仿宋" w:hAnsi="仿宋" w:eastAsia="仿宋" w:cs="仿宋"/>
          <w:color w:val="auto"/>
          <w:sz w:val="30"/>
          <w:szCs w:val="30"/>
        </w:rPr>
        <w:t>点前。</w:t>
      </w:r>
    </w:p>
    <w:p>
      <w:pPr>
        <w:spacing w:line="560" w:lineRule="exact"/>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各类型停车用户的停车</w:t>
      </w:r>
      <w:r>
        <w:rPr>
          <w:rFonts w:hint="eastAsia" w:ascii="仿宋" w:hAnsi="仿宋" w:eastAsia="仿宋" w:cs="仿宋"/>
          <w:color w:val="auto"/>
          <w:sz w:val="30"/>
          <w:szCs w:val="30"/>
          <w:lang w:eastAsia="zh-CN"/>
        </w:rPr>
        <w:t>服务</w:t>
      </w:r>
      <w:r>
        <w:rPr>
          <w:rFonts w:hint="eastAsia" w:ascii="仿宋" w:hAnsi="仿宋" w:eastAsia="仿宋" w:cs="仿宋"/>
          <w:color w:val="auto"/>
          <w:sz w:val="30"/>
          <w:szCs w:val="30"/>
        </w:rPr>
        <w:t>费标准</w:t>
      </w:r>
      <w:r>
        <w:rPr>
          <w:rFonts w:hint="eastAsia" w:ascii="仿宋" w:hAnsi="仿宋" w:eastAsia="仿宋" w:cs="仿宋"/>
          <w:color w:val="auto"/>
          <w:sz w:val="30"/>
          <w:szCs w:val="30"/>
          <w:lang w:eastAsia="zh-CN"/>
        </w:rPr>
        <w:t>如下</w:t>
      </w:r>
      <w:r>
        <w:rPr>
          <w:rFonts w:hint="eastAsia" w:ascii="仿宋" w:hAnsi="仿宋" w:eastAsia="仿宋" w:cs="仿宋"/>
          <w:color w:val="auto"/>
          <w:sz w:val="30"/>
          <w:szCs w:val="30"/>
        </w:rPr>
        <w:t>：</w:t>
      </w:r>
    </w:p>
    <w:p>
      <w:pPr>
        <w:spacing w:line="560" w:lineRule="exact"/>
        <w:ind w:firstLine="640"/>
        <w:rPr>
          <w:rFonts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固定车位月卡用户，人民币</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元/每月；</w:t>
      </w:r>
    </w:p>
    <w:p>
      <w:pPr>
        <w:spacing w:line="560" w:lineRule="exact"/>
        <w:ind w:firstLine="640"/>
        <w:rPr>
          <w:rFonts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非固定车位月卡用户，人民币</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元/每月；</w:t>
      </w:r>
    </w:p>
    <w:p>
      <w:pPr>
        <w:spacing w:line="560" w:lineRule="exact"/>
        <w:ind w:firstLine="64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经登记的内部临时车用户</w:t>
      </w:r>
      <w:r>
        <w:rPr>
          <w:rFonts w:hint="eastAsia" w:ascii="仿宋" w:hAnsi="仿宋" w:eastAsia="仿宋" w:cs="仿宋"/>
          <w:color w:val="auto"/>
          <w:sz w:val="30"/>
          <w:szCs w:val="30"/>
          <w:lang w:eastAsia="zh-CN"/>
        </w:rPr>
        <w:t>采用：</w:t>
      </w:r>
    </w:p>
    <w:p>
      <w:pPr>
        <w:spacing w:line="560" w:lineRule="exact"/>
        <w:ind w:firstLine="64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○按月收费，</w:t>
      </w:r>
      <w:r>
        <w:rPr>
          <w:rFonts w:hint="eastAsia" w:ascii="仿宋" w:hAnsi="仿宋" w:eastAsia="仿宋" w:cs="仿宋"/>
          <w:color w:val="auto"/>
          <w:sz w:val="30"/>
          <w:szCs w:val="30"/>
        </w:rPr>
        <w:t>人民币</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元/每月；</w:t>
      </w:r>
    </w:p>
    <w:p>
      <w:pPr>
        <w:spacing w:line="560" w:lineRule="exact"/>
        <w:ind w:firstLine="640"/>
        <w:rPr>
          <w:rFonts w:hint="eastAsia" w:ascii="仿宋" w:hAnsi="仿宋" w:eastAsia="仿宋" w:cs="仿宋"/>
          <w:color w:val="auto"/>
          <w:sz w:val="30"/>
          <w:szCs w:val="30"/>
          <w:u w:val="single"/>
        </w:rPr>
      </w:pPr>
      <w:r>
        <w:rPr>
          <w:rFonts w:hint="eastAsia" w:ascii="仿宋" w:hAnsi="仿宋" w:eastAsia="仿宋" w:cs="仿宋"/>
          <w:color w:val="auto"/>
          <w:sz w:val="30"/>
          <w:szCs w:val="30"/>
          <w:lang w:val="en-US" w:eastAsia="zh-CN"/>
        </w:rPr>
        <w:t>○按不同峰期收费，</w:t>
      </w:r>
      <w:r>
        <w:rPr>
          <w:rFonts w:hint="eastAsia" w:ascii="仿宋" w:hAnsi="仿宋" w:eastAsia="仿宋" w:cs="仿宋"/>
          <w:color w:val="auto"/>
          <w:sz w:val="30"/>
          <w:szCs w:val="30"/>
        </w:rPr>
        <w:t>高峰期停车收费方案为：</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；平峰期停车收费方案为：</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w:t>
      </w:r>
    </w:p>
    <w:p>
      <w:pPr>
        <w:spacing w:line="56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外部临时车用户</w:t>
      </w:r>
      <w:r>
        <w:rPr>
          <w:rFonts w:hint="eastAsia" w:ascii="仿宋" w:hAnsi="仿宋" w:eastAsia="仿宋" w:cs="仿宋"/>
          <w:color w:val="auto"/>
          <w:sz w:val="30"/>
          <w:szCs w:val="30"/>
          <w:lang w:eastAsia="zh-CN"/>
        </w:rPr>
        <w:t>采用：</w:t>
      </w:r>
    </w:p>
    <w:p>
      <w:pPr>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lang w:eastAsia="zh-CN"/>
        </w:rPr>
        <w:t>定额收费：</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w:t>
      </w:r>
    </w:p>
    <w:p>
      <w:pPr>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○按不同峰期收费，</w:t>
      </w:r>
      <w:r>
        <w:rPr>
          <w:rFonts w:hint="eastAsia" w:ascii="仿宋" w:hAnsi="仿宋" w:eastAsia="仿宋" w:cs="仿宋"/>
          <w:color w:val="auto"/>
          <w:sz w:val="30"/>
          <w:szCs w:val="30"/>
        </w:rPr>
        <w:t>高峰期停车收费方案为：</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；平峰期停车收费方案为：</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w:t>
      </w:r>
    </w:p>
    <w:p>
      <w:pPr>
        <w:spacing w:line="560" w:lineRule="exact"/>
        <w:ind w:firstLine="640"/>
        <w:rPr>
          <w:rFonts w:hint="eastAsia" w:ascii="仿宋" w:hAnsi="仿宋" w:eastAsia="仿宋" w:cs="仿宋"/>
          <w:color w:val="auto"/>
          <w:sz w:val="30"/>
          <w:szCs w:val="30"/>
        </w:rPr>
      </w:pPr>
      <w:r>
        <w:rPr>
          <w:rFonts w:hint="eastAsia" w:ascii="仿宋" w:hAnsi="仿宋" w:eastAsia="仿宋" w:cs="仿宋"/>
          <w:color w:val="auto"/>
          <w:sz w:val="30"/>
          <w:szCs w:val="30"/>
          <w:lang w:eastAsia="zh-CN"/>
        </w:rPr>
        <w:t>□阶梯收费，用于（</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固定车位月卡用户</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非固定车位月卡用户</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经登记的内部临时车用户</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lang w:eastAsia="zh-CN"/>
        </w:rPr>
        <w:t>同类停车用户第二辆比第一辆多</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none"/>
          <w:lang w:val="en-US" w:eastAsia="zh-CN"/>
        </w:rPr>
        <w:t>%；</w:t>
      </w:r>
      <w:r>
        <w:rPr>
          <w:rFonts w:hint="eastAsia" w:ascii="仿宋" w:hAnsi="仿宋" w:eastAsia="仿宋" w:cs="仿宋"/>
          <w:color w:val="auto"/>
          <w:sz w:val="30"/>
          <w:szCs w:val="30"/>
          <w:lang w:eastAsia="zh-CN"/>
        </w:rPr>
        <w:t>第三辆比第一辆多</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none"/>
          <w:lang w:val="en-US" w:eastAsia="zh-CN"/>
        </w:rPr>
        <w:t>%</w:t>
      </w:r>
      <w:r>
        <w:rPr>
          <w:rFonts w:hint="eastAsia" w:ascii="仿宋" w:hAnsi="仿宋" w:eastAsia="仿宋" w:cs="仿宋"/>
          <w:color w:val="auto"/>
          <w:sz w:val="30"/>
          <w:szCs w:val="30"/>
          <w:lang w:eastAsia="zh-CN"/>
        </w:rPr>
        <w:t>；第四辆比第一辆多</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none"/>
          <w:lang w:val="en-US" w:eastAsia="zh-CN"/>
        </w:rPr>
        <w:t>%；</w:t>
      </w:r>
      <w:r>
        <w:rPr>
          <w:rFonts w:ascii="仿宋" w:hAnsi="仿宋" w:eastAsia="仿宋" w:cs="仿宋"/>
          <w:color w:val="auto"/>
          <w:sz w:val="30"/>
          <w:szCs w:val="30"/>
        </w:rPr>
        <w:t xml:space="preserve">                                            </w:t>
      </w:r>
    </w:p>
    <w:p>
      <w:pPr>
        <w:spacing w:line="560" w:lineRule="exact"/>
        <w:rPr>
          <w:rFonts w:ascii="仿宋" w:hAnsi="仿宋" w:eastAsia="仿宋" w:cs="仿宋"/>
          <w:color w:val="auto"/>
          <w:sz w:val="30"/>
          <w:szCs w:val="30"/>
          <w:u w:val="single"/>
        </w:rPr>
      </w:pPr>
      <w:r>
        <w:rPr>
          <w:rFonts w:hint="eastAsia" w:ascii="仿宋" w:hAnsi="仿宋" w:eastAsia="仿宋" w:cs="仿宋"/>
          <w:color w:val="auto"/>
          <w:sz w:val="30"/>
          <w:szCs w:val="30"/>
        </w:rPr>
        <w:t xml:space="preserve">    </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连续六个月从未离开本物业管理区域停车场的外部临时车，自第七月起收费方案为：</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w:t>
      </w:r>
    </w:p>
    <w:p>
      <w:pPr>
        <w:spacing w:line="560" w:lineRule="exact"/>
        <w:ind w:left="0" w:leftChars="0"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大车及摩托车等机动车停放</w:t>
      </w:r>
      <w:r>
        <w:rPr>
          <w:rFonts w:hint="eastAsia" w:ascii="仿宋" w:hAnsi="仿宋" w:eastAsia="仿宋" w:cs="仿宋"/>
          <w:color w:val="auto"/>
          <w:sz w:val="30"/>
          <w:szCs w:val="30"/>
          <w:lang w:eastAsia="zh-CN"/>
        </w:rPr>
        <w:t>服务</w:t>
      </w:r>
      <w:r>
        <w:rPr>
          <w:rFonts w:hint="eastAsia" w:ascii="仿宋" w:hAnsi="仿宋" w:eastAsia="仿宋" w:cs="仿宋"/>
          <w:color w:val="auto"/>
          <w:sz w:val="30"/>
          <w:szCs w:val="30"/>
        </w:rPr>
        <w:t>收费标准见本物业管理区域公示的《深圳市停车场收费标价牌》。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（三）费用分配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1.规划内</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收益由甲、乙双方另行约定。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2.使用业主</w:t>
      </w:r>
      <w:r>
        <w:rPr>
          <w:rFonts w:hint="eastAsia" w:ascii="仿宋_GB2312" w:hAnsi="仿宋_GB2312" w:eastAsia="仿宋_GB2312" w:cs="仿宋_GB2312"/>
          <w:color w:val="auto"/>
          <w:sz w:val="30"/>
          <w:szCs w:val="30"/>
          <w:lang w:eastAsia="zh-CN"/>
        </w:rPr>
        <w:t>共有部分</w:t>
      </w:r>
      <w:r>
        <w:rPr>
          <w:rFonts w:hint="eastAsia" w:ascii="仿宋_GB2312" w:hAnsi="仿宋_GB2312" w:eastAsia="仿宋_GB2312" w:cs="仿宋_GB2312"/>
          <w:color w:val="auto"/>
          <w:sz w:val="30"/>
          <w:szCs w:val="30"/>
        </w:rPr>
        <w:t>的</w:t>
      </w:r>
      <w:r>
        <w:rPr>
          <w:rFonts w:hint="eastAsia" w:ascii="仿宋_GB2312" w:hAnsi="仿宋_GB2312" w:eastAsia="仿宋_GB2312" w:cs="仿宋_GB2312"/>
          <w:color w:val="auto"/>
          <w:sz w:val="30"/>
          <w:szCs w:val="30"/>
          <w:lang w:eastAsia="zh-CN"/>
        </w:rPr>
        <w:t>机动车停放服务</w:t>
      </w:r>
      <w:r>
        <w:rPr>
          <w:rFonts w:hint="eastAsia" w:ascii="仿宋_GB2312" w:hAnsi="仿宋_GB2312" w:eastAsia="仿宋_GB2312" w:cs="仿宋_GB2312"/>
          <w:color w:val="auto"/>
          <w:sz w:val="30"/>
          <w:szCs w:val="30"/>
        </w:rPr>
        <w:t>费统一纳入本物业管理区域业主共有资金进行管理。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乙方可从</w:t>
      </w:r>
      <w:r>
        <w:rPr>
          <w:rFonts w:hint="eastAsia" w:ascii="仿宋_GB2312" w:hAnsi="仿宋_GB2312" w:eastAsia="仿宋_GB2312" w:cs="仿宋_GB2312"/>
          <w:color w:val="auto"/>
          <w:sz w:val="30"/>
          <w:szCs w:val="30"/>
          <w:lang w:eastAsia="zh-CN"/>
        </w:rPr>
        <w:t>机动车停放服务</w:t>
      </w:r>
      <w:r>
        <w:rPr>
          <w:rFonts w:hint="eastAsia" w:ascii="仿宋_GB2312" w:hAnsi="仿宋_GB2312" w:eastAsia="仿宋_GB2312" w:cs="仿宋_GB2312"/>
          <w:color w:val="auto"/>
          <w:sz w:val="30"/>
          <w:szCs w:val="30"/>
        </w:rPr>
        <w:t>费中归属于业主共有资金部分按</w:t>
      </w:r>
      <w:r>
        <w:rPr>
          <w:rFonts w:hint="eastAsia" w:ascii="仿宋_GB2312" w:hAnsi="仿宋_GB2312" w:eastAsia="仿宋_GB2312" w:cs="仿宋_GB2312"/>
          <w:color w:val="auto"/>
          <w:sz w:val="30"/>
          <w:szCs w:val="30"/>
          <w:lang w:eastAsia="zh-CN"/>
        </w:rPr>
        <w:t>以下</w:t>
      </w:r>
      <w:r>
        <w:rPr>
          <w:rFonts w:hint="eastAsia" w:ascii="仿宋_GB2312" w:hAnsi="仿宋_GB2312" w:eastAsia="仿宋_GB2312" w:cs="仿宋_GB2312"/>
          <w:color w:val="auto"/>
          <w:sz w:val="30"/>
          <w:szCs w:val="30"/>
        </w:rPr>
        <w:t>为标准收取</w:t>
      </w:r>
      <w:r>
        <w:rPr>
          <w:rFonts w:hint="eastAsia" w:ascii="仿宋_GB2312" w:hAnsi="仿宋_GB2312" w:eastAsia="仿宋_GB2312" w:cs="仿宋_GB2312"/>
          <w:color w:val="auto"/>
          <w:sz w:val="30"/>
          <w:szCs w:val="30"/>
          <w:lang w:eastAsia="zh-CN"/>
        </w:rPr>
        <w:t>车位、车库管理服务</w:t>
      </w:r>
      <w:r>
        <w:rPr>
          <w:rFonts w:hint="eastAsia" w:ascii="仿宋_GB2312" w:hAnsi="仿宋_GB2312" w:eastAsia="仿宋_GB2312" w:cs="仿宋_GB2312"/>
          <w:color w:val="auto"/>
          <w:sz w:val="30"/>
          <w:szCs w:val="30"/>
        </w:rPr>
        <w:t>费</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□每月</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日前在预收的</w:t>
      </w:r>
      <w:r>
        <w:rPr>
          <w:rFonts w:hint="eastAsia" w:ascii="仿宋_GB2312" w:hAnsi="仿宋_GB2312" w:eastAsia="仿宋_GB2312" w:cs="仿宋_GB2312"/>
          <w:color w:val="auto"/>
          <w:sz w:val="30"/>
          <w:szCs w:val="30"/>
          <w:lang w:eastAsia="zh-CN"/>
        </w:rPr>
        <w:t>机动车停放服务</w:t>
      </w:r>
      <w:r>
        <w:rPr>
          <w:rFonts w:hint="eastAsia" w:ascii="仿宋_GB2312" w:hAnsi="仿宋_GB2312" w:eastAsia="仿宋_GB2312" w:cs="仿宋_GB2312"/>
          <w:color w:val="auto"/>
          <w:sz w:val="30"/>
          <w:szCs w:val="30"/>
        </w:rPr>
        <w:t>费中按</w:t>
      </w:r>
      <w:r>
        <w:rPr>
          <w:rFonts w:hint="eastAsia" w:ascii="仿宋_GB2312" w:hAnsi="仿宋_GB2312" w:eastAsia="仿宋_GB2312" w:cs="仿宋_GB2312"/>
          <w:color w:val="auto"/>
          <w:sz w:val="30"/>
          <w:szCs w:val="30"/>
          <w:u w:val="single"/>
        </w:rPr>
        <w:t>　　</w:t>
      </w:r>
      <w:r>
        <w:rPr>
          <w:rFonts w:hint="eastAsia" w:ascii="仿宋_GB2312" w:hAnsi="仿宋_GB2312" w:eastAsia="仿宋_GB2312" w:cs="仿宋_GB2312"/>
          <w:color w:val="auto"/>
          <w:sz w:val="30"/>
          <w:szCs w:val="30"/>
        </w:rPr>
        <w:t>%的比例提取</w:t>
      </w:r>
      <w:r>
        <w:rPr>
          <w:rFonts w:hint="eastAsia" w:ascii="仿宋_GB2312" w:hAnsi="仿宋_GB2312" w:eastAsia="仿宋_GB2312" w:cs="仿宋_GB2312"/>
          <w:color w:val="auto"/>
          <w:sz w:val="30"/>
          <w:szCs w:val="30"/>
          <w:lang w:eastAsia="zh-CN"/>
        </w:rPr>
        <w:t>车位、车库管理服务</w:t>
      </w:r>
      <w:r>
        <w:rPr>
          <w:rFonts w:hint="eastAsia" w:ascii="仿宋_GB2312" w:hAnsi="仿宋_GB2312" w:eastAsia="仿宋_GB2312" w:cs="仿宋_GB2312"/>
          <w:color w:val="auto"/>
          <w:sz w:val="30"/>
          <w:szCs w:val="30"/>
        </w:rPr>
        <w:t>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□每月</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日前在预收的</w:t>
      </w:r>
      <w:r>
        <w:rPr>
          <w:rFonts w:hint="eastAsia" w:ascii="仿宋_GB2312" w:hAnsi="仿宋_GB2312" w:eastAsia="仿宋_GB2312" w:cs="仿宋_GB2312"/>
          <w:color w:val="auto"/>
          <w:sz w:val="30"/>
          <w:szCs w:val="30"/>
          <w:lang w:eastAsia="zh-CN"/>
        </w:rPr>
        <w:t>机动车停放服务费</w:t>
      </w:r>
      <w:r>
        <w:rPr>
          <w:rFonts w:hint="eastAsia" w:ascii="仿宋_GB2312" w:hAnsi="仿宋_GB2312" w:eastAsia="仿宋_GB2312" w:cs="仿宋_GB2312"/>
          <w:color w:val="auto"/>
          <w:sz w:val="30"/>
          <w:szCs w:val="30"/>
        </w:rPr>
        <w:t>中提取</w:t>
      </w:r>
      <w:r>
        <w:rPr>
          <w:rFonts w:hint="eastAsia" w:ascii="仿宋_GB2312" w:hAnsi="仿宋_GB2312" w:eastAsia="仿宋_GB2312" w:cs="仿宋_GB2312"/>
          <w:color w:val="auto"/>
          <w:sz w:val="30"/>
          <w:szCs w:val="30"/>
          <w:u w:val="single"/>
        </w:rPr>
        <w:t>　　</w:t>
      </w:r>
      <w:r>
        <w:rPr>
          <w:rFonts w:hint="eastAsia" w:ascii="仿宋_GB2312" w:hAnsi="仿宋_GB2312" w:eastAsia="仿宋_GB2312" w:cs="仿宋_GB2312"/>
          <w:color w:val="auto"/>
          <w:sz w:val="30"/>
          <w:szCs w:val="30"/>
        </w:rPr>
        <w:t>万元的</w:t>
      </w:r>
      <w:r>
        <w:rPr>
          <w:rFonts w:hint="eastAsia" w:ascii="仿宋_GB2312" w:hAnsi="仿宋_GB2312" w:eastAsia="仿宋_GB2312" w:cs="仿宋_GB2312"/>
          <w:color w:val="auto"/>
          <w:sz w:val="30"/>
          <w:szCs w:val="30"/>
          <w:lang w:eastAsia="zh-CN"/>
        </w:rPr>
        <w:t>车位、车库管理服务</w:t>
      </w:r>
      <w:r>
        <w:rPr>
          <w:rFonts w:hint="eastAsia" w:ascii="仿宋_GB2312" w:hAnsi="仿宋_GB2312" w:eastAsia="仿宋_GB2312" w:cs="仿宋_GB2312"/>
          <w:color w:val="auto"/>
          <w:sz w:val="30"/>
          <w:szCs w:val="30"/>
        </w:rPr>
        <w:t>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黑体" w:hAnsi="黑体" w:eastAsia="黑体" w:cs="黑体"/>
          <w:color w:val="auto"/>
          <w:sz w:val="30"/>
          <w:szCs w:val="30"/>
        </w:rPr>
      </w:pPr>
      <w:r>
        <w:rPr>
          <w:rFonts w:hint="eastAsia" w:ascii="黑体" w:hAnsi="黑体" w:eastAsia="黑体" w:cs="黑体"/>
          <w:color w:val="auto"/>
          <w:sz w:val="30"/>
          <w:szCs w:val="30"/>
        </w:rPr>
        <w:t>三、</w:t>
      </w:r>
      <w:r>
        <w:rPr>
          <w:rFonts w:hint="eastAsia" w:ascii="黑体" w:hAnsi="黑体" w:eastAsia="黑体" w:cs="黑体"/>
          <w:color w:val="auto"/>
          <w:sz w:val="30"/>
          <w:szCs w:val="30"/>
          <w:lang w:eastAsia="zh-CN"/>
        </w:rPr>
        <w:t>车位、车库物业服务</w:t>
      </w:r>
      <w:r>
        <w:rPr>
          <w:rFonts w:hint="eastAsia" w:ascii="黑体" w:hAnsi="黑体" w:eastAsia="黑体" w:cs="黑体"/>
          <w:color w:val="auto"/>
          <w:sz w:val="30"/>
          <w:szCs w:val="30"/>
        </w:rPr>
        <w:t>具体要求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（一）乙方应依据《深圳经济特区物业管理条例》《深圳市停车场规划建设和机动车停放管理条例》《深圳市经营性停车场设施管理办法》等法律法规的规定，遵照本合同和</w:t>
      </w:r>
      <w:r>
        <w:rPr>
          <w:rFonts w:hint="eastAsia" w:ascii="仿宋_GB2312" w:hAnsi="仿宋_GB2312" w:eastAsia="仿宋_GB2312" w:cs="仿宋_GB2312"/>
          <w:color w:val="auto"/>
          <w:sz w:val="30"/>
          <w:szCs w:val="30"/>
          <w:lang w:eastAsia="zh-CN"/>
        </w:rPr>
        <w:t>本物业管理区域</w:t>
      </w:r>
      <w:r>
        <w:rPr>
          <w:rFonts w:hint="eastAsia" w:ascii="仿宋_GB2312" w:hAnsi="仿宋_GB2312" w:eastAsia="仿宋_GB2312" w:cs="仿宋_GB2312"/>
          <w:color w:val="auto"/>
          <w:sz w:val="30"/>
          <w:szCs w:val="30"/>
        </w:rPr>
        <w:t>《临时管理规约》等物业管理制度对本物业管理区域</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进行统一的</w:t>
      </w:r>
      <w:r>
        <w:rPr>
          <w:rFonts w:hint="eastAsia" w:ascii="仿宋_GB2312" w:hAnsi="仿宋_GB2312" w:eastAsia="仿宋_GB2312" w:cs="仿宋_GB2312"/>
          <w:color w:val="auto"/>
          <w:sz w:val="30"/>
          <w:szCs w:val="30"/>
          <w:lang w:eastAsia="zh-CN"/>
        </w:rPr>
        <w:t>物业服务</w:t>
      </w:r>
      <w:r>
        <w:rPr>
          <w:rFonts w:hint="eastAsia" w:ascii="仿宋_GB2312" w:hAnsi="仿宋_GB2312" w:eastAsia="仿宋_GB2312" w:cs="仿宋_GB2312"/>
          <w:color w:val="auto"/>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乙方与</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使用人签订的</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服务协议，明确双方相应的权利义务。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的照明、排水、通风、消防应当符合国家标准和行业规范的要求，乙方应保持前述条件或者必要的设施的正常运转。</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（三）乙方应当在</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设置值班岗亭、道闸、监控设备等封闭式安全管理设施。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（四）乙方应在</w:t>
      </w:r>
      <w:r>
        <w:rPr>
          <w:rFonts w:hint="eastAsia" w:ascii="仿宋_GB2312" w:hAnsi="仿宋_GB2312" w:eastAsia="仿宋_GB2312" w:cs="仿宋_GB2312"/>
          <w:color w:val="auto"/>
          <w:sz w:val="30"/>
          <w:szCs w:val="30"/>
          <w:lang w:eastAsia="zh-CN"/>
        </w:rPr>
        <w:t>车位、车库</w:t>
      </w:r>
      <w:r>
        <w:rPr>
          <w:rFonts w:hint="eastAsia" w:ascii="仿宋_GB2312" w:hAnsi="仿宋_GB2312" w:eastAsia="仿宋_GB2312" w:cs="仿宋_GB2312"/>
          <w:color w:val="auto"/>
          <w:sz w:val="30"/>
          <w:szCs w:val="30"/>
        </w:rPr>
        <w:t>出入口的显著位置明示停车场标志、费用标准和管理制度。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（五）乙方负责进出车辆的登记。</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（六）乙方维护场内车辆停放秩序和行使秩序，疏导停车场出入口交通。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（七）乙方应做好停车场防火、防水等安全防范工作。对装载危险品的机动车，乙方不得同意其进入本物业管理区域停放。</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（八）乙方应对临时停放车辆进行登记后方可放行，登记内容包括车主联系方式、到访事项等，以便紧急联络。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（九）乙方应执行市公安交管部门制定的停车场管理规定。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（十）</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none"/>
          <w:lang w:eastAsia="zh-CN"/>
        </w:rPr>
        <w:t>。</w:t>
      </w:r>
    </w:p>
    <w:p>
      <w:pPr>
        <w:spacing w:line="560" w:lineRule="exact"/>
        <w:rPr>
          <w:color w:val="auto"/>
        </w:rPr>
      </w:pPr>
    </w:p>
    <w:p>
      <w:pPr>
        <w:rPr>
          <w:rFonts w:hint="eastAsia"/>
          <w:color w:val="auto"/>
        </w:rPr>
      </w:pPr>
    </w:p>
    <w:bookmarkEnd w:id="29"/>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587" w:gutter="0"/>
      <w:pgNumType w:fmt="decimal" w:start="1"/>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15" w:leftChars="150" w:right="315" w:rightChars="15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15" w:leftChars="150" w:right="315" w:rightChars="150"/>
      <w:rPr>
        <w:rFonts w:ascii="宋体" w:hAnsi="宋体"/>
        <w:sz w:val="28"/>
        <w:szCs w:val="28"/>
      </w:rP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3EC903"/>
    <w:multiLevelType w:val="singleLevel"/>
    <w:tmpl w:val="903EC9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1C"/>
    <w:rsid w:val="00070669"/>
    <w:rsid w:val="001750E7"/>
    <w:rsid w:val="0018759A"/>
    <w:rsid w:val="001A0E22"/>
    <w:rsid w:val="001C3410"/>
    <w:rsid w:val="0022600F"/>
    <w:rsid w:val="00274E12"/>
    <w:rsid w:val="00295A83"/>
    <w:rsid w:val="002A4547"/>
    <w:rsid w:val="002B4F0D"/>
    <w:rsid w:val="002B7F56"/>
    <w:rsid w:val="002C5DEC"/>
    <w:rsid w:val="002E7DD7"/>
    <w:rsid w:val="00364A16"/>
    <w:rsid w:val="00370167"/>
    <w:rsid w:val="00437FAD"/>
    <w:rsid w:val="004A42F8"/>
    <w:rsid w:val="004B38C8"/>
    <w:rsid w:val="004C3579"/>
    <w:rsid w:val="0054797C"/>
    <w:rsid w:val="00596D93"/>
    <w:rsid w:val="005B1183"/>
    <w:rsid w:val="006132B5"/>
    <w:rsid w:val="0071118A"/>
    <w:rsid w:val="00763401"/>
    <w:rsid w:val="0083467D"/>
    <w:rsid w:val="00857CAC"/>
    <w:rsid w:val="0086210F"/>
    <w:rsid w:val="008807E8"/>
    <w:rsid w:val="00897726"/>
    <w:rsid w:val="008B326A"/>
    <w:rsid w:val="008C70C4"/>
    <w:rsid w:val="00962D11"/>
    <w:rsid w:val="00993C2D"/>
    <w:rsid w:val="00A744B0"/>
    <w:rsid w:val="00A912FE"/>
    <w:rsid w:val="00A965DF"/>
    <w:rsid w:val="00AD5C8E"/>
    <w:rsid w:val="00B3391C"/>
    <w:rsid w:val="00B34D58"/>
    <w:rsid w:val="00B70831"/>
    <w:rsid w:val="00B76089"/>
    <w:rsid w:val="00B918BF"/>
    <w:rsid w:val="00BB3F3E"/>
    <w:rsid w:val="00BB7898"/>
    <w:rsid w:val="00C44B78"/>
    <w:rsid w:val="00C54500"/>
    <w:rsid w:val="00CD35ED"/>
    <w:rsid w:val="00CE4F2C"/>
    <w:rsid w:val="00CF3235"/>
    <w:rsid w:val="00D557A0"/>
    <w:rsid w:val="00D57767"/>
    <w:rsid w:val="00D713EF"/>
    <w:rsid w:val="00D779BA"/>
    <w:rsid w:val="00DC398A"/>
    <w:rsid w:val="00E503F1"/>
    <w:rsid w:val="00E522AE"/>
    <w:rsid w:val="00EC4434"/>
    <w:rsid w:val="00ED0F73"/>
    <w:rsid w:val="00F26C91"/>
    <w:rsid w:val="00F56521"/>
    <w:rsid w:val="00FC55C6"/>
    <w:rsid w:val="00FE09C0"/>
    <w:rsid w:val="00FF0E0D"/>
    <w:rsid w:val="0275349A"/>
    <w:rsid w:val="02EB507B"/>
    <w:rsid w:val="02F413F5"/>
    <w:rsid w:val="051C61CB"/>
    <w:rsid w:val="05856698"/>
    <w:rsid w:val="06882056"/>
    <w:rsid w:val="099F7ECC"/>
    <w:rsid w:val="0B7F4D9B"/>
    <w:rsid w:val="0EFC3103"/>
    <w:rsid w:val="0F236611"/>
    <w:rsid w:val="0FE216E3"/>
    <w:rsid w:val="10484CEF"/>
    <w:rsid w:val="12087426"/>
    <w:rsid w:val="169D2A26"/>
    <w:rsid w:val="1A177BA8"/>
    <w:rsid w:val="1A5E4348"/>
    <w:rsid w:val="1DFB1B89"/>
    <w:rsid w:val="1E9216A6"/>
    <w:rsid w:val="1F38142A"/>
    <w:rsid w:val="1FE92700"/>
    <w:rsid w:val="236A3997"/>
    <w:rsid w:val="24451C55"/>
    <w:rsid w:val="26513524"/>
    <w:rsid w:val="2676553E"/>
    <w:rsid w:val="27DF0898"/>
    <w:rsid w:val="2B4F52B1"/>
    <w:rsid w:val="2D730249"/>
    <w:rsid w:val="2FF43ADF"/>
    <w:rsid w:val="39D8544B"/>
    <w:rsid w:val="3B4578A0"/>
    <w:rsid w:val="3B7F048F"/>
    <w:rsid w:val="3EA8194E"/>
    <w:rsid w:val="41616732"/>
    <w:rsid w:val="422F1DEC"/>
    <w:rsid w:val="42EA6A12"/>
    <w:rsid w:val="484444AA"/>
    <w:rsid w:val="487F7E92"/>
    <w:rsid w:val="4C9D4209"/>
    <w:rsid w:val="4DA75787"/>
    <w:rsid w:val="4DB82711"/>
    <w:rsid w:val="4FCE4382"/>
    <w:rsid w:val="50C10428"/>
    <w:rsid w:val="514160DB"/>
    <w:rsid w:val="51871D8B"/>
    <w:rsid w:val="52401D49"/>
    <w:rsid w:val="52BB79FE"/>
    <w:rsid w:val="55E13B6F"/>
    <w:rsid w:val="56C12A0E"/>
    <w:rsid w:val="56E54342"/>
    <w:rsid w:val="57826241"/>
    <w:rsid w:val="5B235FAA"/>
    <w:rsid w:val="5EBF0955"/>
    <w:rsid w:val="601C1338"/>
    <w:rsid w:val="60450357"/>
    <w:rsid w:val="61D026CB"/>
    <w:rsid w:val="62200F23"/>
    <w:rsid w:val="65781130"/>
    <w:rsid w:val="687172B5"/>
    <w:rsid w:val="6C8E2E58"/>
    <w:rsid w:val="6EE36ED2"/>
    <w:rsid w:val="6EFF5DCE"/>
    <w:rsid w:val="736F4304"/>
    <w:rsid w:val="73F01788"/>
    <w:rsid w:val="74373841"/>
    <w:rsid w:val="7A05320F"/>
    <w:rsid w:val="7F867D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zh-CN" w:bidi="zh-CN"/>
    </w:rPr>
  </w:style>
  <w:style w:type="paragraph" w:styleId="4">
    <w:name w:val="Balloon Text"/>
    <w:basedOn w:val="1"/>
    <w:semiHidden/>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qFormat/>
    <w:uiPriority w:val="0"/>
  </w:style>
  <w:style w:type="table" w:styleId="10">
    <w:name w:val="Table Grid"/>
    <w:basedOn w:val="9"/>
    <w:qFormat/>
    <w:uiPriority w:val="59"/>
    <w:rPr>
      <w:rFonts w:eastAsia="微软雅黑" w:asciiTheme="minorHAnsi" w:hAnsi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11">
    <w:name w:val="默认段落字体 Para Char Char Char Char Char Char Char Char Char Char"/>
    <w:basedOn w:val="1"/>
    <w:qFormat/>
    <w:uiPriority w:val="0"/>
  </w:style>
  <w:style w:type="paragraph" w:customStyle="1" w:styleId="12">
    <w:name w:val="样式1"/>
    <w:basedOn w:val="6"/>
    <w:qFormat/>
    <w:uiPriority w:val="0"/>
    <w:pPr>
      <w:pBdr>
        <w:bottom w:val="none" w:color="auto" w:sz="0" w:space="0"/>
      </w:pBdr>
    </w:pPr>
  </w:style>
  <w:style w:type="paragraph" w:customStyle="1" w:styleId="13">
    <w:name w:val="样式2"/>
    <w:basedOn w:val="6"/>
    <w:qFormat/>
    <w:uiPriority w:val="0"/>
    <w:pPr>
      <w:pBdr>
        <w:bottom w:val="none" w:color="auto" w:sz="0" w:space="0"/>
      </w:pBdr>
    </w:pPr>
  </w:style>
  <w:style w:type="paragraph" w:customStyle="1" w:styleId="14">
    <w:name w:val="样式3"/>
    <w:basedOn w:val="6"/>
    <w:qFormat/>
    <w:uiPriority w:val="0"/>
    <w:pPr>
      <w:pBdr>
        <w:bottom w:val="none" w:color="auto" w:sz="0" w:space="0"/>
      </w:pBdr>
    </w:pPr>
  </w:style>
  <w:style w:type="paragraph" w:customStyle="1" w:styleId="15">
    <w:name w:val="样式4"/>
    <w:basedOn w:val="6"/>
    <w:qFormat/>
    <w:uiPriority w:val="0"/>
    <w:pPr>
      <w:pBdr>
        <w:bottom w:val="none" w:color="auto" w:sz="0" w:space="0"/>
      </w:pBdr>
    </w:pPr>
  </w:style>
  <w:style w:type="paragraph" w:customStyle="1" w:styleId="16">
    <w:name w:val="List Paragraph1"/>
    <w:basedOn w:val="1"/>
    <w:qFormat/>
    <w:uiPriority w:val="0"/>
    <w:pPr>
      <w:ind w:left="720"/>
      <w:contextualSpacing/>
    </w:pPr>
    <w:rPr>
      <w:rFonts w:ascii="Calibri" w:hAnsi="Calibri" w:cs="黑体"/>
      <w:szCs w:val="22"/>
    </w:rPr>
  </w:style>
  <w:style w:type="paragraph" w:customStyle="1" w:styleId="17">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页眉 Char"/>
    <w:basedOn w:val="7"/>
    <w:link w:val="6"/>
    <w:qFormat/>
    <w:uiPriority w:val="0"/>
    <w:rPr>
      <w:kern w:val="2"/>
      <w:sz w:val="18"/>
      <w:szCs w:val="18"/>
    </w:rPr>
  </w:style>
  <w:style w:type="character" w:customStyle="1" w:styleId="19">
    <w:name w:val="页脚 Char"/>
    <w:basedOn w:val="7"/>
    <w:link w:val="5"/>
    <w:qFormat/>
    <w:uiPriority w:val="99"/>
    <w:rPr>
      <w:kern w:val="2"/>
      <w:sz w:val="18"/>
      <w:szCs w:val="18"/>
    </w:rPr>
  </w:style>
  <w:style w:type="paragraph" w:customStyle="1" w:styleId="20">
    <w:name w:val="List Paragraph"/>
    <w:basedOn w:val="1"/>
    <w:qFormat/>
    <w:uiPriority w:val="99"/>
    <w:pPr>
      <w:ind w:firstLine="420" w:firstLineChars="200"/>
    </w:pPr>
  </w:style>
  <w:style w:type="character" w:customStyle="1" w:styleId="21">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szsfj</Company>
  <Pages>9</Pages>
  <Words>484</Words>
  <Characters>2765</Characters>
  <Lines>23</Lines>
  <Paragraphs>6</Paragraphs>
  <TotalTime>4</TotalTime>
  <ScaleCrop>false</ScaleCrop>
  <LinksUpToDate>false</LinksUpToDate>
  <CharactersWithSpaces>3243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2020-05-21T07:29:00Z</dcterms:created>
  <dc:creator>李群</dc:creator>
  <cp:lastModifiedBy>张宇红</cp:lastModifiedBy>
  <cp:lastPrinted>2020-06-22T09:03:00Z</cp:lastPrinted>
  <dcterms:modified xsi:type="dcterms:W3CDTF">2020-07-02T06:25:07Z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