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仿宋_GB2312" w:hAnsi="仿宋" w:eastAsia="仿宋_GB2312" w:cs="Times New Roman"/>
          <w:bCs/>
          <w:color w:val="auto"/>
          <w:sz w:val="32"/>
        </w:rPr>
      </w:pPr>
    </w:p>
    <w:p>
      <w:pPr>
        <w:snapToGrid w:val="0"/>
        <w:spacing w:line="560" w:lineRule="exact"/>
        <w:jc w:val="right"/>
        <w:rPr>
          <w:rFonts w:ascii="仿宋_GB2312" w:hAnsi="黑体" w:eastAsia="仿宋_GB2312"/>
          <w:b/>
          <w:color w:val="auto"/>
          <w:sz w:val="32"/>
          <w:szCs w:val="32"/>
        </w:rPr>
      </w:pPr>
      <w:r>
        <w:rPr>
          <w:rFonts w:hint="eastAsia" w:ascii="仿宋_GB2312" w:hAnsi="黑体" w:eastAsia="仿宋_GB2312"/>
          <w:b/>
          <w:color w:val="auto"/>
          <w:sz w:val="32"/>
          <w:szCs w:val="32"/>
        </w:rPr>
        <w:t xml:space="preserve">  合同编号：      号</w:t>
      </w: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2"/>
          <w:szCs w:val="32"/>
        </w:rPr>
      </w:pPr>
    </w:p>
    <w:p>
      <w:pPr>
        <w:tabs>
          <w:tab w:val="left" w:pos="6750"/>
        </w:tabs>
        <w:snapToGrid w:val="0"/>
        <w:spacing w:line="560" w:lineRule="exact"/>
        <w:rPr>
          <w:rFonts w:ascii="仿宋_GB2312" w:hAnsi="黑体" w:eastAsia="仿宋_GB2312"/>
          <w:color w:val="auto"/>
          <w:sz w:val="32"/>
          <w:szCs w:val="32"/>
        </w:rPr>
      </w:pPr>
      <w:r>
        <w:rPr>
          <w:rFonts w:ascii="仿宋_GB2312" w:hAnsi="黑体" w:eastAsia="仿宋_GB2312"/>
          <w:color w:val="auto"/>
          <w:sz w:val="32"/>
          <w:szCs w:val="32"/>
        </w:rPr>
        <w:tab/>
      </w:r>
    </w:p>
    <w:p>
      <w:pPr>
        <w:spacing w:line="5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深圳市物业服务合同</w:t>
      </w:r>
    </w:p>
    <w:p>
      <w:pPr>
        <w:suppressAutoHyphens/>
        <w:snapToGrid w:val="0"/>
        <w:spacing w:line="560" w:lineRule="exact"/>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（示范文本）</w:t>
      </w: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 w:val="30"/>
          <w:szCs w:val="30"/>
        </w:rPr>
      </w:pPr>
    </w:p>
    <w:p>
      <w:pPr>
        <w:suppressAutoHyphens/>
        <w:snapToGrid w:val="0"/>
        <w:spacing w:line="560" w:lineRule="exact"/>
        <w:rPr>
          <w:rFonts w:ascii="黑体" w:hAnsi="黑体" w:eastAsia="黑体"/>
          <w:color w:val="auto"/>
          <w:sz w:val="44"/>
          <w:szCs w:val="44"/>
          <w:u w:val="single"/>
        </w:rPr>
      </w:pPr>
      <w:r>
        <w:rPr>
          <w:rFonts w:ascii="宋体" w:hAnsi="宋体"/>
          <w:b/>
          <w:color w:val="auto"/>
          <w:sz w:val="36"/>
          <w:szCs w:val="36"/>
        </w:rPr>
        <w:t>甲方（</w:t>
      </w:r>
      <w:r>
        <w:rPr>
          <w:rFonts w:hint="eastAsia" w:ascii="宋体" w:hAnsi="宋体"/>
          <w:b/>
          <w:color w:val="auto"/>
          <w:sz w:val="36"/>
          <w:szCs w:val="36"/>
        </w:rPr>
        <w:t>业主大会/社区居民委员会</w:t>
      </w:r>
      <w:r>
        <w:rPr>
          <w:rFonts w:ascii="宋体" w:hAnsi="宋体"/>
          <w:b/>
          <w:color w:val="auto"/>
          <w:sz w:val="36"/>
          <w:szCs w:val="36"/>
        </w:rPr>
        <w:t>）</w:t>
      </w:r>
      <w:r>
        <w:rPr>
          <w:rFonts w:hint="eastAsia" w:ascii="黑体" w:hAnsi="黑体" w:eastAsia="黑体"/>
          <w:color w:val="auto"/>
          <w:sz w:val="44"/>
          <w:szCs w:val="44"/>
        </w:rPr>
        <w:t>：</w:t>
      </w:r>
      <w:r>
        <w:rPr>
          <w:rFonts w:hint="eastAsia" w:ascii="黑体" w:hAnsi="黑体" w:eastAsia="黑体"/>
          <w:color w:val="auto"/>
          <w:sz w:val="44"/>
          <w:szCs w:val="44"/>
          <w:u w:val="single"/>
        </w:rPr>
        <w:t xml:space="preserve">                              </w:t>
      </w:r>
    </w:p>
    <w:p>
      <w:pPr>
        <w:suppressAutoHyphens/>
        <w:snapToGrid w:val="0"/>
        <w:spacing w:line="560" w:lineRule="exact"/>
        <w:rPr>
          <w:rFonts w:ascii="黑体" w:hAnsi="黑体" w:eastAsia="黑体"/>
          <w:color w:val="auto"/>
          <w:sz w:val="44"/>
          <w:szCs w:val="44"/>
        </w:rPr>
      </w:pPr>
    </w:p>
    <w:p>
      <w:pPr>
        <w:suppressAutoHyphens/>
        <w:snapToGrid w:val="0"/>
        <w:spacing w:line="560" w:lineRule="exact"/>
        <w:rPr>
          <w:rFonts w:ascii="黑体" w:hAnsi="黑体" w:eastAsia="黑体"/>
          <w:color w:val="auto"/>
          <w:sz w:val="44"/>
          <w:szCs w:val="44"/>
        </w:rPr>
      </w:pPr>
    </w:p>
    <w:p>
      <w:pPr>
        <w:suppressAutoHyphens/>
        <w:snapToGrid w:val="0"/>
        <w:spacing w:line="560" w:lineRule="exact"/>
        <w:rPr>
          <w:rFonts w:ascii="黑体" w:hAnsi="黑体" w:eastAsia="黑体"/>
          <w:color w:val="auto"/>
          <w:sz w:val="44"/>
          <w:szCs w:val="44"/>
          <w:u w:val="single"/>
        </w:rPr>
      </w:pPr>
      <w:r>
        <w:rPr>
          <w:rFonts w:ascii="宋体" w:hAnsi="宋体"/>
          <w:b/>
          <w:color w:val="auto"/>
          <w:sz w:val="36"/>
          <w:szCs w:val="36"/>
        </w:rPr>
        <w:t>乙方（物业服务企业）：</w:t>
      </w:r>
      <w:r>
        <w:rPr>
          <w:rFonts w:hint="eastAsia" w:ascii="黑体" w:hAnsi="黑体" w:eastAsia="黑体"/>
          <w:color w:val="auto"/>
          <w:sz w:val="44"/>
          <w:szCs w:val="44"/>
          <w:u w:val="single"/>
        </w:rPr>
        <w:t xml:space="preserve">                     </w:t>
      </w:r>
    </w:p>
    <w:p>
      <w:pPr>
        <w:snapToGrid w:val="0"/>
        <w:spacing w:line="560" w:lineRule="exact"/>
        <w:rPr>
          <w:rFonts w:ascii="仿宋_GB2312" w:hAnsi="黑体" w:eastAsia="仿宋_GB2312"/>
          <w:color w:val="auto"/>
          <w:sz w:val="30"/>
          <w:szCs w:val="30"/>
        </w:rPr>
      </w:pPr>
      <w:r>
        <w:rPr>
          <w:rFonts w:hint="eastAsia" w:ascii="仿宋_GB2312" w:hAnsi="黑体" w:eastAsia="仿宋_GB2312"/>
          <w:color w:val="auto"/>
          <w:sz w:val="30"/>
          <w:szCs w:val="30"/>
        </w:rPr>
        <w:t xml:space="preserve"> </w:t>
      </w: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jc w:val="center"/>
        <w:rPr>
          <w:rFonts w:hint="eastAsia" w:ascii="宋体" w:hAnsi="宋体" w:eastAsia="宋体" w:cs="宋体"/>
          <w:b/>
          <w:bCs/>
          <w:color w:val="auto"/>
          <w:kern w:val="44"/>
          <w:sz w:val="44"/>
          <w:szCs w:val="44"/>
          <w:lang w:val="zh-CN"/>
        </w:rPr>
      </w:pPr>
      <w:r>
        <w:rPr>
          <w:rFonts w:hint="eastAsia" w:ascii="宋体" w:hAnsi="宋体" w:eastAsia="宋体" w:cs="宋体"/>
          <w:b/>
          <w:bCs/>
          <w:color w:val="auto"/>
          <w:kern w:val="44"/>
          <w:sz w:val="44"/>
          <w:szCs w:val="44"/>
          <w:lang w:val="zh-CN"/>
        </w:rPr>
        <w:t>使用说明</w:t>
      </w:r>
    </w:p>
    <w:p>
      <w:pPr>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一、本合同为物业服务合同示范文本，适用于业主大会或社区居民委员会与物业服务企业订立合同时使用。合同双方当事人在签约之前应当仔细阅读本示范文本的内容。</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二、本合同为业主大会</w:t>
      </w:r>
      <w:r>
        <w:rPr>
          <w:rFonts w:hint="eastAsia" w:ascii="仿宋_GB2312" w:hAnsi="仿宋_GB2312" w:eastAsia="仿宋_GB2312" w:cs="仿宋_GB2312"/>
          <w:color w:val="auto"/>
          <w:sz w:val="30"/>
          <w:szCs w:val="30"/>
          <w:lang w:eastAsia="zh-CN"/>
        </w:rPr>
        <w:t>（或</w:t>
      </w:r>
      <w:r>
        <w:rPr>
          <w:rFonts w:hint="eastAsia" w:ascii="仿宋_GB2312" w:hAnsi="仿宋_GB2312" w:eastAsia="仿宋_GB2312" w:cs="仿宋_GB2312"/>
          <w:color w:val="auto"/>
          <w:sz w:val="30"/>
          <w:szCs w:val="30"/>
        </w:rPr>
        <w:t>社区居民委员会</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与依法选聘、续聘的物业服务企业签订的物业服务合同，对该物业管理区域内全体业主具有约束力。</w:t>
      </w:r>
    </w:p>
    <w:p>
      <w:pPr>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三、本合同文本</w:t>
      </w:r>
      <w:bookmarkStart w:id="0" w:name="_Hlk20155559"/>
      <w:r>
        <w:rPr>
          <w:rFonts w:hint="eastAsia" w:ascii="仿宋_GB2312" w:hAnsi="仿宋_GB2312" w:eastAsia="仿宋_GB2312" w:cs="仿宋_GB2312"/>
          <w:color w:val="auto"/>
          <w:sz w:val="30"/>
          <w:szCs w:val="30"/>
        </w:rPr>
        <w:t>□</w:t>
      </w:r>
      <w:bookmarkEnd w:id="0"/>
      <w:r>
        <w:rPr>
          <w:rFonts w:hint="eastAsia" w:ascii="仿宋_GB2312" w:hAnsi="仿宋_GB2312" w:eastAsia="仿宋_GB2312" w:cs="仿宋_GB2312"/>
          <w:color w:val="auto"/>
          <w:sz w:val="30"/>
          <w:szCs w:val="30"/>
          <w:lang w:eastAsia="zh-CN"/>
        </w:rPr>
        <w:t>或</w:t>
      </w:r>
      <w:r>
        <w:rPr>
          <w:rFonts w:hint="eastAsia" w:ascii="仿宋" w:hAnsi="仿宋" w:eastAsia="仿宋" w:cs="仿宋"/>
          <w:color w:val="auto"/>
          <w:sz w:val="30"/>
          <w:szCs w:val="30"/>
          <w:lang w:val="en-US" w:eastAsia="zh-CN"/>
        </w:rPr>
        <w:t>○</w:t>
      </w:r>
      <w:r>
        <w:rPr>
          <w:rFonts w:hint="eastAsia" w:ascii="仿宋_GB2312" w:hAnsi="仿宋_GB2312" w:eastAsia="仿宋_GB2312" w:cs="仿宋_GB2312"/>
          <w:color w:val="auto"/>
          <w:sz w:val="30"/>
          <w:szCs w:val="30"/>
        </w:rPr>
        <w:t>中选择的内容、空格部位的填写及其他需要删除或添加的内容，应由双方当事人协商确定。□</w:t>
      </w:r>
      <w:r>
        <w:rPr>
          <w:rFonts w:hint="eastAsia" w:ascii="仿宋_GB2312" w:hAnsi="仿宋_GB2312" w:eastAsia="仿宋_GB2312" w:cs="仿宋_GB2312"/>
          <w:color w:val="auto"/>
          <w:sz w:val="30"/>
          <w:szCs w:val="30"/>
          <w:lang w:eastAsia="zh-CN"/>
        </w:rPr>
        <w:t>或</w:t>
      </w:r>
      <w:r>
        <w:rPr>
          <w:rFonts w:hint="eastAsia" w:ascii="仿宋" w:hAnsi="仿宋" w:eastAsia="仿宋" w:cs="仿宋"/>
          <w:color w:val="auto"/>
          <w:sz w:val="30"/>
          <w:szCs w:val="30"/>
          <w:lang w:val="en-US" w:eastAsia="zh-CN"/>
        </w:rPr>
        <w:t>○</w:t>
      </w:r>
      <w:r>
        <w:rPr>
          <w:rFonts w:hint="eastAsia" w:ascii="仿宋_GB2312" w:hAnsi="仿宋_GB2312" w:eastAsia="仿宋_GB2312" w:cs="仿宋_GB2312"/>
          <w:color w:val="auto"/>
          <w:sz w:val="30"/>
          <w:szCs w:val="30"/>
        </w:rPr>
        <w:t>中选择</w:t>
      </w:r>
      <w:r>
        <w:rPr>
          <w:rFonts w:hint="eastAsia" w:ascii="仿宋_GB2312" w:hAnsi="仿宋_GB2312" w:eastAsia="仿宋_GB2312" w:cs="仿宋_GB2312"/>
          <w:color w:val="auto"/>
          <w:sz w:val="30"/>
          <w:szCs w:val="30"/>
          <w:lang w:eastAsia="zh-CN"/>
        </w:rPr>
        <w:t>约定</w:t>
      </w:r>
      <w:r>
        <w:rPr>
          <w:rFonts w:hint="eastAsia" w:ascii="仿宋_GB2312" w:hAnsi="仿宋_GB2312" w:eastAsia="仿宋_GB2312" w:cs="仿宋_GB2312"/>
          <w:color w:val="auto"/>
          <w:sz w:val="30"/>
          <w:szCs w:val="30"/>
        </w:rPr>
        <w:t>的内容，以划√方式选定；对于实际情况未发生或双方当事人不做约定的，应当在空格部位打×，以示删除。合同签订后未被修改的文本印刷条款视为双方同意的内容。</w:t>
      </w:r>
    </w:p>
    <w:p>
      <w:pPr>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为体现合同双方的自愿原则，本合同中相关条款附有空白行，可供合同双方依法自行约定。经双方当事人协商确定，可以根据实际情况对本合同条款的内容（包括选择内容、填写空格部位的内容）进行选择、修改、增补或删减。</w:t>
      </w:r>
    </w:p>
    <w:p>
      <w:pPr>
        <w:snapToGrid w:val="0"/>
        <w:spacing w:line="560" w:lineRule="exact"/>
        <w:ind w:firstLine="600" w:firstLineChars="200"/>
        <w:jc w:val="left"/>
        <w:rPr>
          <w:rFonts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lang w:eastAsia="zh-CN"/>
        </w:rPr>
        <w:t>五</w:t>
      </w:r>
      <w:r>
        <w:rPr>
          <w:rFonts w:hint="eastAsia" w:ascii="仿宋_GB2312" w:hAnsi="仿宋_GB2312" w:eastAsia="仿宋_GB2312" w:cs="仿宋_GB2312"/>
          <w:color w:val="auto"/>
          <w:sz w:val="30"/>
          <w:szCs w:val="30"/>
        </w:rPr>
        <w:t>、在签订合同时，合同双方应当出示有关信用证明及签约主体资格的证书、证明文件。</w:t>
      </w:r>
      <w:bookmarkStart w:id="1" w:name="_Toc6248"/>
      <w:bookmarkStart w:id="2" w:name="_Toc22165"/>
      <w:bookmarkStart w:id="3" w:name="_Toc16924"/>
      <w:bookmarkStart w:id="4" w:name="_Toc13744"/>
      <w:bookmarkStart w:id="5" w:name="_Toc9961"/>
      <w:bookmarkStart w:id="6" w:name="_Toc7795"/>
      <w:bookmarkStart w:id="7" w:name="_Toc9614"/>
    </w:p>
    <w:p>
      <w:pPr>
        <w:snapToGrid w:val="0"/>
        <w:spacing w:before="156" w:after="156" w:line="560" w:lineRule="exact"/>
        <w:ind w:firstLine="643" w:firstLineChars="200"/>
        <w:jc w:val="center"/>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第一章  </w:t>
      </w:r>
      <w:bookmarkEnd w:id="1"/>
      <w:bookmarkEnd w:id="2"/>
      <w:bookmarkEnd w:id="3"/>
      <w:bookmarkEnd w:id="4"/>
      <w:bookmarkEnd w:id="5"/>
      <w:bookmarkEnd w:id="6"/>
      <w:bookmarkEnd w:id="7"/>
      <w:r>
        <w:rPr>
          <w:rFonts w:hint="eastAsia" w:ascii="宋体" w:hAnsi="宋体" w:eastAsia="宋体" w:cs="宋体"/>
          <w:color w:val="auto"/>
          <w:sz w:val="32"/>
          <w:szCs w:val="32"/>
        </w:rPr>
        <w:t>合同主体</w:t>
      </w:r>
    </w:p>
    <w:p>
      <w:pPr>
        <w:suppressAutoHyphens/>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甲方(业主大会/社区居民委员会)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pacing w:val="23"/>
          <w:kern w:val="0"/>
          <w:sz w:val="32"/>
          <w:szCs w:val="32"/>
        </w:rPr>
      </w:pPr>
      <w:r>
        <w:rPr>
          <w:rFonts w:hint="eastAsia" w:ascii="仿宋_GB2312" w:hAnsi="仿宋_GB2312" w:eastAsia="仿宋_GB2312" w:cs="仿宋_GB2312"/>
          <w:color w:val="auto"/>
          <w:spacing w:val="23"/>
          <w:kern w:val="0"/>
          <w:sz w:val="32"/>
          <w:szCs w:val="32"/>
        </w:rPr>
        <w:t>统一社会信用代码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3"/>
          <w:kern w:val="0"/>
          <w:sz w:val="32"/>
          <w:szCs w:val="32"/>
        </w:rPr>
        <w:t>业主委员会主任/社区居民委员会</w:t>
      </w:r>
      <w:r>
        <w:rPr>
          <w:rFonts w:hint="eastAsia" w:ascii="仿宋_GB2312" w:hAnsi="仿宋_GB2312" w:eastAsia="仿宋_GB2312" w:cs="仿宋_GB2312"/>
          <w:color w:val="auto"/>
          <w:spacing w:val="23"/>
          <w:kern w:val="0"/>
          <w:sz w:val="32"/>
          <w:szCs w:val="32"/>
          <w:lang w:eastAsia="zh-CN"/>
        </w:rPr>
        <w:t>主任</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5"/>
          <w:kern w:val="0"/>
          <w:sz w:val="32"/>
          <w:szCs w:val="32"/>
        </w:rPr>
        <w:t>通信地址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邮政编码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uppressAutoHyphens/>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pacing w:val="25"/>
          <w:kern w:val="0"/>
          <w:sz w:val="32"/>
          <w:szCs w:val="32"/>
        </w:rPr>
        <w:t>乙方（物业服务企业</w:t>
      </w:r>
      <w:r>
        <w:rPr>
          <w:rFonts w:hint="eastAsia" w:ascii="仿宋_GB2312" w:hAnsi="仿宋_GB2312" w:eastAsia="仿宋_GB2312" w:cs="仿宋_GB2312"/>
          <w:b/>
          <w:bCs/>
          <w:color w:val="auto"/>
          <w:spacing w:val="25"/>
          <w:kern w:val="0"/>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napToGrid w:val="0"/>
        <w:spacing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3"/>
          <w:kern w:val="0"/>
          <w:sz w:val="32"/>
          <w:szCs w:val="32"/>
        </w:rPr>
        <w:t>统一社会信用代码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法定代表人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委托代理人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通信地址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邮政编码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物权法》《中华人民共和国合同法》《深圳经济特区物业管理条例》（以下简称“《条例》”）等有关法律、法规的规定，甲、乙双方在自愿、平等、公平、诚实信用的基础上，就位于深圳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物业管理区域名称</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项目（以下称“本物业管理区域”）的</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事宜,协商一致订立本合同。</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第二章  物业管理区域情况</w:t>
      </w:r>
    </w:p>
    <w:p>
      <w:pPr>
        <w:pStyle w:val="2"/>
        <w:snapToGrid w:val="0"/>
        <w:spacing w:line="560" w:lineRule="exact"/>
        <w:ind w:firstLine="640" w:firstLineChars="200"/>
        <w:rPr>
          <w:rFonts w:ascii="黑体" w:hAnsi="黑体" w:eastAsia="黑体" w:cs="黑体"/>
          <w:bCs/>
          <w:color w:val="auto"/>
          <w:sz w:val="32"/>
          <w:szCs w:val="32"/>
        </w:rPr>
      </w:pPr>
      <w:bookmarkStart w:id="8" w:name="_Toc20601"/>
      <w:bookmarkStart w:id="9" w:name="_Toc31116"/>
      <w:bookmarkStart w:id="10" w:name="_Toc7715"/>
      <w:bookmarkStart w:id="11" w:name="_Toc20740"/>
      <w:bookmarkStart w:id="12" w:name="_Toc16537"/>
      <w:bookmarkStart w:id="13" w:name="_Toc1564"/>
      <w:bookmarkStart w:id="14" w:name="_Toc10919"/>
      <w:r>
        <w:rPr>
          <w:rFonts w:hint="eastAsia" w:ascii="黑体" w:hAnsi="黑体" w:eastAsia="黑体" w:cs="黑体"/>
          <w:bCs/>
          <w:color w:val="auto"/>
          <w:sz w:val="32"/>
          <w:szCs w:val="32"/>
        </w:rPr>
        <w:t>第一条 物业管理区域基本情况</w:t>
      </w:r>
      <w:bookmarkEnd w:id="8"/>
      <w:bookmarkEnd w:id="9"/>
      <w:bookmarkEnd w:id="10"/>
      <w:bookmarkEnd w:id="11"/>
      <w:bookmarkEnd w:id="12"/>
      <w:bookmarkEnd w:id="13"/>
      <w:bookmarkEnd w:id="14"/>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uppressAutoHyphens/>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类型: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坐落位置: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区域四至</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东至：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本物业管理区域的基本情况详见合同附件1、2。</w:t>
      </w:r>
    </w:p>
    <w:p>
      <w:pPr>
        <w:pStyle w:val="2"/>
        <w:snapToGrid w:val="0"/>
        <w:spacing w:line="560" w:lineRule="exact"/>
        <w:ind w:firstLine="640" w:firstLineChars="200"/>
        <w:rPr>
          <w:rFonts w:ascii="黑体" w:hAnsi="黑体" w:eastAsia="黑体" w:cs="黑体"/>
          <w:bCs/>
          <w:color w:val="auto"/>
          <w:sz w:val="32"/>
          <w:szCs w:val="32"/>
        </w:rPr>
      </w:pPr>
      <w:bookmarkStart w:id="15" w:name="_Toc1354"/>
      <w:bookmarkStart w:id="16" w:name="_Toc28569"/>
      <w:bookmarkStart w:id="17" w:name="_Toc4035"/>
      <w:bookmarkStart w:id="18" w:name="_Toc1540"/>
      <w:bookmarkStart w:id="19" w:name="_Toc2362"/>
      <w:bookmarkStart w:id="20" w:name="_Toc30264"/>
      <w:bookmarkStart w:id="21" w:name="_Toc31334"/>
      <w:r>
        <w:rPr>
          <w:rFonts w:hint="eastAsia" w:ascii="黑体" w:hAnsi="黑体" w:eastAsia="黑体" w:cs="黑体"/>
          <w:bCs/>
          <w:color w:val="auto"/>
          <w:sz w:val="32"/>
          <w:szCs w:val="32"/>
        </w:rPr>
        <w:t>第二条 物业管理用房</w:t>
      </w:r>
      <w:bookmarkEnd w:id="15"/>
      <w:bookmarkEnd w:id="16"/>
      <w:bookmarkEnd w:id="17"/>
      <w:bookmarkEnd w:id="18"/>
      <w:bookmarkEnd w:id="19"/>
      <w:bookmarkEnd w:id="20"/>
      <w:bookmarkEnd w:id="21"/>
    </w:p>
    <w:p>
      <w:pPr>
        <w:snapToGrid w:val="0"/>
        <w:spacing w:line="560" w:lineRule="exact"/>
        <w:ind w:firstLine="640" w:firstLineChars="200"/>
        <w:jc w:val="left"/>
        <w:rPr>
          <w:rFonts w:ascii="仿宋_GB2312" w:hAnsi="仿宋_GB2312" w:eastAsia="仿宋_GB2312" w:cs="仿宋_GB2312"/>
          <w:color w:val="auto"/>
          <w:sz w:val="32"/>
          <w:szCs w:val="32"/>
        </w:rPr>
      </w:pPr>
      <w:bookmarkStart w:id="22" w:name="_Toc24903"/>
      <w:bookmarkStart w:id="23" w:name="_Toc12322"/>
      <w:r>
        <w:rPr>
          <w:rFonts w:hint="eastAsia" w:ascii="仿宋_GB2312" w:hAnsi="仿宋_GB2312" w:eastAsia="仿宋_GB2312" w:cs="仿宋_GB2312"/>
          <w:color w:val="auto"/>
          <w:sz w:val="32"/>
          <w:szCs w:val="32"/>
        </w:rPr>
        <w:t>本物业管理区域的物业管理用房包括物业服务办公用房、</w:t>
      </w:r>
      <w:r>
        <w:rPr>
          <w:rFonts w:hint="eastAsia" w:ascii="仿宋_GB2312" w:hAnsi="仿宋_GB2312" w:eastAsia="仿宋_GB2312" w:cs="仿宋_GB2312"/>
          <w:color w:val="auto"/>
          <w:kern w:val="0"/>
          <w:sz w:val="32"/>
          <w:szCs w:val="32"/>
        </w:rPr>
        <w:t>业主委员会办公</w:t>
      </w:r>
      <w:r>
        <w:rPr>
          <w:rFonts w:hint="eastAsia" w:ascii="仿宋_GB2312" w:hAnsi="仿宋_GB2312" w:eastAsia="仿宋_GB2312" w:cs="仿宋_GB2312"/>
          <w:color w:val="auto"/>
          <w:sz w:val="32"/>
          <w:szCs w:val="32"/>
        </w:rPr>
        <w:t>用房、物业管理设施设备用房。</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物业服务办公用房建筑面积为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业主委员会办公用房建筑面积为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物业管理设施设备用房建筑面积为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（注：物业管理用房为多处时，双方可在横线处自行增加内容。）</w:t>
      </w:r>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第三条 物业</w:t>
      </w:r>
      <w:r>
        <w:rPr>
          <w:rFonts w:hint="eastAsia" w:ascii="黑体" w:hAnsi="黑体" w:eastAsia="黑体" w:cs="黑体"/>
          <w:bCs/>
          <w:color w:val="auto"/>
          <w:sz w:val="32"/>
          <w:szCs w:val="32"/>
          <w:lang w:eastAsia="zh-CN"/>
        </w:rPr>
        <w:t>管理区域内</w:t>
      </w:r>
      <w:r>
        <w:rPr>
          <w:rFonts w:hint="eastAsia" w:ascii="黑体" w:hAnsi="黑体" w:eastAsia="黑体" w:cs="黑体"/>
          <w:bCs/>
          <w:color w:val="auto"/>
          <w:sz w:val="32"/>
          <w:szCs w:val="32"/>
        </w:rPr>
        <w:t>信息</w:t>
      </w:r>
      <w:r>
        <w:rPr>
          <w:rFonts w:hint="eastAsia" w:ascii="黑体" w:hAnsi="黑体" w:eastAsia="黑体" w:cs="黑体"/>
          <w:bCs/>
          <w:color w:val="auto"/>
          <w:sz w:val="32"/>
          <w:szCs w:val="32"/>
          <w:lang w:eastAsia="zh-CN"/>
        </w:rPr>
        <w:t>的</w:t>
      </w:r>
      <w:r>
        <w:rPr>
          <w:rFonts w:hint="eastAsia" w:ascii="黑体" w:hAnsi="黑体" w:eastAsia="黑体" w:cs="黑体"/>
          <w:bCs/>
          <w:color w:val="auto"/>
          <w:sz w:val="32"/>
          <w:szCs w:val="32"/>
        </w:rPr>
        <w:t>公示</w:t>
      </w:r>
    </w:p>
    <w:p>
      <w:pPr>
        <w:snapToGrid w:val="0"/>
        <w:spacing w:line="560" w:lineRule="exact"/>
        <w:ind w:firstLine="643" w:firstLineChars="200"/>
        <w:jc w:val="left"/>
        <w:rPr>
          <w:rFonts w:ascii="仿宋_GB2312" w:hAnsi="仿宋_GB2312" w:eastAsia="仿宋_GB2312" w:cs="仿宋_GB2312"/>
          <w:b/>
          <w:bCs/>
          <w:color w:val="auto"/>
          <w:sz w:val="32"/>
          <w:szCs w:val="32"/>
        </w:rPr>
      </w:pPr>
      <w:bookmarkStart w:id="24" w:name="_Toc27770"/>
      <w:bookmarkStart w:id="25" w:name="_Toc14979"/>
      <w:bookmarkStart w:id="26" w:name="_Toc971"/>
      <w:bookmarkStart w:id="27" w:name="_Toc14268"/>
      <w:bookmarkStart w:id="28" w:name="_Toc7779"/>
      <w:r>
        <w:rPr>
          <w:rFonts w:hint="eastAsia" w:ascii="仿宋_GB2312" w:hAnsi="仿宋_GB2312" w:eastAsia="仿宋_GB2312" w:cs="仿宋_GB2312"/>
          <w:b/>
          <w:bCs/>
          <w:color w:val="auto"/>
          <w:sz w:val="32"/>
          <w:szCs w:val="32"/>
        </w:rPr>
        <w:t>（一）需</w:t>
      </w:r>
      <w:r>
        <w:rPr>
          <w:rFonts w:hint="eastAsia" w:ascii="仿宋_GB2312" w:hAnsi="仿宋_GB2312" w:eastAsia="仿宋_GB2312" w:cs="仿宋_GB2312"/>
          <w:b/>
          <w:bCs/>
          <w:color w:val="auto"/>
          <w:sz w:val="32"/>
          <w:szCs w:val="32"/>
          <w:lang w:eastAsia="zh-CN"/>
        </w:rPr>
        <w:t>持续</w:t>
      </w:r>
      <w:r>
        <w:rPr>
          <w:rFonts w:hint="eastAsia" w:ascii="仿宋_GB2312" w:hAnsi="仿宋_GB2312" w:eastAsia="仿宋_GB2312" w:cs="仿宋_GB2312"/>
          <w:b/>
          <w:bCs/>
          <w:color w:val="auto"/>
          <w:sz w:val="32"/>
          <w:szCs w:val="32"/>
        </w:rPr>
        <w:t>公示的信息</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乙方应将下列信息在本物业管理区域予以公示，并接受全体业主的监督。</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1.乙方的营业执照、项目负责人的基本情况、联系方式以及物业服务投诉电话；</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2.物业服务内容、服务标准、收费项目、收费标准、收费方式等；</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3.电梯、消防、监控、人民防空等专项设施设备的日常维修保养单位名称、资质、联系方式、应急处置方案等；</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4.业主进行房屋装饰装修活动的情况。</w:t>
      </w:r>
    </w:p>
    <w:p>
      <w:pPr>
        <w:tabs>
          <w:tab w:val="left" w:pos="5812"/>
        </w:tabs>
        <w:snapToGrid w:val="0"/>
        <w:spacing w:line="560" w:lineRule="exact"/>
        <w:ind w:firstLine="640"/>
        <w:rPr>
          <w:rFonts w:hint="eastAsia" w:ascii="仿宋_GB2312" w:hAnsi="仿宋_GB2312" w:eastAsia="仿宋_GB2312" w:cs="仿宋_GB2312"/>
          <w:color w:val="auto"/>
          <w:kern w:val="1"/>
          <w:sz w:val="32"/>
          <w:szCs w:val="32"/>
          <w:u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none"/>
          <w:lang w:eastAsia="zh-CN"/>
        </w:rPr>
        <w:t>。</w:t>
      </w:r>
    </w:p>
    <w:p>
      <w:pPr>
        <w:snapToGrid w:val="0"/>
        <w:spacing w:line="560" w:lineRule="exact"/>
        <w:ind w:firstLine="640"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上述公示信息如有发生变化，乙方应于该情况发生的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天内</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本物业管理区域进行公示。</w:t>
      </w:r>
    </w:p>
    <w:p>
      <w:pPr>
        <w:snapToGrid w:val="0"/>
        <w:spacing w:line="560" w:lineRule="exac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（二）需定期公示的信息</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乙方应将下列信息按照《条例》规定在本物业管理区域</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公示。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1.乙方应</w:t>
      </w:r>
      <w:r>
        <w:rPr>
          <w:rFonts w:hint="eastAsia" w:ascii="仿宋_GB2312" w:hAnsi="仿宋_GB2312" w:eastAsia="仿宋_GB2312" w:cs="仿宋_GB2312"/>
          <w:color w:val="auto"/>
          <w:sz w:val="32"/>
          <w:szCs w:val="32"/>
          <w:lang w:eastAsia="zh-CN"/>
        </w:rPr>
        <w:t>每年</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向本物业管理区域全体业主公布上一年度物业服务合同履行以及物业服务项目收支情况、本年度物业服务项目收支预算；</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2.乙方应每季度在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定期与物业管理信息平台共享相关数据的银行（以下简称“数据共享银行”）核对本物业管理区域业主共有资金账目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本物业管理区域内共有物业收益收支情况应当在业主共有资金账目中予以公示；</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3.乙方应每季度在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向本物业管理区域全体业主公示公共水电费用分摊情况、物业管理费与物业专项维修资金使用情况；</w:t>
      </w:r>
    </w:p>
    <w:p>
      <w:pPr>
        <w:snapToGrid w:val="0"/>
        <w:spacing w:line="56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.乙方应当将车位（库）的使用情况按月予以公示，公示内容包括可使用车位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车库使用信息等。</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第三章  物业服务内容和标准</w:t>
      </w:r>
      <w:bookmarkEnd w:id="22"/>
      <w:bookmarkEnd w:id="23"/>
      <w:bookmarkEnd w:id="24"/>
      <w:bookmarkEnd w:id="25"/>
      <w:bookmarkEnd w:id="26"/>
      <w:bookmarkEnd w:id="27"/>
      <w:bookmarkEnd w:id="28"/>
    </w:p>
    <w:p>
      <w:pPr>
        <w:pStyle w:val="2"/>
        <w:snapToGrid w:val="0"/>
        <w:spacing w:line="560" w:lineRule="exact"/>
        <w:ind w:firstLine="640" w:firstLineChars="200"/>
        <w:rPr>
          <w:rFonts w:ascii="黑体" w:hAnsi="黑体" w:eastAsia="黑体" w:cs="黑体"/>
          <w:bCs/>
          <w:color w:val="auto"/>
          <w:sz w:val="32"/>
          <w:szCs w:val="32"/>
        </w:rPr>
      </w:pPr>
      <w:bookmarkStart w:id="29" w:name="_Toc29811"/>
      <w:bookmarkStart w:id="30" w:name="_Toc1543"/>
      <w:bookmarkStart w:id="31" w:name="_Toc1013"/>
      <w:bookmarkStart w:id="32" w:name="_Toc1952"/>
      <w:bookmarkStart w:id="33" w:name="_Toc29715"/>
      <w:bookmarkStart w:id="34" w:name="_Toc12145"/>
      <w:bookmarkStart w:id="35" w:name="_Toc21194"/>
      <w:r>
        <w:rPr>
          <w:rFonts w:hint="eastAsia" w:ascii="黑体" w:hAnsi="黑体" w:eastAsia="黑体" w:cs="黑体"/>
          <w:bCs/>
          <w:color w:val="auto"/>
          <w:sz w:val="32"/>
          <w:szCs w:val="32"/>
        </w:rPr>
        <w:t>第四条 物业服务内容</w:t>
      </w:r>
      <w:bookmarkEnd w:id="29"/>
      <w:bookmarkEnd w:id="30"/>
      <w:bookmarkEnd w:id="31"/>
      <w:bookmarkEnd w:id="32"/>
      <w:bookmarkEnd w:id="33"/>
      <w:bookmarkEnd w:id="34"/>
      <w:bookmarkEnd w:id="35"/>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本物业管理区域倡导绿色、智慧物业管理。乙方应尽可能采用新技术、新方法提高物业管理质量和服务水平，营造安全、舒适、文明、和谐、美好的工作和生活环境。经甲、乙双方约定，乙方</w:t>
      </w:r>
      <w:r>
        <w:rPr>
          <w:rFonts w:hint="eastAsia" w:ascii="仿宋_GB2312" w:hAnsi="仿宋_GB2312" w:eastAsia="仿宋_GB2312" w:cs="仿宋_GB2312"/>
          <w:color w:val="auto"/>
          <w:sz w:val="32"/>
          <w:szCs w:val="32"/>
          <w:lang w:eastAsia="zh-CN"/>
        </w:rPr>
        <w:t>在本物业管理区域内</w:t>
      </w:r>
      <w:r>
        <w:rPr>
          <w:rFonts w:hint="eastAsia" w:ascii="仿宋_GB2312" w:hAnsi="仿宋_GB2312" w:eastAsia="仿宋_GB2312" w:cs="仿宋_GB2312"/>
          <w:color w:val="auto"/>
          <w:sz w:val="32"/>
          <w:szCs w:val="32"/>
        </w:rPr>
        <w:t>提供的</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包括以下内容：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的日常维护、运行（详见合同附件3）；</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（二）公共环境绿化服务；</w:t>
      </w:r>
    </w:p>
    <w:p>
      <w:pPr>
        <w:snapToGrid w:val="0"/>
        <w:spacing w:line="560" w:lineRule="exact"/>
        <w:ind w:firstLine="640" w:firstLineChars="200"/>
        <w:jc w:val="left"/>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公共</w:t>
      </w:r>
      <w:r>
        <w:rPr>
          <w:rFonts w:hint="eastAsia" w:ascii="仿宋_GB2312" w:hAnsi="仿宋_GB2312" w:eastAsia="仿宋_GB2312" w:cs="仿宋_GB2312"/>
          <w:color w:val="auto"/>
          <w:sz w:val="32"/>
          <w:szCs w:val="32"/>
        </w:rPr>
        <w:t>清洁卫生服务；</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（四）公共秩序维护；</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（五）电梯的日常维护和管理；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（六）装饰装修管理服务；</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bookmarkStart w:id="36" w:name="_Hlk18581267"/>
      <w:r>
        <w:rPr>
          <w:rFonts w:hint="eastAsia" w:ascii="仿宋_GB2312" w:hAnsi="仿宋_GB2312" w:eastAsia="仿宋_GB2312" w:cs="仿宋_GB2312"/>
          <w:color w:val="auto"/>
          <w:sz w:val="32"/>
          <w:szCs w:val="32"/>
        </w:rPr>
        <w:t>物业及设施设备查验、改造、维修、运行、保养、共有物业经营等档案资料管理；</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（八）业主、物业使用人档案资料管理；</w:t>
      </w:r>
      <w:bookmarkEnd w:id="36"/>
    </w:p>
    <w:p>
      <w:pPr>
        <w:numPr>
          <w:ilvl w:val="0"/>
          <w:numId w:val="0"/>
        </w:numPr>
        <w:snapToGrid w:val="0"/>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（九）配合</w:t>
      </w:r>
      <w:r>
        <w:rPr>
          <w:rFonts w:hint="eastAsia" w:ascii="仿宋_GB2312" w:hAnsi="仿宋_GB2312" w:eastAsia="仿宋_GB2312" w:cs="仿宋_GB2312"/>
          <w:color w:val="auto"/>
          <w:sz w:val="32"/>
          <w:szCs w:val="32"/>
          <w:lang w:eastAsia="zh-CN"/>
        </w:rPr>
        <w:t>甲方将</w:t>
      </w:r>
      <w:r>
        <w:rPr>
          <w:rFonts w:hint="eastAsia" w:ascii="仿宋_GB2312" w:hAnsi="仿宋_GB2312" w:eastAsia="仿宋_GB2312" w:cs="仿宋_GB2312"/>
          <w:color w:val="auto"/>
          <w:sz w:val="32"/>
          <w:szCs w:val="32"/>
        </w:rPr>
        <w:t>供水、排水、供电、供气、</w:t>
      </w:r>
      <w:r>
        <w:rPr>
          <w:rFonts w:hint="eastAsia" w:ascii="仿宋_GB2312" w:hAnsi="仿宋_GB2312" w:eastAsia="仿宋_GB2312" w:cs="仿宋_GB2312"/>
          <w:color w:val="auto"/>
          <w:kern w:val="1"/>
          <w:sz w:val="32"/>
          <w:szCs w:val="32"/>
        </w:rPr>
        <w:t>通讯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专营设施</w:t>
      </w:r>
      <w:r>
        <w:rPr>
          <w:rFonts w:hint="eastAsia" w:ascii="仿宋_GB2312" w:hAnsi="仿宋_GB2312" w:eastAsia="仿宋_GB2312" w:cs="仿宋_GB2312"/>
          <w:color w:val="auto"/>
          <w:sz w:val="32"/>
          <w:szCs w:val="32"/>
        </w:rPr>
        <w:t>移交</w:t>
      </w:r>
      <w:r>
        <w:rPr>
          <w:rFonts w:hint="eastAsia" w:ascii="仿宋_GB2312" w:hAnsi="仿宋_GB2312" w:eastAsia="仿宋_GB2312" w:cs="仿宋_GB2312"/>
          <w:color w:val="auto"/>
          <w:sz w:val="32"/>
          <w:szCs w:val="32"/>
          <w:lang w:eastAsia="zh-CN"/>
        </w:rPr>
        <w:t>给相关</w:t>
      </w:r>
      <w:r>
        <w:rPr>
          <w:rFonts w:hint="eastAsia" w:ascii="仿宋_GB2312" w:hAnsi="仿宋_GB2312" w:eastAsia="仿宋_GB2312" w:cs="仿宋_GB2312"/>
          <w:color w:val="auto"/>
          <w:sz w:val="32"/>
          <w:szCs w:val="32"/>
        </w:rPr>
        <w:t>专营单位</w:t>
      </w:r>
      <w:r>
        <w:rPr>
          <w:rFonts w:hint="eastAsia" w:ascii="仿宋_GB2312" w:hAnsi="仿宋_GB2312" w:eastAsia="仿宋_GB2312" w:cs="仿宋_GB2312"/>
          <w:color w:val="auto"/>
          <w:sz w:val="32"/>
          <w:szCs w:val="32"/>
          <w:lang w:eastAsia="zh-CN"/>
        </w:rPr>
        <w:t>；</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（十）配合</w:t>
      </w:r>
      <w:r>
        <w:rPr>
          <w:rFonts w:hint="eastAsia" w:ascii="仿宋_GB2312" w:hAnsi="仿宋_GB2312" w:eastAsia="仿宋_GB2312" w:cs="仿宋_GB2312"/>
          <w:color w:val="auto"/>
          <w:sz w:val="32"/>
          <w:szCs w:val="32"/>
        </w:rPr>
        <w:t>供水、排水、供电、供气、</w:t>
      </w:r>
      <w:r>
        <w:rPr>
          <w:rFonts w:hint="eastAsia" w:ascii="仿宋_GB2312" w:hAnsi="仿宋_GB2312" w:eastAsia="仿宋_GB2312" w:cs="仿宋_GB2312"/>
          <w:color w:val="auto"/>
          <w:kern w:val="1"/>
          <w:sz w:val="32"/>
          <w:szCs w:val="32"/>
        </w:rPr>
        <w:t>通讯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相关专营单位进行管理</w:t>
      </w:r>
      <w:r>
        <w:rPr>
          <w:rFonts w:hint="eastAsia" w:ascii="仿宋_GB2312" w:hAnsi="仿宋_GB2312" w:eastAsia="仿宋_GB2312" w:cs="仿宋_GB2312"/>
          <w:color w:val="auto"/>
          <w:sz w:val="32"/>
          <w:szCs w:val="32"/>
        </w:rPr>
        <w:t>养护、改造相关设施设备或设置管线；</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（十一）配合住建、城管、消防、公安、环保、水务等相关政府部门做好房屋安全、文明养宠、垃圾分类、消防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治安、公共卫生等事务；</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bookmarkStart w:id="37" w:name="_Hlk18581284"/>
      <w:r>
        <w:rPr>
          <w:rFonts w:hint="eastAsia" w:ascii="仿宋_GB2312" w:hAnsi="仿宋_GB2312" w:eastAsia="仿宋_GB2312" w:cs="仿宋_GB2312"/>
          <w:color w:val="auto"/>
          <w:sz w:val="32"/>
          <w:szCs w:val="32"/>
        </w:rPr>
        <w:t>物业使用禁止性行为的管理；</w:t>
      </w:r>
    </w:p>
    <w:bookmarkEnd w:id="37"/>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）按照法律、法规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规定和</w:t>
      </w: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rPr>
        <w:t>管理规约、业主大会决定委托的其他</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事项。</w:t>
      </w:r>
    </w:p>
    <w:p>
      <w:pPr>
        <w:pStyle w:val="2"/>
        <w:snapToGrid w:val="0"/>
        <w:spacing w:line="560" w:lineRule="exact"/>
        <w:ind w:firstLine="640" w:firstLineChars="200"/>
        <w:rPr>
          <w:rFonts w:ascii="黑体" w:hAnsi="黑体" w:eastAsia="黑体" w:cs="黑体"/>
          <w:bCs/>
          <w:color w:val="auto"/>
          <w:sz w:val="32"/>
          <w:szCs w:val="32"/>
        </w:rPr>
      </w:pPr>
      <w:bookmarkStart w:id="38" w:name="_Toc9874"/>
      <w:bookmarkStart w:id="39" w:name="_Toc1854"/>
      <w:bookmarkStart w:id="40" w:name="_Toc28319"/>
      <w:bookmarkStart w:id="41" w:name="_Toc31324"/>
      <w:bookmarkStart w:id="42" w:name="_Toc14304"/>
      <w:bookmarkStart w:id="43" w:name="_Toc24492"/>
      <w:bookmarkStart w:id="44" w:name="_Toc13645"/>
      <w:r>
        <w:rPr>
          <w:rFonts w:hint="eastAsia" w:ascii="黑体" w:hAnsi="黑体" w:eastAsia="黑体" w:cs="黑体"/>
          <w:bCs/>
          <w:color w:val="auto"/>
          <w:sz w:val="32"/>
          <w:szCs w:val="32"/>
        </w:rPr>
        <w:t>第五条 物业服务标准</w:t>
      </w:r>
      <w:bookmarkEnd w:id="38"/>
      <w:bookmarkEnd w:id="39"/>
      <w:bookmarkEnd w:id="40"/>
      <w:bookmarkEnd w:id="41"/>
      <w:bookmarkEnd w:id="42"/>
      <w:bookmarkEnd w:id="43"/>
      <w:bookmarkEnd w:id="44"/>
    </w:p>
    <w:p>
      <w:pPr>
        <w:snapToGrid w:val="0"/>
        <w:spacing w:line="560" w:lineRule="exact"/>
        <w:ind w:firstLine="6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（一）乙方按照本合同双方约定的</w:t>
      </w:r>
      <w:r>
        <w:rPr>
          <w:rFonts w:hint="eastAsia" w:ascii="仿宋_GB2312" w:hAnsi="仿宋_GB2312" w:eastAsia="仿宋_GB2312" w:cs="仿宋_GB2312"/>
          <w:bCs/>
          <w:color w:val="auto"/>
          <w:sz w:val="32"/>
          <w:szCs w:val="32"/>
        </w:rPr>
        <w:t>物业服务标准（详见合同附件4）</w:t>
      </w:r>
      <w:r>
        <w:rPr>
          <w:rFonts w:hint="eastAsia" w:ascii="仿宋_GB2312" w:hAnsi="仿宋_GB2312" w:eastAsia="仿宋_GB2312" w:cs="仿宋_GB2312"/>
          <w:color w:val="auto"/>
          <w:sz w:val="32"/>
          <w:szCs w:val="32"/>
        </w:rPr>
        <w:t>提供物业服务，并将物业服务标准</w:t>
      </w:r>
      <w:bookmarkStart w:id="45" w:name="_Hlk23419931"/>
      <w:r>
        <w:rPr>
          <w:rFonts w:hint="eastAsia" w:ascii="仿宋_GB2312" w:hAnsi="仿宋_GB2312" w:eastAsia="仿宋_GB2312" w:cs="仿宋_GB2312"/>
          <w:color w:val="auto"/>
          <w:sz w:val="32"/>
          <w:szCs w:val="32"/>
        </w:rPr>
        <w:t>在本物业管理区域内</w:t>
      </w:r>
      <w:bookmarkEnd w:id="45"/>
      <w:r>
        <w:rPr>
          <w:rFonts w:hint="eastAsia" w:ascii="仿宋_GB2312" w:hAnsi="仿宋_GB2312" w:eastAsia="仿宋_GB2312" w:cs="仿宋_GB2312"/>
          <w:color w:val="auto"/>
          <w:sz w:val="32"/>
          <w:szCs w:val="32"/>
        </w:rPr>
        <w:t>进行公示。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本物业管理区域内业主每月</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依据《深圳市住宅小区业主满意度评价管理暂行办法》的规定对乙方当月物业管理服务进行业主满意度评价。</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bookmarkStart w:id="46" w:name="_Hlk18581344"/>
      <w:r>
        <w:rPr>
          <w:rFonts w:hint="eastAsia" w:ascii="仿宋_GB2312" w:hAnsi="仿宋_GB2312" w:eastAsia="仿宋_GB2312" w:cs="仿宋_GB2312"/>
          <w:color w:val="auto"/>
          <w:sz w:val="32"/>
          <w:szCs w:val="32"/>
        </w:rPr>
        <w:t>本物业管理区域</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实行项目负责人制度。</w:t>
      </w:r>
      <w:bookmarkEnd w:id="46"/>
      <w:r>
        <w:rPr>
          <w:rFonts w:hint="eastAsia" w:ascii="仿宋_GB2312" w:hAnsi="仿宋_GB2312" w:eastAsia="仿宋_GB2312" w:cs="仿宋_GB2312"/>
          <w:color w:val="auto"/>
          <w:sz w:val="32"/>
          <w:szCs w:val="32"/>
        </w:rPr>
        <w:t>乙方指定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为本物业管理区域的项目负责人</w:t>
      </w:r>
      <w:bookmarkStart w:id="47" w:name="_Hlk18581379"/>
      <w:r>
        <w:rPr>
          <w:rFonts w:hint="eastAsia" w:ascii="仿宋_GB2312" w:hAnsi="仿宋_GB2312" w:eastAsia="仿宋_GB2312" w:cs="仿宋_GB2312"/>
          <w:color w:val="auto"/>
          <w:sz w:val="32"/>
          <w:szCs w:val="32"/>
        </w:rPr>
        <w:t>，负责本物业管理区域的整体运营和管理。</w:t>
      </w:r>
    </w:p>
    <w:bookmarkEnd w:id="47"/>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乙方如更换项目负责人，应当及时告知</w:t>
      </w:r>
      <w:r>
        <w:rPr>
          <w:rFonts w:hint="eastAsia" w:ascii="仿宋_GB2312" w:hAnsi="仿宋_GB2312" w:eastAsia="仿宋_GB2312" w:cs="仿宋_GB2312"/>
          <w:color w:val="auto"/>
          <w:sz w:val="32"/>
          <w:szCs w:val="32"/>
          <w:lang w:eastAsia="zh-CN"/>
        </w:rPr>
        <w:t>业主委员会</w:t>
      </w:r>
      <w:r>
        <w:rPr>
          <w:rFonts w:hint="eastAsia" w:ascii="仿宋_GB2312" w:hAnsi="仿宋_GB2312" w:eastAsia="仿宋_GB2312" w:cs="仿宋_GB2312"/>
          <w:color w:val="auto"/>
          <w:sz w:val="32"/>
          <w:szCs w:val="32"/>
        </w:rPr>
        <w:t>并按照《条例》规定予以公示。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（三）乙方应听取甲方、业主对乙方项目负责人的评价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结合相应评价，督促项目负责人依法依规承担相关责任，改进服务，提升业主满意度。</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bookmarkStart w:id="48" w:name="_Toc32750"/>
      <w:bookmarkStart w:id="49" w:name="_Toc1623"/>
      <w:bookmarkStart w:id="50" w:name="_Toc15979"/>
      <w:bookmarkStart w:id="51" w:name="_Toc19665"/>
      <w:bookmarkStart w:id="52" w:name="_Toc3038"/>
      <w:bookmarkStart w:id="53" w:name="_Toc12955"/>
      <w:bookmarkStart w:id="54" w:name="_Toc714"/>
      <w:r>
        <w:rPr>
          <w:rFonts w:hint="eastAsia" w:ascii="宋体" w:hAnsi="宋体" w:eastAsia="宋体" w:cs="宋体"/>
          <w:color w:val="auto"/>
          <w:sz w:val="32"/>
          <w:szCs w:val="32"/>
        </w:rPr>
        <w:t xml:space="preserve">第四章 </w:t>
      </w:r>
      <w:bookmarkEnd w:id="48"/>
      <w:bookmarkEnd w:id="49"/>
      <w:bookmarkEnd w:id="50"/>
      <w:bookmarkEnd w:id="51"/>
      <w:r>
        <w:rPr>
          <w:rFonts w:hint="eastAsia" w:ascii="宋体" w:hAnsi="宋体" w:eastAsia="宋体" w:cs="宋体"/>
          <w:color w:val="auto"/>
          <w:sz w:val="32"/>
          <w:szCs w:val="32"/>
        </w:rPr>
        <w:t xml:space="preserve"> 物业服务相关费用</w:t>
      </w:r>
      <w:bookmarkEnd w:id="52"/>
      <w:bookmarkEnd w:id="53"/>
      <w:bookmarkEnd w:id="54"/>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第六条 业主共有资金主要包括：</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（一）共有物业收益； </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（二）物业专项维修资金；</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（三）物业管理费；</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（四）业主依据本物业管理区域管理规约或者业主大会决定分摊的费用；</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（五）其他合法收入</w:t>
      </w:r>
      <w:bookmarkStart w:id="55" w:name="_Hlk23419966"/>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bookmarkEnd w:id="55"/>
    <w:p>
      <w:pPr>
        <w:pStyle w:val="2"/>
        <w:snapToGrid w:val="0"/>
        <w:spacing w:line="560" w:lineRule="exact"/>
        <w:ind w:firstLine="640" w:firstLineChars="200"/>
        <w:rPr>
          <w:rFonts w:ascii="黑体" w:hAnsi="黑体" w:eastAsia="黑体" w:cs="黑体"/>
          <w:bCs/>
          <w:color w:val="auto"/>
          <w:sz w:val="32"/>
          <w:szCs w:val="32"/>
        </w:rPr>
      </w:pPr>
      <w:bookmarkStart w:id="56" w:name="_Toc26160"/>
      <w:bookmarkStart w:id="57" w:name="_Toc22004"/>
      <w:bookmarkStart w:id="58" w:name="_Toc822"/>
      <w:r>
        <w:rPr>
          <w:rFonts w:hint="eastAsia" w:ascii="黑体" w:hAnsi="黑体" w:eastAsia="黑体" w:cs="黑体"/>
          <w:bCs/>
          <w:color w:val="auto"/>
          <w:sz w:val="32"/>
          <w:szCs w:val="32"/>
        </w:rPr>
        <w:t>第七条 业主共有资金管理</w:t>
      </w:r>
      <w:bookmarkEnd w:id="56"/>
      <w:bookmarkEnd w:id="57"/>
      <w:bookmarkEnd w:id="58"/>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本物业管理区域业主共有资金账户采用□业主共有资金基本账户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业主共有资金共管账户。</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（一）对于采用业主共有资金基本账户的，乙方</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kern w:val="1"/>
          <w:sz w:val="32"/>
          <w:szCs w:val="32"/>
        </w:rPr>
        <w:t>在</w:t>
      </w:r>
      <w:r>
        <w:rPr>
          <w:rFonts w:hint="eastAsia" w:ascii="仿宋_GB2312" w:hAnsi="仿宋_GB2312" w:eastAsia="仿宋_GB2312" w:cs="仿宋_GB2312"/>
          <w:color w:val="auto"/>
          <w:kern w:val="1"/>
          <w:sz w:val="32"/>
          <w:szCs w:val="32"/>
          <w:lang w:eastAsia="zh-CN"/>
        </w:rPr>
        <w:t>本</w:t>
      </w:r>
      <w:r>
        <w:rPr>
          <w:rFonts w:hint="eastAsia" w:ascii="仿宋_GB2312" w:hAnsi="仿宋_GB2312" w:eastAsia="仿宋_GB2312" w:cs="仿宋_GB2312"/>
          <w:color w:val="auto"/>
          <w:kern w:val="1"/>
          <w:sz w:val="32"/>
          <w:szCs w:val="32"/>
        </w:rPr>
        <w:t>物业管理区域设立独立核算的服务机构</w:t>
      </w:r>
      <w:r>
        <w:rPr>
          <w:rFonts w:hint="eastAsia" w:ascii="仿宋_GB2312" w:hAnsi="仿宋_GB2312" w:eastAsia="仿宋_GB2312" w:cs="仿宋_GB2312"/>
          <w:color w:val="auto"/>
          <w:sz w:val="32"/>
          <w:szCs w:val="32"/>
        </w:rPr>
        <w:t>，甲方按月向乙方支付相关费用。</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对于采用业主共有资金共管账户的，乙方应当自本合同生效的十日内在数据共享银行设立本物业管理区域的业主共有资金共管账户。</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bookmarkStart w:id="59" w:name="_Hlk18582575"/>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应在本物业管理区域建立财务管理制度，并负责保管</w:t>
      </w:r>
      <w:r>
        <w:rPr>
          <w:rFonts w:hint="eastAsia" w:ascii="仿宋_GB2312" w:hAnsi="仿宋_GB2312" w:eastAsia="仿宋_GB2312" w:cs="仿宋_GB2312"/>
          <w:color w:val="auto"/>
          <w:sz w:val="32"/>
          <w:szCs w:val="32"/>
        </w:rPr>
        <w:t>会计凭证、会计账簿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财务会计报告</w:t>
      </w:r>
      <w:r>
        <w:rPr>
          <w:rFonts w:hint="eastAsia" w:ascii="仿宋_GB2312" w:hAnsi="仿宋_GB2312" w:eastAsia="仿宋_GB2312" w:cs="仿宋_GB2312"/>
          <w:color w:val="auto"/>
          <w:sz w:val="32"/>
          <w:szCs w:val="32"/>
          <w:lang w:eastAsia="zh-CN"/>
        </w:rPr>
        <w:t>等有关财务资料。</w:t>
      </w:r>
      <w:r>
        <w:rPr>
          <w:rFonts w:hint="eastAsia" w:ascii="仿宋_GB2312" w:hAnsi="仿宋_GB2312" w:eastAsia="仿宋_GB2312" w:cs="仿宋_GB2312"/>
          <w:color w:val="auto"/>
          <w:sz w:val="32"/>
          <w:szCs w:val="32"/>
        </w:rPr>
        <w:t>当甲方对业主共有资金进行审计时，乙方应予以配合，不得转移、隐匿、篡改、毁弃、或消极提供会计凭证、会计账簿、财务会计报告以及其他与财务收支有关的资料。</w:t>
      </w:r>
      <w:bookmarkEnd w:id="59"/>
      <w:bookmarkStart w:id="60" w:name="_Hlk18582560"/>
      <w:r>
        <w:rPr>
          <w:rFonts w:hint="eastAsia" w:ascii="仿宋_GB2312" w:hAnsi="仿宋_GB2312" w:eastAsia="仿宋_GB2312" w:cs="仿宋_GB2312"/>
          <w:color w:val="auto"/>
          <w:sz w:val="32"/>
          <w:szCs w:val="32"/>
        </w:rPr>
        <w:t>审计费用从业主共有资金中列支。</w:t>
      </w:r>
      <w:bookmarkEnd w:id="60"/>
      <w:r>
        <w:rPr>
          <w:rFonts w:hint="eastAsia" w:ascii="仿宋_GB2312" w:hAnsi="仿宋_GB2312" w:eastAsia="仿宋_GB2312" w:cs="仿宋_GB2312"/>
          <w:color w:val="auto"/>
          <w:sz w:val="32"/>
          <w:szCs w:val="32"/>
        </w:rPr>
        <w:t xml:space="preserve"> </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（三）未经业主大会决定或者授权，任何单位和个人不得使用业主共有资金。</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（四）业主共有资金除银行储蓄或者依法购买国债外，不得用于其他投资，不得借贷给他人或者为他人提供担保。</w:t>
      </w:r>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第八条 业主共有资金的支出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除物业专项维修资金外，本物业管理区域的业主共有资金</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用于下列支出：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（一）业主委员会委员津贴、业主大会聘请人员的费用；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（二）经业主大会会议决定的其他年度预算支出；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（三）乙方</w:t>
      </w:r>
      <w:r>
        <w:rPr>
          <w:rFonts w:hint="eastAsia" w:ascii="仿宋_GB2312" w:hAnsi="仿宋_GB2312" w:eastAsia="仿宋_GB2312" w:cs="仿宋_GB2312"/>
          <w:color w:val="auto"/>
          <w:sz w:val="32"/>
          <w:szCs w:val="32"/>
          <w:lang w:eastAsia="zh-CN"/>
        </w:rPr>
        <w:t>为本物业管理区域提供</w:t>
      </w:r>
      <w:r>
        <w:rPr>
          <w:rFonts w:hint="eastAsia" w:ascii="仿宋_GB2312" w:hAnsi="仿宋_GB2312" w:eastAsia="仿宋_GB2312" w:cs="仿宋_GB2312"/>
          <w:color w:val="auto"/>
          <w:sz w:val="32"/>
          <w:szCs w:val="32"/>
        </w:rPr>
        <w:t>管理服务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人员工资、社会保险和按规定提取的福利费等；</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宋体" w:eastAsia="仿宋_GB2312"/>
          <w:color w:val="auto"/>
          <w:sz w:val="32"/>
          <w:szCs w:val="32"/>
        </w:rPr>
        <w:t>附属配套建筑和设施的维修、养护和管理费用</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的日常运行、维护费用；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清洁卫生、绿化养护、秩序维护费用；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的公众责任保险费用；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（八）物业服务费；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eastAsia="zh-CN"/>
        </w:rPr>
        <w:t>乙方在本物业管理区域的办公费用及</w:t>
      </w:r>
      <w:r>
        <w:rPr>
          <w:rFonts w:hint="eastAsia" w:ascii="仿宋_GB2312" w:hAnsi="仿宋_GB2312" w:eastAsia="仿宋_GB2312" w:cs="仿宋_GB2312"/>
          <w:color w:val="auto"/>
          <w:sz w:val="32"/>
          <w:szCs w:val="32"/>
        </w:rPr>
        <w:t>固定资产折旧；</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（十）业主大会经营收入的法定税费；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（十一）补充物业专项维修资金；</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（十二）其他费用：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w:t>
      </w:r>
      <w:r>
        <w:rPr>
          <w:rFonts w:hint="eastAsia" w:ascii="仿宋_GB2312" w:hAnsi="仿宋_GB2312" w:eastAsia="仿宋_GB2312" w:cs="仿宋_GB2312"/>
          <w:color w:val="auto"/>
          <w:kern w:val="2"/>
          <w:sz w:val="32"/>
          <w:szCs w:val="32"/>
        </w:rPr>
        <w:t>业主大会会议决定或者依法应当支出的其他费用。</w:t>
      </w:r>
    </w:p>
    <w:p>
      <w:pPr>
        <w:pStyle w:val="2"/>
        <w:snapToGrid w:val="0"/>
        <w:spacing w:line="560" w:lineRule="exact"/>
        <w:ind w:firstLine="640" w:firstLineChars="200"/>
        <w:rPr>
          <w:rFonts w:ascii="仿宋" w:hAnsi="仿宋" w:eastAsia="仿宋" w:cs="仿宋"/>
          <w:b/>
          <w:color w:val="auto"/>
          <w:sz w:val="32"/>
          <w:szCs w:val="32"/>
        </w:rPr>
      </w:pPr>
      <w:r>
        <w:rPr>
          <w:rFonts w:hint="eastAsia" w:ascii="黑体" w:hAnsi="黑体" w:eastAsia="黑体" w:cs="黑体"/>
          <w:bCs/>
          <w:color w:val="auto"/>
          <w:sz w:val="32"/>
          <w:szCs w:val="32"/>
        </w:rPr>
        <w:t>第九条 物业管理费支付标准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业主应按其拥有物业的建筑面积进行支付，具体标准如下：</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[多层住宅]：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[高层住宅]：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[别墅]：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[公寓]：</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[办公楼]：</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[商业物业]：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物业：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lang w:val="en-US" w:eastAsia="zh-CN"/>
        </w:rPr>
        <w:t>每年物业管理费总收入约</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万元。</w:t>
      </w:r>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第十条 物业管理费的支付方式与违约金</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（一）业主应在每月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前（日期）向业主共有资金账户支付物业管理费。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（二）业主应当按照本合同约定按时足额支付物业管理费，逾期不支付物业管理费的，甲、乙双方应积极督促。</w:t>
      </w:r>
      <w:r>
        <w:rPr>
          <w:rFonts w:hint="eastAsia" w:ascii="仿宋_GB2312" w:hAnsi="仿宋_GB2312" w:eastAsia="仿宋_GB2312" w:cs="仿宋_GB2312"/>
          <w:color w:val="auto"/>
          <w:sz w:val="32"/>
          <w:szCs w:val="32"/>
          <w:lang w:eastAsia="zh-CN"/>
        </w:rPr>
        <w:t>经督促仍不支付的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甲方可要求该</w:t>
      </w:r>
      <w:r>
        <w:rPr>
          <w:rFonts w:hint="eastAsia" w:ascii="仿宋_GB2312" w:hAnsi="仿宋_GB2312" w:eastAsia="仿宋_GB2312" w:cs="仿宋_GB2312"/>
          <w:color w:val="auto"/>
          <w:sz w:val="32"/>
          <w:szCs w:val="32"/>
        </w:rPr>
        <w:t>业主按照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标准支付违约金。该违约金系业主共有资金，违约方应直接支付至业主共有资金账户。</w:t>
      </w:r>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第十一条</w:t>
      </w:r>
      <w:bookmarkStart w:id="61" w:name="_Hlk18582597"/>
      <w:r>
        <w:rPr>
          <w:rFonts w:hint="eastAsia" w:ascii="黑体" w:hAnsi="黑体" w:eastAsia="黑体" w:cs="黑体"/>
          <w:bCs/>
          <w:color w:val="auto"/>
          <w:sz w:val="32"/>
          <w:szCs w:val="32"/>
        </w:rPr>
        <w:t xml:space="preserve"> 物业服务费</w:t>
      </w:r>
      <w:bookmarkEnd w:id="61"/>
      <w:r>
        <w:rPr>
          <w:rFonts w:hint="eastAsia" w:ascii="黑体" w:hAnsi="黑体" w:eastAsia="黑体" w:cs="黑体"/>
          <w:bCs/>
          <w:color w:val="auto"/>
          <w:sz w:val="32"/>
          <w:szCs w:val="32"/>
        </w:rPr>
        <w:t>的提取标准和方式</w:t>
      </w:r>
    </w:p>
    <w:p>
      <w:pPr>
        <w:snapToGrid w:val="0"/>
        <w:spacing w:line="560" w:lineRule="exact"/>
        <w:ind w:firstLine="640" w:firstLineChars="200"/>
        <w:rPr>
          <w:rFonts w:ascii="仿宋_GB2312" w:hAnsi="仿宋_GB2312" w:eastAsia="仿宋_GB2312" w:cs="仿宋_GB2312"/>
          <w:b/>
          <w:color w:val="auto"/>
          <w:sz w:val="32"/>
          <w:szCs w:val="32"/>
        </w:rPr>
      </w:pPr>
      <w:bookmarkStart w:id="62" w:name="_Hlk18582637"/>
      <w:r>
        <w:rPr>
          <w:rFonts w:hint="eastAsia" w:ascii="仿宋_GB2312" w:hAnsi="仿宋_GB2312" w:eastAsia="仿宋_GB2312" w:cs="仿宋_GB2312"/>
          <w:color w:val="auto"/>
          <w:sz w:val="32"/>
          <w:szCs w:val="32"/>
        </w:rPr>
        <w:t>乙方按本合同第九条约定预收的物业管理费中按下述第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种方式提取物业服务费，其余全部用于业主大会决议或</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合同约定的支出，结余或者不足均由本物业</w:t>
      </w:r>
      <w:r>
        <w:rPr>
          <w:rFonts w:hint="eastAsia" w:ascii="仿宋_GB2312" w:hAnsi="仿宋_GB2312" w:eastAsia="仿宋_GB2312" w:cs="仿宋_GB2312"/>
          <w:color w:val="auto"/>
          <w:sz w:val="32"/>
          <w:szCs w:val="32"/>
          <w:lang w:eastAsia="zh-CN"/>
        </w:rPr>
        <w:t>管理区域</w:t>
      </w:r>
      <w:r>
        <w:rPr>
          <w:rFonts w:hint="eastAsia" w:ascii="仿宋_GB2312" w:hAnsi="仿宋_GB2312" w:eastAsia="仿宋_GB2312" w:cs="仿宋_GB2312"/>
          <w:color w:val="auto"/>
          <w:sz w:val="32"/>
          <w:szCs w:val="32"/>
        </w:rPr>
        <w:t>全体业主共同享有或者承担。</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（一）每月</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日前在预收的物业管理费用中按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%的比例提取物业服务费。</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（二）每月</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日前在预收的物业管理费用中提取</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万元的物业服务费。</w:t>
      </w:r>
      <w:bookmarkEnd w:id="62"/>
    </w:p>
    <w:p>
      <w:pPr>
        <w:pStyle w:val="2"/>
        <w:snapToGrid w:val="0"/>
        <w:spacing w:line="560" w:lineRule="exact"/>
        <w:ind w:firstLine="640" w:firstLineChars="200"/>
        <w:rPr>
          <w:rFonts w:ascii="黑体" w:hAnsi="黑体" w:eastAsia="黑体" w:cs="黑体"/>
          <w:bCs/>
          <w:color w:val="auto"/>
          <w:sz w:val="32"/>
          <w:szCs w:val="32"/>
        </w:rPr>
      </w:pPr>
      <w:bookmarkStart w:id="63" w:name="_Hlk18583738"/>
      <w:r>
        <w:rPr>
          <w:rFonts w:hint="eastAsia" w:ascii="黑体" w:hAnsi="黑体" w:eastAsia="黑体" w:cs="黑体"/>
          <w:bCs/>
          <w:color w:val="auto"/>
          <w:sz w:val="32"/>
          <w:szCs w:val="32"/>
        </w:rPr>
        <w:t>第十二条 停车位（库）的</w:t>
      </w:r>
      <w:r>
        <w:rPr>
          <w:rFonts w:hint="eastAsia" w:ascii="黑体" w:hAnsi="黑体" w:eastAsia="黑体" w:cs="黑体"/>
          <w:bCs/>
          <w:color w:val="auto"/>
          <w:sz w:val="32"/>
          <w:szCs w:val="32"/>
          <w:lang w:eastAsia="zh-CN"/>
        </w:rPr>
        <w:t>管理服务</w:t>
      </w:r>
      <w:r>
        <w:rPr>
          <w:rFonts w:hint="eastAsia" w:ascii="黑体" w:hAnsi="黑体" w:eastAsia="黑体" w:cs="黑体"/>
          <w:bCs/>
          <w:color w:val="auto"/>
          <w:sz w:val="32"/>
          <w:szCs w:val="32"/>
        </w:rPr>
        <w:t>及相关费用</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 xml:space="preserve">（一）停车场收费主要涉及机动车停放服务费和停车位（库）管理服务费。具体收费标准按照合同附件5《停车位（库）管理服务及相关费用协议》进行收取。 </w:t>
      </w:r>
      <w:r>
        <w:rPr>
          <w:rFonts w:hint="eastAsia" w:ascii="仿宋_GB2312" w:hAnsi="仿宋_GB2312" w:eastAsia="仿宋_GB2312" w:cs="仿宋_GB2312"/>
          <w:color w:val="auto"/>
          <w:kern w:val="0"/>
          <w:sz w:val="32"/>
          <w:szCs w:val="32"/>
        </w:rPr>
        <w:t xml:space="preserve"> </w:t>
      </w:r>
    </w:p>
    <w:p>
      <w:pPr>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（二）业主对机动车车辆停放有保管要求的，</w:t>
      </w:r>
      <w:r>
        <w:rPr>
          <w:rFonts w:hint="eastAsia" w:ascii="仿宋_GB2312" w:hAnsi="仿宋_GB2312" w:eastAsia="仿宋_GB2312" w:cs="仿宋_GB2312"/>
          <w:color w:val="auto"/>
          <w:kern w:val="0"/>
          <w:sz w:val="32"/>
          <w:szCs w:val="32"/>
          <w:lang w:eastAsia="zh-CN"/>
        </w:rPr>
        <w:t>可</w:t>
      </w:r>
      <w:r>
        <w:rPr>
          <w:rFonts w:hint="eastAsia" w:ascii="仿宋_GB2312" w:hAnsi="仿宋_GB2312" w:eastAsia="仿宋_GB2312" w:cs="仿宋_GB2312"/>
          <w:color w:val="auto"/>
          <w:kern w:val="0"/>
          <w:sz w:val="32"/>
          <w:szCs w:val="32"/>
        </w:rPr>
        <w:t>与乙方另行约定。</w:t>
      </w:r>
    </w:p>
    <w:bookmarkEnd w:id="63"/>
    <w:p>
      <w:pPr>
        <w:pStyle w:val="2"/>
        <w:snapToGrid w:val="0"/>
        <w:spacing w:line="560" w:lineRule="exact"/>
        <w:ind w:firstLine="640" w:firstLineChars="200"/>
        <w:rPr>
          <w:rFonts w:ascii="黑体" w:hAnsi="黑体" w:eastAsia="黑体" w:cs="黑体"/>
          <w:bCs/>
          <w:color w:val="auto"/>
          <w:sz w:val="32"/>
          <w:szCs w:val="32"/>
        </w:rPr>
      </w:pPr>
      <w:bookmarkStart w:id="64" w:name="_Toc8104"/>
      <w:bookmarkStart w:id="65" w:name="_Toc9634"/>
      <w:bookmarkStart w:id="66" w:name="_Toc13397"/>
      <w:bookmarkStart w:id="67" w:name="_Toc25136"/>
      <w:r>
        <w:rPr>
          <w:rFonts w:hint="eastAsia" w:ascii="黑体" w:hAnsi="黑体" w:eastAsia="黑体" w:cs="黑体"/>
          <w:bCs/>
          <w:color w:val="auto"/>
          <w:sz w:val="32"/>
          <w:szCs w:val="32"/>
        </w:rPr>
        <w:t>第十三条 物业专项维修资金管理</w:t>
      </w:r>
      <w:bookmarkEnd w:id="64"/>
      <w:bookmarkEnd w:id="65"/>
      <w:bookmarkEnd w:id="66"/>
      <w:bookmarkEnd w:id="67"/>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bookmarkStart w:id="68" w:name="_Hlk21432491"/>
      <w:r>
        <w:rPr>
          <w:rFonts w:hint="eastAsia" w:ascii="仿宋_GB2312" w:hAnsi="仿宋_GB2312" w:eastAsia="仿宋_GB2312" w:cs="仿宋_GB2312"/>
          <w:color w:val="auto"/>
          <w:sz w:val="32"/>
          <w:szCs w:val="32"/>
        </w:rPr>
        <w:t>业主应当按照法律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法规规定或业主大会决议缴纳和续筹物业专项维修资金。</w:t>
      </w:r>
      <w:bookmarkEnd w:id="68"/>
    </w:p>
    <w:p>
      <w:pPr>
        <w:snapToGrid w:val="0"/>
        <w:spacing w:line="560" w:lineRule="exact"/>
        <w:ind w:firstLine="640" w:firstLineChars="200"/>
        <w:jc w:val="left"/>
        <w:rPr>
          <w:rFonts w:ascii="仿宋_GB2312" w:hAnsi="仿宋_GB2312" w:eastAsia="仿宋_GB2312" w:cs="仿宋_GB2312"/>
          <w:color w:val="auto"/>
          <w:sz w:val="32"/>
          <w:szCs w:val="32"/>
        </w:rPr>
      </w:pPr>
      <w:bookmarkStart w:id="69" w:name="_Hlk21432588"/>
      <w:r>
        <w:rPr>
          <w:rFonts w:hint="eastAsia" w:ascii="仿宋_GB2312" w:hAnsi="仿宋_GB2312" w:eastAsia="仿宋_GB2312" w:cs="仿宋_GB2312"/>
          <w:color w:val="auto"/>
          <w:sz w:val="32"/>
          <w:szCs w:val="32"/>
        </w:rPr>
        <w:t>（二）物业专项维修资金</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用于本物业管理区域内</w:t>
      </w:r>
      <w:r>
        <w:rPr>
          <w:rFonts w:hint="eastAsia" w:ascii="仿宋_GB2312" w:hAnsi="仿宋_GB2312" w:eastAsia="仿宋_GB2312" w:cs="仿宋_GB2312"/>
          <w:color w:val="auto"/>
          <w:sz w:val="32"/>
          <w:szCs w:val="32"/>
          <w:lang w:eastAsia="zh-CN"/>
        </w:rPr>
        <w:t>共有物业、共用设施设备</w:t>
      </w:r>
      <w:r>
        <w:rPr>
          <w:rFonts w:hint="eastAsia" w:ascii="仿宋_GB2312" w:hAnsi="仿宋_GB2312" w:eastAsia="仿宋_GB2312" w:cs="仿宋_GB2312"/>
          <w:color w:val="auto"/>
          <w:sz w:val="32"/>
          <w:szCs w:val="32"/>
        </w:rPr>
        <w:t>的安全检测鉴定、维修、更新和改造。</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（三）业主大会决定不将本物业管理区域日常收取的专项维修资金移交市物业专项维修资金管理机构统一管理的，乙方应当配合存入业主共有资金账户，</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由业主大会自行依法依规进行管理。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（四）本物业管理区域业主未按照规定缴纳物业专项维修资金的，由业主委员会进行催缴，乙方也可以接受业主委员会委托代为催缴。</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（五）本合同第八条约定的属于业主共有资金支出范围的，不得使用物业专项维修资金支出。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（六）甲、乙双方应依法依规使用和管理物业专项维修资金。</w:t>
      </w:r>
      <w:bookmarkEnd w:id="69"/>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第十四条 共有物业收益</w:t>
      </w:r>
    </w:p>
    <w:p>
      <w:pPr>
        <w:numPr>
          <w:ilvl w:val="0"/>
          <w:numId w:val="0"/>
        </w:numPr>
        <w:snapToGrid w:val="0"/>
        <w:spacing w:line="560" w:lineRule="exac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共有物业、共用设施设备</w:t>
      </w:r>
      <w:r>
        <w:rPr>
          <w:rFonts w:hint="eastAsia" w:ascii="仿宋_GB2312" w:hAnsi="仿宋_GB2312" w:eastAsia="仿宋_GB2312" w:cs="仿宋_GB2312"/>
          <w:b/>
          <w:bCs/>
          <w:color w:val="auto"/>
          <w:sz w:val="32"/>
          <w:szCs w:val="32"/>
        </w:rPr>
        <w:t>经营业务收入</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1.利用</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进行经营，所得收益依法</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全体业主共有。</w:t>
      </w:r>
    </w:p>
    <w:p>
      <w:pPr>
        <w:numPr>
          <w:ilvl w:val="0"/>
          <w:numId w:val="0"/>
        </w:num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业主大会决议通过</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可利用共有物业、共用设施设备</w:t>
      </w:r>
      <w:r>
        <w:rPr>
          <w:rFonts w:hint="eastAsia" w:ascii="仿宋_GB2312" w:hAnsi="仿宋_GB2312" w:eastAsia="仿宋_GB2312" w:cs="仿宋_GB2312"/>
          <w:color w:val="auto"/>
          <w:sz w:val="32"/>
          <w:szCs w:val="32"/>
        </w:rPr>
        <w:t>开展经营业务。如该经营业务由乙方与第三方签订书面协议，则该协议需报</w:t>
      </w:r>
      <w:r>
        <w:rPr>
          <w:rFonts w:hint="eastAsia" w:ascii="仿宋_GB2312" w:hAnsi="仿宋_GB2312" w:eastAsia="仿宋_GB2312" w:cs="仿宋_GB2312"/>
          <w:color w:val="auto"/>
          <w:sz w:val="32"/>
          <w:szCs w:val="32"/>
          <w:lang w:eastAsia="zh-CN"/>
        </w:rPr>
        <w:t>业主委员会</w:t>
      </w:r>
      <w:r>
        <w:rPr>
          <w:rFonts w:hint="eastAsia" w:ascii="仿宋_GB2312" w:hAnsi="仿宋_GB2312" w:eastAsia="仿宋_GB2312" w:cs="仿宋_GB2312"/>
          <w:color w:val="auto"/>
          <w:sz w:val="32"/>
          <w:szCs w:val="32"/>
        </w:rPr>
        <w:t>审核批准方可签订，且应将该协议副本原件交由甲方保管。</w:t>
      </w:r>
    </w:p>
    <w:p>
      <w:pPr>
        <w:numPr>
          <w:ilvl w:val="0"/>
          <w:numId w:val="0"/>
        </w:numPr>
        <w:snapToGrid w:val="0"/>
        <w:spacing w:line="560" w:lineRule="exact"/>
        <w:ind w:firstLine="643" w:firstLineChars="200"/>
        <w:jc w:val="left"/>
        <w:rPr>
          <w:rFonts w:ascii="仿宋_GB2312" w:hAnsi="仿宋_GB2312" w:eastAsia="仿宋_GB2312" w:cs="仿宋_GB2312"/>
          <w:b/>
          <w:bCs/>
          <w:i/>
          <w:color w:val="auto"/>
          <w:sz w:val="32"/>
          <w:szCs w:val="32"/>
          <w:u w:val="single"/>
        </w:rPr>
      </w:pPr>
      <w:r>
        <w:rPr>
          <w:rFonts w:hint="eastAsia" w:ascii="仿宋_GB2312" w:hAnsi="仿宋_GB2312" w:eastAsia="仿宋_GB2312" w:cs="仿宋_GB2312"/>
          <w:b/>
          <w:bCs/>
          <w:color w:val="auto"/>
          <w:sz w:val="32"/>
          <w:szCs w:val="32"/>
        </w:rPr>
        <w:t>（二）共有物业经营收益管理</w:t>
      </w:r>
    </w:p>
    <w:p>
      <w:pPr>
        <w:numPr>
          <w:ilvl w:val="0"/>
          <w:numId w:val="0"/>
        </w:numPr>
        <w:snapToGrid w:val="0"/>
        <w:spacing w:line="560" w:lineRule="exact"/>
        <w:ind w:firstLine="640" w:firstLineChars="200"/>
        <w:jc w:val="left"/>
        <w:rPr>
          <w:rFonts w:hint="eastAsia" w:ascii="仿宋_GB2312" w:hAnsi="仿宋_GB2312" w:eastAsia="仿宋_GB2312" w:cs="仿宋_GB2312"/>
          <w:color w:val="auto"/>
          <w:sz w:val="32"/>
          <w:szCs w:val="32"/>
          <w:lang w:eastAsia="zh-CN"/>
        </w:rPr>
      </w:pPr>
      <w:bookmarkStart w:id="70" w:name="_Toc31788"/>
      <w:bookmarkStart w:id="71" w:name="_Toc1429"/>
      <w:bookmarkStart w:id="72" w:name="_Toc25655"/>
      <w:bookmarkStart w:id="73" w:name="_Toc5547"/>
      <w:bookmarkStart w:id="74" w:name="_Toc31728"/>
      <w:bookmarkStart w:id="75" w:name="_Toc1984"/>
      <w:bookmarkStart w:id="76" w:name="_Toc19237"/>
      <w:r>
        <w:rPr>
          <w:rFonts w:hint="eastAsia" w:ascii="仿宋_GB2312" w:hAnsi="仿宋_GB2312" w:eastAsia="仿宋_GB2312" w:cs="仿宋_GB2312"/>
          <w:color w:val="auto"/>
          <w:sz w:val="32"/>
          <w:szCs w:val="32"/>
          <w:lang w:eastAsia="zh-CN"/>
        </w:rPr>
        <w:t>本物业管理区域每年共有物业经营收入约</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万元。</w:t>
      </w:r>
    </w:p>
    <w:p>
      <w:pPr>
        <w:numPr>
          <w:ilvl w:val="0"/>
          <w:numId w:val="0"/>
        </w:num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乙方按照业主大会决议</w:t>
      </w:r>
      <w:r>
        <w:rPr>
          <w:rFonts w:hint="eastAsia" w:ascii="仿宋_GB2312" w:hAnsi="仿宋_GB2312" w:eastAsia="仿宋_GB2312" w:cs="仿宋_GB2312"/>
          <w:color w:val="auto"/>
          <w:sz w:val="32"/>
          <w:szCs w:val="32"/>
          <w:lang w:eastAsia="zh-CN"/>
        </w:rPr>
        <w:t>利用共有物业、共用设施设备</w:t>
      </w:r>
      <w:r>
        <w:rPr>
          <w:rFonts w:hint="eastAsia" w:ascii="仿宋_GB2312" w:hAnsi="仿宋_GB2312" w:eastAsia="仿宋_GB2312" w:cs="仿宋_GB2312"/>
          <w:color w:val="auto"/>
          <w:sz w:val="32"/>
          <w:szCs w:val="32"/>
        </w:rPr>
        <w:t>开展经营业务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扣除乙方共有物业经营收入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服务费（酬金）后，所得收益</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存入业主大会共有资金账户。</w:t>
      </w:r>
      <w:r>
        <w:rPr>
          <w:rFonts w:hint="eastAsia" w:ascii="仿宋" w:hAnsi="仿宋" w:eastAsia="仿宋" w:cs="仿宋"/>
          <w:color w:val="auto"/>
          <w:sz w:val="32"/>
          <w:szCs w:val="32"/>
        </w:rPr>
        <w:t> </w:t>
      </w:r>
    </w:p>
    <w:p>
      <w:pPr>
        <w:pStyle w:val="2"/>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第十五条 相关专营单位</w:t>
      </w:r>
      <w:r>
        <w:rPr>
          <w:rFonts w:hint="eastAsia" w:ascii="黑体" w:hAnsi="黑体" w:eastAsia="黑体" w:cs="黑体"/>
          <w:bCs/>
          <w:color w:val="auto"/>
          <w:sz w:val="32"/>
          <w:szCs w:val="32"/>
          <w:lang w:eastAsia="zh-CN"/>
        </w:rPr>
        <w:t>服务</w:t>
      </w:r>
      <w:r>
        <w:rPr>
          <w:rFonts w:hint="eastAsia" w:ascii="黑体" w:hAnsi="黑体" w:eastAsia="黑体" w:cs="黑体"/>
          <w:bCs/>
          <w:color w:val="auto"/>
          <w:sz w:val="32"/>
          <w:szCs w:val="32"/>
        </w:rPr>
        <w:t>项目收费</w:t>
      </w:r>
      <w:bookmarkEnd w:id="70"/>
      <w:bookmarkEnd w:id="71"/>
      <w:bookmarkEnd w:id="72"/>
      <w:bookmarkEnd w:id="73"/>
      <w:bookmarkEnd w:id="74"/>
      <w:bookmarkEnd w:id="75"/>
      <w:bookmarkEnd w:id="76"/>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（一）业主、物业使用人应按照规定支付供水、排水、供电、供气、通讯等</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（二）乙方接受供水、排水、供电、供气、通讯等</w:t>
      </w:r>
      <w:r>
        <w:rPr>
          <w:rFonts w:hint="eastAsia" w:ascii="仿宋_GB2312" w:hAnsi="仿宋_GB2312" w:eastAsia="仿宋_GB2312" w:cs="仿宋_GB2312"/>
          <w:color w:val="auto"/>
          <w:kern w:val="1"/>
          <w:sz w:val="32"/>
          <w:szCs w:val="32"/>
        </w:rPr>
        <w:t>相关专营单位</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kern w:val="1"/>
          <w:sz w:val="32"/>
          <w:szCs w:val="32"/>
        </w:rPr>
        <w:t>代收代缴</w:t>
      </w:r>
      <w:r>
        <w:rPr>
          <w:rFonts w:hint="eastAsia" w:ascii="仿宋_GB2312" w:hAnsi="仿宋_GB2312" w:eastAsia="仿宋_GB2312" w:cs="仿宋_GB2312"/>
          <w:color w:val="auto"/>
          <w:sz w:val="32"/>
          <w:szCs w:val="32"/>
        </w:rPr>
        <w:t>上述费用的，可以向委托单位收取代办手续费，但不得向业主、物业使用人收取手续费等额外费用，不得限制或变相限制业主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物业使用人购买相关专营单位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服务。</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（三）未经供水、供电、供气等相关专营单位</w:t>
      </w:r>
      <w:r>
        <w:rPr>
          <w:rFonts w:hint="eastAsia" w:ascii="仿宋_GB2312" w:hAnsi="仿宋_GB2312" w:eastAsia="仿宋_GB2312" w:cs="仿宋_GB2312"/>
          <w:color w:val="auto"/>
          <w:kern w:val="1"/>
          <w:sz w:val="32"/>
          <w:szCs w:val="32"/>
        </w:rPr>
        <w:t>或者业主授权</w:t>
      </w:r>
      <w:r>
        <w:rPr>
          <w:rFonts w:hint="eastAsia" w:ascii="仿宋_GB2312" w:hAnsi="仿宋_GB2312" w:eastAsia="仿宋_GB2312" w:cs="仿宋_GB2312"/>
          <w:color w:val="auto"/>
          <w:sz w:val="32"/>
          <w:szCs w:val="32"/>
        </w:rPr>
        <w:t>、行政决定</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司法裁决，乙方不得对共有物业或者物业专有部分实施停水、停电、停气等。但是，可能对业主利益或者公共安全造成重大损失的紧急情形除外。</w:t>
      </w:r>
    </w:p>
    <w:p>
      <w:pPr>
        <w:pStyle w:val="2"/>
        <w:snapToGrid w:val="0"/>
        <w:spacing w:line="560" w:lineRule="exact"/>
        <w:ind w:firstLine="640" w:firstLineChars="200"/>
        <w:rPr>
          <w:rFonts w:ascii="黑体" w:hAnsi="黑体" w:eastAsia="黑体" w:cs="黑体"/>
          <w:bCs/>
          <w:color w:val="auto"/>
          <w:spacing w:val="-6"/>
          <w:sz w:val="32"/>
          <w:szCs w:val="32"/>
        </w:rPr>
      </w:pPr>
      <w:r>
        <w:rPr>
          <w:rFonts w:hint="eastAsia" w:ascii="黑体" w:hAnsi="黑体" w:eastAsia="黑体" w:cs="黑体"/>
          <w:bCs/>
          <w:color w:val="auto"/>
          <w:sz w:val="32"/>
          <w:szCs w:val="32"/>
        </w:rPr>
        <w:t xml:space="preserve">第十六条 </w:t>
      </w:r>
      <w:r>
        <w:rPr>
          <w:rFonts w:hint="eastAsia" w:ascii="黑体" w:hAnsi="黑体" w:eastAsia="黑体" w:cs="黑体"/>
          <w:bCs/>
          <w:color w:val="auto"/>
          <w:spacing w:val="-6"/>
          <w:sz w:val="32"/>
          <w:szCs w:val="32"/>
          <w:lang w:eastAsia="zh-CN"/>
        </w:rPr>
        <w:t>共有物业</w:t>
      </w:r>
      <w:r>
        <w:rPr>
          <w:rFonts w:hint="eastAsia" w:ascii="黑体" w:hAnsi="黑体" w:eastAsia="黑体" w:cs="黑体"/>
          <w:bCs/>
          <w:color w:val="auto"/>
          <w:spacing w:val="-6"/>
          <w:sz w:val="32"/>
          <w:szCs w:val="32"/>
        </w:rPr>
        <w:t>、</w:t>
      </w:r>
      <w:r>
        <w:rPr>
          <w:rFonts w:hint="eastAsia" w:ascii="黑体" w:hAnsi="黑体" w:eastAsia="黑体" w:cs="黑体"/>
          <w:bCs/>
          <w:color w:val="auto"/>
          <w:spacing w:val="-6"/>
          <w:sz w:val="32"/>
          <w:szCs w:val="32"/>
          <w:lang w:eastAsia="zh-CN"/>
        </w:rPr>
        <w:t>共用设施设备</w:t>
      </w:r>
      <w:r>
        <w:rPr>
          <w:rFonts w:hint="eastAsia" w:ascii="黑体" w:hAnsi="黑体" w:eastAsia="黑体" w:cs="黑体"/>
          <w:bCs/>
          <w:color w:val="auto"/>
          <w:spacing w:val="-6"/>
          <w:sz w:val="32"/>
          <w:szCs w:val="32"/>
        </w:rPr>
        <w:t>维修费用的承担方式</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（一）保修期内的，费用由建设单位承担。</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w:t>
      </w:r>
      <w:bookmarkStart w:id="77" w:name="_Hlk21433700"/>
      <w:r>
        <w:rPr>
          <w:rFonts w:hint="eastAsia" w:ascii="仿宋_GB2312" w:hAnsi="仿宋_GB2312" w:eastAsia="仿宋_GB2312" w:cs="仿宋_GB2312"/>
          <w:bCs/>
          <w:color w:val="auto"/>
          <w:sz w:val="32"/>
          <w:szCs w:val="32"/>
        </w:rPr>
        <w:t>保修期满</w:t>
      </w:r>
      <w:r>
        <w:rPr>
          <w:rFonts w:hint="eastAsia" w:ascii="仿宋_GB2312" w:hAnsi="仿宋_GB2312" w:eastAsia="仿宋_GB2312" w:cs="仿宋_GB2312"/>
          <w:bCs/>
          <w:color w:val="auto"/>
          <w:sz w:val="32"/>
          <w:szCs w:val="32"/>
          <w:lang w:eastAsia="zh-CN"/>
        </w:rPr>
        <w:t>后</w:t>
      </w:r>
      <w:r>
        <w:rPr>
          <w:rFonts w:hint="eastAsia" w:ascii="仿宋_GB2312" w:hAnsi="仿宋_GB2312" w:eastAsia="仿宋_GB2312" w:cs="仿宋_GB2312"/>
          <w:bCs/>
          <w:color w:val="auto"/>
          <w:sz w:val="32"/>
          <w:szCs w:val="32"/>
        </w:rPr>
        <w:t>则由全体业主承担，费用从业主共有资金中予以列支。</w:t>
      </w:r>
      <w:bookmarkEnd w:id="77"/>
    </w:p>
    <w:p>
      <w:pPr>
        <w:snapToGrid w:val="0"/>
        <w:spacing w:line="560" w:lineRule="exact"/>
        <w:ind w:firstLine="640" w:firstLineChars="200"/>
        <w:rPr>
          <w:rFonts w:ascii="黑体" w:hAnsi="黑体" w:eastAsia="黑体" w:cs="黑体"/>
          <w:bCs/>
          <w:color w:val="auto"/>
          <w:sz w:val="32"/>
          <w:szCs w:val="32"/>
        </w:rPr>
      </w:pPr>
      <w:bookmarkStart w:id="78" w:name="_Toc2782"/>
      <w:bookmarkStart w:id="79" w:name="_Toc479"/>
      <w:bookmarkStart w:id="80" w:name="_Toc13236"/>
      <w:bookmarkStart w:id="81" w:name="_Toc5996"/>
      <w:bookmarkStart w:id="82" w:name="_Toc14218"/>
      <w:bookmarkStart w:id="83" w:name="_Toc4654"/>
      <w:bookmarkStart w:id="84" w:name="_Toc18371"/>
      <w:r>
        <w:rPr>
          <w:rFonts w:hint="eastAsia" w:ascii="黑体" w:hAnsi="黑体" w:eastAsia="黑体" w:cs="黑体"/>
          <w:bCs/>
          <w:color w:val="auto"/>
          <w:sz w:val="32"/>
          <w:szCs w:val="32"/>
        </w:rPr>
        <w:t>第十七条</w:t>
      </w:r>
      <w:bookmarkEnd w:id="78"/>
      <w:bookmarkEnd w:id="79"/>
      <w:r>
        <w:rPr>
          <w:rFonts w:hint="eastAsia" w:ascii="黑体" w:hAnsi="黑体" w:eastAsia="黑体" w:cs="黑体"/>
          <w:bCs/>
          <w:color w:val="auto"/>
          <w:sz w:val="32"/>
          <w:szCs w:val="32"/>
        </w:rPr>
        <w:t xml:space="preserve"> </w:t>
      </w:r>
      <w:r>
        <w:rPr>
          <w:rFonts w:hint="eastAsia" w:ascii="黑体" w:hAnsi="黑体" w:eastAsia="黑体" w:cs="黑体"/>
          <w:bCs/>
          <w:color w:val="auto"/>
          <w:sz w:val="32"/>
          <w:szCs w:val="32"/>
          <w:lang w:eastAsia="zh-CN"/>
        </w:rPr>
        <w:t>共有物业、共用设施设备</w:t>
      </w:r>
      <w:r>
        <w:rPr>
          <w:rFonts w:hint="eastAsia" w:ascii="黑体" w:hAnsi="黑体" w:eastAsia="黑体" w:cs="黑体"/>
          <w:bCs/>
          <w:color w:val="auto"/>
          <w:sz w:val="32"/>
          <w:szCs w:val="32"/>
        </w:rPr>
        <w:t>保险费用</w:t>
      </w:r>
    </w:p>
    <w:p>
      <w:pPr>
        <w:snapToGrid w:val="0"/>
        <w:spacing w:line="560" w:lineRule="exact"/>
        <w:ind w:firstLine="640" w:firstLineChars="200"/>
        <w:jc w:val="left"/>
        <w:rPr>
          <w:rFonts w:ascii="仿宋_GB2312" w:hAnsi="仿宋_GB2312" w:eastAsia="仿宋_GB2312" w:cs="仿宋_GB2312"/>
          <w:color w:val="auto"/>
          <w:sz w:val="32"/>
          <w:szCs w:val="32"/>
        </w:rPr>
      </w:pPr>
      <w:bookmarkStart w:id="85" w:name="_Hlk21433762"/>
      <w:r>
        <w:rPr>
          <w:rFonts w:hint="eastAsia" w:ascii="仿宋_GB2312" w:hAnsi="仿宋_GB2312" w:eastAsia="仿宋_GB2312" w:cs="仿宋_GB2312"/>
          <w:color w:val="auto"/>
          <w:sz w:val="32"/>
          <w:szCs w:val="32"/>
        </w:rPr>
        <w:t>本物业管理区域内</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财产具体投保的保险险种为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按以下第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种方式筹集: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（一）由甲方办理，保险费用从业主共有资金中支出；</w:t>
      </w:r>
    </w:p>
    <w:p>
      <w:p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（二）由乙方代办，保险费用从业主共有资金中支出。</w:t>
      </w:r>
    </w:p>
    <w:bookmarkEnd w:id="80"/>
    <w:bookmarkEnd w:id="81"/>
    <w:bookmarkEnd w:id="82"/>
    <w:bookmarkEnd w:id="83"/>
    <w:bookmarkEnd w:id="84"/>
    <w:bookmarkEnd w:id="85"/>
    <w:p>
      <w:pPr>
        <w:snapToGrid w:val="0"/>
        <w:spacing w:line="560" w:lineRule="exact"/>
        <w:ind w:firstLine="640" w:firstLineChars="200"/>
        <w:rPr>
          <w:rFonts w:ascii="黑体" w:hAnsi="黑体" w:eastAsia="黑体" w:cs="黑体"/>
          <w:bCs/>
          <w:color w:val="auto"/>
          <w:sz w:val="32"/>
          <w:szCs w:val="32"/>
        </w:rPr>
      </w:pPr>
      <w:bookmarkStart w:id="86" w:name="_Hlk21433866"/>
      <w:r>
        <w:rPr>
          <w:rFonts w:hint="eastAsia" w:ascii="黑体" w:hAnsi="黑体" w:eastAsia="黑体" w:cs="黑体"/>
          <w:bCs/>
          <w:color w:val="auto"/>
          <w:sz w:val="32"/>
          <w:szCs w:val="32"/>
        </w:rPr>
        <w:t>第十八条 业主特约服务收费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乙方应业主、物业使用人的需求对</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专有</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、专</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设施设备提供维修养护或其他特约服务的，收费</w:t>
      </w:r>
      <w:r>
        <w:rPr>
          <w:rFonts w:hint="eastAsia" w:ascii="仿宋_GB2312" w:hAnsi="仿宋_GB2312" w:eastAsia="仿宋_GB2312" w:cs="仿宋_GB2312"/>
          <w:color w:val="auto"/>
          <w:sz w:val="32"/>
          <w:szCs w:val="32"/>
          <w:lang w:eastAsia="zh-CN"/>
        </w:rPr>
        <w:t>金额</w:t>
      </w:r>
      <w:r>
        <w:rPr>
          <w:rFonts w:hint="eastAsia" w:ascii="仿宋_GB2312" w:hAnsi="仿宋_GB2312" w:eastAsia="仿宋_GB2312" w:cs="仿宋_GB2312"/>
          <w:color w:val="auto"/>
          <w:sz w:val="32"/>
          <w:szCs w:val="32"/>
        </w:rPr>
        <w:t>以乙方公示的特约收费标准为基础，具体由乙方与业主、物业使用人另行约定收取。</w:t>
      </w:r>
    </w:p>
    <w:bookmarkEnd w:id="86"/>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bookmarkStart w:id="87" w:name="_Toc12333"/>
      <w:bookmarkStart w:id="88" w:name="_Toc9355"/>
      <w:bookmarkStart w:id="89" w:name="_Toc32304"/>
      <w:bookmarkStart w:id="90" w:name="_Toc11115"/>
      <w:bookmarkStart w:id="91" w:name="_Toc26189"/>
      <w:bookmarkStart w:id="92" w:name="_Toc25594"/>
      <w:bookmarkStart w:id="93" w:name="_Toc5920"/>
      <w:r>
        <w:rPr>
          <w:rFonts w:hint="eastAsia" w:ascii="宋体" w:hAnsi="宋体" w:eastAsia="宋体" w:cs="宋体"/>
          <w:color w:val="auto"/>
          <w:sz w:val="32"/>
          <w:szCs w:val="32"/>
        </w:rPr>
        <w:t>第五章  双方权利与义务</w:t>
      </w:r>
      <w:bookmarkEnd w:id="87"/>
      <w:bookmarkEnd w:id="88"/>
      <w:bookmarkEnd w:id="89"/>
      <w:bookmarkEnd w:id="90"/>
      <w:bookmarkEnd w:id="91"/>
      <w:bookmarkEnd w:id="92"/>
      <w:bookmarkEnd w:id="93"/>
    </w:p>
    <w:p>
      <w:pPr>
        <w:snapToGrid w:val="0"/>
        <w:spacing w:line="560" w:lineRule="exact"/>
        <w:ind w:firstLine="640" w:firstLineChars="200"/>
        <w:rPr>
          <w:rFonts w:ascii="黑体" w:hAnsi="黑体" w:eastAsia="黑体" w:cs="黑体"/>
          <w:bCs/>
          <w:color w:val="auto"/>
          <w:sz w:val="32"/>
          <w:szCs w:val="32"/>
        </w:rPr>
      </w:pPr>
      <w:bookmarkStart w:id="94" w:name="_Toc18704"/>
      <w:bookmarkStart w:id="95" w:name="_Toc25237"/>
      <w:bookmarkStart w:id="96" w:name="_Toc19165"/>
      <w:bookmarkStart w:id="97" w:name="_Toc25720"/>
      <w:bookmarkStart w:id="98" w:name="_Toc14598"/>
      <w:bookmarkStart w:id="99" w:name="_Toc17687"/>
      <w:bookmarkStart w:id="100" w:name="_Toc26800"/>
      <w:r>
        <w:rPr>
          <w:rFonts w:hint="eastAsia" w:ascii="黑体" w:hAnsi="黑体" w:eastAsia="黑体" w:cs="黑体"/>
          <w:bCs/>
          <w:color w:val="auto"/>
          <w:sz w:val="32"/>
          <w:szCs w:val="32"/>
        </w:rPr>
        <w:t>第十九条 甲方的权利义务</w:t>
      </w:r>
      <w:bookmarkEnd w:id="94"/>
      <w:bookmarkEnd w:id="95"/>
      <w:bookmarkEnd w:id="96"/>
      <w:bookmarkEnd w:id="97"/>
      <w:bookmarkEnd w:id="98"/>
      <w:bookmarkEnd w:id="99"/>
      <w:bookmarkEnd w:id="100"/>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（一）审核乙方制定的年度工作计划和预算方案，并监督实施。</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（二）对乙方</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有知情、建议、监督等权利。</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（三）审核本物业管理区域内共有</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收益的使用情况。</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（四）不得要求乙方提供</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内容以外的无偿服务。</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（五）应在乙方办理接管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日前，提供符合办公要求的物业服务办公用房，供乙方无偿使用。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（六）负责协调、处理、解决本合同生效前发生的遗留问题。</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（七）本物业管理区域业主、物业使用人应当按照规定分类投放生活垃圾，减少生活垃圾</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产生量，促进资源节约。</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（八）配合乙方实施</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活动。</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（九）为乙方履行物业管理安全生产管理职责提供场所，保障乙方在本物业管理区域内开展安全生产管理工作的支出。并且，就乙方关于</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物业管理区域内安全的报告事项应及时做出响应和处置。</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（十一）法律、法规和</w:t>
      </w: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rPr>
        <w:t>管理规约等物业管理制度规定的其他权利义务。</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第二十条 乙方权利义务</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（一）根据法律、法规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规定和</w:t>
      </w: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rPr>
        <w:t>管理规约、本合同的约定，制订</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方案、制度并组织实施。按照</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标准和内容提供物业服务，收取物业服务费、特约服务费用、</w:t>
      </w:r>
      <w:r>
        <w:rPr>
          <w:rFonts w:hint="eastAsia" w:ascii="仿宋_GB2312" w:hAnsi="仿宋_GB2312" w:eastAsia="仿宋_GB2312" w:cs="仿宋_GB2312"/>
          <w:color w:val="auto"/>
          <w:kern w:val="2"/>
          <w:sz w:val="32"/>
          <w:szCs w:val="32"/>
          <w:lang w:val="en-US" w:eastAsia="zh-CN" w:bidi="ar-SA"/>
        </w:rPr>
        <w:t>停车位（库）管理服务费、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等费用。</w:t>
      </w:r>
    </w:p>
    <w:p>
      <w:pPr>
        <w:snapToGrid w:val="0"/>
        <w:spacing w:line="560" w:lineRule="exact"/>
        <w:ind w:firstLine="640" w:firstLineChars="200"/>
        <w:jc w:val="left"/>
        <w:rPr>
          <w:rFonts w:ascii="仿宋_GB2312" w:hAnsi="仿宋_GB2312" w:eastAsia="仿宋_GB2312" w:cs="仿宋_GB2312"/>
          <w:color w:val="auto"/>
          <w:sz w:val="32"/>
          <w:szCs w:val="32"/>
        </w:rPr>
      </w:pPr>
      <w:bookmarkStart w:id="101" w:name="_Hlk23422549"/>
      <w:r>
        <w:rPr>
          <w:rFonts w:hint="eastAsia" w:ascii="仿宋_GB2312" w:hAnsi="仿宋_GB2312" w:eastAsia="仿宋_GB2312" w:cs="仿宋_GB2312"/>
          <w:color w:val="auto"/>
          <w:sz w:val="32"/>
          <w:szCs w:val="32"/>
        </w:rPr>
        <w:t>（二）</w:t>
      </w:r>
      <w:bookmarkStart w:id="102" w:name="_Hlk18585366"/>
      <w:r>
        <w:rPr>
          <w:rFonts w:hint="eastAsia" w:ascii="仿宋_GB2312" w:hAnsi="仿宋_GB2312" w:eastAsia="仿宋_GB2312" w:cs="仿宋_GB2312"/>
          <w:color w:val="auto"/>
          <w:sz w:val="32"/>
          <w:szCs w:val="32"/>
        </w:rPr>
        <w:t>结合本物业管理区域的实际情况，制定</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计划，负责编制房屋、附属建筑物、设施设备、绿化的年度维修养护计划</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年度费用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和决算报告</w:t>
      </w:r>
      <w:bookmarkEnd w:id="102"/>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可以选聘专业机构承担本物业管理区域内的特种设备维修养护、清洁卫生、园林绿化、工程施工等专项服务。但是，不得将本物业管理区域内的全部物业服务一并委托给其他单位或个人。乙方与所选定的专业机构签订合同的服务标准不得低于本合同，并对专业机构的服务行为承担连带责任。</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（四）妥善保管和正确使用本物业管理区域的档案资料，及时记载</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变更信息。妥善管理业主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物业使用人的档案信息，不得擅自向第三方提供或以任何方式泄露该信息。</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（五）及时向甲方通报本物业管理区域内有关物业服务的重大事项，接受甲方的监督。</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物业使用人违反本物业管理区域管理规约</w:t>
      </w:r>
      <w:bookmarkStart w:id="103" w:name="_Hlk18585521"/>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物业管理</w:t>
      </w:r>
      <w:r>
        <w:rPr>
          <w:rFonts w:hint="eastAsia" w:ascii="仿宋_GB2312" w:hAnsi="仿宋_GB2312" w:eastAsia="仿宋_GB2312" w:cs="仿宋_GB2312"/>
          <w:color w:val="auto"/>
          <w:sz w:val="32"/>
          <w:szCs w:val="32"/>
        </w:rPr>
        <w:t>制度的行为</w:t>
      </w:r>
      <w:bookmarkEnd w:id="103"/>
      <w:r>
        <w:rPr>
          <w:rFonts w:hint="eastAsia" w:ascii="仿宋_GB2312" w:hAnsi="仿宋_GB2312" w:eastAsia="仿宋_GB2312" w:cs="仿宋_GB2312"/>
          <w:color w:val="auto"/>
          <w:sz w:val="32"/>
          <w:szCs w:val="32"/>
        </w:rPr>
        <w:t>，采取告知、劝说和建议等方式督促业主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物业使用人改正。</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（七）不得擅自占用</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或改变用途，不得擅自占用、挖掘道路、场地。</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确需临时占用、挖掘道路、场地的，应按规定办理相关手续，制定施工方案，开工前要在本物业管理区域内进行公示，施工过程中尽可能减少对正常秩序的影响，并及时恢复原状。</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在紧急情况下，乙方为了公共利益可以先行施工，但事后应予以说明。</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（八）乙方应当加强对本物业管理区域内天面、外墙、楼梯间等共有物业的日常巡查。如发现业主、物业使用人使用的窗户、阳台、搁置物、悬挂物存在安全隐患的，应当通知业主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物业使用人及时处理；发现有影响相关专营设施安全情形的，应当及时报告相关专营单位。</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（九）本物业管理区域内需另行配备相关设施设备的，乙方应与甲方协商解决。</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（十）物业装饰装修前，乙方应当告知业主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物业使用人相关的禁止行为和注意事项，并将装饰装修的时间、地点等情况在该业主、物业使用人所在建筑物内进行公示。除收取装修保证金、垃圾清运费、</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rPr>
        <w:t>（费用名称）外，乙方不得以任何名目向业主、物业使用人另行收取其他费用。</w:t>
      </w:r>
      <w:bookmarkStart w:id="104" w:name="_Hlk21434648"/>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依法依规对装饰装修进行监督，对未经备案私自开工或存在安全隐患的项目，应</w:t>
      </w:r>
      <w:r>
        <w:rPr>
          <w:rFonts w:hint="eastAsia" w:ascii="仿宋_GB2312" w:hAnsi="仿宋_GB2312" w:eastAsia="仿宋_GB2312" w:cs="仿宋_GB2312"/>
          <w:color w:val="auto"/>
          <w:sz w:val="32"/>
          <w:szCs w:val="32"/>
          <w:lang w:eastAsia="zh-CN"/>
        </w:rPr>
        <w:t>予以劝阻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并告知</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和本物业</w:t>
      </w:r>
      <w:r>
        <w:rPr>
          <w:rFonts w:hint="eastAsia" w:ascii="仿宋_GB2312" w:hAnsi="仿宋_GB2312" w:eastAsia="仿宋_GB2312" w:cs="仿宋_GB2312"/>
          <w:color w:val="auto"/>
          <w:sz w:val="32"/>
          <w:szCs w:val="32"/>
        </w:rPr>
        <w:t>所在地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街道办事处。</w:t>
      </w:r>
      <w:bookmarkEnd w:id="104"/>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（十一）乙方按照法律、法规的规定履行其在本物业管理区域生活垃圾分类投放管理</w:t>
      </w:r>
      <w:r>
        <w:rPr>
          <w:rFonts w:hint="eastAsia" w:ascii="仿宋_GB2312" w:hAnsi="仿宋_GB2312" w:eastAsia="仿宋_GB2312" w:cs="仿宋_GB2312"/>
          <w:color w:val="auto"/>
          <w:sz w:val="32"/>
          <w:szCs w:val="32"/>
          <w:lang w:eastAsia="zh-CN"/>
        </w:rPr>
        <w:t>责任</w:t>
      </w:r>
      <w:r>
        <w:rPr>
          <w:rFonts w:hint="eastAsia" w:ascii="仿宋_GB2312" w:hAnsi="仿宋_GB2312" w:eastAsia="仿宋_GB2312" w:cs="仿宋_GB2312"/>
          <w:color w:val="auto"/>
          <w:sz w:val="32"/>
          <w:szCs w:val="32"/>
        </w:rPr>
        <w:t>人的职责，有权对任何单位和个人违反生活垃圾分类规定的行为予以劝阻和举报。</w:t>
      </w:r>
    </w:p>
    <w:p>
      <w:pPr>
        <w:snapToGrid w:val="0"/>
        <w:spacing w:line="56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（十二）乙方在不侵犯他人隐私的情况下，可通过在</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（位置）安装监控摄像头等方式就抛掷物品危害他人身财产安全、破坏环境卫生等行为收集相应证据。乙方需妥善保管录音录像等证据，不得擅自毁损破坏</w:t>
      </w:r>
      <w:r>
        <w:rPr>
          <w:rFonts w:hint="eastAsia" w:ascii="仿宋_GB2312" w:hAnsi="仿宋_GB2312" w:eastAsia="仿宋_GB2312" w:cs="仿宋_GB2312"/>
          <w:color w:val="auto"/>
          <w:sz w:val="32"/>
          <w:szCs w:val="32"/>
          <w:lang w:eastAsia="zh-CN"/>
        </w:rPr>
        <w:t>，并且</w:t>
      </w:r>
      <w:r>
        <w:rPr>
          <w:rFonts w:hint="eastAsia" w:ascii="仿宋_GB2312" w:hAnsi="仿宋_GB2312" w:eastAsia="仿宋_GB2312" w:cs="仿宋_GB2312"/>
          <w:color w:val="auto"/>
          <w:sz w:val="32"/>
          <w:szCs w:val="32"/>
        </w:rPr>
        <w:t>未经法定程序</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擅自向第三方公开。</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（十三）加强物业管理区域内物业安全使用管理，对因自身原因造成的安全事故承担责任并负责善后处理。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（十四）乙方应当遵守安全生产、公共卫生、治安消防、防灾管理等有关公共安全法律、法规的规定，制定本物业管理区域安全防范应急预案，在</w:t>
      </w:r>
      <w:r>
        <w:rPr>
          <w:rFonts w:hint="eastAsia" w:ascii="仿宋_GB2312" w:hAnsi="仿宋_GB2312" w:eastAsia="仿宋_GB2312" w:cs="仿宋_GB2312"/>
          <w:color w:val="auto"/>
          <w:sz w:val="32"/>
          <w:szCs w:val="32"/>
          <w:lang w:eastAsia="zh-CN"/>
        </w:rPr>
        <w:t>住建、应急管理、水务等</w:t>
      </w:r>
      <w:r>
        <w:rPr>
          <w:rFonts w:hint="eastAsia" w:ascii="仿宋_GB2312" w:hAnsi="仿宋_GB2312" w:eastAsia="仿宋_GB2312" w:cs="仿宋_GB2312"/>
          <w:color w:val="auto"/>
          <w:sz w:val="32"/>
          <w:szCs w:val="32"/>
        </w:rPr>
        <w:t>部门指导下做好本物业管理区域的安全管理工作。安全防范应急预案应当报区住房和建设部门备案。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当本物业管理区域内发生安全事故或者其他突发事件时，乙方应当及时采取应急措施，并按照规定向有关政府部门或者相关专营单位报告，协助</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关工作。</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（十五）对相关政府部门需进入本物业管理区域的宣传、检查、执法、救援等公共事务，乙方应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予以积极配合。</w:t>
      </w:r>
    </w:p>
    <w:p>
      <w:pPr>
        <w:snapToGrid w:val="0"/>
        <w:spacing w:line="560" w:lineRule="exact"/>
        <w:ind w:firstLine="640" w:firstLineChars="200"/>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（十六）</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bookmarkEnd w:id="101"/>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第二十一条 突发事件处理</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为维护公共利益，在不可预见的情况下，如发生煤气泄漏、漏电火灾、水管破裂、救助生命、协助相关政府部门处理突发事件等，乙方因采取紧急避险措施造成损失的，相关当事人应按有关规定处理。</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第六章  合同时效</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第二十二条 合同期限</w:t>
      </w:r>
    </w:p>
    <w:p>
      <w:pPr>
        <w:numPr>
          <w:ilvl w:val="0"/>
          <w:numId w:val="1"/>
        </w:num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w:t>
      </w:r>
      <w:r>
        <w:rPr>
          <w:rFonts w:hint="eastAsia" w:ascii="仿宋_GB2312" w:hAnsi="仿宋_GB2312" w:eastAsia="仿宋_GB2312" w:cs="仿宋_GB2312"/>
          <w:bCs/>
          <w:color w:val="auto"/>
          <w:sz w:val="32"/>
          <w:szCs w:val="32"/>
          <w:lang w:eastAsia="zh-CN"/>
        </w:rPr>
        <w:t>合同</w:t>
      </w:r>
      <w:r>
        <w:rPr>
          <w:rFonts w:hint="eastAsia" w:ascii="仿宋_GB2312" w:hAnsi="仿宋_GB2312" w:eastAsia="仿宋_GB2312" w:cs="仿宋_GB2312"/>
          <w:bCs/>
          <w:color w:val="auto"/>
          <w:sz w:val="32"/>
          <w:szCs w:val="32"/>
        </w:rPr>
        <w:t>期限为</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年，自</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日至</w:t>
      </w:r>
    </w:p>
    <w:p>
      <w:pPr>
        <w:numPr>
          <w:ilvl w:val="0"/>
          <w:numId w:val="0"/>
        </w:numPr>
        <w:snapToGrid w:val="0"/>
        <w:spacing w:line="560" w:lineRule="exact"/>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日。</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（二）经甲、乙双方协商一致，可解除本合同，并及时办理交接手续。</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（三）乙方应当在办理交接至退出</w:t>
      </w:r>
      <w:r>
        <w:rPr>
          <w:rFonts w:hint="eastAsia" w:ascii="仿宋_GB2312" w:hAnsi="仿宋_GB2312" w:eastAsia="仿宋_GB2312" w:cs="仿宋_GB2312"/>
          <w:bCs/>
          <w:color w:val="auto"/>
          <w:sz w:val="32"/>
          <w:szCs w:val="32"/>
          <w:lang w:eastAsia="zh-CN"/>
        </w:rPr>
        <w:t>前</w:t>
      </w:r>
      <w:r>
        <w:rPr>
          <w:rFonts w:hint="eastAsia" w:ascii="仿宋_GB2312" w:hAnsi="仿宋_GB2312" w:eastAsia="仿宋_GB2312" w:cs="仿宋_GB2312"/>
          <w:bCs/>
          <w:color w:val="auto"/>
          <w:sz w:val="32"/>
          <w:szCs w:val="32"/>
        </w:rPr>
        <w:t>，维持本物业管理区域正常的物业管理秩序。</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第二十三条 物业交接</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乙方办理物业管理交接，应当同时移交下列资金、资料和物品：</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（一）业主共有资金共管账户内业主共有资金结余；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（二）物业服务办公用房、物业管理设施设备用房；</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（三）物业承接查验资料；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（四）提供物业服务期间形成的有关物业及设施设备改造、维修、运行、保养的资料；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（五）利用共有物业从事经营活动的相关资料、公共水电分摊费用缴纳记录等资料；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（七）其他应当移交的资金、资料和物品。</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第二十四条 接管前处理</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本合同终止后，在新物业服务企业接管本物业管理区域之前，乙方应当按甲方的要求继续提供</w:t>
      </w:r>
      <w:r>
        <w:rPr>
          <w:rFonts w:hint="eastAsia" w:ascii="仿宋_GB2312" w:hAnsi="仿宋_GB2312" w:eastAsia="仿宋_GB2312" w:cs="仿宋_GB2312"/>
          <w:bCs/>
          <w:color w:val="auto"/>
          <w:sz w:val="32"/>
          <w:szCs w:val="32"/>
          <w:lang w:eastAsia="zh-CN"/>
        </w:rPr>
        <w:t>物业服务</w:t>
      </w:r>
      <w:r>
        <w:rPr>
          <w:rFonts w:hint="eastAsia" w:ascii="仿宋_GB2312" w:hAnsi="仿宋_GB2312" w:eastAsia="仿宋_GB2312" w:cs="仿宋_GB2312"/>
          <w:bCs/>
          <w:color w:val="auto"/>
          <w:sz w:val="32"/>
          <w:szCs w:val="32"/>
        </w:rPr>
        <w:t>。双方的权利义务继续按照本合同执行。</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第二十五条 不可抗力的终止</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因不可抗力致使合同无法继续履行的，根据不可抗力的影响，部分或全部免除责任，其他事宜由甲、乙双方依法协商处理。</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第二十六条 终止后处理</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（一）本合同终止后，甲、乙双方应共同做好债权债务处理事宜，包括业主共有资金的结算、对外与第三方订立协议</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处置等。</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（二）甲、乙双方应相互配合，做好</w:t>
      </w:r>
      <w:r>
        <w:rPr>
          <w:rFonts w:hint="eastAsia" w:ascii="仿宋_GB2312" w:hAnsi="仿宋_GB2312" w:eastAsia="仿宋_GB2312" w:cs="仿宋_GB2312"/>
          <w:bCs/>
          <w:color w:val="auto"/>
          <w:sz w:val="32"/>
          <w:szCs w:val="32"/>
          <w:lang w:eastAsia="zh-CN"/>
        </w:rPr>
        <w:t>物业服务</w:t>
      </w:r>
      <w:r>
        <w:rPr>
          <w:rFonts w:hint="eastAsia" w:ascii="仿宋_GB2312" w:hAnsi="仿宋_GB2312" w:eastAsia="仿宋_GB2312" w:cs="仿宋_GB2312"/>
          <w:bCs/>
          <w:color w:val="auto"/>
          <w:sz w:val="32"/>
          <w:szCs w:val="32"/>
        </w:rPr>
        <w:t>的交接和善后工作。</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第七章  违约责任及免责约定</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第二十七条 甲方违约责任</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甲方违反本合同约定，导致乙方未能完成</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内容或</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内容无法达到约定的标准的，乙方有权要求甲方限期解决；逾期未解决的，乙方可按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标准向甲方主张违约金；造成损失的，乙方可要求甲方承担相应的法律责任。</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第二十八条 乙方违约责任</w:t>
      </w:r>
    </w:p>
    <w:p>
      <w:pPr>
        <w:numPr>
          <w:ilvl w:val="0"/>
          <w:numId w:val="2"/>
        </w:num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乙方违反本合同义务，或不能完成本合同约定的服务内容和标准的，甲方有权要求乙方在合理期限内进行整改，乙方未能逾期未完成整改的，甲方可按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标准向乙方主张违约金。乙方违约行为给业主造成损失的，有关当事人可要求乙方承担相应的法律责任。</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bookmarkStart w:id="105" w:name="_Hlk21435153"/>
      <w:r>
        <w:rPr>
          <w:rFonts w:hint="eastAsia" w:ascii="仿宋_GB2312" w:hAnsi="仿宋_GB2312" w:eastAsia="仿宋_GB2312" w:cs="仿宋_GB2312"/>
          <w:color w:val="auto"/>
          <w:sz w:val="32"/>
          <w:szCs w:val="32"/>
        </w:rPr>
        <w:t>乙方未按法律、法规的规定向甲方或甲方指定主体进行移交业主共有资金、资料和物品，或拒不退出物业管理区域的，则按照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标准向甲方支付违约金。</w:t>
      </w:r>
      <w:bookmarkEnd w:id="105"/>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（三）如业主满意度测评</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该月评价等级为三星及以下，则乙方应当予以立即整改，如连续</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个月或年度累计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次评价等级为三星以下，则乙方应按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标准向甲方支付违约金。</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如前述业主满意度测评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个月或年度累计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次评价等级为五星，则甲方可按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标准对乙方进行奖励。</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本条</w:t>
      </w:r>
      <w:r>
        <w:rPr>
          <w:rFonts w:hint="eastAsia" w:ascii="仿宋_GB2312" w:hAnsi="仿宋_GB2312" w:eastAsia="仿宋_GB2312" w:cs="仿宋_GB2312"/>
          <w:color w:val="auto"/>
          <w:sz w:val="32"/>
          <w:szCs w:val="32"/>
        </w:rPr>
        <w:t>违约金均系业主共有资金，应纳入业主共有资金统一管理，违约方应直接支付至业主共有资金账户。</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第二十九条 提前解约责任</w:t>
      </w:r>
    </w:p>
    <w:p>
      <w:pPr>
        <w:numPr>
          <w:ilvl w:val="0"/>
          <w:numId w:val="3"/>
        </w:num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除本合同第六章规定的合同终止情形外，双方均不得提前解除本合同，否则无过错方可要求按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标准向违约方</w:t>
      </w:r>
      <w:r>
        <w:rPr>
          <w:rFonts w:hint="eastAsia" w:ascii="仿宋_GB2312" w:hAnsi="仿宋_GB2312" w:eastAsia="仿宋_GB2312" w:cs="仿宋_GB2312"/>
          <w:color w:val="auto"/>
          <w:sz w:val="32"/>
          <w:szCs w:val="32"/>
          <w:lang w:eastAsia="zh-CN"/>
        </w:rPr>
        <w:t>主张</w:t>
      </w:r>
      <w:r>
        <w:rPr>
          <w:rFonts w:hint="eastAsia" w:ascii="仿宋_GB2312" w:hAnsi="仿宋_GB2312" w:eastAsia="仿宋_GB2312" w:cs="仿宋_GB2312"/>
          <w:color w:val="auto"/>
          <w:sz w:val="32"/>
          <w:szCs w:val="32"/>
        </w:rPr>
        <w:t>违约金；造成损失的，无过错方可要求其承担相应的法律责任。</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本条甲方</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主张</w:t>
      </w:r>
      <w:r>
        <w:rPr>
          <w:rFonts w:hint="eastAsia" w:ascii="仿宋_GB2312" w:hAnsi="仿宋_GB2312" w:eastAsia="仿宋_GB2312" w:cs="仿宋_GB2312"/>
          <w:color w:val="auto"/>
          <w:sz w:val="32"/>
          <w:szCs w:val="32"/>
        </w:rPr>
        <w:t>的违约金系业主共有资金，应纳入业主共有资金统一管理，</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应直接支付至业主共有资金账户。</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第三十条 本合同其他相关违约责任的约定：</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第三十一条 乙方免责条款</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下列情形之一的，乙方不承担违约责任：</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（一）由于甲方、业主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物业使用人的原因导致乙方的服务无法达到合同要求的。</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）非乙方责任出现供水、排水、供电、供气、通讯及其他</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运行障碍造成损失，乙方已采取应急措施的。</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第八章  争议解决</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第三十二条 争议解决</w:t>
      </w:r>
    </w:p>
    <w:p>
      <w:pPr>
        <w:snapToGrid w:val="0"/>
        <w:spacing w:line="560" w:lineRule="exact"/>
        <w:ind w:firstLine="48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因合同的解释或履行发生争议，双方应协商解决。如协商不成的，可采取以下第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方式进行处理：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（一）向有管辖权的人民法院提起诉讼。</w:t>
      </w:r>
    </w:p>
    <w:p>
      <w:p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（二）向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申请仲裁。</w:t>
      </w:r>
    </w:p>
    <w:p>
      <w:pPr>
        <w:pStyle w:val="3"/>
        <w:keepNext/>
        <w:keepLines/>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第九章  附 则</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第三十三条 其他约定</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（一）本合同未尽事宜双方可另行以书面形式签订补充协议。</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（二）对本合同的任何修改、补充或变更应经双方书面确认,并作为本合同附件。附件、补充协议与本合同具有同等的法律效力。</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（三）本合同正文连同附件共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页，一式</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份。本合同副本报区住房和建设部门备案，甲方、乙方、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各执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份，具有同等法律效力。</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（四）本合同经双方法定代表人或授权代表人签字并签章后生效。</w:t>
      </w:r>
    </w:p>
    <w:p>
      <w:pPr>
        <w:snapToGrid w:val="0"/>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（正文完）</w:t>
      </w:r>
    </w:p>
    <w:p>
      <w:pPr>
        <w:spacing w:line="560"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br w:type="page"/>
      </w:r>
    </w:p>
    <w:p>
      <w:pPr>
        <w:snapToGrid w:val="0"/>
        <w:spacing w:line="560" w:lineRule="exact"/>
        <w:rPr>
          <w:rFonts w:ascii="黑体" w:hAnsi="黑体" w:eastAsia="黑体" w:cs="黑体"/>
          <w:bCs/>
          <w:color w:val="auto"/>
          <w:sz w:val="32"/>
          <w:szCs w:val="32"/>
        </w:rPr>
      </w:pPr>
      <w:r>
        <w:rPr>
          <w:rFonts w:hint="eastAsia" w:ascii="黑体" w:hAnsi="黑体" w:eastAsia="黑体" w:cs="黑体"/>
          <w:bCs/>
          <w:color w:val="auto"/>
          <w:sz w:val="32"/>
          <w:szCs w:val="32"/>
        </w:rPr>
        <w:t>本合同附件包含如下：</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.规划平面图</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.物业构成明细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.物业共用部位、</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明细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标准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停</w:t>
      </w:r>
      <w:r>
        <w:rPr>
          <w:rFonts w:hint="eastAsia" w:ascii="仿宋_GB2312" w:hAnsi="仿宋_GB2312" w:eastAsia="仿宋_GB2312" w:cs="仿宋_GB2312"/>
          <w:color w:val="auto"/>
          <w:sz w:val="32"/>
          <w:szCs w:val="32"/>
        </w:rPr>
        <w:t>车位（库）</w:t>
      </w:r>
      <w:r>
        <w:rPr>
          <w:rFonts w:hint="eastAsia" w:ascii="仿宋_GB2312" w:hAnsi="仿宋_GB2312" w:eastAsia="仿宋_GB2312" w:cs="仿宋_GB2312"/>
          <w:color w:val="auto"/>
          <w:sz w:val="32"/>
          <w:szCs w:val="32"/>
          <w:lang w:eastAsia="zh-CN"/>
        </w:rPr>
        <w:t>管理服务</w:t>
      </w:r>
      <w:r>
        <w:rPr>
          <w:rFonts w:hint="eastAsia" w:ascii="仿宋_GB2312" w:hAnsi="仿宋_GB2312" w:eastAsia="仿宋_GB2312" w:cs="仿宋_GB2312"/>
          <w:color w:val="auto"/>
          <w:sz w:val="32"/>
          <w:szCs w:val="32"/>
        </w:rPr>
        <w:t>及相关费用协议</w:t>
      </w:r>
    </w:p>
    <w:p>
      <w:pPr>
        <w:snapToGrid w:val="0"/>
        <w:spacing w:line="560" w:lineRule="exact"/>
        <w:jc w:val="left"/>
        <w:rPr>
          <w:rFonts w:ascii="仿宋" w:hAnsi="仿宋" w:eastAsia="仿宋" w:cs="仿宋"/>
          <w:color w:val="auto"/>
          <w:sz w:val="32"/>
          <w:szCs w:val="32"/>
        </w:rPr>
      </w:pPr>
      <w:bookmarkStart w:id="106" w:name="_Hlk18589278"/>
    </w:p>
    <w:p>
      <w:pPr>
        <w:snapToGrid w:val="0"/>
        <w:spacing w:line="560" w:lineRule="exact"/>
        <w:jc w:val="left"/>
        <w:rPr>
          <w:rFonts w:ascii="仿宋_GB2312" w:hAnsi="仿宋_GB2312" w:eastAsia="仿宋_GB2312" w:cs="仿宋_GB2312"/>
          <w:b/>
          <w:color w:val="auto"/>
          <w:sz w:val="30"/>
          <w:szCs w:val="30"/>
        </w:rPr>
      </w:pPr>
      <w:r>
        <w:rPr>
          <w:rFonts w:hint="eastAsia" w:ascii="仿宋" w:hAnsi="仿宋" w:eastAsia="仿宋" w:cs="仿宋"/>
          <w:color w:val="auto"/>
          <w:sz w:val="30"/>
          <w:szCs w:val="30"/>
        </w:rPr>
        <w:br w:type="page"/>
      </w:r>
      <w:r>
        <w:rPr>
          <w:rFonts w:hint="eastAsia" w:ascii="仿宋_GB2312" w:hAnsi="仿宋_GB2312" w:eastAsia="仿宋_GB2312" w:cs="仿宋_GB2312"/>
          <w:color w:val="auto"/>
          <w:sz w:val="30"/>
          <w:szCs w:val="30"/>
        </w:rPr>
        <w:t>（本页无正文，系深圳市</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街道</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物业管理区域物业服务合同签字页）</w:t>
      </w:r>
    </w:p>
    <w:bookmarkEnd w:id="106"/>
    <w:p>
      <w:pPr>
        <w:snapToGrid w:val="0"/>
        <w:spacing w:line="560" w:lineRule="exact"/>
        <w:jc w:val="left"/>
        <w:rPr>
          <w:rFonts w:ascii="仿宋_GB2312" w:hAnsi="仿宋_GB2312" w:eastAsia="仿宋_GB2312" w:cs="仿宋_GB2312"/>
          <w:b/>
          <w:color w:val="auto"/>
          <w:sz w:val="30"/>
          <w:szCs w:val="30"/>
        </w:rPr>
      </w:pPr>
    </w:p>
    <w:p>
      <w:pPr>
        <w:snapToGrid w:val="0"/>
        <w:spacing w:before="316" w:beforeLines="100" w:after="316" w:afterLines="10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甲方</w:t>
      </w:r>
      <w:r>
        <w:rPr>
          <w:rFonts w:hint="eastAsia" w:ascii="仿宋_GB2312" w:hAnsi="仿宋_GB2312" w:eastAsia="仿宋_GB2312" w:cs="仿宋_GB2312"/>
          <w:b/>
          <w:color w:val="auto"/>
          <w:sz w:val="32"/>
          <w:szCs w:val="32"/>
          <w:lang w:eastAsia="zh-CN"/>
        </w:rPr>
        <w:t>（盖章）</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法定代表人（签名）：</w:t>
      </w:r>
    </w:p>
    <w:p>
      <w:pPr>
        <w:snapToGrid w:val="0"/>
        <w:spacing w:before="316" w:beforeLines="100" w:after="316" w:afterLines="10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委托代理人（签名）：</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snapToGrid w:val="0"/>
        <w:spacing w:before="316" w:beforeLines="100" w:after="316" w:afterLines="10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eastAsia="zh-CN"/>
        </w:rPr>
        <w:t>乙方（盖章）</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法定代表人（签名）：</w:t>
      </w:r>
    </w:p>
    <w:p>
      <w:pPr>
        <w:snapToGrid w:val="0"/>
        <w:spacing w:before="316" w:beforeLines="100" w:after="316" w:afterLines="100" w:line="560" w:lineRule="exact"/>
        <w:rPr>
          <w:rFonts w:ascii="仿宋" w:hAnsi="仿宋" w:eastAsia="仿宋" w:cs="仿宋"/>
          <w:color w:val="auto"/>
          <w:sz w:val="32"/>
          <w:szCs w:val="32"/>
        </w:rPr>
      </w:pPr>
      <w:r>
        <w:rPr>
          <w:rFonts w:hint="eastAsia" w:ascii="仿宋_GB2312" w:hAnsi="仿宋_GB2312" w:eastAsia="仿宋_GB2312" w:cs="仿宋_GB2312"/>
          <w:color w:val="auto"/>
          <w:sz w:val="32"/>
          <w:szCs w:val="32"/>
          <w:lang w:eastAsia="zh-CN"/>
        </w:rPr>
        <w:t>委托代理人（签名）：</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spacing w:line="560" w:lineRule="exact"/>
        <w:rPr>
          <w:rFonts w:hint="eastAsia" w:ascii="仿宋_GB2312" w:hAnsi="仿宋_GB2312" w:eastAsia="仿宋_GB2312" w:cs="仿宋_GB2312"/>
          <w:b w:val="0"/>
          <w:bCs w:val="0"/>
          <w:color w:val="auto"/>
          <w:sz w:val="30"/>
          <w:szCs w:val="30"/>
          <w:lang w:eastAsia="zh-CN"/>
        </w:rPr>
      </w:pPr>
      <w:r>
        <w:rPr>
          <w:rFonts w:hint="eastAsia" w:ascii="仿宋" w:hAnsi="仿宋" w:eastAsia="仿宋" w:cs="仿宋"/>
          <w:color w:val="auto"/>
          <w:sz w:val="28"/>
          <w:szCs w:val="28"/>
        </w:rPr>
        <w:br w:type="page"/>
      </w:r>
      <w:r>
        <w:rPr>
          <w:rFonts w:hint="eastAsia" w:ascii="仿宋_GB2312" w:hAnsi="仿宋_GB2312" w:eastAsia="仿宋_GB2312" w:cs="仿宋_GB2312"/>
          <w:b w:val="0"/>
          <w:bCs w:val="0"/>
          <w:color w:val="auto"/>
          <w:sz w:val="30"/>
          <w:szCs w:val="30"/>
        </w:rPr>
        <w:t>附件</w:t>
      </w:r>
      <w:bookmarkStart w:id="110" w:name="_GoBack"/>
      <w:r>
        <w:rPr>
          <w:rFonts w:hint="eastAsia" w:ascii="仿宋_GB2312" w:hAnsi="仿宋_GB2312" w:eastAsia="仿宋_GB2312" w:cs="仿宋_GB2312"/>
          <w:color w:val="auto"/>
          <w:sz w:val="30"/>
          <w:szCs w:val="30"/>
        </w:rPr>
        <w:t>1</w:t>
      </w:r>
      <w:bookmarkEnd w:id="110"/>
      <w:r>
        <w:rPr>
          <w:rFonts w:hint="eastAsia" w:ascii="仿宋_GB2312" w:hAnsi="仿宋_GB2312" w:eastAsia="仿宋_GB2312" w:cs="仿宋_GB2312"/>
          <w:b w:val="0"/>
          <w:bCs w:val="0"/>
          <w:color w:val="auto"/>
          <w:sz w:val="30"/>
          <w:szCs w:val="30"/>
          <w:lang w:eastAsia="zh-CN"/>
        </w:rPr>
        <w:t>：</w:t>
      </w: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规划平面图</w:t>
      </w: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napToGrid w:val="0"/>
        <w:spacing w:line="560" w:lineRule="exact"/>
        <w:rPr>
          <w:rFonts w:ascii="仿宋" w:hAnsi="仿宋" w:eastAsia="仿宋" w:cs="仿宋"/>
          <w:color w:val="auto"/>
          <w:sz w:val="28"/>
          <w:szCs w:val="28"/>
        </w:rPr>
      </w:pPr>
    </w:p>
    <w:p>
      <w:pPr>
        <w:spacing w:line="560" w:lineRule="exact"/>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28"/>
          <w:szCs w:val="28"/>
        </w:rPr>
        <w:br w:type="page"/>
      </w:r>
      <w:r>
        <w:rPr>
          <w:rFonts w:hint="eastAsia" w:ascii="仿宋_GB2312" w:hAnsi="仿宋_GB2312" w:eastAsia="仿宋_GB2312" w:cs="仿宋_GB2312"/>
          <w:color w:val="auto"/>
          <w:sz w:val="30"/>
          <w:szCs w:val="30"/>
        </w:rPr>
        <w:t>附件2</w:t>
      </w:r>
      <w:r>
        <w:rPr>
          <w:rFonts w:hint="eastAsia" w:ascii="仿宋_GB2312" w:hAnsi="仿宋_GB2312" w:eastAsia="仿宋_GB2312" w:cs="仿宋_GB2312"/>
          <w:color w:val="auto"/>
          <w:sz w:val="30"/>
          <w:szCs w:val="30"/>
          <w:lang w:eastAsia="zh-CN"/>
        </w:rPr>
        <w:t>：</w:t>
      </w:r>
    </w:p>
    <w:p>
      <w:pPr>
        <w:spacing w:before="156" w:beforeLines="50" w:after="156" w:afterLines="5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物业构成明细</w:t>
      </w:r>
    </w:p>
    <w:tbl>
      <w:tblPr>
        <w:tblStyle w:val="9"/>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  型</w:t>
            </w:r>
          </w:p>
        </w:tc>
        <w:tc>
          <w:tcPr>
            <w:tcW w:w="2036"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幢  数</w:t>
            </w:r>
          </w:p>
        </w:tc>
        <w:tc>
          <w:tcPr>
            <w:tcW w:w="216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套（单元）数</w:t>
            </w:r>
          </w:p>
        </w:tc>
        <w:tc>
          <w:tcPr>
            <w:tcW w:w="2066"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w:t>
            </w:r>
          </w:p>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高层住宅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多层住宅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别  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商业用房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工业用房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办公楼</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  库</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会  所</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  校</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幼儿园</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u w:val="single"/>
              </w:rPr>
            </w:pP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  计</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  注</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bl>
    <w:p>
      <w:pPr>
        <w:spacing w:before="0" w:beforeLines="0" w:after="0" w:afterLines="0" w:line="560" w:lineRule="exac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附件3</w:t>
      </w:r>
      <w:r>
        <w:rPr>
          <w:rFonts w:hint="eastAsia" w:ascii="仿宋_GB2312" w:hAnsi="仿宋_GB2312" w:eastAsia="仿宋_GB2312" w:cs="仿宋_GB2312"/>
          <w:color w:val="auto"/>
          <w:sz w:val="30"/>
          <w:szCs w:val="30"/>
          <w:lang w:eastAsia="zh-CN"/>
        </w:rPr>
        <w:t>：</w:t>
      </w:r>
    </w:p>
    <w:p>
      <w:pPr>
        <w:spacing w:before="156" w:beforeLines="50" w:after="156" w:afterLines="50" w:line="560" w:lineRule="exact"/>
        <w:jc w:val="center"/>
        <w:rPr>
          <w:rFonts w:ascii="仿宋" w:hAnsi="仿宋" w:eastAsia="仿宋" w:cs="仿宋"/>
          <w:b/>
          <w:color w:val="auto"/>
          <w:sz w:val="36"/>
          <w:szCs w:val="36"/>
        </w:rPr>
      </w:pPr>
      <w:r>
        <w:rPr>
          <w:rFonts w:hint="eastAsia" w:ascii="黑体" w:hAnsi="黑体" w:eastAsia="黑体" w:cs="黑体"/>
          <w:bCs/>
          <w:color w:val="auto"/>
          <w:sz w:val="32"/>
          <w:szCs w:val="32"/>
        </w:rPr>
        <w:t>物业</w:t>
      </w:r>
      <w:r>
        <w:rPr>
          <w:rFonts w:hint="eastAsia" w:ascii="黑体" w:hAnsi="黑体" w:eastAsia="黑体" w:cs="黑体"/>
          <w:bCs/>
          <w:color w:val="auto"/>
          <w:sz w:val="32"/>
          <w:szCs w:val="32"/>
          <w:lang w:eastAsia="zh-CN"/>
        </w:rPr>
        <w:t>共有部分</w:t>
      </w:r>
      <w:r>
        <w:rPr>
          <w:rFonts w:hint="eastAsia" w:ascii="黑体" w:hAnsi="黑体" w:eastAsia="黑体" w:cs="黑体"/>
          <w:bCs/>
          <w:color w:val="auto"/>
          <w:sz w:val="32"/>
          <w:szCs w:val="32"/>
        </w:rPr>
        <w:t>、</w:t>
      </w:r>
      <w:r>
        <w:rPr>
          <w:rFonts w:hint="eastAsia" w:ascii="黑体" w:hAnsi="黑体" w:eastAsia="黑体" w:cs="黑体"/>
          <w:bCs/>
          <w:color w:val="auto"/>
          <w:sz w:val="32"/>
          <w:szCs w:val="32"/>
          <w:lang w:eastAsia="zh-CN"/>
        </w:rPr>
        <w:t>共用设施设备</w:t>
      </w:r>
      <w:r>
        <w:rPr>
          <w:rFonts w:hint="eastAsia" w:ascii="黑体" w:hAnsi="黑体" w:eastAsia="黑体" w:cs="黑体"/>
          <w:bCs/>
          <w:color w:val="auto"/>
          <w:sz w:val="32"/>
          <w:szCs w:val="32"/>
        </w:rPr>
        <w:t>明细</w:t>
      </w:r>
    </w:p>
    <w:tbl>
      <w:tblPr>
        <w:tblStyle w:val="9"/>
        <w:tblW w:w="9429" w:type="dxa"/>
        <w:jc w:val="center"/>
        <w:tblInd w:w="0"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bookmarkStart w:id="107" w:name="_Hlk23424088"/>
            <w:r>
              <w:rPr>
                <w:rFonts w:hint="eastAsia" w:ascii="仿宋" w:hAnsi="仿宋" w:eastAsia="仿宋" w:cs="仿宋"/>
                <w:color w:val="auto"/>
                <w:szCs w:val="21"/>
              </w:rPr>
              <w:t>物业管理区域内房屋建筑本体之外的</w:t>
            </w:r>
            <w:r>
              <w:rPr>
                <w:rFonts w:hint="eastAsia" w:ascii="仿宋" w:hAnsi="仿宋" w:eastAsia="仿宋" w:cs="仿宋"/>
                <w:color w:val="auto"/>
                <w:szCs w:val="21"/>
                <w:lang w:eastAsia="zh-CN"/>
              </w:rPr>
              <w:t>共用设施设备</w:t>
            </w:r>
            <w:r>
              <w:rPr>
                <w:rFonts w:hint="eastAsia" w:ascii="仿宋" w:hAnsi="仿宋" w:eastAsia="仿宋" w:cs="仿宋"/>
                <w:color w:val="auto"/>
                <w:szCs w:val="21"/>
              </w:rPr>
              <w:t xml:space="preserve">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小区车辆出入口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 w:val="18"/>
                <w:szCs w:val="18"/>
              </w:rPr>
            </w:pPr>
            <w:r>
              <w:rPr>
                <w:rFonts w:hint="eastAsia" w:ascii="仿宋" w:hAnsi="仿宋" w:eastAsia="仿宋" w:cs="仿宋"/>
                <w:color w:val="auto"/>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 w:val="32"/>
                <w:szCs w:val="32"/>
              </w:rPr>
            </w:pPr>
            <w:r>
              <w:rPr>
                <w:rFonts w:hint="eastAsia" w:ascii="仿宋" w:hAnsi="仿宋" w:eastAsia="仿宋" w:cs="仿宋"/>
                <w:color w:val="auto"/>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 w:val="32"/>
                <w:szCs w:val="32"/>
              </w:rPr>
            </w:pPr>
            <w:r>
              <w:rPr>
                <w:rFonts w:hint="eastAsia" w:ascii="仿宋" w:hAnsi="仿宋" w:eastAsia="仿宋" w:cs="仿宋"/>
                <w:color w:val="auto"/>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 w:val="18"/>
                <w:szCs w:val="18"/>
              </w:rPr>
            </w:pPr>
            <w:r>
              <w:rPr>
                <w:rFonts w:hint="eastAsia" w:ascii="仿宋" w:hAnsi="仿宋" w:eastAsia="仿宋" w:cs="仿宋"/>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left="113" w:right="113"/>
              <w:jc w:val="center"/>
              <w:rPr>
                <w:rFonts w:hint="eastAsia" w:ascii="仿宋" w:hAnsi="仿宋" w:eastAsia="仿宋" w:cs="仿宋"/>
                <w:color w:val="auto"/>
                <w:szCs w:val="21"/>
                <w:lang w:eastAsia="zh-CN"/>
              </w:rPr>
            </w:pPr>
            <w:r>
              <w:rPr>
                <w:rFonts w:hint="eastAsia" w:ascii="仿宋" w:hAnsi="仿宋" w:eastAsia="仿宋" w:cs="仿宋"/>
                <w:color w:val="auto"/>
                <w:szCs w:val="21"/>
              </w:rPr>
              <w:t>房屋建筑本体</w:t>
            </w:r>
            <w:r>
              <w:rPr>
                <w:rFonts w:hint="eastAsia" w:ascii="仿宋" w:hAnsi="仿宋" w:eastAsia="仿宋" w:cs="仿宋"/>
                <w:color w:val="auto"/>
                <w:szCs w:val="21"/>
                <w:lang w:eastAsia="zh-CN"/>
              </w:rPr>
              <w:t>共有部分</w:t>
            </w:r>
            <w:r>
              <w:rPr>
                <w:rFonts w:hint="eastAsia" w:ascii="仿宋" w:hAnsi="仿宋" w:eastAsia="仿宋" w:cs="仿宋"/>
                <w:color w:val="auto"/>
                <w:szCs w:val="21"/>
              </w:rPr>
              <w:t>及本体</w:t>
            </w:r>
            <w:r>
              <w:rPr>
                <w:rFonts w:hint="eastAsia" w:ascii="仿宋" w:hAnsi="仿宋" w:eastAsia="仿宋" w:cs="仿宋"/>
                <w:color w:val="auto"/>
                <w:szCs w:val="21"/>
                <w:lang w:eastAsia="zh-CN"/>
              </w:rPr>
              <w:t>共用设施设备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r>
              <w:rPr>
                <w:rFonts w:hint="eastAsia" w:ascii="仿宋" w:hAnsi="仿宋" w:eastAsia="仿宋" w:cs="仿宋"/>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 w:hAnsi="仿宋" w:eastAsia="仿宋" w:cs="仿宋"/>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 w:hAnsi="仿宋" w:eastAsia="仿宋" w:cs="仿宋"/>
                <w:color w:val="auto"/>
                <w:szCs w:val="21"/>
                <w:u w:val="single"/>
              </w:rPr>
            </w:pPr>
            <w:r>
              <w:rPr>
                <w:rFonts w:hint="eastAsia" w:ascii="仿宋" w:hAnsi="仿宋" w:eastAsia="仿宋" w:cs="仿宋"/>
                <w:color w:val="auto"/>
                <w:szCs w:val="21"/>
              </w:rPr>
              <w:t>坐落位置</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 w:hAnsi="仿宋" w:eastAsia="仿宋" w:cs="仿宋"/>
                <w:color w:val="auto"/>
                <w:szCs w:val="21"/>
              </w:rPr>
            </w:pPr>
            <w:r>
              <w:rPr>
                <w:rFonts w:hint="eastAsia" w:ascii="仿宋" w:hAnsi="仿宋" w:eastAsia="仿宋" w:cs="仿宋"/>
                <w:color w:val="auto"/>
                <w:szCs w:val="21"/>
              </w:rPr>
              <w:t>坐落位置</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cs="仿宋"/>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auto"/>
                <w:szCs w:val="21"/>
              </w:rPr>
            </w:pPr>
            <w:r>
              <w:rPr>
                <w:rFonts w:hint="eastAsia" w:ascii="仿宋" w:hAnsi="仿宋" w:eastAsia="仿宋" w:cs="仿宋"/>
                <w:color w:val="auto"/>
                <w:szCs w:val="21"/>
              </w:rPr>
              <w:t>物业管理</w:t>
            </w:r>
            <w:r>
              <w:rPr>
                <w:rFonts w:hint="eastAsia" w:ascii="仿宋" w:hAnsi="仿宋" w:eastAsia="仿宋" w:cs="仿宋"/>
                <w:color w:val="auto"/>
                <w:szCs w:val="21"/>
                <w:lang w:eastAsia="zh-CN"/>
              </w:rPr>
              <w:t>设施设备用房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 w:hAnsi="仿宋" w:eastAsia="仿宋" w:cs="仿宋"/>
                <w:color w:val="auto"/>
                <w:szCs w:val="21"/>
                <w:u w:val="single"/>
              </w:rPr>
            </w:pPr>
            <w:r>
              <w:rPr>
                <w:rFonts w:hint="eastAsia" w:ascii="仿宋" w:hAnsi="仿宋" w:eastAsia="仿宋" w:cs="仿宋"/>
                <w:color w:val="auto"/>
                <w:szCs w:val="21"/>
              </w:rPr>
              <w:t>坐落位置</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bookmarkEnd w:id="107"/>
    </w:tbl>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28"/>
          <w:szCs w:val="28"/>
        </w:rPr>
        <w:br w:type="page"/>
      </w:r>
      <w:r>
        <w:rPr>
          <w:rFonts w:hint="eastAsia" w:ascii="仿宋_GB2312" w:hAnsi="仿宋_GB2312" w:eastAsia="仿宋_GB2312" w:cs="仿宋_GB2312"/>
          <w:color w:val="auto"/>
          <w:sz w:val="30"/>
          <w:szCs w:val="30"/>
        </w:rPr>
        <w:t>附件4</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p>
    <w:p>
      <w:pPr>
        <w:spacing w:before="156" w:beforeLines="50" w:after="156" w:afterLines="50" w:line="560" w:lineRule="exact"/>
        <w:jc w:val="center"/>
        <w:rPr>
          <w:rFonts w:ascii="黑体" w:hAnsi="黑体" w:eastAsia="黑体" w:cs="黑体"/>
          <w:color w:val="auto"/>
          <w:sz w:val="32"/>
          <w:szCs w:val="32"/>
        </w:rPr>
      </w:pPr>
      <w:r>
        <w:rPr>
          <w:rFonts w:hint="eastAsia" w:ascii="黑体" w:hAnsi="黑体" w:eastAsia="黑体" w:cs="黑体"/>
          <w:color w:val="auto"/>
          <w:sz w:val="32"/>
          <w:szCs w:val="32"/>
          <w:lang w:eastAsia="zh-CN"/>
        </w:rPr>
        <w:t>物业服务</w:t>
      </w:r>
      <w:r>
        <w:rPr>
          <w:rFonts w:hint="eastAsia" w:ascii="黑体" w:hAnsi="黑体" w:eastAsia="黑体" w:cs="黑体"/>
          <w:color w:val="auto"/>
          <w:sz w:val="32"/>
          <w:szCs w:val="32"/>
        </w:rPr>
        <w:t>标准</w:t>
      </w:r>
    </w:p>
    <w:p>
      <w:pPr>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甲方可参照下列标准制定本物业管理区域的物业服务标准：</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《物业服务通用规范》（SZDB/Z 42-2011）</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《物业服务区域秩序维护规范》（SZDB/Z 170-2016）</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《物业服务人员管理规范》（SZDB/Z 171-2016）</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《物业绿化养护管理规范》（SZDB/Z 173-2016）</w:t>
      </w:r>
    </w:p>
    <w:p>
      <w:pPr>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《住宅物业服务内容与质量规范》（</w:t>
      </w:r>
      <w:r>
        <w:rPr>
          <w:rFonts w:hint="eastAsia" w:ascii="仿宋" w:hAnsi="仿宋" w:eastAsia="仿宋" w:cs="仿宋"/>
          <w:color w:val="auto"/>
          <w:sz w:val="32"/>
          <w:szCs w:val="32"/>
          <w:lang w:val="en-US" w:eastAsia="zh-CN"/>
        </w:rPr>
        <w:t>SZDB/Z 203-2016</w:t>
      </w:r>
      <w:r>
        <w:rPr>
          <w:rFonts w:hint="eastAsia" w:ascii="仿宋" w:hAnsi="仿宋" w:eastAsia="仿宋" w:cs="仿宋"/>
          <w:color w:val="auto"/>
          <w:sz w:val="32"/>
          <w:szCs w:val="32"/>
          <w:lang w:eastAsia="zh-CN"/>
        </w:rPr>
        <w:t>）</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《物业管理基础术语》（SZDB/Z 287-2018）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《物业服务行业安全管理检查评价规范》（SZDB/Z 307-2018）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《绿色物业管理项目评价标准》（SJG 50-2018）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《深圳市住宅物业服务收费指导标准》</w:t>
      </w:r>
    </w:p>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28"/>
          <w:szCs w:val="28"/>
        </w:rPr>
        <w:br w:type="page"/>
      </w:r>
      <w:r>
        <w:rPr>
          <w:rFonts w:hint="eastAsia" w:ascii="仿宋_GB2312" w:hAnsi="仿宋_GB2312" w:eastAsia="仿宋_GB2312" w:cs="仿宋_GB2312"/>
          <w:color w:val="auto"/>
          <w:sz w:val="30"/>
          <w:szCs w:val="30"/>
        </w:rPr>
        <w:t>附件5</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156" w:after="156" w:line="560" w:lineRule="exact"/>
        <w:jc w:val="center"/>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lang w:eastAsia="zh-CN"/>
        </w:rPr>
        <w:t>停</w:t>
      </w:r>
      <w:r>
        <w:rPr>
          <w:rFonts w:hint="eastAsia" w:ascii="黑体" w:hAnsi="黑体" w:eastAsia="黑体" w:cs="黑体"/>
          <w:bCs/>
          <w:color w:val="auto"/>
          <w:sz w:val="32"/>
          <w:szCs w:val="32"/>
        </w:rPr>
        <w:t>车位（库）</w:t>
      </w:r>
      <w:r>
        <w:rPr>
          <w:rFonts w:hint="eastAsia" w:ascii="黑体" w:hAnsi="黑体" w:eastAsia="黑体" w:cs="黑体"/>
          <w:bCs/>
          <w:color w:val="auto"/>
          <w:sz w:val="32"/>
          <w:szCs w:val="32"/>
          <w:lang w:eastAsia="zh-CN"/>
        </w:rPr>
        <w:t>管理服务</w:t>
      </w:r>
      <w:r>
        <w:rPr>
          <w:rFonts w:hint="eastAsia" w:ascii="黑体" w:hAnsi="黑体" w:eastAsia="黑体" w:cs="黑体"/>
          <w:bCs/>
          <w:color w:val="auto"/>
          <w:sz w:val="32"/>
          <w:szCs w:val="32"/>
        </w:rPr>
        <w:t>及相关费用协议</w:t>
      </w:r>
    </w:p>
    <w:p>
      <w:pPr>
        <w:keepNext w:val="0"/>
        <w:keepLines w:val="0"/>
        <w:pageBreakBefore w:val="0"/>
        <w:widowControl w:val="0"/>
        <w:kinsoku/>
        <w:wordWrap/>
        <w:overflowPunct/>
        <w:topLinePunct w:val="0"/>
        <w:autoSpaceDE/>
        <w:autoSpaceDN/>
        <w:bidi w:val="0"/>
        <w:adjustRightInd/>
        <w:snapToGrid/>
        <w:spacing w:before="157" w:line="560" w:lineRule="exact"/>
        <w:ind w:firstLine="600" w:firstLineChars="200"/>
        <w:textAlignment w:val="auto"/>
        <w:outlineLvl w:val="9"/>
        <w:rPr>
          <w:rFonts w:ascii="Times New Roman" w:hAnsi="Times New Roman" w:eastAsia="仿宋_GB2312"/>
          <w:color w:val="auto"/>
          <w:sz w:val="30"/>
          <w:szCs w:val="30"/>
        </w:rPr>
      </w:pPr>
      <w:r>
        <w:rPr>
          <w:rFonts w:hint="eastAsia" w:ascii="Times New Roman" w:hAnsi="Times New Roman" w:eastAsia="仿宋_GB2312"/>
          <w:color w:val="auto"/>
          <w:sz w:val="30"/>
          <w:szCs w:val="30"/>
        </w:rPr>
        <w:t>甲方</w:t>
      </w:r>
      <w:r>
        <w:rPr>
          <w:rFonts w:ascii="Times New Roman" w:hAnsi="Times New Roman" w:eastAsia="仿宋_GB2312"/>
          <w:color w:val="auto"/>
          <w:sz w:val="30"/>
          <w:szCs w:val="30"/>
        </w:rPr>
        <w:t>（全称）：</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color w:val="auto"/>
          <w:sz w:val="30"/>
          <w:szCs w:val="30"/>
        </w:rPr>
      </w:pPr>
      <w:r>
        <w:rPr>
          <w:rFonts w:ascii="Times New Roman" w:hAnsi="Times New Roman" w:eastAsia="仿宋_GB2312"/>
          <w:color w:val="auto"/>
          <w:sz w:val="30"/>
          <w:szCs w:val="30"/>
        </w:rPr>
        <w:t>　　</w:t>
      </w:r>
      <w:r>
        <w:rPr>
          <w:rFonts w:hint="eastAsia" w:ascii="Times New Roman" w:hAnsi="Times New Roman" w:eastAsia="仿宋_GB2312"/>
          <w:color w:val="auto"/>
          <w:sz w:val="30"/>
          <w:szCs w:val="30"/>
        </w:rPr>
        <w:t>乙方</w:t>
      </w:r>
      <w:r>
        <w:rPr>
          <w:rFonts w:ascii="Times New Roman" w:hAnsi="Times New Roman" w:eastAsia="仿宋_GB2312"/>
          <w:color w:val="auto"/>
          <w:sz w:val="30"/>
          <w:szCs w:val="30"/>
        </w:rPr>
        <w:t>（全称）：</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Times New Roman" w:hAnsi="Times New Roman" w:eastAsia="仿宋_GB2312"/>
          <w:color w:val="auto"/>
          <w:sz w:val="30"/>
          <w:szCs w:val="30"/>
        </w:rPr>
      </w:pPr>
      <w:r>
        <w:rPr>
          <w:rFonts w:ascii="Times New Roman" w:hAnsi="Times New Roman" w:eastAsia="仿宋_GB2312"/>
          <w:color w:val="auto"/>
          <w:sz w:val="30"/>
          <w:szCs w:val="30"/>
        </w:rPr>
        <w:t>根据</w:t>
      </w:r>
      <w:r>
        <w:rPr>
          <w:rFonts w:hint="eastAsia" w:ascii="仿宋_GB2312" w:hAnsi="仿宋_GB2312" w:eastAsia="仿宋_GB2312" w:cs="仿宋_GB2312"/>
          <w:color w:val="auto"/>
          <w:sz w:val="30"/>
          <w:szCs w:val="30"/>
        </w:rPr>
        <w:t>《深圳经济特区物业管理条例》《深圳市停车场规划建设和机动车停放管理条例》</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lang w:eastAsia="zh-CN"/>
        </w:rPr>
        <w:t>双</w:t>
      </w:r>
      <w:r>
        <w:rPr>
          <w:rFonts w:hint="eastAsia" w:ascii="Times New Roman" w:hAnsi="Times New Roman" w:eastAsia="仿宋_GB2312"/>
          <w:color w:val="auto"/>
          <w:sz w:val="30"/>
          <w:szCs w:val="30"/>
        </w:rPr>
        <w:t>方</w:t>
      </w:r>
      <w:r>
        <w:rPr>
          <w:rFonts w:ascii="Times New Roman" w:hAnsi="Times New Roman" w:eastAsia="仿宋_GB2312"/>
          <w:color w:val="auto"/>
          <w:sz w:val="30"/>
          <w:szCs w:val="30"/>
        </w:rPr>
        <w:t>经协商一致就</w:t>
      </w:r>
      <w:r>
        <w:rPr>
          <w:rFonts w:hint="eastAsia" w:ascii="Times New Roman" w:hAnsi="Times New Roman" w:eastAsia="仿宋_GB2312"/>
          <w:color w:val="auto"/>
          <w:sz w:val="30"/>
          <w:szCs w:val="30"/>
          <w:u w:val="single"/>
        </w:rPr>
        <w:t xml:space="preserve">        </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物业</w:t>
      </w:r>
      <w:r>
        <w:rPr>
          <w:rFonts w:hint="eastAsia" w:ascii="Times New Roman" w:hAnsi="Times New Roman" w:eastAsia="仿宋_GB2312"/>
          <w:color w:val="auto"/>
          <w:sz w:val="30"/>
          <w:szCs w:val="30"/>
          <w:lang w:eastAsia="zh-CN"/>
        </w:rPr>
        <w:t>管理区域名称</w:t>
      </w:r>
      <w:r>
        <w:rPr>
          <w:rFonts w:ascii="Times New Roman" w:hAnsi="Times New Roman" w:eastAsia="仿宋_GB2312"/>
          <w:color w:val="auto"/>
          <w:sz w:val="30"/>
          <w:szCs w:val="30"/>
        </w:rPr>
        <w:t>）签订</w:t>
      </w:r>
      <w:r>
        <w:rPr>
          <w:rFonts w:hint="eastAsia" w:ascii="Times New Roman" w:hAnsi="Times New Roman" w:eastAsia="仿宋_GB2312"/>
          <w:color w:val="auto"/>
          <w:sz w:val="30"/>
          <w:szCs w:val="30"/>
          <w:lang w:eastAsia="zh-CN"/>
        </w:rPr>
        <w:t>停</w:t>
      </w:r>
      <w:r>
        <w:rPr>
          <w:rFonts w:hint="eastAsia" w:ascii="Times New Roman" w:hAnsi="Times New Roman" w:eastAsia="仿宋_GB2312"/>
          <w:color w:val="auto"/>
          <w:sz w:val="30"/>
          <w:szCs w:val="30"/>
        </w:rPr>
        <w:t>车位（库）</w:t>
      </w:r>
      <w:r>
        <w:rPr>
          <w:rFonts w:hint="eastAsia" w:ascii="仿宋_GB2312" w:hAnsi="仿宋_GB2312" w:eastAsia="仿宋_GB2312" w:cs="仿宋_GB2312"/>
          <w:color w:val="auto"/>
          <w:sz w:val="30"/>
          <w:szCs w:val="30"/>
        </w:rPr>
        <w:t>（以下简称“</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w:t>
      </w:r>
      <w:r>
        <w:rPr>
          <w:rFonts w:hint="eastAsia" w:ascii="Times New Roman" w:hAnsi="Times New Roman" w:eastAsia="仿宋_GB2312"/>
          <w:color w:val="auto"/>
          <w:sz w:val="30"/>
          <w:szCs w:val="30"/>
          <w:lang w:eastAsia="zh-CN"/>
        </w:rPr>
        <w:t>管理服务</w:t>
      </w:r>
      <w:r>
        <w:rPr>
          <w:rFonts w:hint="eastAsia" w:ascii="Times New Roman" w:hAnsi="Times New Roman" w:eastAsia="仿宋_GB2312"/>
          <w:color w:val="auto"/>
          <w:sz w:val="30"/>
          <w:szCs w:val="30"/>
        </w:rPr>
        <w:t>及相关费用协议</w:t>
      </w:r>
      <w:r>
        <w:rPr>
          <w:rFonts w:ascii="Times New Roman" w:hAnsi="Times New Roman" w:eastAsia="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车位、车库</w:t>
      </w:r>
      <w:r>
        <w:rPr>
          <w:rFonts w:hint="eastAsia" w:ascii="黑体" w:hAnsi="黑体" w:eastAsia="黑体" w:cs="黑体"/>
          <w:color w:val="auto"/>
          <w:sz w:val="32"/>
          <w:szCs w:val="32"/>
        </w:rPr>
        <w:t>使用及</w:t>
      </w:r>
      <w:r>
        <w:rPr>
          <w:rFonts w:hint="eastAsia" w:ascii="黑体" w:hAnsi="黑体" w:eastAsia="黑体" w:cs="黑体"/>
          <w:color w:val="auto"/>
          <w:sz w:val="32"/>
          <w:szCs w:val="32"/>
          <w:lang w:eastAsia="zh-CN"/>
        </w:rPr>
        <w:t>管理服务</w:t>
      </w:r>
      <w:r>
        <w:rPr>
          <w:rFonts w:hint="eastAsia" w:ascii="黑体" w:hAnsi="黑体" w:eastAsia="黑体" w:cs="黑体"/>
          <w:color w:val="auto"/>
          <w:sz w:val="32"/>
          <w:szCs w:val="32"/>
        </w:rPr>
        <w:t>原则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（一）本物业管理区域内车位、车库交由乙方统一进行管理。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（二）任何单位和个人不得擅自改变经批准建成的</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的功能或挪作他用。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按照《中华人民共和国物权法》《深圳经济特区物业管理条例》等法律规定优先满足本物业管理区域内业主使用。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管理情况接受全体业主的监督。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（五）甲、乙双方及业主应严格遵守本物业管理区域内相关</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车位、车库</w:t>
      </w:r>
      <w:r>
        <w:rPr>
          <w:rFonts w:hint="eastAsia" w:ascii="黑体" w:hAnsi="黑体" w:eastAsia="黑体" w:cs="黑体"/>
          <w:color w:val="auto"/>
          <w:sz w:val="32"/>
          <w:szCs w:val="32"/>
        </w:rPr>
        <w:t>情况、费用标准及收益分配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总数</w:t>
      </w:r>
      <w:bookmarkStart w:id="108" w:name="_Hlk23417013"/>
      <w:r>
        <w:rPr>
          <w:rFonts w:hint="eastAsia" w:ascii="仿宋_GB2312" w:hAnsi="仿宋_GB2312" w:eastAsia="仿宋_GB2312" w:cs="仿宋_GB2312"/>
          <w:color w:val="auto"/>
          <w:sz w:val="30"/>
          <w:szCs w:val="30"/>
          <w:lang w:eastAsia="zh-CN"/>
        </w:rPr>
        <w:t>共</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w:t>
      </w:r>
      <w:bookmarkEnd w:id="108"/>
      <w:r>
        <w:rPr>
          <w:rFonts w:hint="eastAsia" w:ascii="仿宋_GB2312" w:hAnsi="仿宋_GB2312" w:eastAsia="仿宋_GB2312" w:cs="仿宋_GB2312"/>
          <w:color w:val="auto"/>
          <w:sz w:val="30"/>
          <w:szCs w:val="30"/>
        </w:rPr>
        <w:t>，其中地</w:t>
      </w:r>
      <w:r>
        <w:rPr>
          <w:rFonts w:hint="eastAsia" w:ascii="仿宋_GB2312" w:hAnsi="仿宋_GB2312" w:eastAsia="仿宋_GB2312" w:cs="仿宋_GB2312"/>
          <w:color w:val="auto"/>
          <w:sz w:val="30"/>
          <w:szCs w:val="30"/>
          <w:lang w:eastAsia="zh-CN"/>
        </w:rPr>
        <w:t>上</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个，地下</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（二）业主按以下标准支付</w:t>
      </w:r>
      <w:r>
        <w:rPr>
          <w:rFonts w:hint="eastAsia" w:ascii="仿宋_GB2312" w:hAnsi="仿宋_GB2312" w:eastAsia="仿宋_GB2312" w:cs="仿宋_GB2312"/>
          <w:color w:val="auto"/>
          <w:sz w:val="30"/>
          <w:szCs w:val="30"/>
          <w:lang w:eastAsia="zh-CN"/>
        </w:rPr>
        <w:t>机动车停放服务费</w:t>
      </w:r>
    </w:p>
    <w:p>
      <w:pPr>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本物业管理区域停车高峰期是指每日的下午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点起至次日上午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点前，停车平峰期是指每日的上午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点起至下午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点前。</w:t>
      </w:r>
    </w:p>
    <w:p>
      <w:pPr>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各类型停车用户的停车</w:t>
      </w:r>
      <w:r>
        <w:rPr>
          <w:rFonts w:hint="eastAsia" w:ascii="仿宋" w:hAnsi="仿宋" w:eastAsia="仿宋" w:cs="仿宋"/>
          <w:color w:val="auto"/>
          <w:sz w:val="30"/>
          <w:szCs w:val="30"/>
          <w:lang w:eastAsia="zh-CN"/>
        </w:rPr>
        <w:t>服务</w:t>
      </w:r>
      <w:r>
        <w:rPr>
          <w:rFonts w:hint="eastAsia" w:ascii="仿宋" w:hAnsi="仿宋" w:eastAsia="仿宋" w:cs="仿宋"/>
          <w:color w:val="auto"/>
          <w:sz w:val="30"/>
          <w:szCs w:val="30"/>
        </w:rPr>
        <w:t>费标准</w:t>
      </w:r>
      <w:r>
        <w:rPr>
          <w:rFonts w:hint="eastAsia" w:ascii="仿宋" w:hAnsi="仿宋" w:eastAsia="仿宋" w:cs="仿宋"/>
          <w:color w:val="auto"/>
          <w:sz w:val="30"/>
          <w:szCs w:val="30"/>
          <w:lang w:eastAsia="zh-CN"/>
        </w:rPr>
        <w:t>如下</w:t>
      </w:r>
      <w:r>
        <w:rPr>
          <w:rFonts w:hint="eastAsia" w:ascii="仿宋" w:hAnsi="仿宋" w:eastAsia="仿宋" w:cs="仿宋"/>
          <w:color w:val="auto"/>
          <w:sz w:val="30"/>
          <w:szCs w:val="30"/>
        </w:rPr>
        <w:t>：</w:t>
      </w:r>
    </w:p>
    <w:p>
      <w:pPr>
        <w:spacing w:line="560" w:lineRule="exact"/>
        <w:ind w:firstLine="640"/>
        <w:rPr>
          <w:rFonts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固定车位月卡用户，人民币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非固定车位月卡用户，人民币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经登记的内部临时车用户</w:t>
      </w:r>
      <w:r>
        <w:rPr>
          <w:rFonts w:hint="eastAsia" w:ascii="仿宋" w:hAnsi="仿宋" w:eastAsia="仿宋" w:cs="仿宋"/>
          <w:color w:val="auto"/>
          <w:sz w:val="30"/>
          <w:szCs w:val="30"/>
          <w:lang w:eastAsia="zh-CN"/>
        </w:rPr>
        <w:t>采用：</w:t>
      </w:r>
    </w:p>
    <w:p>
      <w:pPr>
        <w:spacing w:line="560" w:lineRule="exact"/>
        <w:ind w:firstLine="64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○按月收费，</w:t>
      </w:r>
      <w:r>
        <w:rPr>
          <w:rFonts w:hint="eastAsia" w:ascii="仿宋" w:hAnsi="仿宋" w:eastAsia="仿宋" w:cs="仿宋"/>
          <w:color w:val="auto"/>
          <w:sz w:val="30"/>
          <w:szCs w:val="30"/>
        </w:rPr>
        <w:t>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hint="eastAsia" w:ascii="仿宋" w:hAnsi="仿宋" w:eastAsia="仿宋" w:cs="仿宋"/>
          <w:color w:val="auto"/>
          <w:sz w:val="30"/>
          <w:szCs w:val="30"/>
          <w:u w:val="single"/>
        </w:rPr>
      </w:pPr>
      <w:r>
        <w:rPr>
          <w:rFonts w:hint="eastAsia" w:ascii="仿宋" w:hAnsi="仿宋" w:eastAsia="仿宋" w:cs="仿宋"/>
          <w:color w:val="auto"/>
          <w:sz w:val="30"/>
          <w:szCs w:val="30"/>
          <w:lang w:val="en-US" w:eastAsia="zh-CN"/>
        </w:rPr>
        <w:t>○按不同峰期收费，</w:t>
      </w:r>
      <w:r>
        <w:rPr>
          <w:rFonts w:hint="eastAsia" w:ascii="仿宋" w:hAnsi="仿宋" w:eastAsia="仿宋" w:cs="仿宋"/>
          <w:color w:val="auto"/>
          <w:sz w:val="30"/>
          <w:szCs w:val="30"/>
        </w:rPr>
        <w:t>高峰期停车收费方案为：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；平峰期停车收费方案为：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外部临时车用户</w:t>
      </w:r>
      <w:r>
        <w:rPr>
          <w:rFonts w:hint="eastAsia" w:ascii="仿宋" w:hAnsi="仿宋" w:eastAsia="仿宋" w:cs="仿宋"/>
          <w:color w:val="auto"/>
          <w:sz w:val="30"/>
          <w:szCs w:val="30"/>
          <w:lang w:eastAsia="zh-CN"/>
        </w:rPr>
        <w:t>采用：</w:t>
      </w:r>
    </w:p>
    <w:p>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t>定额收费：</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○按不同峰期收费，</w:t>
      </w:r>
      <w:r>
        <w:rPr>
          <w:rFonts w:hint="eastAsia" w:ascii="仿宋" w:hAnsi="仿宋" w:eastAsia="仿宋" w:cs="仿宋"/>
          <w:color w:val="auto"/>
          <w:sz w:val="30"/>
          <w:szCs w:val="30"/>
        </w:rPr>
        <w:t>高峰期停车收费方案为：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；平峰期停车收费方案为：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4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□阶梯收费，用于（</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固定车位月卡用户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非固定车位月卡用户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经登记的内部临时车用户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t>同类停车用户第二辆比第一辆多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hint="eastAsia" w:ascii="仿宋" w:hAnsi="仿宋" w:eastAsia="仿宋" w:cs="仿宋"/>
          <w:color w:val="auto"/>
          <w:sz w:val="30"/>
          <w:szCs w:val="30"/>
          <w:lang w:eastAsia="zh-CN"/>
        </w:rPr>
        <w:t>第三辆比第一辆多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hint="eastAsia" w:ascii="仿宋" w:hAnsi="仿宋" w:eastAsia="仿宋" w:cs="仿宋"/>
          <w:color w:val="auto"/>
          <w:sz w:val="30"/>
          <w:szCs w:val="30"/>
          <w:lang w:eastAsia="zh-CN"/>
        </w:rPr>
        <w:t>；第四辆比第一辆多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ascii="仿宋" w:hAnsi="仿宋" w:eastAsia="仿宋" w:cs="仿宋"/>
          <w:color w:val="auto"/>
          <w:sz w:val="30"/>
          <w:szCs w:val="30"/>
        </w:rPr>
        <w:t xml:space="preserve">                                            </w:t>
      </w:r>
    </w:p>
    <w:p>
      <w:pPr>
        <w:spacing w:line="560" w:lineRule="exact"/>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连续六个月从未离开本物业管理区域停车场的外部临时车，自第七月起收费方案为：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以上收费方案</w:t>
      </w:r>
      <w:r>
        <w:rPr>
          <w:rFonts w:hint="eastAsia" w:ascii="仿宋" w:hAnsi="仿宋" w:eastAsia="仿宋" w:cs="仿宋"/>
          <w:color w:val="auto"/>
          <w:sz w:val="30"/>
          <w:szCs w:val="30"/>
          <w:lang w:eastAsia="zh-CN"/>
        </w:rPr>
        <w:t>为经业主大会</w:t>
      </w:r>
      <w:r>
        <w:rPr>
          <w:rFonts w:hint="eastAsia" w:ascii="仿宋" w:hAnsi="仿宋" w:eastAsia="仿宋" w:cs="仿宋"/>
          <w:color w:val="auto"/>
          <w:sz w:val="30"/>
          <w:szCs w:val="30"/>
        </w:rPr>
        <w:t>表决通过</w:t>
      </w:r>
      <w:r>
        <w:rPr>
          <w:rFonts w:hint="eastAsia" w:ascii="仿宋" w:hAnsi="仿宋" w:eastAsia="仿宋" w:cs="仿宋"/>
          <w:color w:val="auto"/>
          <w:sz w:val="30"/>
          <w:szCs w:val="30"/>
          <w:lang w:eastAsia="zh-CN"/>
        </w:rPr>
        <w:t>的方案）</w:t>
      </w:r>
    </w:p>
    <w:p>
      <w:pPr>
        <w:spacing w:line="560" w:lineRule="exact"/>
        <w:ind w:left="0" w:leftChars="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大车及摩托车等机动车停放收费标准见本物业管理区域公示的《深圳市停车场收费标价牌》。</w:t>
      </w:r>
    </w:p>
    <w:p>
      <w:pPr>
        <w:spacing w:line="560" w:lineRule="exact"/>
        <w:ind w:left="0" w:leftChars="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本物业管理区域</w:t>
      </w:r>
      <w:r>
        <w:rPr>
          <w:rFonts w:hint="eastAsia" w:ascii="仿宋" w:hAnsi="仿宋" w:eastAsia="仿宋" w:cs="仿宋"/>
          <w:color w:val="auto"/>
          <w:sz w:val="30"/>
          <w:szCs w:val="30"/>
          <w:lang w:eastAsia="zh-CN"/>
        </w:rPr>
        <w:t>只能</w:t>
      </w:r>
      <w:r>
        <w:rPr>
          <w:rFonts w:hint="eastAsia" w:ascii="仿宋" w:hAnsi="仿宋" w:eastAsia="仿宋" w:cs="仿宋"/>
          <w:color w:val="auto"/>
          <w:sz w:val="30"/>
          <w:szCs w:val="30"/>
        </w:rPr>
        <w:t>通过业主大会</w:t>
      </w:r>
      <w:r>
        <w:rPr>
          <w:rFonts w:hint="eastAsia" w:ascii="仿宋" w:hAnsi="仿宋" w:eastAsia="仿宋" w:cs="仿宋"/>
          <w:color w:val="auto"/>
          <w:sz w:val="30"/>
          <w:szCs w:val="30"/>
          <w:lang w:eastAsia="zh-CN"/>
        </w:rPr>
        <w:t>会议表决来决定是否</w:t>
      </w:r>
      <w:r>
        <w:rPr>
          <w:rFonts w:hint="eastAsia" w:ascii="仿宋" w:hAnsi="仿宋" w:eastAsia="仿宋" w:cs="仿宋"/>
          <w:color w:val="auto"/>
          <w:sz w:val="30"/>
          <w:szCs w:val="30"/>
        </w:rPr>
        <w:t>根据市场调</w:t>
      </w:r>
      <w:r>
        <w:rPr>
          <w:rFonts w:hint="eastAsia" w:ascii="仿宋" w:hAnsi="仿宋" w:eastAsia="仿宋" w:cs="仿宋"/>
          <w:color w:val="auto"/>
          <w:sz w:val="30"/>
          <w:szCs w:val="30"/>
          <w:lang w:eastAsia="zh-CN"/>
        </w:rPr>
        <w:t>整机动车停放服务</w:t>
      </w:r>
      <w:r>
        <w:rPr>
          <w:rFonts w:hint="eastAsia" w:ascii="仿宋" w:hAnsi="仿宋" w:eastAsia="仿宋" w:cs="仿宋"/>
          <w:color w:val="auto"/>
          <w:sz w:val="30"/>
          <w:szCs w:val="30"/>
        </w:rPr>
        <w:t>费</w:t>
      </w:r>
      <w:r>
        <w:rPr>
          <w:rFonts w:hint="eastAsia" w:ascii="仿宋" w:hAnsi="仿宋" w:eastAsia="仿宋" w:cs="仿宋"/>
          <w:color w:val="auto"/>
          <w:sz w:val="30"/>
          <w:szCs w:val="30"/>
          <w:lang w:eastAsia="zh-CN"/>
        </w:rPr>
        <w:t>，乙方不得擅自</w:t>
      </w:r>
      <w:r>
        <w:rPr>
          <w:rFonts w:hint="eastAsia" w:ascii="仿宋" w:hAnsi="仿宋" w:eastAsia="仿宋" w:cs="仿宋"/>
          <w:color w:val="auto"/>
          <w:sz w:val="30"/>
          <w:szCs w:val="30"/>
          <w:lang w:val="en-US" w:eastAsia="zh-CN"/>
        </w:rPr>
        <w:t>调整</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（三）费用分配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bookmarkStart w:id="109" w:name="_Hlk21438553"/>
      <w:r>
        <w:rPr>
          <w:rFonts w:hint="eastAsia" w:ascii="仿宋_GB2312" w:hAnsi="仿宋_GB2312" w:eastAsia="仿宋_GB2312" w:cs="仿宋_GB2312"/>
          <w:color w:val="auto"/>
          <w:sz w:val="30"/>
          <w:szCs w:val="30"/>
        </w:rPr>
        <w:t>1.</w:t>
      </w:r>
      <w:bookmarkEnd w:id="109"/>
      <w:r>
        <w:rPr>
          <w:rFonts w:hint="eastAsia" w:ascii="仿宋_GB2312" w:hAnsi="仿宋_GB2312" w:eastAsia="仿宋_GB2312" w:cs="仿宋_GB2312"/>
          <w:color w:val="auto"/>
          <w:sz w:val="30"/>
          <w:szCs w:val="30"/>
          <w:lang w:eastAsia="zh-CN"/>
        </w:rPr>
        <w:t>机动车停放服务费</w:t>
      </w:r>
      <w:r>
        <w:rPr>
          <w:rFonts w:hint="eastAsia" w:ascii="仿宋_GB2312" w:hAnsi="仿宋_GB2312" w:eastAsia="仿宋_GB2312" w:cs="仿宋_GB2312"/>
          <w:color w:val="auto"/>
          <w:sz w:val="30"/>
          <w:szCs w:val="30"/>
        </w:rPr>
        <w:t>统一由本物业管理区域业主大会进行管理。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2.如</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收益权属于建设单位的，则按照建设单位与业主大会订立的协议进行分配。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eastAsia="zh-CN"/>
        </w:rPr>
        <w:t>本物业管理区域</w:t>
      </w:r>
      <w:r>
        <w:rPr>
          <w:rFonts w:hint="eastAsia" w:ascii="仿宋_GB2312" w:hAnsi="仿宋_GB2312" w:eastAsia="仿宋_GB2312" w:cs="仿宋_GB2312"/>
          <w:color w:val="auto"/>
          <w:sz w:val="30"/>
          <w:szCs w:val="30"/>
          <w:lang w:val="en-US" w:eastAsia="zh-CN"/>
        </w:rPr>
        <w:t>每年机动车停放服务费总收入约为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万元，</w:t>
      </w:r>
      <w:r>
        <w:rPr>
          <w:rFonts w:hint="eastAsia" w:ascii="仿宋_GB2312" w:hAnsi="仿宋_GB2312" w:eastAsia="仿宋_GB2312" w:cs="仿宋_GB2312"/>
          <w:color w:val="auto"/>
          <w:sz w:val="30"/>
          <w:szCs w:val="30"/>
        </w:rPr>
        <w:t>乙方可从</w:t>
      </w:r>
      <w:r>
        <w:rPr>
          <w:rFonts w:hint="eastAsia" w:ascii="仿宋_GB2312" w:hAnsi="仿宋_GB2312" w:eastAsia="仿宋_GB2312" w:cs="仿宋_GB2312"/>
          <w:color w:val="auto"/>
          <w:sz w:val="30"/>
          <w:szCs w:val="30"/>
          <w:lang w:eastAsia="zh-CN"/>
        </w:rPr>
        <w:t>机动车停放服务费</w:t>
      </w:r>
      <w:r>
        <w:rPr>
          <w:rFonts w:hint="eastAsia" w:ascii="仿宋_GB2312" w:hAnsi="仿宋_GB2312" w:eastAsia="仿宋_GB2312" w:cs="仿宋_GB2312"/>
          <w:color w:val="auto"/>
          <w:sz w:val="30"/>
          <w:szCs w:val="30"/>
        </w:rPr>
        <w:t>中归属于业主共有资金部分按</w:t>
      </w:r>
      <w:r>
        <w:rPr>
          <w:rFonts w:hint="eastAsia" w:ascii="仿宋_GB2312" w:hAnsi="仿宋_GB2312" w:eastAsia="仿宋_GB2312" w:cs="仿宋_GB2312"/>
          <w:color w:val="auto"/>
          <w:sz w:val="30"/>
          <w:szCs w:val="30"/>
          <w:lang w:eastAsia="zh-CN"/>
        </w:rPr>
        <w:t>以下</w:t>
      </w:r>
      <w:r>
        <w:rPr>
          <w:rFonts w:hint="eastAsia" w:ascii="仿宋_GB2312" w:hAnsi="仿宋_GB2312" w:eastAsia="仿宋_GB2312" w:cs="仿宋_GB2312"/>
          <w:color w:val="auto"/>
          <w:sz w:val="30"/>
          <w:szCs w:val="30"/>
        </w:rPr>
        <w:t>为标准收取</w:t>
      </w:r>
      <w:r>
        <w:rPr>
          <w:rFonts w:hint="eastAsia" w:ascii="仿宋_GB2312" w:hAnsi="仿宋_GB2312" w:eastAsia="仿宋_GB2312" w:cs="仿宋_GB2312"/>
          <w:color w:val="auto"/>
          <w:sz w:val="30"/>
          <w:szCs w:val="30"/>
          <w:lang w:eastAsia="zh-CN"/>
        </w:rPr>
        <w:t>车位、车库管理服务</w:t>
      </w:r>
      <w:r>
        <w:rPr>
          <w:rFonts w:hint="eastAsia" w:ascii="仿宋_GB2312" w:hAnsi="仿宋_GB2312" w:eastAsia="仿宋_GB2312" w:cs="仿宋_GB2312"/>
          <w:color w:val="auto"/>
          <w:sz w:val="30"/>
          <w:szCs w:val="30"/>
        </w:rPr>
        <w:t>费</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日前在预收的</w:t>
      </w:r>
      <w:r>
        <w:rPr>
          <w:rFonts w:hint="eastAsia" w:ascii="仿宋_GB2312" w:hAnsi="仿宋_GB2312" w:eastAsia="仿宋_GB2312" w:cs="仿宋_GB2312"/>
          <w:color w:val="auto"/>
          <w:sz w:val="30"/>
          <w:szCs w:val="30"/>
          <w:lang w:eastAsia="zh-CN"/>
        </w:rPr>
        <w:t>机动车停放服务费</w:t>
      </w:r>
      <w:r>
        <w:rPr>
          <w:rFonts w:hint="eastAsia" w:ascii="仿宋_GB2312" w:hAnsi="仿宋_GB2312" w:eastAsia="仿宋_GB2312" w:cs="仿宋_GB2312"/>
          <w:color w:val="auto"/>
          <w:sz w:val="30"/>
          <w:szCs w:val="30"/>
        </w:rPr>
        <w:t>中按</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%的比例提取</w:t>
      </w:r>
      <w:r>
        <w:rPr>
          <w:rFonts w:hint="eastAsia" w:ascii="仿宋_GB2312" w:hAnsi="仿宋_GB2312" w:eastAsia="仿宋_GB2312" w:cs="仿宋_GB2312"/>
          <w:color w:val="auto"/>
          <w:sz w:val="30"/>
          <w:szCs w:val="30"/>
          <w:lang w:eastAsia="zh-CN"/>
        </w:rPr>
        <w:t>车位、车库管理服务费。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日前在预收的</w:t>
      </w:r>
      <w:r>
        <w:rPr>
          <w:rFonts w:hint="eastAsia" w:ascii="仿宋_GB2312" w:hAnsi="仿宋_GB2312" w:eastAsia="仿宋_GB2312" w:cs="仿宋_GB2312"/>
          <w:color w:val="auto"/>
          <w:sz w:val="30"/>
          <w:szCs w:val="30"/>
          <w:lang w:eastAsia="zh-CN"/>
        </w:rPr>
        <w:t>机动车停放服务费</w:t>
      </w:r>
      <w:r>
        <w:rPr>
          <w:rFonts w:hint="eastAsia" w:ascii="仿宋_GB2312" w:hAnsi="仿宋_GB2312" w:eastAsia="仿宋_GB2312" w:cs="仿宋_GB2312"/>
          <w:color w:val="auto"/>
          <w:sz w:val="30"/>
          <w:szCs w:val="30"/>
        </w:rPr>
        <w:t>中提取</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万元的</w:t>
      </w:r>
      <w:r>
        <w:rPr>
          <w:rFonts w:hint="eastAsia" w:ascii="仿宋_GB2312" w:hAnsi="仿宋_GB2312" w:eastAsia="仿宋_GB2312" w:cs="仿宋_GB2312"/>
          <w:color w:val="auto"/>
          <w:sz w:val="30"/>
          <w:szCs w:val="30"/>
          <w:lang w:eastAsia="zh-CN"/>
        </w:rPr>
        <w:t>车位、车库管理服务</w:t>
      </w:r>
      <w:r>
        <w:rPr>
          <w:rFonts w:hint="eastAsia" w:ascii="仿宋_GB2312" w:hAnsi="仿宋_GB2312" w:eastAsia="仿宋_GB2312" w:cs="仿宋_GB2312"/>
          <w:color w:val="auto"/>
          <w:sz w:val="30"/>
          <w:szCs w:val="30"/>
        </w:rPr>
        <w:t>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车位、车库管理</w:t>
      </w:r>
      <w:r>
        <w:rPr>
          <w:rFonts w:hint="eastAsia" w:ascii="黑体" w:hAnsi="黑体" w:eastAsia="黑体" w:cs="黑体"/>
          <w:color w:val="auto"/>
          <w:sz w:val="32"/>
          <w:szCs w:val="32"/>
        </w:rPr>
        <w:t>服务具体要求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（一）乙方应依据《深圳经济特区物业管理条例》《深圳市停车场规划建设和机动车停放管理条例》《深圳市经营性停车场设施管理办法》等法律法规的规定，遵照本合同</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本物业管理区域</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管理规约</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等物业管理制度</w:t>
      </w:r>
      <w:r>
        <w:rPr>
          <w:rFonts w:hint="eastAsia" w:ascii="仿宋_GB2312" w:hAnsi="仿宋_GB2312" w:eastAsia="仿宋_GB2312" w:cs="仿宋_GB2312"/>
          <w:color w:val="auto"/>
          <w:sz w:val="30"/>
          <w:szCs w:val="30"/>
          <w:lang w:eastAsia="zh-CN"/>
        </w:rPr>
        <w:t>以及</w:t>
      </w:r>
      <w:r>
        <w:rPr>
          <w:rFonts w:hint="eastAsia" w:ascii="仿宋_GB2312" w:hAnsi="仿宋_GB2312" w:eastAsia="仿宋_GB2312" w:cs="仿宋_GB2312"/>
          <w:color w:val="auto"/>
          <w:sz w:val="30"/>
          <w:szCs w:val="30"/>
        </w:rPr>
        <w:t>业主大会决议对本物业管理区域</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进行统一的</w:t>
      </w:r>
      <w:r>
        <w:rPr>
          <w:rFonts w:hint="eastAsia" w:ascii="仿宋_GB2312" w:hAnsi="仿宋_GB2312" w:eastAsia="仿宋_GB2312" w:cs="仿宋_GB2312"/>
          <w:color w:val="auto"/>
          <w:sz w:val="30"/>
          <w:szCs w:val="30"/>
          <w:lang w:eastAsia="zh-CN"/>
        </w:rPr>
        <w:t>物业服务</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的照明、排水、通风、消防应当符合国家标准和行业规范的要求，乙方应保持前述条件或者必要的设施的正常运转。</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（三）乙方应当在</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设置值班岗亭、道闸、监控设备等封闭式安全管理设施。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（四）乙方应在车位、车库出入口的显著位置明示停车场标志、费用标准和管理制度。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（五）乙方负责进出车辆的登记。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（六）乙方维护场内车辆停放秩序和行使秩序，疏导停车场出入口交通。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（七）乙方应做好停车场防火、防水等安全防范工作。对装载危险品的机动车，乙方不得同意其进入本物业管理区域停放。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（八）乙方应对临时停放车辆进行登记后方可放行，登记内容包括车主联系方式、到访事项等，以便紧急联络。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（九）乙方应执行市公安交管部门制定的停车场管理规定。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 w:hAnsi="仿宋" w:eastAsia="仿宋" w:cs="仿宋"/>
          <w:color w:val="auto"/>
          <w:sz w:val="32"/>
          <w:szCs w:val="32"/>
        </w:rPr>
      </w:pPr>
      <w:r>
        <w:rPr>
          <w:rFonts w:hint="eastAsia" w:ascii="仿宋_GB2312" w:hAnsi="仿宋_GB2312" w:eastAsia="仿宋_GB2312" w:cs="仿宋_GB2312"/>
          <w:color w:val="auto"/>
          <w:sz w:val="30"/>
          <w:szCs w:val="30"/>
        </w:rPr>
        <w:t>（十）</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spacing w:line="560" w:lineRule="exact"/>
        <w:rPr>
          <w:color w:val="auto"/>
        </w:rPr>
      </w:pPr>
    </w:p>
    <w:p>
      <w:pPr>
        <w:rPr>
          <w:rFonts w:hint="eastAsia"/>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rPr>
        <w:rFonts w:ascii="宋体" w:hAnsi="宋体"/>
        <w:sz w:val="28"/>
        <w:szCs w:val="28"/>
      </w:rP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69A18"/>
    <w:multiLevelType w:val="singleLevel"/>
    <w:tmpl w:val="99B69A18"/>
    <w:lvl w:ilvl="0" w:tentative="0">
      <w:start w:val="1"/>
      <w:numFmt w:val="chineseCounting"/>
      <w:suff w:val="nothing"/>
      <w:lvlText w:val="（%1）"/>
      <w:lvlJc w:val="left"/>
      <w:rPr>
        <w:rFonts w:hint="eastAsia"/>
      </w:rPr>
    </w:lvl>
  </w:abstractNum>
  <w:abstractNum w:abstractNumId="1">
    <w:nsid w:val="CAA861C8"/>
    <w:multiLevelType w:val="singleLevel"/>
    <w:tmpl w:val="CAA861C8"/>
    <w:lvl w:ilvl="0" w:tentative="0">
      <w:start w:val="1"/>
      <w:numFmt w:val="chineseCounting"/>
      <w:suff w:val="nothing"/>
      <w:lvlText w:val="（%1）"/>
      <w:lvlJc w:val="left"/>
      <w:rPr>
        <w:rFonts w:hint="eastAsia"/>
      </w:rPr>
    </w:lvl>
  </w:abstractNum>
  <w:abstractNum w:abstractNumId="2">
    <w:nsid w:val="40EF4876"/>
    <w:multiLevelType w:val="singleLevel"/>
    <w:tmpl w:val="40EF487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C"/>
    <w:rsid w:val="00070669"/>
    <w:rsid w:val="001750E7"/>
    <w:rsid w:val="0018759A"/>
    <w:rsid w:val="001A0E22"/>
    <w:rsid w:val="001C3410"/>
    <w:rsid w:val="0022600F"/>
    <w:rsid w:val="00274E12"/>
    <w:rsid w:val="00295A83"/>
    <w:rsid w:val="002A4547"/>
    <w:rsid w:val="002B4F0D"/>
    <w:rsid w:val="002B7F56"/>
    <w:rsid w:val="002C5DEC"/>
    <w:rsid w:val="002E7DD7"/>
    <w:rsid w:val="00364A16"/>
    <w:rsid w:val="00370167"/>
    <w:rsid w:val="00437FAD"/>
    <w:rsid w:val="004A42F8"/>
    <w:rsid w:val="004B38C8"/>
    <w:rsid w:val="004C3579"/>
    <w:rsid w:val="0054797C"/>
    <w:rsid w:val="00596D93"/>
    <w:rsid w:val="005B1183"/>
    <w:rsid w:val="006132B5"/>
    <w:rsid w:val="0071118A"/>
    <w:rsid w:val="00763401"/>
    <w:rsid w:val="0083467D"/>
    <w:rsid w:val="00857CAC"/>
    <w:rsid w:val="0086210F"/>
    <w:rsid w:val="008807E8"/>
    <w:rsid w:val="00897726"/>
    <w:rsid w:val="008B326A"/>
    <w:rsid w:val="008C70C4"/>
    <w:rsid w:val="00962D11"/>
    <w:rsid w:val="00993C2D"/>
    <w:rsid w:val="00A744B0"/>
    <w:rsid w:val="00A912FE"/>
    <w:rsid w:val="00A965DF"/>
    <w:rsid w:val="00AD5C8E"/>
    <w:rsid w:val="00B3391C"/>
    <w:rsid w:val="00B34D58"/>
    <w:rsid w:val="00B70831"/>
    <w:rsid w:val="00B76089"/>
    <w:rsid w:val="00B918BF"/>
    <w:rsid w:val="00BB3F3E"/>
    <w:rsid w:val="00BB7898"/>
    <w:rsid w:val="00C44B78"/>
    <w:rsid w:val="00C54500"/>
    <w:rsid w:val="00CD35ED"/>
    <w:rsid w:val="00CE4F2C"/>
    <w:rsid w:val="00CF3235"/>
    <w:rsid w:val="00D557A0"/>
    <w:rsid w:val="00D57767"/>
    <w:rsid w:val="00D713EF"/>
    <w:rsid w:val="00D779BA"/>
    <w:rsid w:val="00DC398A"/>
    <w:rsid w:val="00E503F1"/>
    <w:rsid w:val="00E522AE"/>
    <w:rsid w:val="00EC4434"/>
    <w:rsid w:val="00ED0F73"/>
    <w:rsid w:val="00F26C91"/>
    <w:rsid w:val="00F56521"/>
    <w:rsid w:val="00FC55C6"/>
    <w:rsid w:val="00FE09C0"/>
    <w:rsid w:val="00FF0E0D"/>
    <w:rsid w:val="0275349A"/>
    <w:rsid w:val="02EB507B"/>
    <w:rsid w:val="02F413F5"/>
    <w:rsid w:val="051C61CB"/>
    <w:rsid w:val="05856698"/>
    <w:rsid w:val="06882056"/>
    <w:rsid w:val="099F7ECC"/>
    <w:rsid w:val="0B7F4D9B"/>
    <w:rsid w:val="0F236611"/>
    <w:rsid w:val="0FE216E3"/>
    <w:rsid w:val="10484CEF"/>
    <w:rsid w:val="12087426"/>
    <w:rsid w:val="169D2A26"/>
    <w:rsid w:val="1A177BA8"/>
    <w:rsid w:val="1A5E4348"/>
    <w:rsid w:val="1DFB1B89"/>
    <w:rsid w:val="1E9216A6"/>
    <w:rsid w:val="1F38142A"/>
    <w:rsid w:val="1FE92700"/>
    <w:rsid w:val="236A3997"/>
    <w:rsid w:val="24451C55"/>
    <w:rsid w:val="26513524"/>
    <w:rsid w:val="2676553E"/>
    <w:rsid w:val="27DF0898"/>
    <w:rsid w:val="2B4F52B1"/>
    <w:rsid w:val="2D730249"/>
    <w:rsid w:val="2FF43ADF"/>
    <w:rsid w:val="37BD41EF"/>
    <w:rsid w:val="39D8544B"/>
    <w:rsid w:val="3B4578A0"/>
    <w:rsid w:val="3B7F048F"/>
    <w:rsid w:val="3EA8194E"/>
    <w:rsid w:val="41616732"/>
    <w:rsid w:val="422F1DEC"/>
    <w:rsid w:val="42EA6A12"/>
    <w:rsid w:val="484444AA"/>
    <w:rsid w:val="487F7E92"/>
    <w:rsid w:val="4C9D4209"/>
    <w:rsid w:val="4DA75787"/>
    <w:rsid w:val="4DB82711"/>
    <w:rsid w:val="4FCE4382"/>
    <w:rsid w:val="50C10428"/>
    <w:rsid w:val="514160DB"/>
    <w:rsid w:val="51871D8B"/>
    <w:rsid w:val="52401D49"/>
    <w:rsid w:val="52BB79FE"/>
    <w:rsid w:val="55E13B6F"/>
    <w:rsid w:val="56C12A0E"/>
    <w:rsid w:val="56E54342"/>
    <w:rsid w:val="57826241"/>
    <w:rsid w:val="5B235FAA"/>
    <w:rsid w:val="5EBF0955"/>
    <w:rsid w:val="601C1338"/>
    <w:rsid w:val="60450357"/>
    <w:rsid w:val="61D026CB"/>
    <w:rsid w:val="62200F23"/>
    <w:rsid w:val="65781130"/>
    <w:rsid w:val="687172B5"/>
    <w:rsid w:val="6C8E2E58"/>
    <w:rsid w:val="6EFF5DCE"/>
    <w:rsid w:val="736F4304"/>
    <w:rsid w:val="73F01788"/>
    <w:rsid w:val="74373841"/>
    <w:rsid w:val="7A05320F"/>
    <w:rsid w:val="7F867D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4">
    <w:name w:val="Balloon Text"/>
    <w:basedOn w:val="1"/>
    <w:semiHidden/>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table" w:styleId="10">
    <w:name w:val="Table Grid"/>
    <w:basedOn w:val="9"/>
    <w:qFormat/>
    <w:uiPriority w:val="59"/>
    <w:rPr>
      <w:rFonts w:eastAsia="微软雅黑" w:asciiTheme="minorHAnsi" w:hAnsi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1">
    <w:name w:val="默认段落字体 Para Char Char Char Char Char Char Char Char Char Char"/>
    <w:basedOn w:val="1"/>
    <w:qFormat/>
    <w:uiPriority w:val="0"/>
  </w:style>
  <w:style w:type="paragraph" w:customStyle="1" w:styleId="12">
    <w:name w:val="样式1"/>
    <w:basedOn w:val="6"/>
    <w:qFormat/>
    <w:uiPriority w:val="0"/>
    <w:pPr>
      <w:pBdr>
        <w:bottom w:val="none" w:color="auto" w:sz="0" w:space="0"/>
      </w:pBdr>
    </w:pPr>
  </w:style>
  <w:style w:type="paragraph" w:customStyle="1" w:styleId="13">
    <w:name w:val="样式2"/>
    <w:basedOn w:val="6"/>
    <w:qFormat/>
    <w:uiPriority w:val="0"/>
    <w:pPr>
      <w:pBdr>
        <w:bottom w:val="none" w:color="auto" w:sz="0" w:space="0"/>
      </w:pBdr>
    </w:pPr>
  </w:style>
  <w:style w:type="paragraph" w:customStyle="1" w:styleId="14">
    <w:name w:val="样式3"/>
    <w:basedOn w:val="6"/>
    <w:qFormat/>
    <w:uiPriority w:val="0"/>
    <w:pPr>
      <w:pBdr>
        <w:bottom w:val="none" w:color="auto" w:sz="0" w:space="0"/>
      </w:pBdr>
    </w:pPr>
  </w:style>
  <w:style w:type="paragraph" w:customStyle="1" w:styleId="15">
    <w:name w:val="样式4"/>
    <w:basedOn w:val="6"/>
    <w:qFormat/>
    <w:uiPriority w:val="0"/>
    <w:pPr>
      <w:pBdr>
        <w:bottom w:val="none" w:color="auto" w:sz="0" w:space="0"/>
      </w:pBdr>
    </w:pPr>
  </w:style>
  <w:style w:type="paragraph" w:customStyle="1" w:styleId="16">
    <w:name w:val="List Paragraph1"/>
    <w:basedOn w:val="1"/>
    <w:qFormat/>
    <w:uiPriority w:val="0"/>
    <w:pPr>
      <w:ind w:left="720"/>
      <w:contextualSpacing/>
    </w:pPr>
    <w:rPr>
      <w:rFonts w:ascii="Calibri" w:hAnsi="Calibri" w:cs="黑体"/>
      <w:szCs w:val="22"/>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7"/>
    <w:link w:val="6"/>
    <w:qFormat/>
    <w:uiPriority w:val="0"/>
    <w:rPr>
      <w:kern w:val="2"/>
      <w:sz w:val="18"/>
      <w:szCs w:val="18"/>
    </w:rPr>
  </w:style>
  <w:style w:type="character" w:customStyle="1" w:styleId="19">
    <w:name w:val="页脚 Char"/>
    <w:basedOn w:val="7"/>
    <w:link w:val="5"/>
    <w:qFormat/>
    <w:uiPriority w:val="99"/>
    <w:rPr>
      <w:kern w:val="2"/>
      <w:sz w:val="18"/>
      <w:szCs w:val="18"/>
    </w:rPr>
  </w:style>
  <w:style w:type="paragraph" w:customStyle="1" w:styleId="20">
    <w:name w:val="List Paragraph"/>
    <w:basedOn w:val="1"/>
    <w:qFormat/>
    <w:uiPriority w:val="99"/>
    <w:pPr>
      <w:ind w:firstLine="420" w:firstLineChars="200"/>
    </w:pPr>
  </w:style>
  <w:style w:type="character" w:customStyle="1" w:styleId="21">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9</Pages>
  <Words>484</Words>
  <Characters>2765</Characters>
  <Lines>23</Lines>
  <Paragraphs>6</Paragraphs>
  <TotalTime>1</TotalTime>
  <ScaleCrop>false</ScaleCrop>
  <LinksUpToDate>false</LinksUpToDate>
  <CharactersWithSpaces>3243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2020-05-21T07:29:00Z</dcterms:created>
  <dc:creator>李群</dc:creator>
  <cp:lastModifiedBy>张宇红</cp:lastModifiedBy>
  <cp:lastPrinted>2020-06-22T09:03:00Z</cp:lastPrinted>
  <dcterms:modified xsi:type="dcterms:W3CDTF">2020-07-02T06:26:27Z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