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14A3" w:rsidRPr="00E31D50" w:rsidRDefault="00FC14A3" w:rsidP="00FC14A3">
      <w:pPr>
        <w:adjustRightInd w:val="0"/>
        <w:snapToGrid w:val="0"/>
        <w:spacing w:line="600" w:lineRule="exact"/>
        <w:jc w:val="left"/>
        <w:rPr>
          <w:rFonts w:ascii="仿宋_GB2312" w:eastAsia="仿宋_GB2312" w:hAnsi="宋体" w:cs="Times New Roman"/>
          <w:sz w:val="32"/>
          <w:szCs w:val="32"/>
        </w:rPr>
      </w:pPr>
      <w:r w:rsidRPr="00E31D50">
        <w:rPr>
          <w:rFonts w:ascii="仿宋_GB2312" w:eastAsia="仿宋_GB2312" w:hAnsi="宋体" w:cs="Times New Roman" w:hint="eastAsia"/>
          <w:sz w:val="32"/>
          <w:szCs w:val="32"/>
        </w:rPr>
        <w:t>附件1</w:t>
      </w:r>
    </w:p>
    <w:p w:rsidR="00FC14A3" w:rsidRPr="00E31D50" w:rsidRDefault="00FC14A3" w:rsidP="004C5F4D">
      <w:pPr>
        <w:adjustRightInd w:val="0"/>
        <w:snapToGrid w:val="0"/>
        <w:spacing w:line="600" w:lineRule="exact"/>
        <w:jc w:val="center"/>
        <w:rPr>
          <w:rFonts w:ascii="宋体" w:hAnsi="宋体" w:cs="Times New Roman"/>
          <w:b/>
          <w:sz w:val="44"/>
          <w:szCs w:val="44"/>
        </w:rPr>
      </w:pPr>
    </w:p>
    <w:p w:rsidR="004C5F4D" w:rsidRPr="00E31D50" w:rsidRDefault="004C5F4D" w:rsidP="004C5F4D">
      <w:pPr>
        <w:adjustRightInd w:val="0"/>
        <w:snapToGrid w:val="0"/>
        <w:spacing w:line="600" w:lineRule="exact"/>
        <w:jc w:val="center"/>
        <w:rPr>
          <w:rFonts w:ascii="楷体_GB2312" w:eastAsia="楷体_GB2312" w:hAnsi="宋体" w:cs="Times New Roman"/>
          <w:sz w:val="44"/>
          <w:szCs w:val="44"/>
        </w:rPr>
      </w:pPr>
      <w:r w:rsidRPr="00E31D50">
        <w:rPr>
          <w:rFonts w:ascii="宋体" w:hAnsi="宋体" w:cs="Times New Roman" w:hint="eastAsia"/>
          <w:b/>
          <w:sz w:val="44"/>
          <w:szCs w:val="44"/>
        </w:rPr>
        <w:t>C塔及相邻地块项目遴选方案</w:t>
      </w:r>
    </w:p>
    <w:p w:rsidR="004C5F4D" w:rsidRPr="00E31D50" w:rsidRDefault="004C5F4D" w:rsidP="004C5F4D">
      <w:pPr>
        <w:adjustRightInd w:val="0"/>
        <w:snapToGrid w:val="0"/>
        <w:spacing w:line="600" w:lineRule="exact"/>
        <w:jc w:val="center"/>
        <w:rPr>
          <w:rFonts w:ascii="楷体_GB2312" w:eastAsia="楷体_GB2312" w:hAnsi="宋体" w:cs="Times New Roman"/>
          <w:b/>
          <w:bCs/>
          <w:sz w:val="30"/>
          <w:szCs w:val="30"/>
        </w:rPr>
      </w:pP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仿宋_GB2312" w:eastAsia="仿宋_GB2312" w:hAnsi="Cambria" w:cs="Times New Roman" w:hint="eastAsia"/>
          <w:sz w:val="32"/>
          <w:szCs w:val="32"/>
        </w:rPr>
        <w:t>为加快建设中国特色社会主义先行示范区，努力创建社会主义现代化强国城市范例，参照《深圳市鼓励总部企业发展实施办法》（深府规〔2017〕7号）和《深圳市总部项目遴选及用地供应管理办法》（深府规〔2018〕1号）等有关规定,为了给入驻深圳湾超级总部基地（以下简称“深超总”）的企业总部、国际组织和机构高水平提供办公用房及服务设施，现就C塔及相邻地块项目制定以下遴选方案：</w:t>
      </w:r>
    </w:p>
    <w:p w:rsidR="004C5F4D" w:rsidRPr="00E31D50" w:rsidRDefault="004C5F4D" w:rsidP="004C5F4D">
      <w:pPr>
        <w:adjustRightInd w:val="0"/>
        <w:snapToGrid w:val="0"/>
        <w:spacing w:line="600" w:lineRule="exact"/>
        <w:ind w:firstLineChars="200" w:firstLine="640"/>
        <w:rPr>
          <w:rFonts w:ascii="黑体" w:eastAsia="黑体" w:hAnsi="黑体" w:cs="Times New Roman"/>
          <w:sz w:val="32"/>
          <w:szCs w:val="32"/>
        </w:rPr>
      </w:pPr>
      <w:r w:rsidRPr="00E31D50">
        <w:rPr>
          <w:rFonts w:ascii="黑体" w:eastAsia="黑体" w:hAnsi="黑体" w:cs="Times New Roman" w:hint="eastAsia"/>
          <w:sz w:val="32"/>
          <w:szCs w:val="32"/>
        </w:rPr>
        <w:t>一、项目名称</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仿宋_GB2312" w:eastAsia="仿宋_GB2312" w:hAnsi="Cambria" w:cs="Times New Roman" w:hint="eastAsia"/>
          <w:sz w:val="32"/>
          <w:szCs w:val="32"/>
        </w:rPr>
        <w:t>C塔及相邻地块项目</w:t>
      </w:r>
    </w:p>
    <w:p w:rsidR="004C5F4D" w:rsidRPr="00E31D50" w:rsidRDefault="004C5F4D" w:rsidP="004C5F4D">
      <w:pPr>
        <w:adjustRightInd w:val="0"/>
        <w:snapToGrid w:val="0"/>
        <w:spacing w:line="600" w:lineRule="exact"/>
        <w:ind w:firstLineChars="200" w:firstLine="640"/>
        <w:rPr>
          <w:rFonts w:ascii="黑体" w:eastAsia="黑体" w:hAnsi="黑体" w:cs="Times New Roman"/>
          <w:sz w:val="32"/>
          <w:szCs w:val="32"/>
        </w:rPr>
      </w:pPr>
      <w:r w:rsidRPr="00E31D50">
        <w:rPr>
          <w:rFonts w:ascii="黑体" w:eastAsia="黑体" w:hAnsi="黑体" w:cs="Times New Roman" w:hint="eastAsia"/>
          <w:sz w:val="32"/>
          <w:szCs w:val="32"/>
        </w:rPr>
        <w:t>二、意向用地单位</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仿宋_GB2312" w:eastAsia="仿宋_GB2312" w:hAnsi="Cambria" w:cs="Times New Roman" w:hint="eastAsia"/>
          <w:sz w:val="32"/>
          <w:szCs w:val="32"/>
        </w:rPr>
        <w:t>深圳湾区城市建设发展有限公司</w:t>
      </w:r>
    </w:p>
    <w:p w:rsidR="004C5F4D" w:rsidRPr="00E31D50" w:rsidRDefault="004C5F4D" w:rsidP="004C5F4D">
      <w:pPr>
        <w:adjustRightInd w:val="0"/>
        <w:snapToGrid w:val="0"/>
        <w:spacing w:line="600" w:lineRule="exact"/>
        <w:ind w:firstLineChars="200" w:firstLine="640"/>
        <w:rPr>
          <w:rFonts w:ascii="黑体" w:eastAsia="黑体" w:hAnsi="黑体" w:cs="Times New Roman"/>
          <w:sz w:val="32"/>
          <w:szCs w:val="32"/>
        </w:rPr>
      </w:pPr>
      <w:r w:rsidRPr="00E31D50">
        <w:rPr>
          <w:rFonts w:ascii="黑体" w:eastAsia="黑体" w:hAnsi="黑体" w:cs="Times New Roman" w:hint="eastAsia"/>
          <w:sz w:val="32"/>
          <w:szCs w:val="32"/>
        </w:rPr>
        <w:t>三、可行性研究</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楷体_GB2312" w:eastAsia="楷体_GB2312" w:hAnsi="宋体" w:cs="Times New Roman" w:hint="eastAsia"/>
          <w:sz w:val="32"/>
          <w:szCs w:val="32"/>
        </w:rPr>
        <w:t>（一）必要性：</w:t>
      </w:r>
      <w:r w:rsidRPr="00E31D50">
        <w:rPr>
          <w:rFonts w:ascii="仿宋_GB2312" w:eastAsia="仿宋_GB2312" w:hAnsi="宋体" w:cs="Times New Roman" w:hint="eastAsia"/>
          <w:sz w:val="32"/>
          <w:szCs w:val="32"/>
        </w:rPr>
        <w:t>为解决产业集聚发展与总部办公空间有限的问题，提升总部办公空间利用效率，培育城市发展新动能，急需打造深圳首个为企业总部、国际组织和机构提供办公用房及公共服务的创新示范项目。本项目按照“去房地产化”和扶持产业发展的原则，由市属国有企业投资开发建设，直接面向符合条件的企业总部、国际组织和机构提供优质低价的办公用房和公共服务设施，着力增强深圳在粤港澳大湾</w:t>
      </w:r>
      <w:r w:rsidRPr="00E31D50">
        <w:rPr>
          <w:rFonts w:ascii="仿宋_GB2312" w:eastAsia="仿宋_GB2312" w:hAnsi="宋体" w:cs="Times New Roman" w:hint="eastAsia"/>
          <w:sz w:val="32"/>
          <w:szCs w:val="32"/>
        </w:rPr>
        <w:lastRenderedPageBreak/>
        <w:t>区的核心引擎功能。</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楷体_GB2312" w:eastAsia="楷体_GB2312" w:hAnsi="Cambria" w:cs="Times New Roman" w:hint="eastAsia"/>
          <w:sz w:val="32"/>
          <w:szCs w:val="32"/>
        </w:rPr>
        <w:t>（二）可行性：</w:t>
      </w:r>
      <w:r w:rsidRPr="00E31D50">
        <w:rPr>
          <w:rFonts w:ascii="仿宋_GB2312" w:eastAsia="仿宋_GB2312" w:hAnsi="Cambria" w:cs="Times New Roman" w:hint="eastAsia"/>
          <w:sz w:val="32"/>
          <w:szCs w:val="32"/>
        </w:rPr>
        <w:t>一方面，深超总依托超级区位优势，目前剩余的产业用地资源已极为有限，如再延续传统“一企一地”土地供给模式，总部经济发展空间将难以为继。需创新思路，按照政府主导、国企建设、以租为主、封闭流转、严格监管的新模式，为企业总部、国际组织和机构提供优质办公空间。另一方面，深超总片区具备高水平的空间品质、便捷高效的交通体系、通山达海的生态环境，C塔及相邻地块兼具办公、商业、酒店、文化、公共服务等复合功能，可高水平打造服务于企业总部、国际组织和机构的综合平台。</w:t>
      </w:r>
    </w:p>
    <w:p w:rsidR="004C5F4D" w:rsidRPr="00E31D50" w:rsidRDefault="004C5F4D" w:rsidP="004C5F4D">
      <w:pPr>
        <w:spacing w:line="560" w:lineRule="exact"/>
        <w:ind w:firstLine="645"/>
        <w:rPr>
          <w:rFonts w:ascii="仿宋_GB2312" w:eastAsia="仿宋_GB2312" w:hAnsi="Cambria" w:cs="Times New Roman"/>
          <w:sz w:val="32"/>
          <w:szCs w:val="32"/>
        </w:rPr>
      </w:pPr>
      <w:r w:rsidRPr="00E31D50">
        <w:rPr>
          <w:rFonts w:ascii="楷体_GB2312" w:eastAsia="楷体_GB2312" w:hAnsi="Cambria" w:cs="Times New Roman" w:hint="eastAsia"/>
          <w:sz w:val="32"/>
          <w:szCs w:val="32"/>
        </w:rPr>
        <w:t>（三）建设内容：</w:t>
      </w:r>
      <w:r w:rsidRPr="00E31D50">
        <w:rPr>
          <w:rFonts w:ascii="仿宋_GB2312" w:eastAsia="仿宋_GB2312" w:hAnsi="Cambria" w:cs="Times New Roman" w:hint="eastAsia"/>
          <w:sz w:val="32"/>
          <w:szCs w:val="32"/>
        </w:rPr>
        <w:t>打造集办公、商业、酒店、文化、交通市政、公共服务等功能于一体的企业总部（包括跨国公司总部、总部企业、市政府扶持的中小型企业总部等）、国际组织和机构服务平台。</w:t>
      </w:r>
    </w:p>
    <w:p w:rsidR="004C5F4D" w:rsidRPr="00E31D50" w:rsidRDefault="004C5F4D" w:rsidP="004C5F4D">
      <w:pPr>
        <w:adjustRightInd w:val="0"/>
        <w:snapToGrid w:val="0"/>
        <w:spacing w:line="600" w:lineRule="exact"/>
        <w:ind w:firstLineChars="196" w:firstLine="627"/>
        <w:rPr>
          <w:rFonts w:ascii="仿宋_GB2312" w:eastAsia="仿宋_GB2312" w:hAnsi="宋体" w:cs="Times New Roman"/>
          <w:kern w:val="0"/>
          <w:sz w:val="32"/>
          <w:szCs w:val="32"/>
        </w:rPr>
      </w:pPr>
      <w:r w:rsidRPr="00E31D50">
        <w:rPr>
          <w:rFonts w:ascii="楷体_GB2312" w:eastAsia="楷体_GB2312" w:hAnsi="Cambria" w:cs="Times New Roman" w:hint="eastAsia"/>
          <w:sz w:val="32"/>
          <w:szCs w:val="32"/>
        </w:rPr>
        <w:t>（四）初步建设规模：</w:t>
      </w:r>
      <w:r w:rsidRPr="00E31D50">
        <w:rPr>
          <w:rFonts w:ascii="仿宋_GB2312" w:eastAsia="仿宋_GB2312" w:hAnsi="宋体" w:cs="Times New Roman" w:hint="eastAsia"/>
          <w:kern w:val="0"/>
          <w:sz w:val="32"/>
          <w:szCs w:val="32"/>
        </w:rPr>
        <w:t>计容总建筑面积约44.0万平方米（以土地出让合同为准）。</w:t>
      </w:r>
    </w:p>
    <w:p w:rsidR="004C5F4D" w:rsidRPr="00E31D50" w:rsidRDefault="004C5F4D" w:rsidP="004C5F4D">
      <w:pPr>
        <w:adjustRightInd w:val="0"/>
        <w:snapToGrid w:val="0"/>
        <w:spacing w:line="600" w:lineRule="exact"/>
        <w:ind w:firstLineChars="196" w:firstLine="627"/>
        <w:rPr>
          <w:rFonts w:ascii="黑体" w:eastAsia="黑体" w:hAnsi="黑体" w:cs="Times New Roman"/>
          <w:sz w:val="32"/>
          <w:szCs w:val="32"/>
        </w:rPr>
      </w:pPr>
      <w:r w:rsidRPr="00E31D50">
        <w:rPr>
          <w:rFonts w:ascii="黑体" w:eastAsia="黑体" w:hAnsi="黑体" w:cs="Times New Roman" w:hint="eastAsia"/>
          <w:sz w:val="32"/>
          <w:szCs w:val="32"/>
        </w:rPr>
        <w:t>四、准入条件</w:t>
      </w:r>
    </w:p>
    <w:p w:rsidR="004C5F4D" w:rsidRPr="00E31D50" w:rsidRDefault="004C5F4D" w:rsidP="004C5F4D">
      <w:pPr>
        <w:adjustRightInd w:val="0"/>
        <w:snapToGrid w:val="0"/>
        <w:spacing w:line="600" w:lineRule="exact"/>
        <w:ind w:firstLine="645"/>
        <w:rPr>
          <w:rFonts w:ascii="楷体_GB2312" w:eastAsia="楷体_GB2312" w:hAnsi="Cambria" w:cs="Times New Roman"/>
          <w:sz w:val="32"/>
          <w:szCs w:val="32"/>
        </w:rPr>
      </w:pPr>
      <w:r w:rsidRPr="00E31D50">
        <w:rPr>
          <w:rFonts w:ascii="楷体_GB2312" w:eastAsia="楷体_GB2312" w:hAnsi="Cambria" w:cs="Times New Roman" w:hint="eastAsia"/>
          <w:sz w:val="32"/>
          <w:szCs w:val="32"/>
        </w:rPr>
        <w:t>（一）竞买申请人应为在深圳注册的法人。</w:t>
      </w:r>
    </w:p>
    <w:p w:rsidR="004C5F4D" w:rsidRPr="00E31D50" w:rsidRDefault="004C5F4D" w:rsidP="004C5F4D">
      <w:pPr>
        <w:adjustRightInd w:val="0"/>
        <w:snapToGrid w:val="0"/>
        <w:spacing w:line="600" w:lineRule="exact"/>
        <w:ind w:firstLine="645"/>
        <w:rPr>
          <w:rFonts w:ascii="楷体_GB2312" w:eastAsia="楷体_GB2312" w:hAnsi="Cambria" w:cs="Times New Roman"/>
          <w:sz w:val="32"/>
          <w:szCs w:val="32"/>
        </w:rPr>
      </w:pPr>
      <w:r w:rsidRPr="00E31D50">
        <w:rPr>
          <w:rFonts w:ascii="楷体_GB2312" w:eastAsia="楷体_GB2312" w:hAnsi="Cambria" w:cs="Times New Roman" w:hint="eastAsia"/>
          <w:sz w:val="32"/>
          <w:szCs w:val="32"/>
        </w:rPr>
        <w:t>（二）竞买申请人应为符合《深圳市总部项目遴选及用地管理办法》（深府规〔2018〕1号）遴选要求的企业。</w:t>
      </w:r>
    </w:p>
    <w:p w:rsidR="004C5F4D" w:rsidRPr="00E31D50" w:rsidRDefault="004C5F4D" w:rsidP="004C5F4D">
      <w:pPr>
        <w:adjustRightInd w:val="0"/>
        <w:snapToGrid w:val="0"/>
        <w:spacing w:line="600" w:lineRule="exact"/>
        <w:ind w:firstLineChars="200" w:firstLine="640"/>
        <w:rPr>
          <w:rFonts w:ascii="楷体_GB2312" w:eastAsia="楷体_GB2312" w:hAnsi="Cambria" w:cs="Times New Roman"/>
          <w:sz w:val="32"/>
          <w:szCs w:val="32"/>
        </w:rPr>
      </w:pPr>
      <w:r w:rsidRPr="00E31D50">
        <w:rPr>
          <w:rFonts w:ascii="楷体_GB2312" w:eastAsia="楷体_GB2312" w:hAnsi="Cambria" w:cs="Times New Roman" w:hint="eastAsia"/>
          <w:sz w:val="32"/>
          <w:szCs w:val="32"/>
        </w:rPr>
        <w:t>（三）资质：竞买申请人或其母公司注册资本不少于20亿元，合并总资产不低于6500亿元，合并利润总额不低于200亿元（以对外披露的2019年度审计报告数据为准）。</w:t>
      </w:r>
    </w:p>
    <w:p w:rsidR="004C5F4D" w:rsidRPr="00E31D50" w:rsidRDefault="004C5F4D" w:rsidP="004C5F4D">
      <w:pPr>
        <w:adjustRightInd w:val="0"/>
        <w:snapToGrid w:val="0"/>
        <w:spacing w:line="600" w:lineRule="exact"/>
        <w:ind w:firstLineChars="196" w:firstLine="627"/>
        <w:rPr>
          <w:rFonts w:ascii="黑体" w:eastAsia="黑体" w:hAnsi="黑体" w:cs="Times New Roman"/>
          <w:sz w:val="32"/>
          <w:szCs w:val="32"/>
        </w:rPr>
      </w:pPr>
      <w:r w:rsidRPr="00E31D50">
        <w:rPr>
          <w:rFonts w:ascii="黑体" w:eastAsia="黑体" w:hAnsi="黑体" w:cs="Times New Roman" w:hint="eastAsia"/>
          <w:sz w:val="32"/>
          <w:szCs w:val="32"/>
        </w:rPr>
        <w:lastRenderedPageBreak/>
        <w:t>五、项目用地情况</w:t>
      </w:r>
    </w:p>
    <w:p w:rsidR="004C5F4D" w:rsidRPr="00E31D50" w:rsidRDefault="004C5F4D" w:rsidP="004C5F4D">
      <w:pPr>
        <w:adjustRightInd w:val="0"/>
        <w:snapToGrid w:val="0"/>
        <w:spacing w:line="600" w:lineRule="exact"/>
        <w:ind w:firstLineChars="200" w:firstLine="640"/>
        <w:rPr>
          <w:rFonts w:ascii="楷体_GB2312" w:eastAsia="楷体_GB2312" w:hAnsi="Cambria" w:cs="Times New Roman"/>
          <w:sz w:val="32"/>
          <w:szCs w:val="32"/>
        </w:rPr>
      </w:pPr>
      <w:r w:rsidRPr="00E31D50">
        <w:rPr>
          <w:rFonts w:ascii="楷体_GB2312" w:eastAsia="楷体_GB2312" w:hAnsi="Cambria" w:cs="Times New Roman" w:hint="eastAsia"/>
          <w:sz w:val="32"/>
          <w:szCs w:val="32"/>
        </w:rPr>
        <w:t>（一）用地意向区位：</w:t>
      </w:r>
      <w:r w:rsidRPr="00E31D50">
        <w:rPr>
          <w:rFonts w:ascii="仿宋_GB2312" w:eastAsia="仿宋_GB2312" w:hAnsi="Cambria" w:cs="Times New Roman" w:hint="eastAsia"/>
          <w:sz w:val="32"/>
          <w:szCs w:val="32"/>
        </w:rPr>
        <w:t>深圳湾超级总部基地</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楷体_GB2312" w:eastAsia="楷体_GB2312" w:hAnsi="Cambria" w:cs="Times New Roman" w:hint="eastAsia"/>
          <w:sz w:val="32"/>
          <w:szCs w:val="32"/>
        </w:rPr>
        <w:t>（二）用地规模：</w:t>
      </w:r>
      <w:r w:rsidRPr="00E31D50">
        <w:rPr>
          <w:rFonts w:ascii="仿宋_GB2312" w:eastAsia="仿宋_GB2312" w:hAnsi="宋体" w:hint="eastAsia"/>
          <w:sz w:val="32"/>
          <w:szCs w:val="32"/>
        </w:rPr>
        <w:t>项目总用地面积36268平方米，其中：DU01-04及DU01-05两地块用地合计33946平方米，城市道路用地面积2322平方米。</w:t>
      </w:r>
      <w:r w:rsidRPr="00E31D50">
        <w:rPr>
          <w:rFonts w:ascii="仿宋_GB2312" w:eastAsia="仿宋_GB2312" w:hAnsi="Cambria" w:cs="Times New Roman" w:hint="eastAsia"/>
          <w:sz w:val="32"/>
          <w:szCs w:val="32"/>
        </w:rPr>
        <w:t>（以土地出让合同为准）</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楷体_GB2312" w:eastAsia="楷体_GB2312" w:hAnsi="Cambria" w:cs="Times New Roman" w:hint="eastAsia"/>
          <w:sz w:val="32"/>
          <w:szCs w:val="32"/>
        </w:rPr>
        <w:t>（三）用地功能：</w:t>
      </w:r>
      <w:r w:rsidRPr="00E31D50">
        <w:rPr>
          <w:rFonts w:ascii="仿宋_GB2312" w:eastAsia="仿宋_GB2312" w:hAnsi="Cambria" w:cs="Times New Roman" w:hint="eastAsia"/>
          <w:sz w:val="32"/>
          <w:szCs w:val="32"/>
        </w:rPr>
        <w:t>商业服务业用地</w:t>
      </w:r>
    </w:p>
    <w:p w:rsidR="004C5F4D" w:rsidRPr="00E31D50" w:rsidRDefault="004C5F4D" w:rsidP="004C5F4D">
      <w:pPr>
        <w:spacing w:line="560" w:lineRule="exact"/>
        <w:ind w:firstLine="645"/>
        <w:rPr>
          <w:rFonts w:ascii="仿宋_GB2312" w:eastAsia="仿宋_GB2312" w:hAnsi="Cambria" w:cs="Times New Roman"/>
          <w:color w:val="000000" w:themeColor="text1"/>
          <w:sz w:val="32"/>
          <w:szCs w:val="32"/>
        </w:rPr>
      </w:pPr>
      <w:r w:rsidRPr="00E31D50">
        <w:rPr>
          <w:rFonts w:ascii="楷体_GB2312" w:eastAsia="楷体_GB2312" w:hAnsi="Cambria" w:cs="Times New Roman" w:hint="eastAsia"/>
          <w:sz w:val="32"/>
          <w:szCs w:val="32"/>
        </w:rPr>
        <w:t>（四）建筑规模和主要功能：</w:t>
      </w:r>
      <w:r w:rsidRPr="00E31D50">
        <w:rPr>
          <w:rFonts w:ascii="仿宋_GB2312" w:eastAsia="仿宋_GB2312" w:hAnsi="宋体" w:hint="eastAsia"/>
          <w:sz w:val="32"/>
          <w:szCs w:val="32"/>
        </w:rPr>
        <w:t>项目计容总建筑面积约440000平方米。其中：办公292000平方米，商业52000平方米，酒店30000平方米，文化22000平方米，市政交通18000平方米，公共服务（含会议、展览</w:t>
      </w:r>
      <w:r w:rsidR="00F041AF" w:rsidRPr="00E31D50">
        <w:rPr>
          <w:rFonts w:ascii="仿宋_GB2312" w:eastAsia="仿宋_GB2312" w:hAnsi="宋体" w:hint="eastAsia"/>
          <w:sz w:val="32"/>
          <w:szCs w:val="32"/>
        </w:rPr>
        <w:t>、高端医疗和教育</w:t>
      </w:r>
      <w:r w:rsidRPr="00E31D50">
        <w:rPr>
          <w:rFonts w:ascii="仿宋_GB2312" w:eastAsia="仿宋_GB2312" w:hAnsi="宋体" w:hint="eastAsia"/>
          <w:sz w:val="32"/>
          <w:szCs w:val="32"/>
        </w:rPr>
        <w:t>等）26000平方米。（以最终规划和土地出让确定为准）</w:t>
      </w:r>
    </w:p>
    <w:p w:rsidR="004C5F4D" w:rsidRPr="00E31D50" w:rsidRDefault="004C5F4D" w:rsidP="004C5F4D">
      <w:pPr>
        <w:adjustRightInd w:val="0"/>
        <w:snapToGrid w:val="0"/>
        <w:spacing w:line="600" w:lineRule="exact"/>
        <w:ind w:firstLineChars="200" w:firstLine="640"/>
        <w:rPr>
          <w:rFonts w:ascii="楷体_GB2312" w:eastAsia="楷体_GB2312" w:hAnsi="Cambria" w:cs="Times New Roman"/>
          <w:sz w:val="32"/>
          <w:szCs w:val="32"/>
        </w:rPr>
      </w:pPr>
      <w:r w:rsidRPr="00E31D50">
        <w:rPr>
          <w:rFonts w:ascii="楷体_GB2312" w:eastAsia="楷体_GB2312" w:hAnsi="Cambria" w:cs="Times New Roman" w:hint="eastAsia"/>
          <w:sz w:val="32"/>
          <w:szCs w:val="32"/>
        </w:rPr>
        <w:t>（五）土地出让方式：</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仿宋_GB2312" w:eastAsia="仿宋_GB2312" w:hAnsi="Cambria" w:cs="Times New Roman" w:hint="eastAsia"/>
          <w:sz w:val="32"/>
          <w:szCs w:val="32"/>
        </w:rPr>
        <w:t>本项目土地出让方式为挂牌出让，具体招拍挂条件以市土地交易中心公告为准。</w:t>
      </w:r>
    </w:p>
    <w:p w:rsidR="004C5F4D" w:rsidRPr="00E31D50" w:rsidRDefault="004C5F4D" w:rsidP="004C5F4D">
      <w:pPr>
        <w:adjustRightInd w:val="0"/>
        <w:snapToGrid w:val="0"/>
        <w:spacing w:line="600" w:lineRule="exact"/>
        <w:ind w:firstLineChars="200" w:firstLine="640"/>
        <w:rPr>
          <w:rFonts w:ascii="仿宋_GB2312" w:eastAsia="仿宋_GB2312" w:hAnsi="Cambria" w:cs="Times New Roman"/>
          <w:sz w:val="32"/>
          <w:szCs w:val="32"/>
        </w:rPr>
      </w:pPr>
      <w:r w:rsidRPr="00E31D50">
        <w:rPr>
          <w:rFonts w:ascii="楷体_GB2312" w:eastAsia="楷体_GB2312" w:hAnsi="Cambria" w:cs="Times New Roman" w:hint="eastAsia"/>
          <w:sz w:val="32"/>
          <w:szCs w:val="32"/>
        </w:rPr>
        <w:t>（六）期限：</w:t>
      </w:r>
      <w:r w:rsidRPr="00E31D50">
        <w:rPr>
          <w:rFonts w:ascii="仿宋_GB2312" w:eastAsia="仿宋_GB2312" w:hAnsi="Cambria" w:cs="Times New Roman" w:hint="eastAsia"/>
          <w:sz w:val="32"/>
          <w:szCs w:val="32"/>
        </w:rPr>
        <w:t>30年</w:t>
      </w:r>
    </w:p>
    <w:p w:rsidR="004C5F4D" w:rsidRPr="00E31D50" w:rsidRDefault="004C5F4D" w:rsidP="004C5F4D">
      <w:pPr>
        <w:adjustRightInd w:val="0"/>
        <w:snapToGrid w:val="0"/>
        <w:spacing w:line="600" w:lineRule="exact"/>
        <w:ind w:firstLineChars="196" w:firstLine="627"/>
        <w:rPr>
          <w:rFonts w:ascii="楷体_GB2312" w:eastAsia="楷体_GB2312" w:hAnsi="Cambria" w:cs="Times New Roman"/>
          <w:sz w:val="32"/>
          <w:szCs w:val="32"/>
        </w:rPr>
      </w:pPr>
      <w:r w:rsidRPr="00E31D50">
        <w:rPr>
          <w:rFonts w:ascii="楷体_GB2312" w:eastAsia="楷体_GB2312" w:hAnsi="Cambria" w:cs="Times New Roman" w:hint="eastAsia"/>
          <w:sz w:val="32"/>
          <w:szCs w:val="32"/>
        </w:rPr>
        <w:t>（七）权利限制：</w:t>
      </w:r>
    </w:p>
    <w:p w:rsidR="004C5F4D" w:rsidRPr="00E31D50" w:rsidRDefault="004C5F4D" w:rsidP="004C5F4D">
      <w:pPr>
        <w:adjustRightInd w:val="0"/>
        <w:snapToGrid w:val="0"/>
        <w:spacing w:line="600" w:lineRule="exact"/>
        <w:ind w:firstLineChars="196" w:firstLine="627"/>
        <w:rPr>
          <w:rFonts w:ascii="仿宋_GB2312" w:eastAsia="仿宋_GB2312" w:hAnsi="宋体"/>
          <w:sz w:val="32"/>
          <w:szCs w:val="32"/>
        </w:rPr>
      </w:pPr>
      <w:r w:rsidRPr="00E31D50">
        <w:rPr>
          <w:rFonts w:ascii="楷体_GB2312" w:eastAsia="楷体_GB2312" w:hAnsi="Cambria" w:cs="Times New Roman" w:hint="eastAsia"/>
          <w:sz w:val="32"/>
          <w:szCs w:val="32"/>
        </w:rPr>
        <w:t>1.</w:t>
      </w:r>
      <w:r w:rsidRPr="00E31D50">
        <w:rPr>
          <w:rFonts w:ascii="仿宋_GB2312" w:eastAsia="仿宋_GB2312" w:hAnsi="Cambria" w:cs="Times New Roman" w:hint="eastAsia"/>
          <w:sz w:val="32"/>
          <w:szCs w:val="32"/>
        </w:rPr>
        <w:t>本</w:t>
      </w:r>
      <w:r w:rsidRPr="00E31D50">
        <w:rPr>
          <w:rFonts w:ascii="仿宋_GB2312" w:eastAsia="仿宋_GB2312" w:hAnsi="宋体" w:hint="eastAsia"/>
          <w:sz w:val="32"/>
          <w:szCs w:val="32"/>
        </w:rPr>
        <w:t>项目遵循“政府主导、以租为主、封闭流转、严格监管”要求，建成的办公、酒店、文化、公共服务设施（含会议、展览</w:t>
      </w:r>
      <w:r w:rsidR="003723AC" w:rsidRPr="00E31D50">
        <w:rPr>
          <w:rFonts w:ascii="仿宋_GB2312" w:eastAsia="仿宋_GB2312" w:hAnsi="宋体" w:hint="eastAsia"/>
          <w:sz w:val="32"/>
          <w:szCs w:val="32"/>
        </w:rPr>
        <w:t>、高端医疗和教育</w:t>
      </w:r>
      <w:r w:rsidRPr="00E31D50">
        <w:rPr>
          <w:rFonts w:ascii="仿宋_GB2312" w:eastAsia="仿宋_GB2312" w:hAnsi="宋体" w:hint="eastAsia"/>
          <w:sz w:val="32"/>
          <w:szCs w:val="32"/>
        </w:rPr>
        <w:t>等）由用地单位自持。</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2.办公用房由市政府确定租赁对象和租金标准。企业总部准入标准由市科创委会同市工信局负责；国际组织和机构准入标准由市外事办负责；租金标准由市住房建设局负责。</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3.办公用房后续确需出售的，由用地单位提出申请，报</w:t>
      </w:r>
      <w:r w:rsidRPr="00E31D50">
        <w:rPr>
          <w:rFonts w:ascii="仿宋_GB2312" w:eastAsia="仿宋_GB2312" w:hAnsi="Cambria" w:cs="Times New Roman" w:hint="eastAsia"/>
          <w:sz w:val="32"/>
          <w:szCs w:val="32"/>
        </w:rPr>
        <w:lastRenderedPageBreak/>
        <w:t>市总部项目遴选小组审定。</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4.办公用房严禁承租单位转租，用地单位负有监管责任。</w:t>
      </w:r>
    </w:p>
    <w:p w:rsidR="004C5F4D" w:rsidRPr="00E31D50" w:rsidRDefault="004C5F4D" w:rsidP="004C5F4D">
      <w:pPr>
        <w:adjustRightInd w:val="0"/>
        <w:snapToGrid w:val="0"/>
        <w:spacing w:line="600" w:lineRule="exact"/>
        <w:ind w:firstLineChars="196" w:firstLine="627"/>
        <w:rPr>
          <w:rFonts w:ascii="仿宋_GB2312" w:eastAsia="仿宋_GB2312" w:hAnsi="宋体"/>
          <w:sz w:val="32"/>
          <w:szCs w:val="32"/>
        </w:rPr>
      </w:pPr>
      <w:r w:rsidRPr="00E31D50">
        <w:rPr>
          <w:rFonts w:ascii="仿宋_GB2312" w:eastAsia="仿宋_GB2312" w:hAnsi="Cambria" w:cs="Times New Roman" w:hint="eastAsia"/>
          <w:sz w:val="32"/>
          <w:szCs w:val="32"/>
        </w:rPr>
        <w:t>5.</w:t>
      </w:r>
      <w:r w:rsidRPr="00E31D50">
        <w:rPr>
          <w:rFonts w:ascii="仿宋_GB2312" w:eastAsia="仿宋_GB2312" w:hAnsi="宋体" w:hint="eastAsia"/>
          <w:sz w:val="32"/>
          <w:szCs w:val="32"/>
        </w:rPr>
        <w:t>地块的商业属非自持部分，</w:t>
      </w:r>
      <w:r w:rsidRPr="00E31D50">
        <w:rPr>
          <w:rFonts w:ascii="仿宋_GB2312" w:eastAsia="仿宋_GB2312" w:cs="仿宋_GB2312" w:hint="eastAsia"/>
          <w:kern w:val="0"/>
          <w:sz w:val="32"/>
          <w:szCs w:val="32"/>
        </w:rPr>
        <w:t>允许租售</w:t>
      </w:r>
      <w:r w:rsidRPr="00E31D50">
        <w:rPr>
          <w:rFonts w:ascii="仿宋_GB2312" w:eastAsia="仿宋_GB2312" w:hAnsi="宋体" w:hint="eastAsia"/>
          <w:sz w:val="32"/>
          <w:szCs w:val="32"/>
        </w:rPr>
        <w:t>。</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6.市政交通设施由用地单位建成后无偿移交政府；邮政支局由用地单位建成后成本价移交政府。</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7.用地单位应按照深超总指挥部审定的建筑设计方案开发建设。</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8.建设用地使用权及建筑物允许抵押，但抵押金额不得超过合同剩余地价与建筑物残值之和。</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r w:rsidRPr="00E31D50">
        <w:rPr>
          <w:rFonts w:ascii="仿宋_GB2312" w:eastAsia="仿宋_GB2312" w:hAnsi="Cambria" w:cs="Times New Roman" w:hint="eastAsia"/>
          <w:sz w:val="32"/>
          <w:szCs w:val="32"/>
        </w:rPr>
        <w:t>9.项目建设用地竞得人因人民法院强制执行拍卖或者变卖建设用地使用权的，次受让人应当承接原建设用地使用权出让合同及产业发展监管协议规定的受让人责任及义务，原建设用地使用权出让合同约定的使用条件不变。人民法院强制执行又无符合条件的次受让人的，其建设用地使用权及地上建（构）物由政府回购。</w:t>
      </w:r>
    </w:p>
    <w:p w:rsidR="004C5F4D" w:rsidRPr="00E31D50" w:rsidRDefault="004C5F4D" w:rsidP="004C5F4D">
      <w:pPr>
        <w:adjustRightInd w:val="0"/>
        <w:snapToGrid w:val="0"/>
        <w:spacing w:line="600" w:lineRule="exact"/>
        <w:ind w:firstLineChars="196" w:firstLine="627"/>
        <w:rPr>
          <w:rFonts w:ascii="仿宋_GB2312" w:eastAsia="仿宋_GB2312" w:hAnsi="Cambria" w:cs="Times New Roman"/>
          <w:sz w:val="32"/>
          <w:szCs w:val="32"/>
        </w:rPr>
      </w:pPr>
    </w:p>
    <w:p w:rsidR="004C5F4D" w:rsidRPr="00E31D50" w:rsidRDefault="004C5F4D" w:rsidP="004C5F4D">
      <w:pPr>
        <w:ind w:firstLineChars="200" w:firstLine="640"/>
        <w:rPr>
          <w:rFonts w:ascii="仿宋_GB2312" w:eastAsia="仿宋_GB2312" w:hAnsi="宋体" w:cs="Times New Roman"/>
          <w:bCs/>
          <w:sz w:val="32"/>
          <w:szCs w:val="44"/>
        </w:rPr>
      </w:pPr>
      <w:r w:rsidRPr="00E31D50">
        <w:rPr>
          <w:rFonts w:ascii="仿宋_GB2312" w:eastAsia="仿宋_GB2312" w:hAnsi="宋体" w:cs="Times New Roman" w:hint="eastAsia"/>
          <w:sz w:val="32"/>
          <w:szCs w:val="32"/>
        </w:rPr>
        <w:t>备注：用地规模、建筑规模、土地用途等最终以规划和土地出让确定为准。产业类型选自深圳市发展和改革委员会印发的《深圳市产业结构调整优化和产业导向目录（2016年修订）》。</w:t>
      </w:r>
    </w:p>
    <w:p w:rsidR="004C5F4D" w:rsidRPr="00E31D50" w:rsidRDefault="004C5F4D" w:rsidP="004C5F4D">
      <w:pPr>
        <w:widowControl/>
        <w:jc w:val="left"/>
      </w:pPr>
    </w:p>
    <w:p w:rsidR="004C5F4D" w:rsidRPr="00E31D50" w:rsidRDefault="004C5F4D">
      <w:pPr>
        <w:widowControl/>
        <w:jc w:val="left"/>
      </w:pPr>
      <w:bookmarkStart w:id="0" w:name="_GoBack"/>
      <w:bookmarkEnd w:id="0"/>
    </w:p>
    <w:sectPr w:rsidR="004C5F4D" w:rsidRPr="00E31D50" w:rsidSect="002F60BF">
      <w:footerReference w:type="default" r:id="rId8"/>
      <w:footerReference w:type="first" r:id="rId9"/>
      <w:pgSz w:w="11906" w:h="16838"/>
      <w:pgMar w:top="1440" w:right="1800" w:bottom="1440" w:left="1800" w:header="851" w:footer="737"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E92" w:rsidRDefault="001B6E92">
      <w:r>
        <w:separator/>
      </w:r>
    </w:p>
  </w:endnote>
  <w:endnote w:type="continuationSeparator" w:id="0">
    <w:p w:rsidR="001B6E92" w:rsidRDefault="001B6E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458" w:rsidRDefault="00183363">
    <w:pPr>
      <w:pStyle w:val="a4"/>
      <w:jc w:val="center"/>
    </w:pPr>
    <w:r>
      <w:fldChar w:fldCharType="begin"/>
    </w:r>
    <w:r>
      <w:instrText>PAGE   \* MERGEFORMAT</w:instrText>
    </w:r>
    <w:r>
      <w:fldChar w:fldCharType="separate"/>
    </w:r>
    <w:r w:rsidR="002F60BF" w:rsidRPr="002F60BF">
      <w:rPr>
        <w:noProof/>
        <w:lang w:val="zh-CN"/>
      </w:rPr>
      <w:t>4</w:t>
    </w:r>
    <w:r>
      <w:fldChar w:fldCharType="end"/>
    </w:r>
  </w:p>
  <w:p w:rsidR="00B12458" w:rsidRDefault="00B1245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2458" w:rsidRDefault="00183363">
    <w:pPr>
      <w:pStyle w:val="a4"/>
      <w:jc w:val="center"/>
    </w:pPr>
    <w:r>
      <w:fldChar w:fldCharType="begin"/>
    </w:r>
    <w:r>
      <w:instrText>PAGE   \* MERGEFORMAT</w:instrText>
    </w:r>
    <w:r>
      <w:fldChar w:fldCharType="separate"/>
    </w:r>
    <w:r w:rsidR="002F60BF" w:rsidRPr="002F60BF">
      <w:rPr>
        <w:noProof/>
        <w:lang w:val="zh-CN"/>
      </w:rPr>
      <w:t>1</w:t>
    </w:r>
    <w:r>
      <w:fldChar w:fldCharType="end"/>
    </w:r>
  </w:p>
  <w:p w:rsidR="00B12458" w:rsidRDefault="00B1245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E92" w:rsidRDefault="001B6E92">
      <w:r>
        <w:separator/>
      </w:r>
    </w:p>
  </w:footnote>
  <w:footnote w:type="continuationSeparator" w:id="0">
    <w:p w:rsidR="001B6E92" w:rsidRDefault="001B6E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3A6CCC"/>
    <w:multiLevelType w:val="singleLevel"/>
    <w:tmpl w:val="FF3A6CCC"/>
    <w:lvl w:ilvl="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12458"/>
    <w:rsid w:val="0000709E"/>
    <w:rsid w:val="0003349C"/>
    <w:rsid w:val="00037D49"/>
    <w:rsid w:val="00054A5E"/>
    <w:rsid w:val="000554AC"/>
    <w:rsid w:val="00071985"/>
    <w:rsid w:val="000736E8"/>
    <w:rsid w:val="00075876"/>
    <w:rsid w:val="00082A92"/>
    <w:rsid w:val="00086558"/>
    <w:rsid w:val="000875E4"/>
    <w:rsid w:val="000903F8"/>
    <w:rsid w:val="00095D74"/>
    <w:rsid w:val="00097570"/>
    <w:rsid w:val="000A6217"/>
    <w:rsid w:val="000C068B"/>
    <w:rsid w:val="000C1606"/>
    <w:rsid w:val="000C3EA5"/>
    <w:rsid w:val="00104A52"/>
    <w:rsid w:val="00105C42"/>
    <w:rsid w:val="00122A3F"/>
    <w:rsid w:val="00130F21"/>
    <w:rsid w:val="00134A86"/>
    <w:rsid w:val="0014410C"/>
    <w:rsid w:val="00161D0A"/>
    <w:rsid w:val="00183363"/>
    <w:rsid w:val="001901C2"/>
    <w:rsid w:val="001931C8"/>
    <w:rsid w:val="001B6E92"/>
    <w:rsid w:val="001C1200"/>
    <w:rsid w:val="001D69EC"/>
    <w:rsid w:val="001E479F"/>
    <w:rsid w:val="001F1CBE"/>
    <w:rsid w:val="001F22B1"/>
    <w:rsid w:val="001F3B91"/>
    <w:rsid w:val="00206255"/>
    <w:rsid w:val="00221374"/>
    <w:rsid w:val="00230C1D"/>
    <w:rsid w:val="00231017"/>
    <w:rsid w:val="002321BE"/>
    <w:rsid w:val="002330B7"/>
    <w:rsid w:val="00235236"/>
    <w:rsid w:val="002443F3"/>
    <w:rsid w:val="00273A73"/>
    <w:rsid w:val="002772AC"/>
    <w:rsid w:val="00282D6D"/>
    <w:rsid w:val="00292319"/>
    <w:rsid w:val="002B52CD"/>
    <w:rsid w:val="002B7E0C"/>
    <w:rsid w:val="002D46C0"/>
    <w:rsid w:val="002E2356"/>
    <w:rsid w:val="002F17DC"/>
    <w:rsid w:val="002F26C5"/>
    <w:rsid w:val="002F60BF"/>
    <w:rsid w:val="00300203"/>
    <w:rsid w:val="00301FFA"/>
    <w:rsid w:val="00304D9C"/>
    <w:rsid w:val="00324ECA"/>
    <w:rsid w:val="00341B17"/>
    <w:rsid w:val="0034275D"/>
    <w:rsid w:val="003557E1"/>
    <w:rsid w:val="003642DE"/>
    <w:rsid w:val="0036588F"/>
    <w:rsid w:val="00371ACB"/>
    <w:rsid w:val="003723AC"/>
    <w:rsid w:val="003B1017"/>
    <w:rsid w:val="003C606B"/>
    <w:rsid w:val="003D59AA"/>
    <w:rsid w:val="003E6044"/>
    <w:rsid w:val="003F3F81"/>
    <w:rsid w:val="00411568"/>
    <w:rsid w:val="00422ABB"/>
    <w:rsid w:val="004430D8"/>
    <w:rsid w:val="00445A58"/>
    <w:rsid w:val="00475E8F"/>
    <w:rsid w:val="004942ED"/>
    <w:rsid w:val="0049457D"/>
    <w:rsid w:val="004973FD"/>
    <w:rsid w:val="004B0F8E"/>
    <w:rsid w:val="004C37F7"/>
    <w:rsid w:val="004C5F4D"/>
    <w:rsid w:val="004D1CE5"/>
    <w:rsid w:val="004D3642"/>
    <w:rsid w:val="004D3B15"/>
    <w:rsid w:val="004E426F"/>
    <w:rsid w:val="004F0CED"/>
    <w:rsid w:val="004F1D5C"/>
    <w:rsid w:val="004F324F"/>
    <w:rsid w:val="004F6923"/>
    <w:rsid w:val="004F73CC"/>
    <w:rsid w:val="005034F2"/>
    <w:rsid w:val="00511F2F"/>
    <w:rsid w:val="0052120E"/>
    <w:rsid w:val="005241D6"/>
    <w:rsid w:val="005257C3"/>
    <w:rsid w:val="0052724C"/>
    <w:rsid w:val="00545EDC"/>
    <w:rsid w:val="00574BE0"/>
    <w:rsid w:val="0058054D"/>
    <w:rsid w:val="005861D7"/>
    <w:rsid w:val="00594D4A"/>
    <w:rsid w:val="00597C7B"/>
    <w:rsid w:val="005B1C7A"/>
    <w:rsid w:val="005C11E8"/>
    <w:rsid w:val="005C3E23"/>
    <w:rsid w:val="005D011B"/>
    <w:rsid w:val="005D0A4C"/>
    <w:rsid w:val="005D0FB0"/>
    <w:rsid w:val="006061FF"/>
    <w:rsid w:val="00626612"/>
    <w:rsid w:val="006474B9"/>
    <w:rsid w:val="00655D11"/>
    <w:rsid w:val="0067102F"/>
    <w:rsid w:val="00683481"/>
    <w:rsid w:val="006948F2"/>
    <w:rsid w:val="006C67CA"/>
    <w:rsid w:val="006F3536"/>
    <w:rsid w:val="007027F4"/>
    <w:rsid w:val="00703F07"/>
    <w:rsid w:val="00710DD0"/>
    <w:rsid w:val="00717B00"/>
    <w:rsid w:val="007464ED"/>
    <w:rsid w:val="00756975"/>
    <w:rsid w:val="00775E3D"/>
    <w:rsid w:val="00790C2E"/>
    <w:rsid w:val="007923C9"/>
    <w:rsid w:val="007925A7"/>
    <w:rsid w:val="007B5C60"/>
    <w:rsid w:val="007C43D6"/>
    <w:rsid w:val="007D7292"/>
    <w:rsid w:val="007E0BEB"/>
    <w:rsid w:val="007E2D80"/>
    <w:rsid w:val="007E49FC"/>
    <w:rsid w:val="007E5078"/>
    <w:rsid w:val="008039B0"/>
    <w:rsid w:val="00822548"/>
    <w:rsid w:val="008308F7"/>
    <w:rsid w:val="008451BE"/>
    <w:rsid w:val="0086715F"/>
    <w:rsid w:val="008806FF"/>
    <w:rsid w:val="0088226D"/>
    <w:rsid w:val="008B2266"/>
    <w:rsid w:val="008B2A3F"/>
    <w:rsid w:val="008B3FBC"/>
    <w:rsid w:val="008B6EEB"/>
    <w:rsid w:val="008D2061"/>
    <w:rsid w:val="00905A75"/>
    <w:rsid w:val="009142FB"/>
    <w:rsid w:val="00922A19"/>
    <w:rsid w:val="0092342E"/>
    <w:rsid w:val="00926DEA"/>
    <w:rsid w:val="0093119B"/>
    <w:rsid w:val="00931803"/>
    <w:rsid w:val="00937436"/>
    <w:rsid w:val="009504C4"/>
    <w:rsid w:val="00967C66"/>
    <w:rsid w:val="00970A1B"/>
    <w:rsid w:val="009849D2"/>
    <w:rsid w:val="0099550D"/>
    <w:rsid w:val="009A0B7E"/>
    <w:rsid w:val="009A1F89"/>
    <w:rsid w:val="009B0A0D"/>
    <w:rsid w:val="009B4A54"/>
    <w:rsid w:val="009B6AD5"/>
    <w:rsid w:val="009E34CB"/>
    <w:rsid w:val="009F1DEC"/>
    <w:rsid w:val="00A06CA3"/>
    <w:rsid w:val="00A173D4"/>
    <w:rsid w:val="00A24485"/>
    <w:rsid w:val="00A35E5F"/>
    <w:rsid w:val="00A40546"/>
    <w:rsid w:val="00A47634"/>
    <w:rsid w:val="00A50D5A"/>
    <w:rsid w:val="00A54937"/>
    <w:rsid w:val="00A63E30"/>
    <w:rsid w:val="00A70558"/>
    <w:rsid w:val="00A80D05"/>
    <w:rsid w:val="00A84573"/>
    <w:rsid w:val="00A900F6"/>
    <w:rsid w:val="00A93F33"/>
    <w:rsid w:val="00AA1AE6"/>
    <w:rsid w:val="00AD5982"/>
    <w:rsid w:val="00AE14AD"/>
    <w:rsid w:val="00AE4674"/>
    <w:rsid w:val="00B12458"/>
    <w:rsid w:val="00B2202E"/>
    <w:rsid w:val="00B24F0D"/>
    <w:rsid w:val="00B312B7"/>
    <w:rsid w:val="00B410F6"/>
    <w:rsid w:val="00B50C6F"/>
    <w:rsid w:val="00B62079"/>
    <w:rsid w:val="00B63CC0"/>
    <w:rsid w:val="00B8456B"/>
    <w:rsid w:val="00B84E68"/>
    <w:rsid w:val="00BA28F0"/>
    <w:rsid w:val="00BA4A63"/>
    <w:rsid w:val="00BB4DD8"/>
    <w:rsid w:val="00BB764A"/>
    <w:rsid w:val="00BC084F"/>
    <w:rsid w:val="00BC4E02"/>
    <w:rsid w:val="00BD3378"/>
    <w:rsid w:val="00BD7CE6"/>
    <w:rsid w:val="00BF6105"/>
    <w:rsid w:val="00BF7F75"/>
    <w:rsid w:val="00C043B5"/>
    <w:rsid w:val="00C102CF"/>
    <w:rsid w:val="00C117F1"/>
    <w:rsid w:val="00C33BCA"/>
    <w:rsid w:val="00C41C6B"/>
    <w:rsid w:val="00C55715"/>
    <w:rsid w:val="00C55AA2"/>
    <w:rsid w:val="00C60F98"/>
    <w:rsid w:val="00C67EF8"/>
    <w:rsid w:val="00C7237D"/>
    <w:rsid w:val="00C75D2E"/>
    <w:rsid w:val="00C87187"/>
    <w:rsid w:val="00CB2C57"/>
    <w:rsid w:val="00CB3087"/>
    <w:rsid w:val="00CC2B28"/>
    <w:rsid w:val="00CC5FD6"/>
    <w:rsid w:val="00CD5398"/>
    <w:rsid w:val="00CE1248"/>
    <w:rsid w:val="00D05A0B"/>
    <w:rsid w:val="00D177C7"/>
    <w:rsid w:val="00D20C8C"/>
    <w:rsid w:val="00D22592"/>
    <w:rsid w:val="00D4330E"/>
    <w:rsid w:val="00D47D43"/>
    <w:rsid w:val="00D811E4"/>
    <w:rsid w:val="00D82CDA"/>
    <w:rsid w:val="00DA17AA"/>
    <w:rsid w:val="00DC2653"/>
    <w:rsid w:val="00DE6D4B"/>
    <w:rsid w:val="00E0009E"/>
    <w:rsid w:val="00E10CA9"/>
    <w:rsid w:val="00E113CF"/>
    <w:rsid w:val="00E140C2"/>
    <w:rsid w:val="00E15207"/>
    <w:rsid w:val="00E31D50"/>
    <w:rsid w:val="00E35C2A"/>
    <w:rsid w:val="00E377E1"/>
    <w:rsid w:val="00E43CF9"/>
    <w:rsid w:val="00E62ED0"/>
    <w:rsid w:val="00E65C4A"/>
    <w:rsid w:val="00E72B7E"/>
    <w:rsid w:val="00E90CE3"/>
    <w:rsid w:val="00E9463C"/>
    <w:rsid w:val="00E971AE"/>
    <w:rsid w:val="00E97338"/>
    <w:rsid w:val="00E97A1D"/>
    <w:rsid w:val="00EA1886"/>
    <w:rsid w:val="00EA3F7B"/>
    <w:rsid w:val="00EB4345"/>
    <w:rsid w:val="00EB4AF5"/>
    <w:rsid w:val="00EC2354"/>
    <w:rsid w:val="00EC52CE"/>
    <w:rsid w:val="00ED4FF2"/>
    <w:rsid w:val="00EF7B0C"/>
    <w:rsid w:val="00F018F2"/>
    <w:rsid w:val="00F041AF"/>
    <w:rsid w:val="00F12143"/>
    <w:rsid w:val="00F25BCE"/>
    <w:rsid w:val="00F307F0"/>
    <w:rsid w:val="00F321BC"/>
    <w:rsid w:val="00F33B28"/>
    <w:rsid w:val="00F3400A"/>
    <w:rsid w:val="00F3557D"/>
    <w:rsid w:val="00F651F9"/>
    <w:rsid w:val="00F8089D"/>
    <w:rsid w:val="00F82B71"/>
    <w:rsid w:val="00F84D1B"/>
    <w:rsid w:val="00F87126"/>
    <w:rsid w:val="00FB0AD0"/>
    <w:rsid w:val="00FB1C08"/>
    <w:rsid w:val="00FC14A3"/>
    <w:rsid w:val="00FD064A"/>
    <w:rsid w:val="00FD2CBA"/>
    <w:rsid w:val="00FD3488"/>
    <w:rsid w:val="00FE5409"/>
    <w:rsid w:val="00FF2932"/>
    <w:rsid w:val="025A0BB6"/>
    <w:rsid w:val="05A1170E"/>
    <w:rsid w:val="0B9B5859"/>
    <w:rsid w:val="0CA35547"/>
    <w:rsid w:val="0EC954FD"/>
    <w:rsid w:val="0EFA2F1E"/>
    <w:rsid w:val="0F1A792A"/>
    <w:rsid w:val="11D16C82"/>
    <w:rsid w:val="12AE23E9"/>
    <w:rsid w:val="225E6B85"/>
    <w:rsid w:val="22921B06"/>
    <w:rsid w:val="28201072"/>
    <w:rsid w:val="2A902860"/>
    <w:rsid w:val="2B705922"/>
    <w:rsid w:val="2F5A06D2"/>
    <w:rsid w:val="337A6AE4"/>
    <w:rsid w:val="33DD3FD6"/>
    <w:rsid w:val="371C027B"/>
    <w:rsid w:val="39062BD0"/>
    <w:rsid w:val="3ACD2E1B"/>
    <w:rsid w:val="3B9A686F"/>
    <w:rsid w:val="42D0554D"/>
    <w:rsid w:val="44E95D03"/>
    <w:rsid w:val="4DF70918"/>
    <w:rsid w:val="5298221A"/>
    <w:rsid w:val="58C47B8B"/>
    <w:rsid w:val="5CC41355"/>
    <w:rsid w:val="5EEE6FF6"/>
    <w:rsid w:val="643072F4"/>
    <w:rsid w:val="66CE5B31"/>
    <w:rsid w:val="67D93382"/>
    <w:rsid w:val="6AF101D4"/>
    <w:rsid w:val="6CA21E83"/>
    <w:rsid w:val="70243E61"/>
    <w:rsid w:val="745676C7"/>
    <w:rsid w:val="7E7A20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AD3ABABE-4BCC-4295-B90F-E053F7A20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99" w:unhideWhenUsed="1" w:qFormat="1"/>
    <w:lsdException w:name="footer"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rFonts w:ascii="Times New Roman" w:hAnsi="Times New Roman" w:cs="Times New Roman"/>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styleId="a6">
    <w:name w:val="Hyperlink"/>
    <w:basedOn w:val="a0"/>
    <w:uiPriority w:val="99"/>
    <w:unhideWhenUsed/>
    <w:qFormat/>
    <w:rPr>
      <w:color w:val="0000FF"/>
      <w:u w:val="single"/>
    </w:rPr>
  </w:style>
  <w:style w:type="character" w:customStyle="1" w:styleId="Char0">
    <w:name w:val="页脚 Char"/>
    <w:basedOn w:val="a0"/>
    <w:link w:val="a4"/>
    <w:uiPriority w:val="99"/>
    <w:qFormat/>
    <w:rPr>
      <w:rFonts w:ascii="Times New Roman" w:eastAsia="宋体" w:hAnsi="Times New Roman" w:cs="Times New Roman"/>
      <w:sz w:val="18"/>
      <w:szCs w:val="18"/>
    </w:rPr>
  </w:style>
  <w:style w:type="character" w:customStyle="1" w:styleId="Char1">
    <w:name w:val="页眉 Char"/>
    <w:basedOn w:val="a0"/>
    <w:link w:val="a5"/>
    <w:uiPriority w:val="99"/>
    <w:qFormat/>
    <w:rPr>
      <w:sz w:val="18"/>
      <w:szCs w:val="18"/>
    </w:rPr>
  </w:style>
  <w:style w:type="character" w:customStyle="1" w:styleId="UnresolvedMention">
    <w:name w:val="Unresolved Mention"/>
    <w:basedOn w:val="a0"/>
    <w:uiPriority w:val="99"/>
    <w:unhideWhenUsed/>
    <w:qFormat/>
    <w:rPr>
      <w:color w:val="808080"/>
      <w:shd w:val="clear" w:color="auto" w:fill="E6E6E6"/>
    </w:rPr>
  </w:style>
  <w:style w:type="character" w:customStyle="1" w:styleId="Char">
    <w:name w:val="批注框文本 Char"/>
    <w:basedOn w:val="a0"/>
    <w:link w:val="a3"/>
    <w:semiHidden/>
    <w:qFormat/>
    <w:rPr>
      <w:rFonts w:ascii="Calibri" w:hAnsi="Calibri" w:cs="黑体"/>
      <w:kern w:val="2"/>
      <w:sz w:val="18"/>
      <w:szCs w:val="18"/>
    </w:rPr>
  </w:style>
  <w:style w:type="paragraph" w:styleId="a7">
    <w:name w:val="Date"/>
    <w:basedOn w:val="a"/>
    <w:next w:val="a"/>
    <w:link w:val="Char2"/>
    <w:semiHidden/>
    <w:unhideWhenUsed/>
    <w:rsid w:val="007C43D6"/>
    <w:pPr>
      <w:ind w:leftChars="2500" w:left="100"/>
    </w:pPr>
  </w:style>
  <w:style w:type="character" w:customStyle="1" w:styleId="Char2">
    <w:name w:val="日期 Char"/>
    <w:basedOn w:val="a0"/>
    <w:link w:val="a7"/>
    <w:semiHidden/>
    <w:rsid w:val="007C43D6"/>
    <w:rPr>
      <w:rFonts w:cs="黑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4726784">
      <w:bodyDiv w:val="1"/>
      <w:marLeft w:val="0"/>
      <w:marRight w:val="0"/>
      <w:marTop w:val="0"/>
      <w:marBottom w:val="0"/>
      <w:divBdr>
        <w:top w:val="none" w:sz="0" w:space="0" w:color="auto"/>
        <w:left w:val="none" w:sz="0" w:space="0" w:color="auto"/>
        <w:bottom w:val="none" w:sz="0" w:space="0" w:color="auto"/>
        <w:right w:val="none" w:sz="0" w:space="0" w:color="auto"/>
      </w:divBdr>
    </w:div>
    <w:div w:id="1841970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717</TotalTime>
  <Pages>4</Pages>
  <Words>281</Words>
  <Characters>1602</Characters>
  <Application>Microsoft Office Word</Application>
  <DocSecurity>0</DocSecurity>
  <Lines>13</Lines>
  <Paragraphs>3</Paragraphs>
  <ScaleCrop>false</ScaleCrop>
  <Company>P R C</Company>
  <LinksUpToDate>false</LinksUpToDate>
  <CharactersWithSpaces>1880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陈俊锋</dc:creator>
  <cp:lastModifiedBy>许小健</cp:lastModifiedBy>
  <cp:revision>462</cp:revision>
  <cp:lastPrinted>2020-06-18T09:49:00Z</cp:lastPrinted>
  <dcterms:created xsi:type="dcterms:W3CDTF">2019-12-13T18:44:00Z</dcterms:created>
  <dcterms:modified xsi:type="dcterms:W3CDTF">2020-08-13T11:00:00Z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