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宋体" w:eastAsia="华文中宋"/>
          <w:b/>
          <w:bCs/>
          <w:color w:val="auto"/>
          <w:sz w:val="32"/>
          <w:highlight w:val="none"/>
          <w:lang w:eastAsia="zh-CN"/>
        </w:rPr>
      </w:pPr>
      <w:bookmarkStart w:id="0" w:name="_GoBack"/>
      <w:r>
        <w:rPr>
          <w:rFonts w:hint="eastAsia" w:ascii="华文中宋" w:hAnsi="宋体" w:eastAsia="华文中宋"/>
          <w:b/>
          <w:bCs/>
          <w:color w:val="auto"/>
          <w:sz w:val="32"/>
          <w:highlight w:val="none"/>
          <w:lang w:eastAsia="zh-CN"/>
        </w:rPr>
        <w:t>附件1</w:t>
      </w:r>
    </w:p>
    <w:p>
      <w:pPr>
        <w:jc w:val="center"/>
        <w:rPr>
          <w:rFonts w:ascii="华文中宋" w:hAnsi="宋体" w:eastAsia="华文中宋"/>
          <w:b/>
          <w:bCs/>
          <w:color w:val="auto"/>
          <w:sz w:val="32"/>
          <w:highlight w:val="none"/>
          <w:lang w:eastAsia="zh-CN"/>
        </w:rPr>
      </w:pPr>
      <w:r>
        <w:rPr>
          <w:rFonts w:hint="eastAsia" w:ascii="华文中宋" w:hAnsi="宋体" w:eastAsia="华文中宋"/>
          <w:b/>
          <w:bCs/>
          <w:color w:val="auto"/>
          <w:sz w:val="32"/>
          <w:highlight w:val="none"/>
          <w:lang w:eastAsia="zh-CN"/>
        </w:rPr>
        <w:t>房屋建筑工程基本情况表</w:t>
      </w:r>
    </w:p>
    <w:p>
      <w:pPr>
        <w:adjustRightInd w:val="0"/>
        <w:snapToGrid w:val="0"/>
        <w:rPr>
          <w:rFonts w:ascii="宋体" w:hAnsi="宋体"/>
          <w:color w:val="auto"/>
          <w:highlight w:val="none"/>
          <w:lang w:eastAsia="zh-CN"/>
        </w:rPr>
      </w:pPr>
      <w:r>
        <w:rPr>
          <w:rFonts w:hint="eastAsia" w:ascii="宋体" w:hAnsi="宋体"/>
          <w:color w:val="auto"/>
          <w:highlight w:val="none"/>
          <w:lang w:eastAsia="zh-CN"/>
        </w:rPr>
        <w:t>备注：表一至表七中，如某项扣分总值超出该项应得分，则该项实得分为0。</w:t>
      </w:r>
    </w:p>
    <w:tbl>
      <w:tblPr>
        <w:tblStyle w:val="5"/>
        <w:tblW w:w="0" w:type="auto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2037"/>
        <w:gridCol w:w="89"/>
        <w:gridCol w:w="993"/>
        <w:gridCol w:w="304"/>
        <w:gridCol w:w="1498"/>
        <w:gridCol w:w="427"/>
        <w:gridCol w:w="51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工程名称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工程地点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建设行政主管部门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建筑面积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建筑高度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m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层/栋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/    /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结构类型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基础形式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开工时间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建设单位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勘察单位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设计单位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监理单位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施工单位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10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0"/>
                <w:highlight w:val="none"/>
              </w:rPr>
              <w:t>建设单位项目负责人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10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0"/>
                <w:highlight w:val="none"/>
              </w:rPr>
              <w:t>勘察单位项目负责人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10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0"/>
                <w:highlight w:val="none"/>
              </w:rPr>
              <w:t>设计单位项目负责人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监理单位项目总监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施工单位项目经理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工程进度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检查部位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检查人：                                                            年    月    日</w:t>
      </w:r>
    </w:p>
    <w:p>
      <w:pPr>
        <w:rPr>
          <w:rFonts w:ascii="宋体" w:hAnsi="宋体"/>
          <w:color w:val="auto"/>
          <w:highlight w:val="none"/>
        </w:rPr>
        <w:sectPr>
          <w:headerReference r:id="rId3" w:type="default"/>
          <w:footnotePr>
            <w:numFmt w:val="decimal"/>
          </w:footnotePr>
          <w:pgSz w:w="11907" w:h="16840"/>
          <w:pgMar w:top="2041" w:right="1531" w:bottom="1871" w:left="1587" w:header="851" w:footer="992" w:gutter="0"/>
          <w:cols w:space="720" w:num="1"/>
          <w:docGrid w:linePitch="408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color w:val="auto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表一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施工单位质量行为检查表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210分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工程名称：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7"/>
        <w:gridCol w:w="439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检查项目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扣分标准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项目管理机构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项目管理人员配备不齐，扣50分；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b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岗位责任制不明晰，扣20分；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c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岗位责任制不落实，扣20分。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现场质量管理制度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现场质量管理制度一般，扣10分；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无现场质量管理制度或现场质量管理制度差，扣3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工程质量检验制度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工程质量检验制度一般，扣10分；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.无工程质量检验制度或工程质量检验制度差，扣3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项目经理履职情况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重要工序、部位不在岗，扣20分。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技术负责人履职情况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重要工序、部位不在岗，扣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质量员履职情况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质量员履职情况一般，扣</w:t>
            </w:r>
            <w:r>
              <w:rPr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质量员履职情况差，扣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五牌一图设置情况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64" w:hanging="164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养护室设置情况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64" w:hanging="164" w:firstLineChars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a.未设置混凝土试块标准养护室或标准养护室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  <w:t>温湿度等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不符合要求，扣10分；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施工组织设计或专项施工方案（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含装配式建筑</w:t>
            </w:r>
            <w:r>
              <w:rPr>
                <w:rFonts w:ascii="宋体" w:hAnsi="宋体"/>
                <w:color w:val="auto"/>
                <w:szCs w:val="21"/>
                <w:highlight w:val="none"/>
                <w:lang w:eastAsia="zh-CN"/>
              </w:rPr>
              <w:t>预制构件吊装和支撑、预制构件成品保护、装配式模板施工等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）审批情况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未按要求组织审批，扣20分。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质量问题和质量事故处理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缺处理方案，扣20分；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缺处理台账，扣10分。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合  计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</w:trPr>
        <w:tc>
          <w:tcPr>
            <w:tcW w:w="9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发现的主要问题：</w:t>
            </w: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检查人：              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Cs w:val="21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表二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技术资料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180分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997"/>
        <w:gridCol w:w="3658"/>
        <w:gridCol w:w="85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整体要求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污损，涂改，零乱，扣3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设计变更文件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不符合要求，扣20分。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装配式建筑预制构件出厂质量证明文件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a.</w:t>
            </w:r>
            <w:r>
              <w:rPr>
                <w:rFonts w:hint="eastAsia"/>
                <w:color w:val="auto"/>
                <w:highlight w:val="none"/>
              </w:rPr>
              <w:t>缺1份，扣5分，缺2份及以上，扣10分。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检测试验管理情况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检测试验计划是否制定，未制定扣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b w:val="0"/>
                <w:bCs w:val="0"/>
                <w:color w:val="auto"/>
                <w:sz w:val="21"/>
                <w:highlight w:val="none"/>
                <w:lang w:eastAsia="zh-CN"/>
              </w:rPr>
              <w:t>取样人员和见证人员资质是否满足要求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，不满足扣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2分/人；取样流程是否符合要求，不符合扣2分/次；抽样频率是否符合要求，不符合扣2分/次；试样标志标识是否规范，不规范扣2分/次；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eastAsia="zh-CN"/>
              </w:rPr>
              <w:t>c</w:t>
            </w:r>
            <w:r>
              <w:rPr>
                <w:b/>
                <w:bCs/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1"/>
                <w:highlight w:val="none"/>
                <w:lang w:eastAsia="zh-CN"/>
              </w:rPr>
              <w:t>材料未检先用，扣</w:t>
            </w:r>
            <w:r>
              <w:rPr>
                <w:rFonts w:hint="eastAsia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4分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/次</w:t>
            </w:r>
            <w:r>
              <w:rPr>
                <w:rFonts w:hint="eastAsia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；使用不符合规定材料，扣4分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/次</w:t>
            </w:r>
            <w:r>
              <w:rPr>
                <w:rFonts w:hint="eastAsia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val="en-US" w:eastAsia="zh-CN"/>
              </w:rPr>
              <w:t>d.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highlight w:val="none"/>
                <w:lang w:eastAsia="zh-CN"/>
              </w:rPr>
              <w:t>检测报告出具不及时，扣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2分/次；</w:t>
            </w:r>
            <w:r>
              <w:rPr>
                <w:b/>
                <w:bCs/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隐蔽工程在未出检测报告前先隐蔽，扣4分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/次</w:t>
            </w:r>
            <w:r>
              <w:rPr>
                <w:rFonts w:hint="eastAsia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；出具或伪造虚假检测报告，对检测不合格报告抽测、替换、修改等行为，扣4分/份。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钢筋原材进场复验报告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                  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       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钢筋接头检验报告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67" w:type="dxa"/>
            <w:noWrap w:val="0"/>
            <w:vAlign w:val="center"/>
          </w:tcPr>
          <w:p>
            <w:pPr>
              <w:pStyle w:val="2"/>
              <w:spacing w:line="280" w:lineRule="exact"/>
              <w:ind w:left="191" w:leftChars="0" w:hanging="191" w:hangingChars="9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42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装配式建筑灌浆套筒检验、</w:t>
            </w:r>
            <w:r>
              <w:rPr>
                <w:color w:val="auto"/>
                <w:sz w:val="21"/>
                <w:highlight w:val="none"/>
              </w:rPr>
              <w:t>预制构件与现浇结构连接试块强度检测</w:t>
            </w:r>
            <w:r>
              <w:rPr>
                <w:rFonts w:hint="eastAsia"/>
                <w:color w:val="auto"/>
                <w:sz w:val="21"/>
                <w:highlight w:val="none"/>
              </w:rPr>
              <w:t>、</w:t>
            </w:r>
            <w:r>
              <w:rPr>
                <w:color w:val="auto"/>
                <w:sz w:val="21"/>
                <w:highlight w:val="none"/>
              </w:rPr>
              <w:t>预制构件接缝防水性能检测</w:t>
            </w:r>
            <w:r>
              <w:rPr>
                <w:rFonts w:hint="eastAsia"/>
                <w:color w:val="auto"/>
                <w:sz w:val="21"/>
                <w:highlight w:val="none"/>
              </w:rPr>
              <w:t>、</w:t>
            </w:r>
            <w:r>
              <w:rPr>
                <w:color w:val="auto"/>
                <w:sz w:val="21"/>
                <w:highlight w:val="none"/>
              </w:rPr>
              <w:t>预制外墙外保温检测</w:t>
            </w:r>
            <w:r>
              <w:rPr>
                <w:rFonts w:hint="eastAsia"/>
                <w:color w:val="auto"/>
                <w:sz w:val="21"/>
                <w:highlight w:val="none"/>
              </w:rPr>
              <w:t>等报告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混凝土(</w:t>
            </w:r>
            <w:r>
              <w:rPr>
                <w:rFonts w:hint="eastAsia"/>
                <w:color w:val="auto"/>
                <w:sz w:val="21"/>
                <w:highlight w:val="none"/>
              </w:rPr>
              <w:t>含预制构件</w:t>
            </w:r>
            <w:r>
              <w:rPr>
                <w:rFonts w:hint="eastAsia"/>
                <w:color w:val="auto"/>
                <w:sz w:val="21"/>
                <w:highlight w:val="none"/>
              </w:rPr>
              <w:t>)、砂浆和装配式建筑套筒灌浆料试件检验报告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不符合要求，扣10分。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280" w:lineRule="exact"/>
              <w:ind w:left="191" w:leftChars="0" w:hanging="191" w:hangingChars="9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装配式建筑验收记录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a.缺首个装配式标准层施工前的下部结构验收记录，扣5分；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b.缺首个装配式标准层施工完成后验收记录，扣5分；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c.缺</w:t>
            </w:r>
            <w:r>
              <w:rPr>
                <w:color w:val="auto"/>
                <w:sz w:val="21"/>
                <w:szCs w:val="21"/>
                <w:highlight w:val="none"/>
              </w:rPr>
              <w:t>首批预制构件、首个装配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式标准层结构等验收记录，扣5分；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d.缺预制构件连接节点、后浇混凝凝土等隐蔽验收记录，扣5分。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检验批、分项、分部工程验收记录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不齐全，扣10分；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逻辑有误，有作假嫌疑，扣20分。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4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合计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6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发现的主要问题：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spacing w:line="460" w:lineRule="exact"/>
        <w:ind w:left="-340" w:leftChars="-170" w:firstLine="500" w:firstLineChars="25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ascii="宋体" w:hAnsi="宋体"/>
          <w:color w:val="auto"/>
          <w:highlight w:val="none"/>
        </w:rPr>
        <w:t>检查人：  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  <w:highlight w:val="none"/>
          <w:lang w:eastAsia="zh-CN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表三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实物观感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100分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                            </w:t>
      </w:r>
      <w:r>
        <w:rPr>
          <w:rFonts w:hint="eastAsia"/>
          <w:color w:val="auto"/>
          <w:sz w:val="21"/>
          <w:highlight w:val="none"/>
        </w:rPr>
        <w:t>检查部位：</w:t>
      </w:r>
      <w:r>
        <w:rPr>
          <w:color w:val="auto"/>
          <w:sz w:val="21"/>
          <w:highlight w:val="none"/>
        </w:rPr>
        <w:t xml:space="preserve">      </w:t>
      </w:r>
    </w:p>
    <w:p>
      <w:pPr>
        <w:pStyle w:val="2"/>
        <w:spacing w:line="460" w:lineRule="exact"/>
        <w:ind w:firstLine="0" w:firstLineChars="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备注：抽查一栋楼的一个标准层。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50"/>
        <w:gridCol w:w="4950"/>
        <w:gridCol w:w="119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露筋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纵向受力钢筋，扣10分；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其他部位钢筋，扣5分。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蜂窝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少量，扣</w:t>
            </w:r>
            <w:r>
              <w:rPr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较多，扣</w:t>
            </w:r>
            <w:r>
              <w:rPr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量大面广，扣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孔洞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构件主要受力部位，扣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其它部位，扣5分。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夹渣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构件主要受力部位，扣5分；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其它部位，扣2分。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疏松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构件主要受力部位，扣5分；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其它部位，扣2分。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裂缝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影响结构性能或使用功能的裂缝，扣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不影响结构性能或使用功能的裂缝，扣5分。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连接部位缺陷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影响结构传力性能的缺陷，扣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不影响结构传力性能的缺陷，扣5分。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外形缺陷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a.清水混凝土构件，每处扣2分；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b.普通混凝土构件，每处扣</w:t>
            </w:r>
            <w:r>
              <w:rPr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砌筑构造质量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构造柱、圈梁不符合要求，扣3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厨厕间墙根无</w:t>
            </w:r>
            <w:r>
              <w:rPr>
                <w:color w:val="auto"/>
                <w:sz w:val="21"/>
                <w:szCs w:val="21"/>
                <w:highlight w:val="none"/>
              </w:rPr>
              <w:t>200mm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高素砼，扣3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c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纵横墙咬槎不规范，扣10分；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d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砌体与砼连接处未加钢丝网，扣5分；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预埋管、线、箱处洞槽不规范，扣5分；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f,斜顶砖不符合要求，扣5分。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合</w:t>
            </w:r>
            <w:r>
              <w:rPr>
                <w:b/>
                <w:bCs/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计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发现主要问题：</w:t>
            </w: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pStyle w:val="2"/>
        <w:spacing w:line="460" w:lineRule="exact"/>
        <w:ind w:left="-340" w:leftChars="-170" w:firstLine="240" w:firstLineChars="10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ascii="宋体" w:hAnsi="宋体"/>
          <w:color w:val="auto"/>
          <w:highlight w:val="none"/>
        </w:rPr>
        <w:t>检查人：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表四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实测实量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110分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                            </w:t>
      </w:r>
      <w:r>
        <w:rPr>
          <w:rFonts w:hint="eastAsia"/>
          <w:color w:val="auto"/>
          <w:sz w:val="21"/>
          <w:highlight w:val="none"/>
        </w:rPr>
        <w:t>检查部位：</w:t>
      </w:r>
      <w:r>
        <w:rPr>
          <w:color w:val="auto"/>
          <w:sz w:val="21"/>
          <w:highlight w:val="none"/>
        </w:rPr>
        <w:t xml:space="preserve">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11"/>
        <w:gridCol w:w="5194"/>
        <w:gridCol w:w="113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垂直度</w:t>
            </w:r>
          </w:p>
        </w:tc>
        <w:tc>
          <w:tcPr>
            <w:tcW w:w="5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a.实测点中，超过允许偏差的点数少于</w:t>
            </w:r>
            <w:r>
              <w:rPr>
                <w:color w:val="auto"/>
                <w:sz w:val="21"/>
                <w:highlight w:val="none"/>
              </w:rPr>
              <w:t>20%</w:t>
            </w:r>
            <w:r>
              <w:rPr>
                <w:rFonts w:hint="eastAsia"/>
                <w:color w:val="auto"/>
                <w:sz w:val="21"/>
                <w:highlight w:val="none"/>
              </w:rPr>
              <w:t>时，每点扣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分；超过</w:t>
            </w:r>
            <w:r>
              <w:rPr>
                <w:color w:val="auto"/>
                <w:sz w:val="21"/>
                <w:highlight w:val="none"/>
              </w:rPr>
              <w:t>20%</w:t>
            </w:r>
            <w:r>
              <w:rPr>
                <w:rFonts w:hint="eastAsia"/>
                <w:color w:val="auto"/>
                <w:sz w:val="21"/>
                <w:highlight w:val="none"/>
              </w:rPr>
              <w:t>时，该项为零分。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highlight w:val="none"/>
              </w:rPr>
              <w:t>每项各测</w:t>
            </w:r>
            <w:r>
              <w:rPr>
                <w:color w:val="auto"/>
                <w:sz w:val="21"/>
                <w:highlight w:val="none"/>
              </w:rPr>
              <w:t>30</w:t>
            </w:r>
            <w:r>
              <w:rPr>
                <w:rFonts w:hint="eastAsia"/>
                <w:color w:val="auto"/>
                <w:sz w:val="21"/>
                <w:highlight w:val="none"/>
              </w:rPr>
              <w:t>点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表面平整度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混凝土结构强度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随机从柱、梁共抽取4个构件采用回弹法进行实测，出现不满足设计要求扣40分。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钢筋保护层厚度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随机从梁、板共抽取4个构件采用钢筋探测仪进行实测，不满足规范要求扣5分/构件。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住宅排烟道耐软物撞击性能检验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从进场的排烟道中随机抽取3根进行检验，出现不满足标准要求扣10分。检验方法见标准（住宅厨房和卫生间排烟（气）道制品JG/T194-2018）。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7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合</w:t>
            </w:r>
            <w:r>
              <w:rPr>
                <w:b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计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7" w:hRule="atLeast"/>
          <w:jc w:val="center"/>
        </w:trPr>
        <w:tc>
          <w:tcPr>
            <w:tcW w:w="9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发现的主要问题：</w:t>
            </w: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检查人：</w:t>
      </w:r>
      <w:r>
        <w:rPr>
          <w:color w:val="auto"/>
          <w:highlight w:val="none"/>
        </w:rPr>
        <w:t xml:space="preserve">                                                     </w:t>
      </w:r>
      <w:r>
        <w:rPr>
          <w:rFonts w:hint="eastAsia"/>
          <w:color w:val="auto"/>
          <w:highlight w:val="none"/>
        </w:rPr>
        <w:t>年</w:t>
      </w:r>
      <w:r>
        <w:rPr>
          <w:color w:val="auto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>月</w:t>
      </w:r>
      <w:r>
        <w:rPr>
          <w:color w:val="auto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>日</w:t>
      </w:r>
    </w:p>
    <w:p>
      <w:pPr>
        <w:rPr>
          <w:color w:val="auto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表五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钢筋工程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60分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                            </w:t>
      </w:r>
      <w:r>
        <w:rPr>
          <w:rFonts w:hint="eastAsia"/>
          <w:color w:val="auto"/>
          <w:sz w:val="21"/>
          <w:highlight w:val="none"/>
        </w:rPr>
        <w:t>检查部位：</w:t>
      </w:r>
      <w:r>
        <w:rPr>
          <w:color w:val="auto"/>
          <w:sz w:val="21"/>
          <w:highlight w:val="none"/>
        </w:rPr>
        <w:t xml:space="preserve">         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/>
          <w:color w:val="auto"/>
          <w:sz w:val="21"/>
          <w:highlight w:val="none"/>
        </w:rPr>
        <w:t>备注：抽查一个检验批。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92"/>
        <w:gridCol w:w="4860"/>
        <w:gridCol w:w="108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钢筋原材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>有弯曲，扣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>有油污，扣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highlight w:val="none"/>
              </w:rPr>
              <w:t>有损伤，扣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d.</w:t>
            </w:r>
            <w:r>
              <w:rPr>
                <w:rFonts w:hint="eastAsia"/>
                <w:color w:val="auto"/>
                <w:sz w:val="21"/>
                <w:highlight w:val="none"/>
              </w:rPr>
              <w:t>有裂纹，扣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e.</w:t>
            </w:r>
            <w:r>
              <w:rPr>
                <w:rFonts w:hint="eastAsia"/>
                <w:color w:val="auto"/>
                <w:sz w:val="21"/>
                <w:highlight w:val="none"/>
              </w:rPr>
              <w:t>有老锈，扣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钢筋加工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>弯钩角度不对，扣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>弯钩直段长度不够，扣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highlight w:val="none"/>
              </w:rPr>
              <w:t>箍筋形状不规范，扣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d.</w:t>
            </w:r>
            <w:r>
              <w:rPr>
                <w:rFonts w:hint="eastAsia"/>
                <w:color w:val="auto"/>
                <w:sz w:val="21"/>
                <w:highlight w:val="none"/>
              </w:rPr>
              <w:t>尺寸偏差超规范，扣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钢筋连接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连接接头外观质量差，扣5分；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接头位置不对，扣10分；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highlight w:val="none"/>
              </w:rPr>
              <w:t>搭接长度不够，扣</w:t>
            </w:r>
            <w:r>
              <w:rPr>
                <w:color w:val="auto"/>
                <w:sz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d.</w:t>
            </w:r>
            <w:r>
              <w:rPr>
                <w:rFonts w:hint="eastAsia"/>
                <w:color w:val="auto"/>
                <w:sz w:val="21"/>
                <w:highlight w:val="none"/>
              </w:rPr>
              <w:t>接头面积百分率超规范，扣</w:t>
            </w:r>
            <w:r>
              <w:rPr>
                <w:color w:val="auto"/>
                <w:sz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e.</w:t>
            </w:r>
            <w:r>
              <w:rPr>
                <w:rFonts w:hint="eastAsia"/>
                <w:color w:val="auto"/>
                <w:sz w:val="21"/>
                <w:highlight w:val="none"/>
              </w:rPr>
              <w:t>接头处箍筋加密不符合规范要求，每处扣5分。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4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钢筋安装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钢筋骨架尺寸超过允许偏差，扣5分；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钢筋间距、排距超允许偏差，扣5分； </w:t>
            </w:r>
          </w:p>
          <w:p>
            <w:pPr>
              <w:pStyle w:val="2"/>
              <w:spacing w:line="300" w:lineRule="exact"/>
              <w:ind w:left="192" w:hanging="192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c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墙、柱根部，钢筋位置偏出墙、柱边线，扣10分；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d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>漏绑点超过</w:t>
            </w:r>
            <w:r>
              <w:rPr>
                <w:color w:val="auto"/>
                <w:sz w:val="21"/>
                <w:highlight w:val="none"/>
              </w:rPr>
              <w:t>10%</w:t>
            </w:r>
            <w:r>
              <w:rPr>
                <w:rFonts w:hint="eastAsia"/>
                <w:color w:val="auto"/>
                <w:sz w:val="21"/>
                <w:highlight w:val="none"/>
              </w:rPr>
              <w:t>，扣5分；超过</w:t>
            </w:r>
            <w:r>
              <w:rPr>
                <w:color w:val="auto"/>
                <w:sz w:val="21"/>
                <w:highlight w:val="none"/>
              </w:rPr>
              <w:t>20%</w:t>
            </w:r>
            <w:r>
              <w:rPr>
                <w:rFonts w:hint="eastAsia"/>
                <w:color w:val="auto"/>
                <w:sz w:val="21"/>
                <w:highlight w:val="none"/>
              </w:rPr>
              <w:t>，扣</w:t>
            </w:r>
            <w:r>
              <w:rPr>
                <w:color w:val="auto"/>
                <w:sz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e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洞口加固不规范，扣5分；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f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梁、柱核心区箍筋少漏、不均匀，扣5分；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g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锚固长度不够，扣5分； 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钢筋保护层垫块、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马凳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>垫块厚度不符合要求，扣</w:t>
            </w:r>
            <w:r>
              <w:rPr>
                <w:color w:val="auto"/>
                <w:sz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>垫块间距不符合要求，扣</w:t>
            </w:r>
            <w:r>
              <w:rPr>
                <w:color w:val="auto"/>
                <w:sz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highlight w:val="none"/>
              </w:rPr>
              <w:t>马凳高度不足，间距大，扣</w:t>
            </w:r>
            <w:r>
              <w:rPr>
                <w:color w:val="auto"/>
                <w:sz w:val="21"/>
                <w:highlight w:val="none"/>
              </w:rPr>
              <w:t>4</w:t>
            </w:r>
            <w:r>
              <w:rPr>
                <w:rFonts w:hint="eastAsia"/>
                <w:color w:val="auto"/>
                <w:sz w:val="21"/>
                <w:highlight w:val="none"/>
              </w:rPr>
              <w:t>分。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合</w:t>
            </w:r>
            <w:r>
              <w:rPr>
                <w:b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发现的主要问题：</w:t>
            </w: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pStyle w:val="2"/>
        <w:spacing w:line="460" w:lineRule="exact"/>
        <w:ind w:left="-340" w:leftChars="-170" w:firstLine="240" w:firstLineChars="10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ascii="宋体" w:hAnsi="宋体"/>
          <w:color w:val="auto"/>
          <w:highlight w:val="none"/>
        </w:rPr>
        <w:t>检查人：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表六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装配式建筑工程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60分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                            </w:t>
      </w:r>
      <w:r>
        <w:rPr>
          <w:rFonts w:hint="eastAsia"/>
          <w:color w:val="auto"/>
          <w:sz w:val="21"/>
          <w:highlight w:val="none"/>
        </w:rPr>
        <w:t>检查部位：</w:t>
      </w:r>
      <w:r>
        <w:rPr>
          <w:color w:val="auto"/>
          <w:sz w:val="21"/>
          <w:highlight w:val="none"/>
        </w:rPr>
        <w:t xml:space="preserve">        </w:t>
      </w: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28"/>
        <w:gridCol w:w="4860"/>
        <w:gridCol w:w="108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预制构件外观质量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>已安装的预制构件外观质量存在严重缺陷，扣10分。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left="2"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预制构件种类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a.已安装的预制构件种类与施工图纸不符，扣20分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left="2"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预制构件连接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a.预制构件连接节点部位与施工图纸不符，扣20分。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4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21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钢筋连接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a.钢筋焊接的观感质量不合格，扣5分；</w:t>
            </w:r>
          </w:p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b.钢筋机械连接的观感质量不合格，扣5分；</w:t>
            </w:r>
          </w:p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c.钢筋的搭接长度或锚固长度不满足设计要求，扣5分。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合</w:t>
            </w:r>
            <w:r>
              <w:rPr>
                <w:b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计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</w:trPr>
        <w:tc>
          <w:tcPr>
            <w:tcW w:w="9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发现的主要问题：</w:t>
            </w: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pStyle w:val="2"/>
        <w:spacing w:line="460" w:lineRule="exact"/>
        <w:ind w:left="-340" w:leftChars="-170" w:firstLine="240" w:firstLineChars="10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ascii="宋体" w:hAnsi="宋体"/>
          <w:color w:val="auto"/>
          <w:highlight w:val="none"/>
        </w:rPr>
        <w:t>检查人：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表七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模板工程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60分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                            </w:t>
      </w:r>
      <w:r>
        <w:rPr>
          <w:rFonts w:hint="eastAsia"/>
          <w:color w:val="auto"/>
          <w:sz w:val="21"/>
          <w:highlight w:val="none"/>
        </w:rPr>
        <w:t>检查部位：</w:t>
      </w:r>
      <w:r>
        <w:rPr>
          <w:color w:val="auto"/>
          <w:sz w:val="21"/>
          <w:highlight w:val="none"/>
        </w:rPr>
        <w:t xml:space="preserve">         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/>
          <w:color w:val="auto"/>
          <w:sz w:val="21"/>
          <w:highlight w:val="none"/>
        </w:rPr>
        <w:t>备注：抽查一个检验批。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851"/>
        <w:gridCol w:w="465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安装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  <w:highlight w:val="none"/>
              </w:rPr>
            </w:pPr>
            <w:r>
              <w:rPr>
                <w:color w:val="auto"/>
                <w:spacing w:val="-6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 xml:space="preserve">拼接不平整，拼缝过大，模板内有杂物或积水，扣10分； </w:t>
            </w:r>
          </w:p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  <w:highlight w:val="none"/>
              </w:rPr>
            </w:pP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b</w:t>
            </w:r>
            <w:r>
              <w:rPr>
                <w:color w:val="auto"/>
                <w:spacing w:val="-6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模板及其支架不具有足够的承载能力、刚度和稳定性，不能可靠承受浇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  <w:lang w:eastAsia="zh-CN"/>
              </w:rPr>
              <w:t>筑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混凝土的重量、侧压力以及施工荷载，扣30分。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拆除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  <w:highlight w:val="none"/>
              </w:rPr>
            </w:pPr>
            <w:r>
              <w:rPr>
                <w:color w:val="auto"/>
                <w:spacing w:val="-6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 xml:space="preserve">未按方案拆除，扣30分； </w:t>
            </w:r>
          </w:p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  <w:highlight w:val="none"/>
              </w:rPr>
            </w:pP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b</w:t>
            </w:r>
            <w:r>
              <w:rPr>
                <w:color w:val="auto"/>
                <w:spacing w:val="-6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拆除后模板未及时清理保养，无序堆放，扣10分。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合</w:t>
            </w:r>
            <w:r>
              <w:rPr>
                <w:b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ab/>
            </w:r>
          </w:p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存在主要问题：</w:t>
            </w: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pStyle w:val="2"/>
        <w:spacing w:line="240" w:lineRule="exact"/>
        <w:ind w:firstLine="42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检查人：</w:t>
      </w:r>
      <w:r>
        <w:rPr>
          <w:color w:val="auto"/>
          <w:sz w:val="21"/>
          <w:highlight w:val="none"/>
        </w:rPr>
        <w:t xml:space="preserve">                                                     </w:t>
      </w:r>
      <w:r>
        <w:rPr>
          <w:rFonts w:hint="eastAsia"/>
          <w:color w:val="auto"/>
          <w:sz w:val="21"/>
          <w:highlight w:val="none"/>
        </w:rPr>
        <w:t>年</w:t>
      </w:r>
      <w:r>
        <w:rPr>
          <w:color w:val="auto"/>
          <w:sz w:val="21"/>
          <w:highlight w:val="none"/>
        </w:rPr>
        <w:t xml:space="preserve">    </w:t>
      </w:r>
      <w:r>
        <w:rPr>
          <w:rFonts w:hint="eastAsia"/>
          <w:color w:val="auto"/>
          <w:sz w:val="21"/>
          <w:highlight w:val="none"/>
        </w:rPr>
        <w:t>月</w:t>
      </w:r>
      <w:r>
        <w:rPr>
          <w:color w:val="auto"/>
          <w:sz w:val="21"/>
          <w:highlight w:val="none"/>
        </w:rPr>
        <w:t xml:space="preserve">    </w:t>
      </w:r>
      <w:r>
        <w:rPr>
          <w:rFonts w:hint="eastAsia"/>
          <w:color w:val="auto"/>
          <w:sz w:val="21"/>
          <w:highlight w:val="none"/>
        </w:rPr>
        <w:t>日</w:t>
      </w:r>
    </w:p>
    <w:p>
      <w:pPr>
        <w:pStyle w:val="2"/>
        <w:spacing w:line="240" w:lineRule="exact"/>
        <w:ind w:firstLine="420"/>
        <w:rPr>
          <w:color w:val="auto"/>
          <w:sz w:val="21"/>
          <w:highlight w:val="none"/>
        </w:rPr>
      </w:pPr>
    </w:p>
    <w:p>
      <w:pPr>
        <w:pStyle w:val="2"/>
        <w:spacing w:line="240" w:lineRule="exact"/>
        <w:ind w:firstLine="420"/>
        <w:rPr>
          <w:rFonts w:ascii="宋体" w:hAnsi="宋体" w:eastAsia="华文中宋"/>
          <w:color w:val="auto"/>
          <w:sz w:val="21"/>
          <w:highlight w:val="none"/>
        </w:rPr>
      </w:pPr>
    </w:p>
    <w:p>
      <w:pPr>
        <w:pStyle w:val="2"/>
        <w:spacing w:line="460" w:lineRule="exact"/>
        <w:ind w:firstLine="0" w:firstLineChars="0"/>
        <w:jc w:val="center"/>
        <w:rPr>
          <w:rFonts w:hint="eastAsia" w:eastAsia="华文中宋"/>
          <w:b/>
          <w:bCs/>
          <w:color w:val="auto"/>
          <w:sz w:val="30"/>
          <w:highlight w:val="none"/>
        </w:rPr>
        <w:sectPr>
          <w:headerReference r:id="rId4" w:type="default"/>
          <w:footnotePr>
            <w:numFmt w:val="decimal"/>
          </w:footnotePr>
          <w:pgSz w:w="11907" w:h="16840"/>
          <w:pgMar w:top="1134" w:right="1134" w:bottom="1134" w:left="1134" w:header="851" w:footer="992" w:gutter="0"/>
          <w:cols w:space="720" w:num="1"/>
          <w:docGrid w:linePitch="408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表八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评分统计</w:t>
      </w:r>
    </w:p>
    <w:p>
      <w:pPr>
        <w:pStyle w:val="2"/>
        <w:spacing w:line="460" w:lineRule="exact"/>
        <w:ind w:firstLine="0"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工程名称：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126"/>
        <w:gridCol w:w="19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得分率</w:t>
            </w:r>
            <w:r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eastAsia="zh-CN"/>
              </w:rPr>
              <w:t>（实得分</w:t>
            </w:r>
            <w:r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val="en-US" w:eastAsia="zh-CN"/>
              </w:rPr>
              <w:t>/应得分</w:t>
            </w:r>
            <w:r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质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量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行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术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资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料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实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物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观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实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测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实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钢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筋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工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装配式建筑工程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模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板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工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综合评分（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得分率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2" w:hRule="atLeast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综合评价：</w:t>
            </w: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</w:tc>
      </w:tr>
    </w:tbl>
    <w:p>
      <w:pPr>
        <w:pStyle w:val="2"/>
        <w:spacing w:line="460" w:lineRule="exact"/>
        <w:ind w:firstLine="0" w:firstLineChars="0"/>
        <w:rPr>
          <w:rFonts w:ascii="黑体" w:hAnsi="宋体" w:eastAsia="黑体"/>
          <w:color w:val="auto"/>
          <w:sz w:val="36"/>
          <w:szCs w:val="36"/>
          <w:highlight w:val="none"/>
        </w:rPr>
        <w:sectPr>
          <w:footnotePr>
            <w:numFmt w:val="decimal"/>
          </w:footnotePr>
          <w:pgSz w:w="11907" w:h="16840"/>
          <w:pgMar w:top="1134" w:right="1134" w:bottom="1134" w:left="1134" w:header="851" w:footer="992" w:gutter="0"/>
          <w:cols w:space="720" w:num="1"/>
          <w:docGrid w:linePitch="408" w:charSpace="0"/>
        </w:sectPr>
      </w:pPr>
      <w:r>
        <w:rPr>
          <w:rFonts w:hint="eastAsia"/>
          <w:color w:val="auto"/>
          <w:highlight w:val="none"/>
        </w:rPr>
        <w:t>检查小组签名：</w:t>
      </w:r>
      <w:r>
        <w:rPr>
          <w:color w:val="auto"/>
          <w:highlight w:val="none"/>
        </w:rPr>
        <w:t xml:space="preserve">                                          </w:t>
      </w:r>
      <w:r>
        <w:rPr>
          <w:rFonts w:hint="eastAsia"/>
          <w:color w:val="auto"/>
          <w:highlight w:val="none"/>
        </w:rPr>
        <w:t>年</w:t>
      </w:r>
      <w:r>
        <w:rPr>
          <w:color w:val="auto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>月</w:t>
      </w:r>
      <w:r>
        <w:rPr>
          <w:color w:val="auto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>日</w:t>
      </w:r>
    </w:p>
    <w:p>
      <w:pPr>
        <w:rPr>
          <w:color w:val="auto"/>
          <w:highlight w:val="none"/>
        </w:rPr>
      </w:pPr>
    </w:p>
    <w:bookmarkEnd w:id="0"/>
    <w:sectPr>
      <w:headerReference r:id="rId5" w:type="default"/>
      <w:footerReference r:id="rId6" w:type="default"/>
      <w:footnotePr>
        <w:numFmt w:val="decimal"/>
      </w:footnotePr>
      <w:pgSz w:w="11907" w:h="16840"/>
      <w:pgMar w:top="1134" w:right="1134" w:bottom="1134" w:left="1418" w:header="851" w:footer="992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66FB2"/>
    <w:rsid w:val="7A96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="Calibri" w:hAnsi="Calibri" w:eastAsia="宋体" w:cs="Times New Roman"/>
      <w:lang w:val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widowControl w:val="0"/>
      <w:spacing w:after="0" w:line="240" w:lineRule="auto"/>
      <w:ind w:firstLine="480" w:firstLineChars="200"/>
      <w:jc w:val="both"/>
    </w:pPr>
    <w:rPr>
      <w:rFonts w:ascii="Times New Roman" w:hAnsi="Times New Roman"/>
      <w:snapToGrid w:val="0"/>
      <w:kern w:val="2"/>
      <w:sz w:val="24"/>
      <w:szCs w:val="24"/>
      <w:lang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</w:rPr>
  </w:style>
  <w:style w:type="character" w:customStyle="1" w:styleId="7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2021-03-17T07:36:00Z</dcterms:created>
  <dc:creator>张莹</dc:creator>
  <cp:lastModifiedBy>张莹</cp:lastModifiedBy>
  <dcterms:modified xsi:type="dcterms:W3CDTF">2021-03-17T07:39:18Z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