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643"/>
        <w:jc w:val="center"/>
        <w:rPr>
          <w:rFonts w:ascii="黑体" w:hAnsi="黑体" w:eastAsia="黑体"/>
          <w:b/>
          <w:szCs w:val="32"/>
        </w:rPr>
      </w:pPr>
    </w:p>
    <w:p>
      <w:pPr>
        <w:widowControl/>
        <w:spacing w:before="100" w:beforeAutospacing="1" w:after="100" w:afterAutospacing="1"/>
        <w:ind w:firstLine="643"/>
        <w:jc w:val="center"/>
        <w:rPr>
          <w:rFonts w:ascii="黑体" w:hAnsi="黑体" w:eastAsia="黑体"/>
          <w:b/>
          <w:szCs w:val="32"/>
        </w:rPr>
      </w:pPr>
    </w:p>
    <w:p>
      <w:pPr>
        <w:widowControl/>
        <w:spacing w:before="100" w:beforeAutospacing="1" w:after="100" w:afterAutospacing="1"/>
        <w:ind w:firstLine="643"/>
        <w:jc w:val="center"/>
        <w:rPr>
          <w:rFonts w:ascii="黑体" w:hAnsi="黑体" w:eastAsia="黑体"/>
          <w:b/>
          <w:szCs w:val="32"/>
        </w:rPr>
      </w:pPr>
    </w:p>
    <w:p>
      <w:pPr>
        <w:widowControl/>
        <w:spacing w:before="100" w:beforeAutospacing="1" w:after="100" w:afterAutospacing="1"/>
        <w:ind w:firstLine="643"/>
        <w:jc w:val="center"/>
        <w:rPr>
          <w:rFonts w:ascii="黑体" w:hAnsi="黑体" w:eastAsia="黑体"/>
          <w:b/>
          <w:szCs w:val="32"/>
        </w:rPr>
      </w:pPr>
    </w:p>
    <w:p>
      <w:pPr>
        <w:widowControl/>
        <w:spacing w:before="100" w:beforeAutospacing="1" w:after="100" w:afterAutospacing="1"/>
        <w:ind w:firstLine="723"/>
        <w:jc w:val="center"/>
        <w:rPr>
          <w:rFonts w:ascii="黑体" w:hAnsi="黑体" w:eastAsia="黑体"/>
          <w:b/>
          <w:sz w:val="36"/>
          <w:szCs w:val="36"/>
        </w:rPr>
      </w:pPr>
      <w:r>
        <w:rPr>
          <w:rFonts w:hint="eastAsia" w:ascii="黑体" w:hAnsi="黑体" w:eastAsia="黑体"/>
          <w:b/>
          <w:sz w:val="36"/>
          <w:szCs w:val="36"/>
        </w:rPr>
        <w:t>深圳市住房和建设局</w:t>
      </w:r>
    </w:p>
    <w:p>
      <w:pPr>
        <w:widowControl/>
        <w:spacing w:before="100" w:beforeAutospacing="1" w:after="100" w:afterAutospacing="1"/>
        <w:ind w:firstLine="643"/>
        <w:jc w:val="center"/>
        <w:rPr>
          <w:b/>
          <w:szCs w:val="32"/>
        </w:rPr>
      </w:pPr>
    </w:p>
    <w:p>
      <w:pPr>
        <w:widowControl/>
        <w:spacing w:before="100" w:beforeAutospacing="1" w:after="100" w:afterAutospacing="1"/>
        <w:ind w:firstLine="883"/>
        <w:jc w:val="center"/>
        <w:rPr>
          <w:rFonts w:ascii="黑体" w:hAnsi="黑体" w:eastAsia="黑体"/>
          <w:b/>
          <w:sz w:val="44"/>
          <w:szCs w:val="44"/>
        </w:rPr>
      </w:pPr>
      <w:r>
        <w:rPr>
          <w:rFonts w:hint="eastAsia" w:ascii="黑体" w:hAnsi="黑体" w:eastAsia="黑体"/>
          <w:b/>
          <w:sz w:val="44"/>
          <w:szCs w:val="44"/>
        </w:rPr>
        <w:t>深圳市住房和建设</w:t>
      </w:r>
    </w:p>
    <w:p>
      <w:pPr>
        <w:widowControl/>
        <w:spacing w:before="100" w:beforeAutospacing="1" w:after="100" w:afterAutospacing="1"/>
        <w:ind w:firstLine="883"/>
        <w:jc w:val="center"/>
        <w:rPr>
          <w:rFonts w:ascii="黑体" w:hAnsi="黑体" w:eastAsia="黑体"/>
          <w:b/>
          <w:sz w:val="44"/>
          <w:szCs w:val="44"/>
        </w:rPr>
      </w:pPr>
      <w:r>
        <w:rPr>
          <w:rFonts w:hint="eastAsia" w:ascii="黑体" w:hAnsi="黑体" w:eastAsia="黑体"/>
          <w:b/>
          <w:sz w:val="44"/>
          <w:szCs w:val="44"/>
        </w:rPr>
        <w:t>行政处罚自由裁量权基准适用规则</w:t>
      </w:r>
    </w:p>
    <w:p>
      <w:pPr>
        <w:widowControl/>
        <w:spacing w:before="100" w:beforeAutospacing="1" w:after="100" w:afterAutospacing="1"/>
        <w:ind w:firstLine="883"/>
        <w:jc w:val="center"/>
        <w:rPr>
          <w:rFonts w:ascii="黑体" w:hAnsi="黑体" w:eastAsia="黑体"/>
          <w:b/>
          <w:sz w:val="44"/>
          <w:szCs w:val="44"/>
        </w:rPr>
      </w:pPr>
      <w:r>
        <w:rPr>
          <w:rFonts w:hint="eastAsia" w:ascii="黑体" w:hAnsi="黑体" w:eastAsia="黑体"/>
          <w:b/>
          <w:sz w:val="44"/>
          <w:szCs w:val="44"/>
        </w:rPr>
        <w:t>（2021年版）</w:t>
      </w:r>
    </w:p>
    <w:p>
      <w:pPr>
        <w:widowControl/>
        <w:spacing w:before="100" w:beforeAutospacing="1" w:after="100" w:afterAutospacing="1"/>
        <w:ind w:firstLine="1044"/>
        <w:jc w:val="center"/>
        <w:rPr>
          <w:b/>
          <w:sz w:val="52"/>
          <w:szCs w:val="52"/>
        </w:rPr>
      </w:pPr>
    </w:p>
    <w:p>
      <w:pPr>
        <w:widowControl/>
        <w:spacing w:before="100" w:beforeAutospacing="1" w:after="100" w:afterAutospacing="1"/>
        <w:ind w:firstLine="643"/>
        <w:jc w:val="center"/>
        <w:rPr>
          <w:b/>
          <w:szCs w:val="32"/>
        </w:rPr>
      </w:pPr>
    </w:p>
    <w:p>
      <w:pPr>
        <w:widowControl/>
        <w:spacing w:before="100" w:beforeAutospacing="1" w:after="100" w:afterAutospacing="1"/>
        <w:ind w:firstLine="643"/>
        <w:jc w:val="center"/>
        <w:rPr>
          <w:b/>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pPr>
    </w:p>
    <w:p>
      <w:pPr>
        <w:spacing w:line="560" w:lineRule="exact"/>
        <w:ind w:firstLine="880"/>
        <w:jc w:val="center"/>
        <w:rPr>
          <w:rFonts w:ascii="方正小标宋简体" w:eastAsia="方正小标宋简体"/>
          <w:sz w:val="44"/>
          <w:szCs w:val="44"/>
        </w:rPr>
      </w:pPr>
    </w:p>
    <w:p>
      <w:pPr>
        <w:ind w:firstLine="0" w:firstLineChars="0"/>
        <w:jc w:val="center"/>
        <w:rPr>
          <w:rFonts w:ascii="方正小标宋简体" w:eastAsia="方正小标宋简体"/>
          <w:b/>
          <w:bCs/>
          <w:sz w:val="44"/>
          <w:szCs w:val="44"/>
        </w:rPr>
      </w:pPr>
      <w:r>
        <w:rPr>
          <w:rFonts w:hint="eastAsia" w:ascii="方正小标宋简体" w:eastAsia="方正小标宋简体"/>
          <w:b/>
          <w:bCs/>
          <w:sz w:val="44"/>
          <w:szCs w:val="44"/>
        </w:rPr>
        <w:t>深圳市住房和建设</w:t>
      </w:r>
    </w:p>
    <w:p>
      <w:pPr>
        <w:ind w:firstLine="0" w:firstLineChars="0"/>
        <w:jc w:val="center"/>
        <w:rPr>
          <w:rFonts w:ascii="方正小标宋简体" w:eastAsia="方正小标宋简体"/>
          <w:b/>
          <w:bCs/>
          <w:sz w:val="44"/>
          <w:szCs w:val="44"/>
        </w:rPr>
      </w:pPr>
      <w:r>
        <w:rPr>
          <w:rFonts w:hint="eastAsia" w:ascii="方正小标宋简体" w:eastAsia="方正小标宋简体"/>
          <w:b/>
          <w:bCs/>
          <w:sz w:val="44"/>
          <w:szCs w:val="44"/>
        </w:rPr>
        <w:t>行政处罚自由裁量权基准适用规则</w:t>
      </w:r>
    </w:p>
    <w:p>
      <w:pPr>
        <w:ind w:firstLine="0" w:firstLineChars="0"/>
        <w:jc w:val="center"/>
        <w:rPr>
          <w:rFonts w:ascii="方正小标宋简体" w:eastAsia="方正小标宋简体"/>
          <w:b/>
          <w:bCs/>
          <w:sz w:val="44"/>
          <w:szCs w:val="44"/>
        </w:rPr>
      </w:pPr>
      <w:r>
        <w:rPr>
          <w:rFonts w:hint="eastAsia" w:ascii="方正小标宋简体" w:eastAsia="方正小标宋简体"/>
          <w:b/>
          <w:bCs/>
          <w:sz w:val="44"/>
          <w:szCs w:val="44"/>
        </w:rPr>
        <w:t>（2021年版）</w:t>
      </w:r>
    </w:p>
    <w:p>
      <w:pPr>
        <w:ind w:firstLine="640"/>
        <w:rPr>
          <w:rFonts w:ascii="仿宋_GB2312" w:eastAsia="仿宋_GB2312"/>
          <w:szCs w:val="32"/>
        </w:rPr>
      </w:pPr>
    </w:p>
    <w:p>
      <w:pPr>
        <w:ind w:firstLine="640"/>
        <w:rPr>
          <w:rFonts w:ascii="仿宋_GB2312" w:hAnsi="Calibri" w:eastAsia="仿宋_GB2312"/>
          <w:szCs w:val="32"/>
        </w:rPr>
      </w:pPr>
      <w:r>
        <w:rPr>
          <w:rFonts w:hint="eastAsia" w:ascii="黑体" w:hAnsi="黑体" w:eastAsia="黑体"/>
          <w:szCs w:val="32"/>
        </w:rPr>
        <w:t>第一条</w:t>
      </w:r>
      <w:r>
        <w:rPr>
          <w:rFonts w:hint="eastAsia" w:ascii="仿宋_GB2312" w:hAnsi="Calibri" w:eastAsia="仿宋_GB2312"/>
          <w:szCs w:val="32"/>
        </w:rPr>
        <w:t xml:space="preserve"> 为规范深圳市住房和建设行政处罚自由裁量权，确保依法合理行政，维护公民、法人和其他组织的合法权益，根据《中华人民共和国行政处罚法》、《规范住房和城乡建设部工程建设行政处罚裁量权实施办法》、《广东省规范行政处罚自由裁量权规定》、《深圳市规范行政处罚裁量权若干规定》等有关法律、法规和规章的规定，结合本市实际情况，制定本规则。</w:t>
      </w:r>
    </w:p>
    <w:p>
      <w:pPr>
        <w:ind w:firstLine="640"/>
        <w:rPr>
          <w:rFonts w:ascii="仿宋_GB2312" w:hAnsi="Calibri" w:eastAsia="仿宋_GB2312"/>
          <w:szCs w:val="32"/>
        </w:rPr>
      </w:pPr>
      <w:r>
        <w:rPr>
          <w:rFonts w:hint="eastAsia" w:ascii="黑体" w:hAnsi="黑体" w:eastAsia="黑体"/>
          <w:szCs w:val="32"/>
        </w:rPr>
        <w:t>第二条</w:t>
      </w:r>
      <w:r>
        <w:rPr>
          <w:rFonts w:hint="eastAsia" w:ascii="仿宋_GB2312" w:hAnsi="Calibri" w:eastAsia="仿宋_GB2312"/>
          <w:szCs w:val="32"/>
        </w:rPr>
        <w:t xml:space="preserve"> 深圳市住房和建设局负责指导、监督本行政区域内的住房和建设行政处罚自由裁量权工作。</w:t>
      </w:r>
    </w:p>
    <w:p>
      <w:pPr>
        <w:ind w:firstLine="640"/>
        <w:rPr>
          <w:rFonts w:ascii="仿宋_GB2312" w:hAnsi="Calibri" w:eastAsia="仿宋_GB2312"/>
          <w:szCs w:val="32"/>
        </w:rPr>
      </w:pPr>
      <w:r>
        <w:rPr>
          <w:rFonts w:hint="eastAsia" w:ascii="黑体" w:hAnsi="黑体" w:eastAsia="黑体"/>
          <w:szCs w:val="32"/>
        </w:rPr>
        <w:t>第三条</w:t>
      </w:r>
      <w:r>
        <w:rPr>
          <w:rFonts w:hint="eastAsia" w:ascii="仿宋_GB2312" w:hAnsi="Calibri" w:eastAsia="仿宋_GB2312"/>
          <w:szCs w:val="32"/>
        </w:rPr>
        <w:t xml:space="preserve"> 本规则所称住房和建设行政处罚自由裁量权，是指依法享有住房和建设行政处罚权的机关行使法定的行政处罚权时，在法律、法规、规章规定的行政处罚种类和幅度范围内享有的自主决定权。</w:t>
      </w:r>
    </w:p>
    <w:p>
      <w:pPr>
        <w:ind w:firstLine="640"/>
        <w:rPr>
          <w:rFonts w:ascii="仿宋_GB2312" w:hAnsi="Calibri" w:eastAsia="仿宋_GB2312"/>
          <w:szCs w:val="32"/>
        </w:rPr>
      </w:pPr>
      <w:r>
        <w:rPr>
          <w:rFonts w:hint="eastAsia" w:ascii="仿宋_GB2312" w:hAnsi="Calibri" w:eastAsia="仿宋_GB2312"/>
          <w:szCs w:val="32"/>
        </w:rPr>
        <w:t>本规则所称规范住房和建设行政处罚自由裁量权，是指住房和建设行政执法机关在法定的行政处罚权限范围内，通过制定《住房和建设行政处罚自由裁量权基准》（以下简称《裁量基准》），视违法行为的情节轻重程度、后果影响大小，合理划分不同档次违法情形，明确行政处罚的具体标准。</w:t>
      </w:r>
    </w:p>
    <w:p>
      <w:pPr>
        <w:ind w:firstLine="640"/>
        <w:rPr>
          <w:rFonts w:ascii="仿宋_GB2312" w:hAnsi="Calibri" w:eastAsia="仿宋_GB2312"/>
          <w:szCs w:val="32"/>
        </w:rPr>
      </w:pPr>
      <w:r>
        <w:rPr>
          <w:rFonts w:hint="eastAsia" w:ascii="黑体" w:hAnsi="黑体" w:eastAsia="黑体"/>
          <w:szCs w:val="32"/>
        </w:rPr>
        <w:t>第四条</w:t>
      </w:r>
      <w:r>
        <w:rPr>
          <w:rFonts w:hint="eastAsia" w:ascii="仿宋_GB2312" w:hAnsi="Calibri" w:eastAsia="仿宋_GB2312"/>
          <w:szCs w:val="32"/>
        </w:rPr>
        <w:t xml:space="preserve"> 行使行政处罚自由裁量权，应当遵守下列原则：</w:t>
      </w:r>
    </w:p>
    <w:p>
      <w:pPr>
        <w:ind w:firstLine="640"/>
        <w:rPr>
          <w:rFonts w:ascii="仿宋_GB2312" w:hAnsi="Calibri" w:eastAsia="仿宋_GB2312"/>
          <w:szCs w:val="32"/>
        </w:rPr>
      </w:pPr>
      <w:r>
        <w:rPr>
          <w:rFonts w:hint="eastAsia" w:ascii="仿宋_GB2312" w:hAnsi="Calibri" w:eastAsia="仿宋_GB2312"/>
          <w:szCs w:val="32"/>
        </w:rPr>
        <w:t>（一）处罚法定原则：行使行政处罚自由裁量权应当在法律、法规、规章规定的给予行政处罚的行为、种类和幅度的范围内；</w:t>
      </w:r>
    </w:p>
    <w:p>
      <w:pPr>
        <w:ind w:firstLine="640"/>
        <w:rPr>
          <w:rFonts w:ascii="仿宋_GB2312" w:hAnsi="Calibri" w:eastAsia="仿宋_GB2312"/>
          <w:szCs w:val="32"/>
        </w:rPr>
      </w:pPr>
      <w:r>
        <w:rPr>
          <w:rFonts w:hint="eastAsia" w:ascii="仿宋_GB2312" w:hAnsi="Calibri" w:eastAsia="仿宋_GB2312"/>
          <w:szCs w:val="32"/>
        </w:rPr>
        <w:t>（二）事实确凿原则：行使行政处罚自由裁量权应当以事实为依据，对于依法应当给予行政处罚的行为，必须进行全面、客观的调查，并收集有关证据，违法事实不清、证据不足的，不予行政处罚；</w:t>
      </w:r>
    </w:p>
    <w:p>
      <w:pPr>
        <w:ind w:firstLine="640"/>
        <w:rPr>
          <w:rFonts w:ascii="仿宋_GB2312" w:hAnsi="Calibri" w:eastAsia="仿宋_GB2312"/>
          <w:szCs w:val="32"/>
        </w:rPr>
      </w:pPr>
      <w:r>
        <w:rPr>
          <w:rFonts w:hint="eastAsia" w:ascii="仿宋_GB2312" w:hAnsi="Calibri" w:eastAsia="仿宋_GB2312"/>
          <w:szCs w:val="32"/>
        </w:rPr>
        <w:t>（三）程序正当原则：行使行政处罚自由裁量权应当符合法定程序；</w:t>
      </w:r>
    </w:p>
    <w:p>
      <w:pPr>
        <w:ind w:firstLine="640"/>
        <w:rPr>
          <w:rFonts w:ascii="仿宋_GB2312" w:hAnsi="Calibri" w:eastAsia="仿宋_GB2312"/>
          <w:szCs w:val="32"/>
        </w:rPr>
      </w:pPr>
      <w:r>
        <w:rPr>
          <w:rFonts w:hint="eastAsia" w:ascii="仿宋_GB2312" w:hAnsi="Calibri" w:eastAsia="仿宋_GB2312"/>
          <w:szCs w:val="32"/>
        </w:rPr>
        <w:t>（四）公平公正原则：行使行政处罚自由裁量权应当公平公正地对待公民、法人和其他组织，在事实、性质、情节及社会危害程度等因素相同或者相当的情况下，所适用的法律依据、处罚种类和处罚幅度应当基本相同；</w:t>
      </w:r>
    </w:p>
    <w:p>
      <w:pPr>
        <w:ind w:firstLine="640"/>
        <w:rPr>
          <w:rFonts w:ascii="仿宋_GB2312" w:hAnsi="Calibri" w:eastAsia="仿宋_GB2312"/>
          <w:szCs w:val="32"/>
        </w:rPr>
      </w:pPr>
      <w:r>
        <w:rPr>
          <w:rFonts w:hint="eastAsia" w:ascii="仿宋_GB2312" w:hAnsi="Calibri" w:eastAsia="仿宋_GB2312"/>
          <w:szCs w:val="32"/>
        </w:rPr>
        <w:t>（五）过罚相当原则：行使行政处罚自由裁量权应当确保违法行为人承担的法律责任与其违法的事实、性质、情节和社会危害程度相当，当事人具有不予处罚、减轻、从轻、从重情形的应当区别不同情形进行裁量；</w:t>
      </w:r>
    </w:p>
    <w:p>
      <w:pPr>
        <w:ind w:firstLine="640"/>
        <w:rPr>
          <w:rFonts w:ascii="仿宋_GB2312" w:hAnsi="Calibri" w:eastAsia="仿宋_GB2312"/>
          <w:szCs w:val="32"/>
        </w:rPr>
      </w:pPr>
      <w:r>
        <w:rPr>
          <w:rFonts w:hint="eastAsia" w:ascii="仿宋_GB2312" w:hAnsi="Calibri" w:eastAsia="仿宋_GB2312"/>
          <w:szCs w:val="32"/>
        </w:rPr>
        <w:t>（六）公开透明原则：行使行政处罚自由裁量权的结果应当向社会公开，但涉及国家秘密、商业秘密、个人隐私的除外；</w:t>
      </w:r>
    </w:p>
    <w:p>
      <w:pPr>
        <w:ind w:firstLine="640"/>
        <w:rPr>
          <w:rFonts w:ascii="仿宋_GB2312" w:hAnsi="Calibri" w:eastAsia="仿宋_GB2312"/>
          <w:szCs w:val="32"/>
        </w:rPr>
      </w:pPr>
      <w:r>
        <w:rPr>
          <w:rFonts w:hint="eastAsia" w:ascii="仿宋_GB2312" w:hAnsi="Calibri" w:eastAsia="仿宋_GB2312"/>
          <w:szCs w:val="32"/>
        </w:rPr>
        <w:t>（七）处罚和教育相结合原则：行使行政处罚自由裁量权应当坚持处罚和教育相结合，处罚作为手段，目的在于教育公民、法人和其他组织自觉守法。</w:t>
      </w:r>
    </w:p>
    <w:p>
      <w:pPr>
        <w:ind w:firstLine="640"/>
        <w:rPr>
          <w:rFonts w:ascii="仿宋_GB2312" w:hAnsi="Calibri" w:eastAsia="仿宋_GB2312"/>
          <w:szCs w:val="32"/>
        </w:rPr>
      </w:pPr>
      <w:r>
        <w:rPr>
          <w:rFonts w:hint="eastAsia" w:ascii="黑体" w:hAnsi="黑体" w:eastAsia="黑体"/>
          <w:szCs w:val="32"/>
        </w:rPr>
        <w:t>第五条</w:t>
      </w:r>
      <w:r>
        <w:rPr>
          <w:rFonts w:ascii="仿宋_GB2312" w:hAnsi="Calibri" w:eastAsia="仿宋_GB2312"/>
          <w:szCs w:val="32"/>
        </w:rPr>
        <w:t xml:space="preserve"> </w:t>
      </w:r>
      <w:r>
        <w:rPr>
          <w:rFonts w:hint="eastAsia" w:ascii="仿宋_GB2312" w:hAnsi="Calibri" w:eastAsia="仿宋_GB2312"/>
          <w:szCs w:val="32"/>
        </w:rPr>
        <w:t>同一违法行为违反不同法律、法规或者规章规定的，在适用具体法律条文时应当遵循下列原则：</w:t>
      </w:r>
    </w:p>
    <w:p>
      <w:pPr>
        <w:ind w:firstLine="640"/>
        <w:rPr>
          <w:rFonts w:ascii="仿宋_GB2312" w:hAnsi="Calibri" w:eastAsia="仿宋_GB2312"/>
          <w:szCs w:val="32"/>
        </w:rPr>
      </w:pPr>
      <w:r>
        <w:rPr>
          <w:rFonts w:hint="eastAsia" w:ascii="仿宋_GB2312" w:hAnsi="Calibri" w:eastAsia="仿宋_GB2312"/>
          <w:szCs w:val="32"/>
        </w:rPr>
        <w:t>（一）优先适用法律效力高的规定；</w:t>
      </w:r>
    </w:p>
    <w:p>
      <w:pPr>
        <w:ind w:firstLine="640"/>
        <w:rPr>
          <w:rFonts w:ascii="仿宋_GB2312" w:hAnsi="Calibri" w:eastAsia="仿宋_GB2312"/>
          <w:szCs w:val="32"/>
        </w:rPr>
      </w:pPr>
      <w:r>
        <w:rPr>
          <w:rFonts w:hint="eastAsia" w:ascii="仿宋_GB2312" w:hAnsi="Calibri" w:eastAsia="仿宋_GB2312"/>
          <w:szCs w:val="32"/>
        </w:rPr>
        <w:t>（二）法律效力相同的，优先适用特别规定；</w:t>
      </w:r>
    </w:p>
    <w:p>
      <w:pPr>
        <w:ind w:firstLine="640"/>
        <w:rPr>
          <w:rFonts w:ascii="仿宋_GB2312" w:hAnsi="Calibri" w:eastAsia="仿宋_GB2312"/>
          <w:szCs w:val="32"/>
        </w:rPr>
      </w:pPr>
      <w:r>
        <w:rPr>
          <w:rFonts w:hint="eastAsia" w:ascii="仿宋_GB2312" w:hAnsi="Calibri" w:eastAsia="仿宋_GB2312"/>
          <w:szCs w:val="32"/>
        </w:rPr>
        <w:t>（三）法律效力相同的，优先适用生效时间在后的规定。</w:t>
      </w:r>
    </w:p>
    <w:p>
      <w:pPr>
        <w:ind w:firstLine="640"/>
        <w:rPr>
          <w:rFonts w:ascii="仿宋_GB2312" w:hAnsi="Calibri" w:eastAsia="仿宋_GB2312"/>
          <w:szCs w:val="32"/>
        </w:rPr>
      </w:pPr>
      <w:r>
        <w:rPr>
          <w:rFonts w:hint="eastAsia" w:ascii="黑体" w:hAnsi="黑体" w:eastAsia="黑体"/>
          <w:szCs w:val="32"/>
        </w:rPr>
        <w:t>第六条</w:t>
      </w:r>
      <w:r>
        <w:rPr>
          <w:rFonts w:hint="eastAsia" w:ascii="仿宋_GB2312" w:hAnsi="Calibri" w:eastAsia="仿宋_GB2312"/>
          <w:szCs w:val="32"/>
        </w:rPr>
        <w:t xml:space="preserve"> 住房和建设行政执法机关应当完善集体讨论制度，有下列情形之一的，应当经集体讨论决定：</w:t>
      </w:r>
    </w:p>
    <w:p>
      <w:pPr>
        <w:ind w:firstLine="640"/>
        <w:rPr>
          <w:rFonts w:ascii="仿宋_GB2312" w:hAnsi="Calibri" w:eastAsia="仿宋_GB2312"/>
          <w:szCs w:val="32"/>
        </w:rPr>
      </w:pPr>
      <w:r>
        <w:rPr>
          <w:rFonts w:hint="eastAsia" w:ascii="仿宋_GB2312" w:hAnsi="Calibri" w:eastAsia="仿宋_GB2312"/>
          <w:szCs w:val="32"/>
        </w:rPr>
        <w:t>（一）案情重大、情节复杂、违法行为重大、争议较大的；</w:t>
      </w:r>
    </w:p>
    <w:p>
      <w:pPr>
        <w:ind w:firstLine="640"/>
        <w:rPr>
          <w:rFonts w:ascii="仿宋_GB2312" w:hAnsi="Calibri" w:eastAsia="仿宋_GB2312"/>
          <w:szCs w:val="32"/>
        </w:rPr>
      </w:pPr>
      <w:r>
        <w:rPr>
          <w:rFonts w:hint="eastAsia" w:ascii="仿宋_GB2312" w:hAnsi="Calibri" w:eastAsia="仿宋_GB2312"/>
          <w:szCs w:val="32"/>
        </w:rPr>
        <w:t>（二）涉及重大公共利益，可能造成重大影响或引发社会风险，直接关系行政相对人或第三人重大权益的；</w:t>
      </w:r>
    </w:p>
    <w:p>
      <w:pPr>
        <w:ind w:firstLine="640"/>
        <w:rPr>
          <w:rFonts w:ascii="仿宋_GB2312" w:hAnsi="Calibri" w:eastAsia="仿宋_GB2312"/>
          <w:szCs w:val="32"/>
        </w:rPr>
      </w:pPr>
      <w:r>
        <w:rPr>
          <w:rFonts w:hint="eastAsia" w:ascii="仿宋_GB2312" w:hAnsi="Calibri" w:eastAsia="仿宋_GB2312"/>
          <w:szCs w:val="32"/>
        </w:rPr>
        <w:t>（三）依法对公民、法人或者其他组织处以较大以上数额的罚款、没收违法所得或者没收非法财物，当事人可以申请听证而没有申请的；</w:t>
      </w:r>
    </w:p>
    <w:p>
      <w:pPr>
        <w:ind w:firstLine="640"/>
        <w:rPr>
          <w:rFonts w:ascii="仿宋_GB2312" w:hAnsi="Calibri" w:eastAsia="仿宋_GB2312"/>
          <w:szCs w:val="32"/>
        </w:rPr>
      </w:pPr>
      <w:r>
        <w:rPr>
          <w:rFonts w:hint="eastAsia" w:ascii="仿宋_GB2312" w:hAnsi="Calibri" w:eastAsia="仿宋_GB2312"/>
          <w:szCs w:val="32"/>
        </w:rPr>
        <w:t>（</w:t>
      </w:r>
      <w:r>
        <w:rPr>
          <w:rFonts w:hint="eastAsia" w:ascii="仿宋_GB2312" w:hAnsi="Calibri" w:eastAsia="仿宋_GB2312"/>
          <w:szCs w:val="32"/>
          <w:lang w:val="en-US" w:eastAsia="zh-CN"/>
        </w:rPr>
        <w:t>四</w:t>
      </w:r>
      <w:r>
        <w:rPr>
          <w:rFonts w:hint="eastAsia" w:ascii="仿宋_GB2312" w:hAnsi="Calibri" w:eastAsia="仿宋_GB2312"/>
          <w:szCs w:val="32"/>
        </w:rPr>
        <w:t>）依法不予处罚或者减轻处罚的；</w:t>
      </w:r>
    </w:p>
    <w:p>
      <w:pPr>
        <w:ind w:firstLine="640"/>
        <w:rPr>
          <w:rFonts w:ascii="仿宋_GB2312" w:hAnsi="Calibri" w:eastAsia="仿宋_GB2312"/>
          <w:szCs w:val="32"/>
        </w:rPr>
      </w:pPr>
      <w:r>
        <w:rPr>
          <w:rFonts w:hint="eastAsia" w:ascii="仿宋_GB2312" w:hAnsi="Calibri" w:eastAsia="仿宋_GB2312"/>
          <w:szCs w:val="32"/>
        </w:rPr>
        <w:t>（</w:t>
      </w:r>
      <w:r>
        <w:rPr>
          <w:rFonts w:hint="eastAsia" w:ascii="仿宋_GB2312" w:hAnsi="Calibri" w:eastAsia="仿宋_GB2312"/>
          <w:szCs w:val="32"/>
          <w:lang w:val="en-US" w:eastAsia="zh-CN"/>
        </w:rPr>
        <w:t>五</w:t>
      </w:r>
      <w:r>
        <w:rPr>
          <w:rFonts w:hint="eastAsia" w:ascii="仿宋_GB2312" w:hAnsi="Calibri" w:eastAsia="仿宋_GB2312"/>
          <w:szCs w:val="32"/>
        </w:rPr>
        <w:t>）经过行政复议或者行政诉讼程序，需要重新作出行政处罚的；</w:t>
      </w:r>
    </w:p>
    <w:p>
      <w:pPr>
        <w:ind w:firstLine="640"/>
        <w:rPr>
          <w:rFonts w:ascii="仿宋_GB2312" w:hAnsi="Calibri" w:eastAsia="仿宋_GB2312"/>
          <w:szCs w:val="32"/>
        </w:rPr>
      </w:pPr>
      <w:r>
        <w:rPr>
          <w:rFonts w:hint="eastAsia" w:ascii="仿宋_GB2312" w:hAnsi="Calibri" w:eastAsia="仿宋_GB2312"/>
          <w:szCs w:val="32"/>
        </w:rPr>
        <w:t>（</w:t>
      </w:r>
      <w:r>
        <w:rPr>
          <w:rFonts w:hint="eastAsia" w:ascii="仿宋_GB2312" w:hAnsi="Calibri" w:eastAsia="仿宋_GB2312"/>
          <w:szCs w:val="32"/>
          <w:lang w:val="en-US" w:eastAsia="zh-CN"/>
        </w:rPr>
        <w:t>六</w:t>
      </w:r>
      <w:r>
        <w:rPr>
          <w:rFonts w:hint="eastAsia" w:ascii="仿宋_GB2312" w:hAnsi="Calibri" w:eastAsia="仿宋_GB2312"/>
          <w:szCs w:val="32"/>
        </w:rPr>
        <w:t>）立法、检察、监察、审计等监督机关依法予以监督的；</w:t>
      </w:r>
    </w:p>
    <w:p>
      <w:pPr>
        <w:ind w:firstLine="640"/>
        <w:rPr>
          <w:rFonts w:ascii="仿宋_GB2312" w:hAnsi="Calibri" w:eastAsia="仿宋_GB2312"/>
          <w:szCs w:val="32"/>
        </w:rPr>
      </w:pPr>
      <w:r>
        <w:rPr>
          <w:rFonts w:hint="eastAsia" w:ascii="仿宋_GB2312" w:hAnsi="Calibri" w:eastAsia="仿宋_GB2312"/>
          <w:szCs w:val="32"/>
        </w:rPr>
        <w:t>（</w:t>
      </w:r>
      <w:r>
        <w:rPr>
          <w:rFonts w:hint="eastAsia" w:ascii="仿宋_GB2312" w:hAnsi="Calibri" w:eastAsia="仿宋_GB2312"/>
          <w:szCs w:val="32"/>
          <w:lang w:val="en-US" w:eastAsia="zh-CN"/>
        </w:rPr>
        <w:t>七</w:t>
      </w:r>
      <w:bookmarkStart w:id="0" w:name="_GoBack"/>
      <w:bookmarkEnd w:id="0"/>
      <w:r>
        <w:rPr>
          <w:rFonts w:hint="eastAsia" w:ascii="仿宋_GB2312" w:hAnsi="Calibri" w:eastAsia="仿宋_GB2312"/>
          <w:szCs w:val="32"/>
        </w:rPr>
        <w:t>）行政处罚执法机关根据实际情况认为需要集体讨论决定的其他案件。</w:t>
      </w:r>
    </w:p>
    <w:p>
      <w:pPr>
        <w:ind w:firstLine="640"/>
        <w:rPr>
          <w:rFonts w:ascii="仿宋_GB2312" w:hAnsi="Calibri" w:eastAsia="仿宋_GB2312"/>
          <w:szCs w:val="32"/>
        </w:rPr>
      </w:pPr>
      <w:r>
        <w:rPr>
          <w:rFonts w:hint="eastAsia" w:ascii="仿宋_GB2312" w:hAnsi="Calibri" w:eastAsia="仿宋_GB2312"/>
          <w:szCs w:val="32"/>
        </w:rPr>
        <w:t>行政处罚执法机关应当对上述集体讨论情况予以记录，并立卷归档。</w:t>
      </w:r>
    </w:p>
    <w:p>
      <w:pPr>
        <w:ind w:firstLine="640"/>
        <w:rPr>
          <w:rFonts w:ascii="仿宋_GB2312" w:hAnsi="Calibri" w:eastAsia="仿宋_GB2312"/>
          <w:szCs w:val="32"/>
        </w:rPr>
      </w:pPr>
      <w:r>
        <w:rPr>
          <w:rFonts w:hint="eastAsia" w:ascii="黑体" w:hAnsi="黑体" w:eastAsia="黑体"/>
          <w:szCs w:val="32"/>
        </w:rPr>
        <w:t>第七条</w:t>
      </w:r>
      <w:r>
        <w:rPr>
          <w:rFonts w:hint="eastAsia" w:ascii="仿宋_GB2312" w:hAnsi="Calibri" w:eastAsia="仿宋_GB2312"/>
          <w:szCs w:val="32"/>
        </w:rPr>
        <w:t xml:space="preserve"> 如具有相关法律法规规定的应当依法从轻处罚情形的，应当在法定的处罚种类和处罚幅度内，选择较轻的处罚种类或者选择幅度的较低限进行处罚；如具有相关法律法规规定的应当依法减轻处罚情形的，应当在法定的处罚种类和处罚幅度最低限以下处罚；如具有相关法律法规规定的应当依法从重处罚情形的，应当在法定的处罚种类和处罚幅度内，选择较重的处罚种类或者选择幅度的较高限进行处罚。</w:t>
      </w:r>
    </w:p>
    <w:p>
      <w:pPr>
        <w:ind w:firstLine="640"/>
        <w:rPr>
          <w:rFonts w:ascii="仿宋_GB2312" w:hAnsi="Calibri" w:eastAsia="仿宋_GB2312"/>
          <w:szCs w:val="32"/>
        </w:rPr>
      </w:pPr>
      <w:r>
        <w:rPr>
          <w:rFonts w:hint="eastAsia" w:ascii="黑体" w:hAnsi="黑体" w:eastAsia="黑体"/>
          <w:szCs w:val="32"/>
        </w:rPr>
        <w:t>第八条</w:t>
      </w:r>
      <w:r>
        <w:rPr>
          <w:rFonts w:hint="eastAsia" w:ascii="仿宋_GB2312" w:hAnsi="Calibri" w:eastAsia="仿宋_GB2312"/>
          <w:szCs w:val="32"/>
        </w:rPr>
        <w:t xml:space="preserve"> 实施行政处罚，应当结合本规则，按照《深圳市住房和建设行政处罚自由裁量权基准》（以下简称《裁量基准》）执行。</w:t>
      </w:r>
    </w:p>
    <w:p>
      <w:pPr>
        <w:ind w:firstLine="640"/>
        <w:rPr>
          <w:rFonts w:ascii="仿宋_GB2312" w:hAnsi="Calibri" w:eastAsia="仿宋_GB2312"/>
          <w:szCs w:val="32"/>
        </w:rPr>
      </w:pPr>
      <w:r>
        <w:rPr>
          <w:rFonts w:hint="eastAsia" w:ascii="黑体" w:hAnsi="黑体" w:eastAsia="黑体"/>
          <w:szCs w:val="32"/>
        </w:rPr>
        <w:t>第九条</w:t>
      </w:r>
      <w:r>
        <w:rPr>
          <w:rFonts w:hint="eastAsia" w:ascii="仿宋_GB2312" w:hAnsi="Calibri" w:eastAsia="仿宋_GB2312"/>
          <w:szCs w:val="32"/>
        </w:rPr>
        <w:t xml:space="preserve"> 《裁量基准》根据违法行为的具体情节，将裁量档次分为“从轻”、“一般”、“从重”三个档次，并细化相应的处罚基准。</w:t>
      </w:r>
    </w:p>
    <w:p>
      <w:pPr>
        <w:ind w:firstLine="640"/>
        <w:rPr>
          <w:rFonts w:ascii="仿宋_GB2312" w:hAnsi="Calibri" w:eastAsia="仿宋_GB2312"/>
          <w:szCs w:val="32"/>
        </w:rPr>
      </w:pPr>
      <w:r>
        <w:rPr>
          <w:rFonts w:hint="eastAsia" w:ascii="黑体" w:hAnsi="黑体" w:eastAsia="黑体"/>
          <w:szCs w:val="32"/>
        </w:rPr>
        <w:t>第十条</w:t>
      </w:r>
      <w:r>
        <w:rPr>
          <w:rFonts w:hint="eastAsia" w:ascii="仿宋_GB2312" w:hAnsi="Calibri" w:eastAsia="仿宋_GB2312"/>
          <w:szCs w:val="32"/>
        </w:rPr>
        <w:t xml:space="preserve"> 《裁量基准》表格中“违法情节和后果”一栏“危害后果”档次的确定应综合考虑涉案标的、违法事实、现实后果、主观恶性程度等因素。</w:t>
      </w:r>
    </w:p>
    <w:p>
      <w:pPr>
        <w:ind w:firstLine="640"/>
        <w:rPr>
          <w:rFonts w:ascii="仿宋_GB2312" w:hAnsi="Calibri" w:eastAsia="仿宋_GB2312"/>
          <w:szCs w:val="32"/>
        </w:rPr>
      </w:pPr>
      <w:r>
        <w:rPr>
          <w:rFonts w:hint="eastAsia" w:ascii="黑体" w:hAnsi="黑体" w:eastAsia="黑体"/>
          <w:szCs w:val="32"/>
        </w:rPr>
        <w:t>第十一条</w:t>
      </w:r>
      <w:r>
        <w:rPr>
          <w:rFonts w:ascii="仿宋_GB2312" w:hAnsi="Calibri" w:eastAsia="仿宋_GB2312"/>
          <w:szCs w:val="32"/>
        </w:rPr>
        <w:t xml:space="preserve"> </w:t>
      </w:r>
      <w:r>
        <w:rPr>
          <w:rFonts w:hint="eastAsia" w:ascii="仿宋_GB2312" w:hAnsi="Calibri" w:eastAsia="仿宋_GB2312"/>
          <w:szCs w:val="32"/>
        </w:rPr>
        <w:t>有关《裁量基准》中内容的表述说明：</w:t>
      </w:r>
    </w:p>
    <w:p>
      <w:pPr>
        <w:ind w:firstLine="640"/>
        <w:rPr>
          <w:rFonts w:ascii="仿宋_GB2312" w:hAnsi="Calibri" w:eastAsia="仿宋_GB2312"/>
          <w:szCs w:val="32"/>
        </w:rPr>
      </w:pPr>
      <w:r>
        <w:rPr>
          <w:rFonts w:hint="eastAsia" w:ascii="仿宋_GB2312" w:hAnsi="Calibri" w:eastAsia="仿宋_GB2312"/>
          <w:szCs w:val="32"/>
        </w:rPr>
        <w:t>（一）《裁量基准》正文表格中的“违法情节与后果”一栏中，“危害后果”需进行质量、</w:t>
      </w:r>
      <w:r>
        <w:rPr>
          <w:rFonts w:ascii="仿宋_GB2312" w:hAnsi="Calibri" w:eastAsia="仿宋_GB2312"/>
          <w:szCs w:val="32"/>
        </w:rPr>
        <w:t>安全事故等级认定的，详见《</w:t>
      </w:r>
      <w:r>
        <w:rPr>
          <w:rFonts w:hint="eastAsia" w:ascii="仿宋_GB2312" w:hAnsi="Calibri" w:eastAsia="仿宋_GB2312"/>
          <w:szCs w:val="32"/>
        </w:rPr>
        <w:t>生产</w:t>
      </w:r>
      <w:r>
        <w:rPr>
          <w:rFonts w:ascii="仿宋_GB2312" w:hAnsi="Calibri" w:eastAsia="仿宋_GB2312"/>
          <w:szCs w:val="32"/>
        </w:rPr>
        <w:t>安全事故报告和调查处理</w:t>
      </w:r>
      <w:r>
        <w:rPr>
          <w:rFonts w:hint="eastAsia" w:ascii="仿宋_GB2312" w:hAnsi="Calibri" w:eastAsia="仿宋_GB2312"/>
          <w:szCs w:val="32"/>
        </w:rPr>
        <w:t>条例</w:t>
      </w:r>
      <w:r>
        <w:rPr>
          <w:rFonts w:ascii="仿宋_GB2312" w:hAnsi="Calibri" w:eastAsia="仿宋_GB2312"/>
          <w:szCs w:val="32"/>
        </w:rPr>
        <w:t>》</w:t>
      </w:r>
      <w:r>
        <w:rPr>
          <w:rFonts w:hint="eastAsia" w:ascii="仿宋_GB2312" w:hAnsi="Calibri" w:eastAsia="仿宋_GB2312"/>
          <w:szCs w:val="32"/>
        </w:rPr>
        <w:t>（国务院令493号）《关于做好房屋建筑和市政基础设施工程质量事故报告和调查处理工作的通知》（建质〔2010〕111号）以及《建筑工程施工质量验收统一标准》（G</w:t>
      </w:r>
      <w:r>
        <w:rPr>
          <w:rFonts w:ascii="仿宋_GB2312" w:hAnsi="Calibri" w:eastAsia="仿宋_GB2312"/>
          <w:szCs w:val="32"/>
        </w:rPr>
        <w:t>B50300</w:t>
      </w:r>
      <w:r>
        <w:rPr>
          <w:rFonts w:hint="eastAsia" w:ascii="仿宋_GB2312" w:hAnsi="Calibri" w:eastAsia="仿宋_GB2312"/>
          <w:szCs w:val="32"/>
        </w:rPr>
        <w:t>）；</w:t>
      </w:r>
    </w:p>
    <w:p>
      <w:pPr>
        <w:ind w:firstLine="640"/>
        <w:rPr>
          <w:rFonts w:ascii="仿宋_GB2312" w:hAnsi="Calibri" w:eastAsia="仿宋_GB2312"/>
          <w:szCs w:val="32"/>
        </w:rPr>
      </w:pPr>
      <w:r>
        <w:rPr>
          <w:rFonts w:hint="eastAsia" w:ascii="仿宋_GB2312" w:hAnsi="Calibri" w:eastAsia="仿宋_GB2312"/>
          <w:szCs w:val="32"/>
        </w:rPr>
        <w:t>（二）《裁量基准》正文表格中“违法情节与后果”一栏的“以上”包括本数，“以下”不包括本数；</w:t>
      </w:r>
    </w:p>
    <w:p>
      <w:pPr>
        <w:ind w:firstLine="640"/>
        <w:rPr>
          <w:rFonts w:ascii="仿宋_GB2312" w:hAnsi="Calibri" w:eastAsia="仿宋_GB2312"/>
          <w:szCs w:val="32"/>
        </w:rPr>
      </w:pPr>
      <w:r>
        <w:rPr>
          <w:rFonts w:hint="eastAsia" w:ascii="仿宋_GB2312" w:hAnsi="Calibri" w:eastAsia="仿宋_GB2312"/>
          <w:szCs w:val="32"/>
        </w:rPr>
        <w:t>（三）《裁量基准》正文表格中“处罚自由裁量基准”一栏的“以上”、“以下”均包含本数。</w:t>
      </w:r>
    </w:p>
    <w:p>
      <w:pPr>
        <w:ind w:firstLine="640"/>
        <w:rPr>
          <w:rFonts w:ascii="仿宋_GB2312" w:hAnsi="Calibri" w:eastAsia="仿宋_GB2312"/>
          <w:szCs w:val="32"/>
        </w:rPr>
      </w:pPr>
      <w:r>
        <w:rPr>
          <w:rFonts w:hint="eastAsia" w:ascii="黑体" w:hAnsi="黑体" w:eastAsia="黑体"/>
          <w:szCs w:val="32"/>
        </w:rPr>
        <w:t>第十二条</w:t>
      </w:r>
      <w:r>
        <w:rPr>
          <w:rFonts w:hint="eastAsia" w:ascii="仿宋_GB2312" w:hAnsi="Calibri" w:eastAsia="仿宋_GB2312"/>
          <w:szCs w:val="32"/>
        </w:rPr>
        <w:t xml:space="preserve"> 上级机关应当对下级机关行政处罚自由权行使情况进行指导，发现行使不当的，应当责令纠正。</w:t>
      </w:r>
    </w:p>
    <w:p>
      <w:pPr>
        <w:ind w:firstLine="640"/>
        <w:rPr>
          <w:rFonts w:ascii="仿宋_GB2312" w:hAnsi="Calibri" w:eastAsia="仿宋_GB2312"/>
          <w:szCs w:val="32"/>
        </w:rPr>
      </w:pPr>
      <w:r>
        <w:rPr>
          <w:rFonts w:hint="eastAsia" w:ascii="黑体" w:hAnsi="黑体" w:eastAsia="黑体"/>
          <w:szCs w:val="32"/>
        </w:rPr>
        <w:t>第十三条</w:t>
      </w:r>
      <w:r>
        <w:rPr>
          <w:rFonts w:hint="eastAsia" w:ascii="仿宋_GB2312" w:hAnsi="Calibri" w:eastAsia="仿宋_GB2312"/>
          <w:szCs w:val="32"/>
        </w:rPr>
        <w:t xml:space="preserve"> 在依法查处住房和建设违法行为中发现涉嫌犯罪的，应当及时移送有关国家机关依法处理。</w:t>
      </w:r>
    </w:p>
    <w:p>
      <w:pPr>
        <w:ind w:firstLine="640"/>
        <w:rPr>
          <w:rFonts w:ascii="仿宋_GB2312" w:hAnsi="Calibri" w:eastAsia="仿宋_GB2312"/>
          <w:szCs w:val="32"/>
        </w:rPr>
      </w:pPr>
      <w:r>
        <w:rPr>
          <w:rFonts w:hint="eastAsia" w:ascii="黑体" w:hAnsi="黑体" w:eastAsia="黑体"/>
          <w:szCs w:val="32"/>
        </w:rPr>
        <w:t>第十四条</w:t>
      </w:r>
      <w:r>
        <w:rPr>
          <w:rFonts w:hint="eastAsia" w:ascii="仿宋_GB2312" w:hAnsi="Calibri" w:eastAsia="仿宋_GB2312"/>
          <w:szCs w:val="32"/>
        </w:rPr>
        <w:t xml:space="preserve"> 深圳市住房和建设局根据国家、广东省和我市有关建设工程安全生产违法违规行为依法从重从快查处等政策而制定的规范性文件，对涉及行政处罚自由裁量权行使问题有明确规定的，住房和建设执法机关应当按照该规范性文件的要求实施具体行政处罚自由裁量权。</w:t>
      </w:r>
    </w:p>
    <w:p>
      <w:pPr>
        <w:ind w:firstLine="640"/>
        <w:rPr>
          <w:rFonts w:ascii="仿宋_GB2312" w:hAnsi="Calibri" w:eastAsia="仿宋_GB2312"/>
          <w:szCs w:val="32"/>
        </w:rPr>
      </w:pPr>
      <w:r>
        <w:rPr>
          <w:rFonts w:hint="eastAsia" w:ascii="黑体" w:hAnsi="黑体" w:eastAsia="黑体"/>
          <w:szCs w:val="32"/>
        </w:rPr>
        <w:t>第十五条</w:t>
      </w:r>
      <w:r>
        <w:rPr>
          <w:rFonts w:hint="eastAsia" w:ascii="仿宋_GB2312" w:hAnsi="Calibri" w:eastAsia="仿宋_GB2312"/>
          <w:szCs w:val="32"/>
        </w:rPr>
        <w:t xml:space="preserve"> 除《裁量基准》另有规定外，住房和建设行政执法机关及其执法人员在行使行政处罚自由裁量权时，适用广东省住房和城乡建设厅出台的相关规定。</w:t>
      </w:r>
    </w:p>
    <w:p>
      <w:pPr>
        <w:ind w:firstLine="640"/>
        <w:rPr>
          <w:rFonts w:ascii="仿宋_GB2312" w:hAnsi="Calibri" w:eastAsia="仿宋_GB2312"/>
          <w:szCs w:val="32"/>
        </w:rPr>
      </w:pPr>
      <w:r>
        <w:rPr>
          <w:rFonts w:hint="eastAsia" w:ascii="黑体" w:hAnsi="黑体" w:eastAsia="黑体"/>
          <w:szCs w:val="32"/>
        </w:rPr>
        <w:t>第十六条</w:t>
      </w:r>
      <w:r>
        <w:rPr>
          <w:rFonts w:hint="eastAsia" w:ascii="仿宋_GB2312" w:hAnsi="Calibri" w:eastAsia="仿宋_GB2312"/>
          <w:szCs w:val="32"/>
        </w:rPr>
        <w:t xml:space="preserve"> 《裁量基准》及本规则的具体适用由深圳市住房和建设局负责解释。</w:t>
      </w:r>
    </w:p>
    <w:p>
      <w:pPr>
        <w:ind w:firstLine="640"/>
        <w:rPr>
          <w:rFonts w:ascii="仿宋_GB2312" w:hAnsi="Calibri" w:eastAsia="仿宋_GB2312"/>
          <w:szCs w:val="32"/>
        </w:rPr>
      </w:pPr>
      <w:r>
        <w:rPr>
          <w:rFonts w:hint="eastAsia" w:ascii="黑体" w:hAnsi="黑体" w:eastAsia="黑体"/>
          <w:szCs w:val="32"/>
        </w:rPr>
        <w:t>第十七条</w:t>
      </w:r>
      <w:r>
        <w:rPr>
          <w:rFonts w:hint="eastAsia" w:ascii="仿宋_GB2312" w:hAnsi="Calibri" w:eastAsia="仿宋_GB2312"/>
          <w:szCs w:val="32"/>
        </w:rPr>
        <w:t xml:space="preserve"> 本规则及《裁量基准》自</w:t>
      </w:r>
      <w:r>
        <w:rPr>
          <w:rFonts w:hint="eastAsia" w:ascii="仿宋_GB2312" w:hAnsi="Calibri" w:eastAsia="仿宋_GB2312"/>
          <w:szCs w:val="32"/>
          <w:lang w:val="en-US" w:eastAsia="zh-CN"/>
        </w:rPr>
        <w:t>发布之日</w:t>
      </w:r>
      <w:r>
        <w:rPr>
          <w:rFonts w:hint="eastAsia" w:ascii="仿宋_GB2312" w:hAnsi="Calibri" w:eastAsia="仿宋_GB2312"/>
          <w:szCs w:val="32"/>
        </w:rPr>
        <w:t>起施行，有效期五年。2</w:t>
      </w:r>
      <w:r>
        <w:rPr>
          <w:rFonts w:ascii="仿宋_GB2312" w:hAnsi="Calibri" w:eastAsia="仿宋_GB2312"/>
          <w:szCs w:val="32"/>
        </w:rPr>
        <w:t>019</w:t>
      </w:r>
      <w:r>
        <w:rPr>
          <w:rFonts w:hint="eastAsia" w:ascii="仿宋_GB2312" w:hAnsi="Calibri" w:eastAsia="仿宋_GB2312"/>
          <w:szCs w:val="32"/>
        </w:rPr>
        <w:t>年3月3</w:t>
      </w:r>
      <w:r>
        <w:rPr>
          <w:rFonts w:ascii="仿宋_GB2312" w:hAnsi="Calibri" w:eastAsia="仿宋_GB2312"/>
          <w:szCs w:val="32"/>
        </w:rPr>
        <w:t>1</w:t>
      </w:r>
      <w:r>
        <w:rPr>
          <w:rFonts w:hint="eastAsia" w:ascii="仿宋_GB2312" w:hAnsi="Calibri" w:eastAsia="仿宋_GB2312"/>
          <w:szCs w:val="32"/>
        </w:rPr>
        <w:t>日发布施行的《深圳市住房和建设系统行政处罚自由裁量权基准适用规则》及《深圳市住房和建设系统行政处罚自由裁量权基准》同时废止。</w:t>
      </w:r>
    </w:p>
    <w:sectPr>
      <w:footerReference r:id="rId9"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2644819"/>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3"/>
    <w:rsid w:val="00020163"/>
    <w:rsid w:val="00046C0F"/>
    <w:rsid w:val="00051B7A"/>
    <w:rsid w:val="00054C80"/>
    <w:rsid w:val="00063675"/>
    <w:rsid w:val="0008560B"/>
    <w:rsid w:val="000968D5"/>
    <w:rsid w:val="000A601E"/>
    <w:rsid w:val="000C7629"/>
    <w:rsid w:val="000E3284"/>
    <w:rsid w:val="00115D52"/>
    <w:rsid w:val="00121D06"/>
    <w:rsid w:val="00121ECD"/>
    <w:rsid w:val="00123B1E"/>
    <w:rsid w:val="00125E94"/>
    <w:rsid w:val="00126E18"/>
    <w:rsid w:val="00133C37"/>
    <w:rsid w:val="00142A4B"/>
    <w:rsid w:val="00161C96"/>
    <w:rsid w:val="00162E02"/>
    <w:rsid w:val="0017568D"/>
    <w:rsid w:val="001C29F9"/>
    <w:rsid w:val="001C431D"/>
    <w:rsid w:val="001C626D"/>
    <w:rsid w:val="001D48C6"/>
    <w:rsid w:val="001D72CF"/>
    <w:rsid w:val="001F5A0B"/>
    <w:rsid w:val="00202FEE"/>
    <w:rsid w:val="00212958"/>
    <w:rsid w:val="00216193"/>
    <w:rsid w:val="0022516F"/>
    <w:rsid w:val="00233F29"/>
    <w:rsid w:val="002500B8"/>
    <w:rsid w:val="00251E97"/>
    <w:rsid w:val="002609DE"/>
    <w:rsid w:val="00275ECF"/>
    <w:rsid w:val="002A2A2B"/>
    <w:rsid w:val="002B105F"/>
    <w:rsid w:val="002B241C"/>
    <w:rsid w:val="002B5736"/>
    <w:rsid w:val="002C41C9"/>
    <w:rsid w:val="002D018A"/>
    <w:rsid w:val="002D5EA5"/>
    <w:rsid w:val="002E1782"/>
    <w:rsid w:val="002E2463"/>
    <w:rsid w:val="003043E3"/>
    <w:rsid w:val="00311AC3"/>
    <w:rsid w:val="00326DDF"/>
    <w:rsid w:val="00336950"/>
    <w:rsid w:val="0034129F"/>
    <w:rsid w:val="00382389"/>
    <w:rsid w:val="0038310B"/>
    <w:rsid w:val="003838A5"/>
    <w:rsid w:val="00386081"/>
    <w:rsid w:val="003B1A8D"/>
    <w:rsid w:val="003B3992"/>
    <w:rsid w:val="003C3FCF"/>
    <w:rsid w:val="003D4F69"/>
    <w:rsid w:val="00402AA7"/>
    <w:rsid w:val="004060C4"/>
    <w:rsid w:val="00412AF9"/>
    <w:rsid w:val="00414BB6"/>
    <w:rsid w:val="004173E9"/>
    <w:rsid w:val="00421A75"/>
    <w:rsid w:val="00436480"/>
    <w:rsid w:val="00457111"/>
    <w:rsid w:val="0045726B"/>
    <w:rsid w:val="004E5CE0"/>
    <w:rsid w:val="004F0084"/>
    <w:rsid w:val="004F0857"/>
    <w:rsid w:val="00500347"/>
    <w:rsid w:val="00515212"/>
    <w:rsid w:val="0051672E"/>
    <w:rsid w:val="0052104B"/>
    <w:rsid w:val="005258E6"/>
    <w:rsid w:val="00525AB3"/>
    <w:rsid w:val="00533CC8"/>
    <w:rsid w:val="0054647F"/>
    <w:rsid w:val="00557BB7"/>
    <w:rsid w:val="005612BD"/>
    <w:rsid w:val="005632C8"/>
    <w:rsid w:val="0058401E"/>
    <w:rsid w:val="005A3492"/>
    <w:rsid w:val="005B3F03"/>
    <w:rsid w:val="005B68F6"/>
    <w:rsid w:val="005C64B5"/>
    <w:rsid w:val="005D2B32"/>
    <w:rsid w:val="00606948"/>
    <w:rsid w:val="00610660"/>
    <w:rsid w:val="00616D75"/>
    <w:rsid w:val="0062377C"/>
    <w:rsid w:val="00623A15"/>
    <w:rsid w:val="00652FCB"/>
    <w:rsid w:val="0065484A"/>
    <w:rsid w:val="00657F95"/>
    <w:rsid w:val="00663D38"/>
    <w:rsid w:val="00672125"/>
    <w:rsid w:val="00684A31"/>
    <w:rsid w:val="006A01CC"/>
    <w:rsid w:val="006B770F"/>
    <w:rsid w:val="006C45CE"/>
    <w:rsid w:val="006D0CB6"/>
    <w:rsid w:val="006F5EF9"/>
    <w:rsid w:val="00700286"/>
    <w:rsid w:val="00701DFE"/>
    <w:rsid w:val="007139E3"/>
    <w:rsid w:val="007200A6"/>
    <w:rsid w:val="007221E0"/>
    <w:rsid w:val="00723554"/>
    <w:rsid w:val="0072359B"/>
    <w:rsid w:val="00732AFA"/>
    <w:rsid w:val="007355C0"/>
    <w:rsid w:val="00765105"/>
    <w:rsid w:val="00767C86"/>
    <w:rsid w:val="00781D04"/>
    <w:rsid w:val="007911BE"/>
    <w:rsid w:val="00796E6A"/>
    <w:rsid w:val="007C7531"/>
    <w:rsid w:val="007E7950"/>
    <w:rsid w:val="007E7D80"/>
    <w:rsid w:val="00803054"/>
    <w:rsid w:val="00814158"/>
    <w:rsid w:val="00821AEF"/>
    <w:rsid w:val="00840F9C"/>
    <w:rsid w:val="008D1084"/>
    <w:rsid w:val="008D40AF"/>
    <w:rsid w:val="008E30CB"/>
    <w:rsid w:val="0091342E"/>
    <w:rsid w:val="009204DE"/>
    <w:rsid w:val="00944826"/>
    <w:rsid w:val="00952C8C"/>
    <w:rsid w:val="009649D0"/>
    <w:rsid w:val="00965B2E"/>
    <w:rsid w:val="00990D31"/>
    <w:rsid w:val="00992DB6"/>
    <w:rsid w:val="009A4FA9"/>
    <w:rsid w:val="009C3A98"/>
    <w:rsid w:val="009F7C9C"/>
    <w:rsid w:val="00A0708D"/>
    <w:rsid w:val="00A23285"/>
    <w:rsid w:val="00A4521D"/>
    <w:rsid w:val="00A5720E"/>
    <w:rsid w:val="00A711E1"/>
    <w:rsid w:val="00AA5865"/>
    <w:rsid w:val="00AC3245"/>
    <w:rsid w:val="00AE6988"/>
    <w:rsid w:val="00AE6EF2"/>
    <w:rsid w:val="00AF00FF"/>
    <w:rsid w:val="00AF5381"/>
    <w:rsid w:val="00B04B80"/>
    <w:rsid w:val="00B10FFD"/>
    <w:rsid w:val="00B44E05"/>
    <w:rsid w:val="00B67F88"/>
    <w:rsid w:val="00B774C9"/>
    <w:rsid w:val="00B81D1C"/>
    <w:rsid w:val="00B952E4"/>
    <w:rsid w:val="00BA1650"/>
    <w:rsid w:val="00BB50B1"/>
    <w:rsid w:val="00BB72A6"/>
    <w:rsid w:val="00BC3C0F"/>
    <w:rsid w:val="00BC4DC4"/>
    <w:rsid w:val="00BC6750"/>
    <w:rsid w:val="00C26497"/>
    <w:rsid w:val="00C509B7"/>
    <w:rsid w:val="00C940C1"/>
    <w:rsid w:val="00CA12BE"/>
    <w:rsid w:val="00D17746"/>
    <w:rsid w:val="00D32B68"/>
    <w:rsid w:val="00D34111"/>
    <w:rsid w:val="00D3680E"/>
    <w:rsid w:val="00D37110"/>
    <w:rsid w:val="00D433F9"/>
    <w:rsid w:val="00D45C04"/>
    <w:rsid w:val="00D5043B"/>
    <w:rsid w:val="00D54CAD"/>
    <w:rsid w:val="00D74BDA"/>
    <w:rsid w:val="00DB3DD4"/>
    <w:rsid w:val="00DC7C88"/>
    <w:rsid w:val="00DD4254"/>
    <w:rsid w:val="00DD7E69"/>
    <w:rsid w:val="00DE36D2"/>
    <w:rsid w:val="00E0241D"/>
    <w:rsid w:val="00E110D6"/>
    <w:rsid w:val="00E35BB1"/>
    <w:rsid w:val="00E4269A"/>
    <w:rsid w:val="00E63A75"/>
    <w:rsid w:val="00E81F88"/>
    <w:rsid w:val="00EA29E3"/>
    <w:rsid w:val="00EB1FCB"/>
    <w:rsid w:val="00EB71F7"/>
    <w:rsid w:val="00ED016A"/>
    <w:rsid w:val="00ED14B7"/>
    <w:rsid w:val="00ED229E"/>
    <w:rsid w:val="00EE7403"/>
    <w:rsid w:val="00EF6861"/>
    <w:rsid w:val="00F15C0A"/>
    <w:rsid w:val="00F223ED"/>
    <w:rsid w:val="00F248E2"/>
    <w:rsid w:val="00F6577C"/>
    <w:rsid w:val="00F81094"/>
    <w:rsid w:val="00FE0F2B"/>
    <w:rsid w:val="00FE29C2"/>
    <w:rsid w:val="00FF2A1A"/>
    <w:rsid w:val="01B76F87"/>
    <w:rsid w:val="14B458A1"/>
    <w:rsid w:val="16576460"/>
    <w:rsid w:val="274744CF"/>
    <w:rsid w:val="277C3214"/>
    <w:rsid w:val="35202887"/>
    <w:rsid w:val="481E5052"/>
    <w:rsid w:val="4AC75630"/>
    <w:rsid w:val="566E6FEA"/>
    <w:rsid w:val="6754472C"/>
    <w:rsid w:val="6A7627E7"/>
    <w:rsid w:val="6FC33EBB"/>
    <w:rsid w:val="705A5C36"/>
    <w:rsid w:val="74A37CE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32"/>
      <w:szCs w:val="22"/>
      <w:lang w:val="en-US" w:eastAsia="zh-CN" w:bidi="ar-SA"/>
    </w:rPr>
  </w:style>
  <w:style w:type="paragraph" w:styleId="2">
    <w:name w:val="heading 1"/>
    <w:basedOn w:val="1"/>
    <w:next w:val="1"/>
    <w:link w:val="9"/>
    <w:qFormat/>
    <w:uiPriority w:val="9"/>
    <w:pPr>
      <w:keepNext/>
      <w:keepLines/>
      <w:spacing w:before="100" w:beforeAutospacing="1" w:after="100" w:afterAutospacing="1"/>
      <w:outlineLvl w:val="0"/>
    </w:pPr>
    <w:rPr>
      <w:b/>
      <w:bCs/>
      <w:kern w:val="44"/>
      <w:sz w:val="28"/>
      <w:szCs w:val="44"/>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pPr>
      <w:spacing w:line="240" w:lineRule="auto"/>
    </w:pPr>
    <w:rPr>
      <w:sz w:val="18"/>
      <w:szCs w:val="18"/>
    </w:rPr>
  </w:style>
  <w:style w:type="paragraph" w:styleId="4">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page number"/>
    <w:basedOn w:val="6"/>
    <w:qFormat/>
    <w:uiPriority w:val="0"/>
  </w:style>
  <w:style w:type="character" w:customStyle="1" w:styleId="9">
    <w:name w:val="标题 1 字符"/>
    <w:basedOn w:val="6"/>
    <w:link w:val="2"/>
    <w:qFormat/>
    <w:uiPriority w:val="9"/>
    <w:rPr>
      <w:rFonts w:eastAsia="仿宋"/>
      <w:b/>
      <w:bCs/>
      <w:kern w:val="44"/>
      <w:sz w:val="28"/>
      <w:szCs w:val="44"/>
    </w:rPr>
  </w:style>
  <w:style w:type="character" w:customStyle="1" w:styleId="10">
    <w:name w:val="页脚 字符"/>
    <w:link w:val="4"/>
    <w:qFormat/>
    <w:uiPriority w:val="99"/>
    <w:rPr>
      <w:sz w:val="18"/>
      <w:szCs w:val="18"/>
    </w:rPr>
  </w:style>
  <w:style w:type="character" w:customStyle="1" w:styleId="11">
    <w:name w:val="页脚 字符1"/>
    <w:basedOn w:val="6"/>
    <w:semiHidden/>
    <w:qFormat/>
    <w:uiPriority w:val="99"/>
    <w:rPr>
      <w:rFonts w:ascii="Calibri" w:hAnsi="Calibri" w:eastAsia="宋体" w:cs="Times New Roman"/>
      <w:sz w:val="18"/>
      <w:szCs w:val="18"/>
    </w:rPr>
  </w:style>
  <w:style w:type="paragraph" w:customStyle="1" w:styleId="12">
    <w:name w:val="列表段落1"/>
    <w:basedOn w:val="1"/>
    <w:qFormat/>
    <w:uiPriority w:val="34"/>
    <w:pPr>
      <w:ind w:firstLine="420"/>
    </w:pPr>
  </w:style>
  <w:style w:type="character" w:customStyle="1" w:styleId="13">
    <w:name w:val="页眉 字符"/>
    <w:basedOn w:val="6"/>
    <w:link w:val="5"/>
    <w:qFormat/>
    <w:uiPriority w:val="99"/>
    <w:rPr>
      <w:rFonts w:ascii="Times New Roman" w:hAnsi="Times New Roman" w:eastAsia="仿宋" w:cs="Times New Roman"/>
      <w:sz w:val="18"/>
      <w:szCs w:val="18"/>
    </w:rPr>
  </w:style>
  <w:style w:type="character" w:customStyle="1" w:styleId="14">
    <w:name w:val="批注框文本 字符"/>
    <w:basedOn w:val="6"/>
    <w:link w:val="3"/>
    <w:semiHidden/>
    <w:qFormat/>
    <w:uiPriority w:val="99"/>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04C4F-888A-4E67-BCD2-92EF01280787}">
  <ds:schemaRefs/>
</ds:datastoreItem>
</file>

<file path=docProps/app.xml><?xml version="1.0" encoding="utf-8"?>
<Properties xmlns="http://schemas.openxmlformats.org/officeDocument/2006/extended-properties" xmlns:vt="http://schemas.openxmlformats.org/officeDocument/2006/docPropsVTypes">
  <Template>Normal</Template>
  <Pages>7</Pages>
  <Words>387</Words>
  <Characters>2211</Characters>
  <Lines>18</Lines>
  <Paragraphs>5</Paragraphs>
  <ScaleCrop>false</ScaleCrop>
  <LinksUpToDate>false</LinksUpToDate>
  <CharactersWithSpaces>2593</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2021-02-25T09:33:00Z</dcterms:created>
  <dc:creator>张晓静</dc:creator>
  <cp:lastModifiedBy>赵建军</cp:lastModifiedBy>
  <cp:lastPrinted>2019-12-11T04:27:00Z</cp:lastPrinted>
  <dcterms:modified xsi:type="dcterms:W3CDTF">2021-03-17T06:39:22Z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