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12"/>
      </w:pPr>
    </w:p>
    <w:p>
      <w:pPr>
        <w:pStyle w:val="12"/>
      </w:pPr>
    </w:p>
    <w:p>
      <w:pPr>
        <w:spacing w:line="560" w:lineRule="exact"/>
        <w:jc w:val="center"/>
        <w:rPr>
          <w:rFonts w:ascii="宋体" w:hAnsi="宋体" w:cs="宋体"/>
          <w:b/>
          <w:bCs/>
          <w:sz w:val="44"/>
          <w:szCs w:val="44"/>
        </w:rPr>
      </w:pPr>
      <w:r>
        <w:rPr>
          <w:rFonts w:ascii="宋体" w:hAnsi="宋体" w:cs="宋体"/>
          <w:b/>
          <w:bCs/>
          <w:sz w:val="44"/>
          <w:szCs w:val="44"/>
        </w:rPr>
        <w:t>深圳市小散工程安全生产</w:t>
      </w:r>
      <w:r>
        <w:rPr>
          <w:rFonts w:hint="eastAsia" w:ascii="宋体" w:hAnsi="宋体" w:cs="宋体"/>
          <w:b/>
          <w:bCs/>
          <w:sz w:val="44"/>
          <w:szCs w:val="44"/>
        </w:rPr>
        <w:t>资质资格指引</w:t>
      </w:r>
    </w:p>
    <w:p>
      <w:pPr>
        <w:pStyle w:val="12"/>
        <w:ind w:firstLine="640"/>
      </w:pPr>
    </w:p>
    <w:p>
      <w:pPr>
        <w:pStyle w:val="12"/>
        <w:ind w:firstLine="640"/>
      </w:pPr>
      <w:r>
        <w:rPr>
          <w:rFonts w:hint="eastAsia"/>
        </w:rPr>
        <w:t>一、根据相关法律法规要求，本指引对小散工程的安全生产相关资质资格进行了梳理，供各单位、各主体参考使用。</w:t>
      </w:r>
    </w:p>
    <w:p>
      <w:pPr>
        <w:pStyle w:val="12"/>
        <w:ind w:firstLine="640"/>
      </w:pPr>
      <w:r>
        <w:rPr>
          <w:rFonts w:hint="eastAsia"/>
        </w:rPr>
        <w:t>二、小散工程</w:t>
      </w:r>
      <w:r>
        <w:rPr>
          <w:rFonts w:hint="eastAsia"/>
          <w:b w:val="0"/>
          <w:bCs w:val="0"/>
        </w:rPr>
        <w:t>涉及必须委托具备相应资质和安全生产条件的施工企业</w:t>
      </w:r>
      <w:r>
        <w:rPr>
          <w:rFonts w:hint="eastAsia"/>
          <w:b w:val="0"/>
          <w:bCs w:val="0"/>
          <w:lang w:eastAsia="zh-CN"/>
        </w:rPr>
        <w:t>情形的</w:t>
      </w:r>
      <w:r>
        <w:rPr>
          <w:rFonts w:hint="eastAsia"/>
          <w:b w:val="0"/>
          <w:bCs w:val="0"/>
        </w:rPr>
        <w:t>，必须委托相应企业实施；不涉及必须委托具备相应资质和安全生产条件的施工企业</w:t>
      </w:r>
      <w:r>
        <w:rPr>
          <w:rFonts w:hint="eastAsia"/>
          <w:b w:val="0"/>
          <w:bCs w:val="0"/>
          <w:lang w:eastAsia="zh-CN"/>
        </w:rPr>
        <w:t>情形的</w:t>
      </w:r>
      <w:r>
        <w:rPr>
          <w:rFonts w:hint="eastAsia"/>
          <w:b w:val="0"/>
          <w:bCs w:val="0"/>
        </w:rPr>
        <w:t>，应委托给具备安全生产条件的生产经营单位（包括企业、个体施工队、个人等）实施。</w:t>
      </w:r>
      <w:r>
        <w:rPr>
          <w:rFonts w:hint="eastAsia"/>
        </w:rPr>
        <w:t>具体资质资格要求详见附表1。</w:t>
      </w:r>
    </w:p>
    <w:p>
      <w:pPr>
        <w:pStyle w:val="12"/>
        <w:ind w:firstLine="640"/>
      </w:pPr>
      <w:r>
        <w:rPr>
          <w:rFonts w:hint="eastAsia"/>
        </w:rPr>
        <w:t>三、建设工程企业资质、注册执业人员的资格信息可在“全国建筑市场监管公共服务平台”查询。</w:t>
      </w:r>
    </w:p>
    <w:p>
      <w:pPr>
        <w:pStyle w:val="12"/>
      </w:pPr>
      <w:r>
        <w:rPr>
          <w:rFonts w:hint="eastAsia"/>
        </w:rPr>
        <w:t>四、特种设备作业人员及其相关管理人员特种作业操作证和建筑施工特种作业人员资格证信息查询方式见附表</w:t>
      </w:r>
      <w:r>
        <w:t>2</w:t>
      </w:r>
      <w:r>
        <w:rPr>
          <w:rFonts w:hint="eastAsia"/>
        </w:rPr>
        <w:t>。</w:t>
      </w:r>
    </w:p>
    <w:p>
      <w:pPr>
        <w:pStyle w:val="12"/>
        <w:ind w:firstLine="640"/>
      </w:pPr>
    </w:p>
    <w:p>
      <w:pPr>
        <w:pStyle w:val="12"/>
        <w:ind w:firstLine="640"/>
      </w:pPr>
      <w:r>
        <w:rPr>
          <w:rFonts w:hint="eastAsia"/>
        </w:rPr>
        <w:t>附表：1</w:t>
      </w:r>
      <w:r>
        <w:rPr>
          <w:rFonts w:hint="eastAsia"/>
          <w:lang w:val="en-US" w:eastAsia="zh-CN"/>
        </w:rPr>
        <w:t>.</w:t>
      </w:r>
      <w:r>
        <w:rPr>
          <w:rFonts w:hint="eastAsia"/>
        </w:rPr>
        <w:t>小散工程资质资格一览表</w:t>
      </w:r>
    </w:p>
    <w:p>
      <w:pPr>
        <w:pStyle w:val="12"/>
        <w:rPr>
          <w:rFonts w:hint="eastAsia"/>
        </w:rPr>
      </w:pPr>
      <w:r>
        <w:rPr>
          <w:rFonts w:hint="eastAsia"/>
          <w:lang w:val="en-US" w:eastAsia="zh-CN"/>
        </w:rPr>
        <w:t xml:space="preserve">      </w:t>
      </w:r>
      <w:r>
        <w:rPr>
          <w:rFonts w:hint="eastAsia"/>
        </w:rPr>
        <w:t>2</w:t>
      </w:r>
      <w:r>
        <w:rPr>
          <w:rFonts w:hint="eastAsia"/>
          <w:lang w:val="en-US" w:eastAsia="zh-CN"/>
        </w:rPr>
        <w:t>.</w:t>
      </w:r>
      <w:r>
        <w:rPr>
          <w:rFonts w:hint="eastAsia"/>
        </w:rPr>
        <w:t>特种设备作业人员及其相关管理人员特种作业操</w:t>
      </w:r>
    </w:p>
    <w:p>
      <w:pPr>
        <w:pStyle w:val="12"/>
      </w:pPr>
      <w:r>
        <w:rPr>
          <w:rFonts w:hint="eastAsia"/>
          <w:lang w:val="en-US" w:eastAsia="zh-CN"/>
        </w:rPr>
        <w:t xml:space="preserve">        </w:t>
      </w:r>
      <w:r>
        <w:rPr>
          <w:rFonts w:hint="eastAsia"/>
        </w:rPr>
        <w:t>作证和建筑施工特种作业人员资格证</w:t>
      </w:r>
      <w:r>
        <w:t>查询</w:t>
      </w:r>
      <w:r>
        <w:rPr>
          <w:rFonts w:hint="eastAsia"/>
          <w:lang w:eastAsia="zh-CN"/>
        </w:rPr>
        <w:t>方式</w:t>
      </w:r>
      <w:bookmarkStart w:id="0" w:name="_GoBack"/>
      <w:bookmarkEnd w:id="0"/>
    </w:p>
    <w:p>
      <w:pPr>
        <w:pStyle w:val="12"/>
        <w:ind w:firstLine="640"/>
        <w:sectPr>
          <w:headerReference r:id="rId4" w:type="default"/>
          <w:footerReference r:id="rId5" w:type="default"/>
          <w:pgSz w:w="11906" w:h="16838"/>
          <w:pgMar w:top="2041" w:right="1531" w:bottom="1814" w:left="1587" w:header="851" w:footer="992" w:gutter="0"/>
          <w:pgNumType w:fmt="numberInDash"/>
          <w:cols w:space="720" w:num="1"/>
          <w:docGrid w:type="lines" w:linePitch="312" w:charSpace="0"/>
        </w:sectPr>
      </w:pPr>
      <w:r>
        <w:rPr>
          <w:rFonts w:hint="eastAsia"/>
        </w:rPr>
        <w:t xml:space="preserve">  </w:t>
      </w:r>
    </w:p>
    <w:p>
      <w:pPr>
        <w:pStyle w:val="12"/>
        <w:ind w:firstLine="0" w:firstLineChars="0"/>
        <w:rPr>
          <w:rFonts w:hint="eastAsia" w:ascii="黑体" w:hAnsi="黑体" w:eastAsia="黑体" w:cs="黑体"/>
        </w:rPr>
      </w:pPr>
      <w:r>
        <w:rPr>
          <w:rFonts w:hint="eastAsia" w:ascii="黑体" w:hAnsi="黑体" w:eastAsia="黑体" w:cs="黑体"/>
        </w:rPr>
        <w:t>附表1</w:t>
      </w:r>
    </w:p>
    <w:p>
      <w:pPr>
        <w:pStyle w:val="12"/>
        <w:ind w:firstLine="643"/>
        <w:jc w:val="center"/>
        <w:rPr>
          <w:rFonts w:ascii="宋体" w:hAnsi="宋体" w:eastAsia="宋体" w:cs="宋体"/>
          <w:b/>
          <w:bCs/>
        </w:rPr>
      </w:pPr>
      <w:r>
        <w:rPr>
          <w:rFonts w:hint="eastAsia" w:ascii="宋体" w:hAnsi="宋体" w:eastAsia="宋体" w:cs="宋体"/>
          <w:b/>
          <w:bCs/>
        </w:rPr>
        <w:t>小散工程资质资格一览表</w:t>
      </w:r>
    </w:p>
    <w:tbl>
      <w:tblPr>
        <w:tblStyle w:val="10"/>
        <w:tblW w:w="1512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43"/>
        <w:gridCol w:w="6421"/>
        <w:gridCol w:w="5264"/>
        <w:gridCol w:w="16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blHeader/>
        </w:trPr>
        <w:tc>
          <w:tcPr>
            <w:tcW w:w="1743" w:type="dxa"/>
            <w:vAlign w:val="center"/>
          </w:tcPr>
          <w:p>
            <w:pPr>
              <w:jc w:val="center"/>
              <w:rPr>
                <w:b/>
                <w:bCs/>
                <w:szCs w:val="21"/>
              </w:rPr>
            </w:pPr>
            <w:r>
              <w:rPr>
                <w:rFonts w:hint="eastAsia"/>
                <w:b/>
                <w:bCs/>
                <w:szCs w:val="21"/>
              </w:rPr>
              <w:t>小散工程类别</w:t>
            </w:r>
          </w:p>
        </w:tc>
        <w:tc>
          <w:tcPr>
            <w:tcW w:w="6421" w:type="dxa"/>
            <w:vAlign w:val="center"/>
          </w:tcPr>
          <w:p>
            <w:pPr>
              <w:jc w:val="center"/>
              <w:rPr>
                <w:b/>
                <w:bCs/>
                <w:szCs w:val="21"/>
              </w:rPr>
            </w:pPr>
            <w:r>
              <w:rPr>
                <w:rFonts w:hint="eastAsia"/>
                <w:b/>
                <w:bCs/>
                <w:szCs w:val="21"/>
              </w:rPr>
              <w:t>涉及以下工程内容的小散工程，</w:t>
            </w:r>
          </w:p>
          <w:p>
            <w:pPr>
              <w:jc w:val="center"/>
              <w:rPr>
                <w:b/>
                <w:bCs/>
                <w:szCs w:val="21"/>
              </w:rPr>
            </w:pPr>
            <w:r>
              <w:rPr>
                <w:rFonts w:hint="eastAsia"/>
                <w:b/>
                <w:bCs/>
                <w:szCs w:val="21"/>
              </w:rPr>
              <w:t>须委托具备相应资质和安全生产条件的施工企业实施</w:t>
            </w:r>
          </w:p>
        </w:tc>
        <w:tc>
          <w:tcPr>
            <w:tcW w:w="5264" w:type="dxa"/>
            <w:vAlign w:val="center"/>
          </w:tcPr>
          <w:p>
            <w:pPr>
              <w:jc w:val="center"/>
              <w:rPr>
                <w:b/>
                <w:bCs/>
                <w:szCs w:val="21"/>
              </w:rPr>
            </w:pPr>
            <w:r>
              <w:rPr>
                <w:rFonts w:hint="eastAsia"/>
                <w:b/>
                <w:bCs/>
                <w:szCs w:val="21"/>
              </w:rPr>
              <w:t>资质资格要求</w:t>
            </w:r>
          </w:p>
        </w:tc>
        <w:tc>
          <w:tcPr>
            <w:tcW w:w="1692" w:type="dxa"/>
            <w:vAlign w:val="center"/>
          </w:tcPr>
          <w:p>
            <w:pPr>
              <w:jc w:val="center"/>
              <w:rPr>
                <w:b/>
                <w:bCs/>
                <w:szCs w:val="21"/>
              </w:rPr>
            </w:pPr>
            <w:r>
              <w:rPr>
                <w:rFonts w:hint="eastAsia"/>
                <w:b/>
                <w:bCs/>
                <w:szCs w:val="21"/>
              </w:rPr>
              <w:t>法规依据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3" w:type="dxa"/>
            <w:vAlign w:val="center"/>
          </w:tcPr>
          <w:p>
            <w:pPr>
              <w:jc w:val="left"/>
              <w:rPr>
                <w:b/>
                <w:bCs/>
              </w:rPr>
            </w:pPr>
            <w:r>
              <w:rPr>
                <w:rFonts w:hint="eastAsia"/>
              </w:rPr>
              <w:t>1.</w:t>
            </w:r>
            <w:r>
              <w:rPr>
                <w:rFonts w:hint="eastAsia"/>
                <w:color w:val="000000"/>
              </w:rPr>
              <w:t>竣工验收合格后的住宅室内装饰装修工程</w:t>
            </w:r>
          </w:p>
        </w:tc>
        <w:tc>
          <w:tcPr>
            <w:tcW w:w="6421" w:type="dxa"/>
            <w:vAlign w:val="center"/>
          </w:tcPr>
          <w:p>
            <w:pPr>
              <w:jc w:val="left"/>
            </w:pPr>
            <w:r>
              <w:rPr>
                <w:rFonts w:hint="eastAsia"/>
              </w:rPr>
              <w:t>1.</w:t>
            </w:r>
            <w:r>
              <w:t>涉及变动建筑主体和承重结构的；</w:t>
            </w:r>
          </w:p>
          <w:p>
            <w:pPr>
              <w:jc w:val="left"/>
            </w:pPr>
            <w:r>
              <w:rPr>
                <w:rFonts w:hint="eastAsia"/>
              </w:rPr>
              <w:t>2.</w:t>
            </w:r>
            <w:r>
              <w:t>住宅室内装饰装修超过设计标准或者规范增加楼面荷载的；</w:t>
            </w:r>
          </w:p>
          <w:p>
            <w:pPr>
              <w:jc w:val="left"/>
            </w:pPr>
            <w:r>
              <w:rPr>
                <w:rFonts w:hint="eastAsia"/>
              </w:rPr>
              <w:t>3.</w:t>
            </w:r>
            <w:r>
              <w:t>涉及改动卫生间、厨房间防水层的；</w:t>
            </w:r>
          </w:p>
          <w:p>
            <w:pPr>
              <w:jc w:val="left"/>
            </w:pPr>
            <w:r>
              <w:rPr>
                <w:rFonts w:hint="eastAsia"/>
              </w:rPr>
              <w:t>4.</w:t>
            </w:r>
            <w:r>
              <w:t>涉及搭建建筑物、构筑物的；</w:t>
            </w:r>
          </w:p>
          <w:p>
            <w:pPr>
              <w:jc w:val="left"/>
            </w:pPr>
            <w:r>
              <w:rPr>
                <w:rFonts w:hint="eastAsia"/>
              </w:rPr>
              <w:t>5.</w:t>
            </w:r>
            <w:r>
              <w:t>涉及改变住宅外立面，在非承重外墙上开门、窗的；</w:t>
            </w:r>
          </w:p>
          <w:p>
            <w:pPr>
              <w:jc w:val="left"/>
            </w:pPr>
            <w:r>
              <w:rPr>
                <w:rFonts w:hint="eastAsia"/>
              </w:rPr>
              <w:t>6.</w:t>
            </w:r>
            <w:r>
              <w:t>涉及拆改燃气管道和设施的；</w:t>
            </w:r>
          </w:p>
          <w:p>
            <w:pPr>
              <w:jc w:val="left"/>
            </w:pPr>
            <w:r>
              <w:rPr>
                <w:rFonts w:hint="eastAsia"/>
              </w:rPr>
              <w:t>7.</w:t>
            </w:r>
            <w:r>
              <w:t>涉及拆改供暖管道和设施的</w:t>
            </w:r>
            <w:r>
              <w:rPr>
                <w:rFonts w:hint="eastAsia"/>
              </w:rPr>
              <w:t>；</w:t>
            </w:r>
          </w:p>
          <w:p>
            <w:pPr>
              <w:jc w:val="left"/>
            </w:pPr>
            <w:r>
              <w:rPr>
                <w:rFonts w:hint="eastAsia"/>
              </w:rPr>
              <w:t>8.涉及危大工程。</w:t>
            </w:r>
          </w:p>
        </w:tc>
        <w:tc>
          <w:tcPr>
            <w:tcW w:w="5264" w:type="dxa"/>
            <w:vAlign w:val="center"/>
          </w:tcPr>
          <w:p>
            <w:r>
              <w:rPr>
                <w:rFonts w:hint="eastAsia"/>
              </w:rPr>
              <w:t>1.施工企业的资质要求：房屋建筑工程施工总承包企业资质或建筑装修装饰工程专业承包企业资质；</w:t>
            </w:r>
          </w:p>
          <w:p>
            <w:r>
              <w:rPr>
                <w:rFonts w:hint="eastAsia"/>
              </w:rPr>
              <w:t>2.涉及特种设备操作和特殊工种的，应有与作业内容一致且在有效期内的特种设备作业人员及其相关管理人员特种作业操作证和建筑施工特种作业人员资格证。</w:t>
            </w:r>
          </w:p>
        </w:tc>
        <w:tc>
          <w:tcPr>
            <w:tcW w:w="1692" w:type="dxa"/>
            <w:vAlign w:val="center"/>
          </w:tcPr>
          <w:p>
            <w:pPr>
              <w:jc w:val="left"/>
              <w:rPr>
                <w:sz w:val="18"/>
                <w:szCs w:val="21"/>
              </w:rPr>
            </w:pPr>
            <w:r>
              <w:rPr>
                <w:rFonts w:hint="eastAsia"/>
                <w:sz w:val="18"/>
                <w:szCs w:val="21"/>
              </w:rPr>
              <w:t>《建筑业企业资质等级标准》、《专业承包企业资质等级标准》、《住宅室内装饰装修管理办法》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3" w:type="dxa"/>
            <w:vAlign w:val="center"/>
          </w:tcPr>
          <w:p>
            <w:pPr>
              <w:jc w:val="left"/>
            </w:pPr>
            <w:r>
              <w:rPr>
                <w:rFonts w:hint="eastAsia"/>
              </w:rPr>
              <w:t>2.限额以下的公共建筑、商铺、办公楼、厂房等非住宅类房屋装饰装修</w:t>
            </w:r>
          </w:p>
        </w:tc>
        <w:tc>
          <w:tcPr>
            <w:tcW w:w="6421" w:type="dxa"/>
            <w:vAlign w:val="center"/>
          </w:tcPr>
          <w:p>
            <w:pPr>
              <w:numPr>
                <w:ilvl w:val="0"/>
                <w:numId w:val="1"/>
              </w:numPr>
              <w:jc w:val="left"/>
            </w:pPr>
            <w:r>
              <w:rPr>
                <w:rFonts w:hint="eastAsia"/>
              </w:rPr>
              <w:t>涉及以下室外工程的：</w:t>
            </w:r>
          </w:p>
          <w:p>
            <w:pPr>
              <w:numPr>
                <w:ilvl w:val="0"/>
                <w:numId w:val="2"/>
              </w:numPr>
              <w:jc w:val="left"/>
            </w:pPr>
            <w:r>
              <w:rPr>
                <w:rFonts w:hint="eastAsia"/>
              </w:rPr>
              <w:t>搭设附着式升降脚手架、悬挑式脚手架、异型脚手架的分部分项工程；</w:t>
            </w:r>
          </w:p>
          <w:p>
            <w:pPr>
              <w:numPr>
                <w:ilvl w:val="0"/>
                <w:numId w:val="2"/>
              </w:numPr>
              <w:jc w:val="left"/>
            </w:pPr>
            <w:r>
              <w:rPr>
                <w:rFonts w:hint="eastAsia"/>
              </w:rPr>
              <w:t>采用非常规起重设备、方法，且单件起吊重量在1000kg及以上（含1000kg）的起重吊装工程；</w:t>
            </w:r>
          </w:p>
          <w:p>
            <w:pPr>
              <w:numPr>
                <w:ilvl w:val="0"/>
                <w:numId w:val="2"/>
              </w:numPr>
              <w:jc w:val="left"/>
            </w:pPr>
            <w:r>
              <w:rPr>
                <w:rFonts w:hint="eastAsia"/>
              </w:rPr>
              <w:t>使用高处作业吊篮的；</w:t>
            </w:r>
          </w:p>
          <w:p>
            <w:pPr>
              <w:numPr>
                <w:ilvl w:val="0"/>
                <w:numId w:val="2"/>
              </w:numPr>
              <w:jc w:val="left"/>
            </w:pPr>
            <w:r>
              <w:rPr>
                <w:rFonts w:hint="eastAsia"/>
              </w:rPr>
              <w:t>建筑幕墙安装工程的；</w:t>
            </w:r>
          </w:p>
          <w:p>
            <w:pPr>
              <w:numPr>
                <w:ilvl w:val="0"/>
                <w:numId w:val="3"/>
              </w:numPr>
              <w:jc w:val="left"/>
            </w:pPr>
            <w:r>
              <w:rPr>
                <w:rFonts w:hint="eastAsia"/>
              </w:rPr>
              <w:t>涉及以下内容的：</w:t>
            </w:r>
          </w:p>
          <w:p>
            <w:pPr>
              <w:numPr>
                <w:ilvl w:val="0"/>
                <w:numId w:val="4"/>
              </w:numPr>
              <w:jc w:val="left"/>
            </w:pPr>
            <w:r>
              <w:rPr>
                <w:rFonts w:hint="eastAsia"/>
              </w:rPr>
              <w:t>变动建筑主体和承重结构；</w:t>
            </w:r>
          </w:p>
          <w:p>
            <w:pPr>
              <w:numPr>
                <w:ilvl w:val="0"/>
                <w:numId w:val="4"/>
              </w:numPr>
              <w:jc w:val="left"/>
            </w:pPr>
            <w:r>
              <w:rPr>
                <w:rFonts w:hint="eastAsia"/>
              </w:rPr>
              <w:t>住宅室内装饰装修超过设计标准或者规范增加楼面荷载的；</w:t>
            </w:r>
          </w:p>
          <w:p>
            <w:pPr>
              <w:numPr>
                <w:ilvl w:val="0"/>
                <w:numId w:val="4"/>
              </w:numPr>
              <w:jc w:val="left"/>
            </w:pPr>
            <w:r>
              <w:rPr>
                <w:rFonts w:hint="eastAsia"/>
              </w:rPr>
              <w:t>改动卫生间、厨房间防水层的；</w:t>
            </w:r>
          </w:p>
          <w:p>
            <w:pPr>
              <w:numPr>
                <w:ilvl w:val="0"/>
                <w:numId w:val="4"/>
              </w:numPr>
              <w:jc w:val="left"/>
            </w:pPr>
            <w:r>
              <w:rPr>
                <w:rFonts w:hint="eastAsia"/>
              </w:rPr>
              <w:t>搭建建筑物、构筑物，涉及改变住宅外立面，在非承重外墙上开门、窗的；</w:t>
            </w:r>
          </w:p>
          <w:p>
            <w:pPr>
              <w:numPr>
                <w:ilvl w:val="0"/>
                <w:numId w:val="4"/>
              </w:numPr>
              <w:jc w:val="left"/>
            </w:pPr>
            <w:r>
              <w:rPr>
                <w:rFonts w:hint="eastAsia"/>
              </w:rPr>
              <w:t>拆改燃气管道和设施，拆改供暖管道和设施等；</w:t>
            </w:r>
          </w:p>
          <w:p>
            <w:pPr>
              <w:jc w:val="left"/>
            </w:pPr>
            <w:r>
              <w:rPr>
                <w:rFonts w:hint="eastAsia"/>
              </w:rPr>
              <w:t>3.涉及其他危大工程的。</w:t>
            </w:r>
          </w:p>
        </w:tc>
        <w:tc>
          <w:tcPr>
            <w:tcW w:w="5264" w:type="dxa"/>
            <w:vAlign w:val="center"/>
          </w:tcPr>
          <w:p>
            <w:r>
              <w:rPr>
                <w:rFonts w:hint="eastAsia"/>
              </w:rPr>
              <w:t>1.施工企业的资质要求：房屋建筑工程施工总承包企业资质或建筑装修装饰工程专业承包企业资质；</w:t>
            </w:r>
          </w:p>
          <w:p>
            <w:r>
              <w:rPr>
                <w:rFonts w:hint="eastAsia"/>
              </w:rPr>
              <w:t>2.涉及建筑幕墙的应委托给房屋建筑工程施工总承包企业资质或建筑幕墙工程专业承包企业资质的施工企业；</w:t>
            </w:r>
          </w:p>
          <w:p>
            <w:r>
              <w:rPr>
                <w:rFonts w:hint="eastAsia"/>
              </w:rPr>
              <w:t>3.涉及特种设备操作和特殊工种的，应有与作业内容一致且在有效期内的特种设备作业人员及其相关管理人员特种作业操作证和建筑施工特种作业人员资格证。</w:t>
            </w:r>
          </w:p>
        </w:tc>
        <w:tc>
          <w:tcPr>
            <w:tcW w:w="1692" w:type="dxa"/>
            <w:vAlign w:val="center"/>
          </w:tcPr>
          <w:p>
            <w:pPr>
              <w:jc w:val="left"/>
              <w:rPr>
                <w:sz w:val="18"/>
                <w:szCs w:val="21"/>
              </w:rPr>
            </w:pPr>
            <w:r>
              <w:rPr>
                <w:rFonts w:hint="eastAsia"/>
                <w:sz w:val="18"/>
                <w:szCs w:val="21"/>
              </w:rPr>
              <w:t>《建筑业企业资质等级标准》、《专业承包企业资质等级标准》、《住宅室内装饰装修管理办法》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3" w:type="dxa"/>
            <w:vAlign w:val="center"/>
          </w:tcPr>
          <w:p>
            <w:pPr>
              <w:jc w:val="left"/>
            </w:pPr>
            <w:r>
              <w:rPr>
                <w:rFonts w:hint="eastAsia"/>
              </w:rPr>
              <w:t>3.限额以下的历史遗留违法建筑二次装修</w:t>
            </w:r>
          </w:p>
        </w:tc>
        <w:tc>
          <w:tcPr>
            <w:tcW w:w="6421" w:type="dxa"/>
            <w:vAlign w:val="center"/>
          </w:tcPr>
          <w:p>
            <w:pPr>
              <w:jc w:val="left"/>
            </w:pPr>
            <w:r>
              <w:rPr>
                <w:rFonts w:hint="eastAsia"/>
              </w:rPr>
              <w:t>1.涉及以下室外工程的：</w:t>
            </w:r>
          </w:p>
          <w:p>
            <w:pPr>
              <w:numPr>
                <w:ilvl w:val="0"/>
                <w:numId w:val="5"/>
              </w:numPr>
              <w:jc w:val="left"/>
            </w:pPr>
            <w:r>
              <w:rPr>
                <w:rFonts w:hint="eastAsia"/>
              </w:rPr>
              <w:t>搭设附着式升降脚手架、悬挑式脚手架、异型脚手架的分部分项工程；</w:t>
            </w:r>
          </w:p>
          <w:p>
            <w:pPr>
              <w:numPr>
                <w:ilvl w:val="0"/>
                <w:numId w:val="5"/>
              </w:numPr>
              <w:jc w:val="left"/>
            </w:pPr>
            <w:r>
              <w:rPr>
                <w:rFonts w:hint="eastAsia"/>
              </w:rPr>
              <w:t>采用非常规起重设备、方法，且单件起吊重量在1000kg及以上（含1000kg）的起重吊装工程；</w:t>
            </w:r>
          </w:p>
          <w:p>
            <w:pPr>
              <w:numPr>
                <w:ilvl w:val="0"/>
                <w:numId w:val="5"/>
              </w:numPr>
              <w:jc w:val="left"/>
            </w:pPr>
            <w:r>
              <w:rPr>
                <w:rFonts w:hint="eastAsia"/>
              </w:rPr>
              <w:t>使用高处作业吊篮的；</w:t>
            </w:r>
          </w:p>
          <w:p>
            <w:pPr>
              <w:numPr>
                <w:ilvl w:val="0"/>
                <w:numId w:val="5"/>
              </w:numPr>
              <w:jc w:val="left"/>
            </w:pPr>
            <w:r>
              <w:rPr>
                <w:rFonts w:hint="eastAsia"/>
              </w:rPr>
              <w:t>建筑幕墙安装工程的；</w:t>
            </w:r>
          </w:p>
          <w:p>
            <w:pPr>
              <w:jc w:val="left"/>
            </w:pPr>
            <w:r>
              <w:rPr>
                <w:rFonts w:hint="eastAsia"/>
              </w:rPr>
              <w:t>2.涉及以下内容的：</w:t>
            </w:r>
          </w:p>
          <w:p>
            <w:pPr>
              <w:numPr>
                <w:ilvl w:val="0"/>
                <w:numId w:val="6"/>
              </w:numPr>
              <w:jc w:val="left"/>
            </w:pPr>
            <w:r>
              <w:rPr>
                <w:rFonts w:hint="eastAsia"/>
              </w:rPr>
              <w:t>变动建筑主体和承重结构；</w:t>
            </w:r>
          </w:p>
          <w:p>
            <w:pPr>
              <w:numPr>
                <w:ilvl w:val="0"/>
                <w:numId w:val="6"/>
              </w:numPr>
              <w:jc w:val="left"/>
            </w:pPr>
            <w:r>
              <w:rPr>
                <w:rFonts w:hint="eastAsia"/>
              </w:rPr>
              <w:t>住宅室内装饰装修超过设计标准或者规范增加楼面荷载的；</w:t>
            </w:r>
          </w:p>
          <w:p>
            <w:pPr>
              <w:numPr>
                <w:ilvl w:val="0"/>
                <w:numId w:val="6"/>
              </w:numPr>
              <w:jc w:val="left"/>
            </w:pPr>
            <w:r>
              <w:rPr>
                <w:rFonts w:hint="eastAsia"/>
              </w:rPr>
              <w:t>改动卫生间、厨房间防水层的；</w:t>
            </w:r>
          </w:p>
          <w:p>
            <w:pPr>
              <w:numPr>
                <w:ilvl w:val="0"/>
                <w:numId w:val="6"/>
              </w:numPr>
              <w:jc w:val="left"/>
            </w:pPr>
            <w:r>
              <w:rPr>
                <w:rFonts w:hint="eastAsia"/>
              </w:rPr>
              <w:t>搭建建筑物、构筑物，涉及改变住宅外立面，在非承重外墙上开门、窗的；</w:t>
            </w:r>
          </w:p>
          <w:p>
            <w:pPr>
              <w:numPr>
                <w:ilvl w:val="0"/>
                <w:numId w:val="6"/>
              </w:numPr>
              <w:jc w:val="left"/>
            </w:pPr>
            <w:r>
              <w:rPr>
                <w:rFonts w:hint="eastAsia"/>
              </w:rPr>
              <w:t>拆改燃气管道和设施，拆改供暖管道和设施等；</w:t>
            </w:r>
          </w:p>
          <w:p>
            <w:pPr>
              <w:jc w:val="left"/>
            </w:pPr>
            <w:r>
              <w:rPr>
                <w:rFonts w:hint="eastAsia"/>
              </w:rPr>
              <w:t>3.涉及其他危大工程的。</w:t>
            </w:r>
          </w:p>
        </w:tc>
        <w:tc>
          <w:tcPr>
            <w:tcW w:w="5264" w:type="dxa"/>
            <w:vAlign w:val="center"/>
          </w:tcPr>
          <w:p>
            <w:pPr>
              <w:jc w:val="left"/>
            </w:pPr>
            <w:r>
              <w:rPr>
                <w:rFonts w:hint="eastAsia"/>
              </w:rPr>
              <w:t>1.施工企业的资质要求：房屋建筑工程施工总承包企业资质或建筑装修装饰工程专业承包企业资质；</w:t>
            </w:r>
          </w:p>
          <w:p>
            <w:pPr>
              <w:jc w:val="left"/>
            </w:pPr>
            <w:r>
              <w:rPr>
                <w:rFonts w:hint="eastAsia"/>
              </w:rPr>
              <w:t>2.涉及建筑幕墙的应委托给房屋建筑工程施工总承包企业资质或建筑幕墙工程专业承包企业资质的施工企业；</w:t>
            </w:r>
          </w:p>
          <w:p>
            <w:pPr>
              <w:jc w:val="left"/>
            </w:pPr>
            <w:r>
              <w:rPr>
                <w:rFonts w:hint="eastAsia"/>
              </w:rPr>
              <w:t>3.涉及特种设备操作和特殊工种的，应有与作业内容一致且在有效期内的特种设备作业人员及其相关管理人员特种作业操作证和建筑施工特种作业人员资格证。</w:t>
            </w:r>
          </w:p>
        </w:tc>
        <w:tc>
          <w:tcPr>
            <w:tcW w:w="1692" w:type="dxa"/>
            <w:vAlign w:val="center"/>
          </w:tcPr>
          <w:p>
            <w:pPr>
              <w:jc w:val="left"/>
              <w:rPr>
                <w:sz w:val="18"/>
                <w:szCs w:val="21"/>
              </w:rPr>
            </w:pPr>
            <w:r>
              <w:rPr>
                <w:rFonts w:hint="eastAsia"/>
                <w:sz w:val="18"/>
                <w:szCs w:val="21"/>
              </w:rPr>
              <w:t>《建筑业企业资质等级标准》、《专业承包企业资质等级标准》、《住宅室内装饰装修管理办法》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3" w:type="dxa"/>
            <w:vAlign w:val="center"/>
          </w:tcPr>
          <w:p>
            <w:pPr>
              <w:jc w:val="left"/>
            </w:pPr>
            <w:r>
              <w:rPr>
                <w:rFonts w:hint="eastAsia"/>
              </w:rPr>
              <w:t>4.建筑面积在500平方米以下的房屋拆除工程</w:t>
            </w:r>
          </w:p>
        </w:tc>
        <w:tc>
          <w:tcPr>
            <w:tcW w:w="6421" w:type="dxa"/>
            <w:vAlign w:val="center"/>
          </w:tcPr>
          <w:p>
            <w:pPr>
              <w:jc w:val="left"/>
            </w:pPr>
            <w:r>
              <w:rPr>
                <w:rFonts w:hint="eastAsia"/>
              </w:rPr>
              <w:t>1.一般房屋拆除工程</w:t>
            </w:r>
          </w:p>
          <w:p>
            <w:pPr>
              <w:jc w:val="left"/>
            </w:pPr>
            <w:r>
              <w:rPr>
                <w:rFonts w:hint="eastAsia"/>
              </w:rPr>
              <w:t>2.</w:t>
            </w:r>
            <w:r>
              <w:t>可能影响行人、交通、电力设施、通讯设施或其它建、构筑物安全的</w:t>
            </w:r>
            <w:r>
              <w:rPr>
                <w:rFonts w:hint="eastAsia"/>
              </w:rPr>
              <w:t>房屋</w:t>
            </w:r>
            <w:r>
              <w:t>拆除工程。</w:t>
            </w:r>
          </w:p>
        </w:tc>
        <w:tc>
          <w:tcPr>
            <w:tcW w:w="5264" w:type="dxa"/>
            <w:vAlign w:val="center"/>
          </w:tcPr>
          <w:p>
            <w:pPr>
              <w:jc w:val="left"/>
            </w:pPr>
            <w:r>
              <w:rPr>
                <w:rFonts w:hint="eastAsia"/>
              </w:rPr>
              <w:t>1.施工企业：房屋建筑工程施工总承包企业资质的施工企业</w:t>
            </w:r>
          </w:p>
          <w:p>
            <w:pPr>
              <w:jc w:val="left"/>
            </w:pPr>
            <w:r>
              <w:rPr>
                <w:rFonts w:hint="eastAsia"/>
              </w:rPr>
              <w:t>2.涉及特种设备操作和特殊工种的，应有与作业内容一致且在有效期内的特种设备作业人员及其相关管理人员特种作业操作证和建筑施工特种作业人员资格证。</w:t>
            </w:r>
          </w:p>
        </w:tc>
        <w:tc>
          <w:tcPr>
            <w:tcW w:w="1692" w:type="dxa"/>
            <w:vAlign w:val="center"/>
          </w:tcPr>
          <w:p>
            <w:pPr>
              <w:rPr>
                <w:sz w:val="18"/>
                <w:szCs w:val="21"/>
              </w:rPr>
            </w:pPr>
            <w:r>
              <w:rPr>
                <w:rFonts w:hint="eastAsia"/>
                <w:sz w:val="13"/>
                <w:szCs w:val="16"/>
              </w:rPr>
              <w:t>《建设工程安全生产管理条例》、《建筑业企业资质管理规定和资质标准实施意见》、《建筑业企业资质等级标准》、《施工总承包企业资质等级标准》、《广东省住房和城乡建设厅关于房屋市政工程危险性较大的分部分项工程安全管理的实施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3" w:type="dxa"/>
            <w:vAlign w:val="center"/>
          </w:tcPr>
          <w:p>
            <w:pPr>
              <w:jc w:val="left"/>
            </w:pPr>
            <w:r>
              <w:rPr>
                <w:rFonts w:hint="eastAsia"/>
              </w:rPr>
              <w:t>5.限额以下的小型房屋建筑工程（包括房屋建筑及其附属设施的建造和与其配套的线路、管道、设备的安装）</w:t>
            </w:r>
          </w:p>
        </w:tc>
        <w:tc>
          <w:tcPr>
            <w:tcW w:w="6421" w:type="dxa"/>
            <w:vAlign w:val="center"/>
          </w:tcPr>
          <w:p>
            <w:r>
              <w:t>1.开挖深度3m及以上</w:t>
            </w:r>
            <w:r>
              <w:rPr>
                <w:rFonts w:hint="eastAsia"/>
              </w:rPr>
              <w:t>（含3m）</w:t>
            </w:r>
            <w:r>
              <w:t>的基坑（槽）和周边地下管线复杂的土方开挖工程</w:t>
            </w:r>
            <w:r>
              <w:rPr>
                <w:rFonts w:hint="eastAsia"/>
              </w:rPr>
              <w:t>、人工挖孔桩工程；</w:t>
            </w:r>
          </w:p>
          <w:p>
            <w:r>
              <w:rPr>
                <w:rFonts w:hint="eastAsia"/>
              </w:rPr>
              <w:t>2.危险性较大的钢结构、网架和索膜结构安装工程；</w:t>
            </w:r>
          </w:p>
          <w:p>
            <w:r>
              <w:rPr>
                <w:rFonts w:hint="eastAsia"/>
              </w:rPr>
              <w:t>3</w:t>
            </w:r>
            <w:r>
              <w:t>.工具式模板工程和搭设高度5m及以上</w:t>
            </w:r>
            <w:r>
              <w:rPr>
                <w:rFonts w:hint="eastAsia"/>
              </w:rPr>
              <w:t>（含5m）</w:t>
            </w:r>
            <w:r>
              <w:t>的混凝土模板支撑工程</w:t>
            </w:r>
            <w:r>
              <w:rPr>
                <w:rFonts w:hint="eastAsia"/>
              </w:rPr>
              <w:t>、装配式建筑混凝土预制构件安装工程；</w:t>
            </w:r>
          </w:p>
          <w:p>
            <w:r>
              <w:rPr>
                <w:rFonts w:hint="eastAsia"/>
              </w:rPr>
              <w:t>4</w:t>
            </w:r>
            <w:r>
              <w:t>.采用非常规起重设备、方法，且单件起吊重量在1000kg及以上</w:t>
            </w:r>
            <w:r>
              <w:rPr>
                <w:rFonts w:hint="eastAsia"/>
              </w:rPr>
              <w:t>（含1000kg）</w:t>
            </w:r>
            <w:r>
              <w:t>的起重吊装工程；</w:t>
            </w:r>
          </w:p>
          <w:p>
            <w:r>
              <w:rPr>
                <w:rFonts w:hint="eastAsia"/>
              </w:rPr>
              <w:t>5.起重机械的基础和附着工程、安装和拆卸工程、采用起重机械进行安装的工程；</w:t>
            </w:r>
          </w:p>
          <w:p>
            <w:r>
              <w:rPr>
                <w:rFonts w:hint="eastAsia"/>
              </w:rPr>
              <w:t>6</w:t>
            </w:r>
            <w:r>
              <w:t>.搭设附着式升降脚手架、悬挑式脚手架、异型脚手架的工程</w:t>
            </w:r>
            <w:r>
              <w:rPr>
                <w:rFonts w:hint="eastAsia"/>
              </w:rPr>
              <w:t>、卸料平台、操作平台工程</w:t>
            </w:r>
            <w:r>
              <w:t>；</w:t>
            </w:r>
          </w:p>
          <w:p>
            <w:pPr>
              <w:jc w:val="left"/>
            </w:pPr>
            <w:r>
              <w:rPr>
                <w:rFonts w:hint="eastAsia"/>
              </w:rPr>
              <w:t>7</w:t>
            </w:r>
            <w:r>
              <w:t>.使用高处作业吊篮</w:t>
            </w:r>
            <w:r>
              <w:rPr>
                <w:rFonts w:hint="eastAsia"/>
              </w:rPr>
              <w:t>工程；</w:t>
            </w:r>
          </w:p>
          <w:p>
            <w:pPr>
              <w:jc w:val="left"/>
            </w:pPr>
            <w:r>
              <w:rPr>
                <w:rFonts w:hint="eastAsia"/>
              </w:rPr>
              <w:t>8.其他涉及危大工程的。</w:t>
            </w:r>
          </w:p>
        </w:tc>
        <w:tc>
          <w:tcPr>
            <w:tcW w:w="5264" w:type="dxa"/>
            <w:vAlign w:val="center"/>
          </w:tcPr>
          <w:p>
            <w:pPr>
              <w:jc w:val="left"/>
            </w:pPr>
            <w:r>
              <w:rPr>
                <w:rFonts w:hint="eastAsia"/>
              </w:rPr>
              <w:t>1.施工企业：房屋建筑工程施工总承包企业资质的施工企业；</w:t>
            </w:r>
          </w:p>
          <w:p>
            <w:pPr>
              <w:jc w:val="left"/>
            </w:pPr>
            <w:r>
              <w:rPr>
                <w:rFonts w:hint="eastAsia"/>
              </w:rPr>
              <w:t>2.涉及特种设备操作和特殊工种的，应有与作业内容一致且在有效期内的特种设备作业人员及其相关管理人员特种作业操作证和建筑施工特种作业人员资格证。</w:t>
            </w:r>
          </w:p>
        </w:tc>
        <w:tc>
          <w:tcPr>
            <w:tcW w:w="1692" w:type="dxa"/>
            <w:vAlign w:val="center"/>
          </w:tcPr>
          <w:p>
            <w:pPr>
              <w:jc w:val="left"/>
              <w:rPr>
                <w:sz w:val="16"/>
                <w:szCs w:val="20"/>
              </w:rPr>
            </w:pPr>
            <w:r>
              <w:rPr>
                <w:rFonts w:hint="eastAsia"/>
                <w:sz w:val="16"/>
                <w:szCs w:val="20"/>
              </w:rPr>
              <w:t>《建筑业企业资质管理规定》、《施工总承包企业资质等级标准》、《危险性较大的分部分项工程安全管理规定》（住房和城乡建设部令第37号）、《广东省住房和城乡建设厅关于房屋市政工程危险性较大的分部分项工程安全管理的实施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3" w:type="dxa"/>
            <w:vAlign w:val="center"/>
          </w:tcPr>
          <w:p>
            <w:pPr>
              <w:jc w:val="left"/>
            </w:pPr>
            <w:r>
              <w:rPr>
                <w:rFonts w:hint="eastAsia"/>
              </w:rPr>
              <w:t>6.限额以下的水务、道路交通、城市管理等市政基础设施工程</w:t>
            </w:r>
          </w:p>
          <w:p>
            <w:pPr>
              <w:jc w:val="left"/>
            </w:pPr>
          </w:p>
        </w:tc>
        <w:tc>
          <w:tcPr>
            <w:tcW w:w="6421" w:type="dxa"/>
            <w:vAlign w:val="center"/>
          </w:tcPr>
          <w:p>
            <w:pPr>
              <w:numPr>
                <w:ilvl w:val="0"/>
                <w:numId w:val="7"/>
              </w:numPr>
              <w:jc w:val="left"/>
            </w:pPr>
            <w:r>
              <w:rPr>
                <w:rFonts w:hint="eastAsia"/>
              </w:rPr>
              <w:t>采用爆破法施工土石方；</w:t>
            </w:r>
          </w:p>
          <w:p>
            <w:pPr>
              <w:numPr>
                <w:ilvl w:val="0"/>
                <w:numId w:val="7"/>
              </w:numPr>
              <w:jc w:val="left"/>
            </w:pPr>
            <w:r>
              <w:rPr>
                <w:rFonts w:hint="eastAsia"/>
              </w:rPr>
              <w:t>断面较大、开挖深度3m及以上（含3m）的管道沟（基）槽的土方开挖、支护、降水工程；</w:t>
            </w:r>
          </w:p>
          <w:p>
            <w:pPr>
              <w:numPr>
                <w:ilvl w:val="0"/>
                <w:numId w:val="7"/>
              </w:numPr>
              <w:jc w:val="left"/>
            </w:pPr>
            <w:r>
              <w:rPr>
                <w:rFonts w:hint="eastAsia"/>
              </w:rPr>
              <w:t>不开槽施工（顶管、盾构、浅埋暗挖、夯管等方法），过江渡河管道，深基槽等施工工程；</w:t>
            </w:r>
          </w:p>
          <w:p>
            <w:pPr>
              <w:numPr>
                <w:ilvl w:val="0"/>
                <w:numId w:val="7"/>
              </w:numPr>
              <w:jc w:val="left"/>
            </w:pPr>
            <w:r>
              <w:rPr>
                <w:rFonts w:hint="eastAsia"/>
              </w:rPr>
              <w:t>涉及拆改燃气管道和设施的；</w:t>
            </w:r>
          </w:p>
          <w:p>
            <w:pPr>
              <w:numPr>
                <w:ilvl w:val="0"/>
                <w:numId w:val="7"/>
              </w:numPr>
              <w:jc w:val="left"/>
            </w:pPr>
            <w:r>
              <w:rPr>
                <w:rFonts w:hint="eastAsia"/>
              </w:rPr>
              <w:t>水下作业工程；</w:t>
            </w:r>
          </w:p>
          <w:p>
            <w:pPr>
              <w:numPr>
                <w:ilvl w:val="0"/>
                <w:numId w:val="7"/>
              </w:numPr>
              <w:jc w:val="left"/>
            </w:pPr>
            <w:r>
              <w:rPr>
                <w:rFonts w:hint="eastAsia"/>
              </w:rPr>
              <w:t>涉及其他危大工程的。</w:t>
            </w:r>
          </w:p>
        </w:tc>
        <w:tc>
          <w:tcPr>
            <w:tcW w:w="5264" w:type="dxa"/>
            <w:vAlign w:val="center"/>
          </w:tcPr>
          <w:p>
            <w:pPr>
              <w:jc w:val="left"/>
            </w:pPr>
            <w:r>
              <w:rPr>
                <w:rFonts w:hint="eastAsia"/>
              </w:rPr>
              <w:t>1.施工企业：市政公用工程施工总承包企业资质的施工企业；</w:t>
            </w:r>
          </w:p>
          <w:p>
            <w:pPr>
              <w:jc w:val="left"/>
            </w:pPr>
            <w:r>
              <w:rPr>
                <w:rFonts w:hint="eastAsia"/>
              </w:rPr>
              <w:t>2.涉及特种设备操作和特殊工种的，应有与作业内容一致且在有效期内的特种设备作业人员及其相关管理人员特种作业操作证和建筑施工特种作业人员资格证。</w:t>
            </w:r>
          </w:p>
        </w:tc>
        <w:tc>
          <w:tcPr>
            <w:tcW w:w="1692" w:type="dxa"/>
            <w:vAlign w:val="center"/>
          </w:tcPr>
          <w:p>
            <w:pPr>
              <w:jc w:val="left"/>
              <w:rPr>
                <w:sz w:val="16"/>
                <w:szCs w:val="20"/>
              </w:rPr>
            </w:pPr>
            <w:r>
              <w:rPr>
                <w:rFonts w:hint="eastAsia"/>
                <w:sz w:val="16"/>
                <w:szCs w:val="20"/>
              </w:rPr>
              <w:t>《建筑业企业资质管理规定》、《施工总承包企业资质等级标准》、参考《危险性较大的分部分项工程安全管理规定》（住房和城乡建设部令第37号）、《广东省住房和城乡建设厅关于房屋市政工程危险性较大的分部分项工程安全管理的实施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3" w:type="dxa"/>
            <w:vAlign w:val="center"/>
          </w:tcPr>
          <w:p>
            <w:pPr>
              <w:jc w:val="left"/>
            </w:pPr>
            <w:r>
              <w:rPr>
                <w:rFonts w:hint="eastAsia"/>
              </w:rPr>
              <w:t>7.限额以下的各类地下管线施工工程</w:t>
            </w:r>
          </w:p>
        </w:tc>
        <w:tc>
          <w:tcPr>
            <w:tcW w:w="6421" w:type="dxa"/>
            <w:vAlign w:val="center"/>
          </w:tcPr>
          <w:p>
            <w:pPr>
              <w:jc w:val="left"/>
              <w:rPr>
                <w:color w:val="000000"/>
              </w:rPr>
            </w:pPr>
            <w:r>
              <w:rPr>
                <w:rFonts w:hint="eastAsia"/>
                <w:color w:val="000000"/>
              </w:rPr>
              <w:t>1.断面较大、开挖深度3m及以上（含3m）的管道沟（基）槽的土方开挖、支护、降水工程；</w:t>
            </w:r>
          </w:p>
          <w:p>
            <w:pPr>
              <w:jc w:val="left"/>
              <w:rPr>
                <w:color w:val="000000"/>
              </w:rPr>
            </w:pPr>
            <w:r>
              <w:rPr>
                <w:rFonts w:hint="eastAsia"/>
                <w:color w:val="000000"/>
              </w:rPr>
              <w:t>2.不开槽施工（顶管、盾构、浅埋暗挖、夯管等方法），过江渡河管道，深基槽等施工工程；3.采用起重机械进行管道安装、拆卸的工程；4.涉及拆改燃气管道和设施的工程；</w:t>
            </w:r>
          </w:p>
          <w:p>
            <w:pPr>
              <w:jc w:val="left"/>
              <w:rPr>
                <w:color w:val="000000"/>
              </w:rPr>
            </w:pPr>
            <w:r>
              <w:rPr>
                <w:rFonts w:hint="eastAsia"/>
                <w:color w:val="000000"/>
              </w:rPr>
              <w:t>5.涉及其他危大工程的。</w:t>
            </w:r>
          </w:p>
        </w:tc>
        <w:tc>
          <w:tcPr>
            <w:tcW w:w="5264" w:type="dxa"/>
            <w:vAlign w:val="center"/>
          </w:tcPr>
          <w:p>
            <w:pPr>
              <w:jc w:val="left"/>
            </w:pPr>
            <w:r>
              <w:rPr>
                <w:rFonts w:hint="eastAsia"/>
              </w:rPr>
              <w:t>1.施工企业：与工程内容相一致的施工总承包企业资质的企业；</w:t>
            </w:r>
          </w:p>
          <w:p>
            <w:pPr>
              <w:jc w:val="left"/>
            </w:pPr>
            <w:r>
              <w:rPr>
                <w:rFonts w:hint="eastAsia"/>
              </w:rPr>
              <w:t>2.涉及特种设备操作和特殊工种的，应有与作业内容一致且在有效期内的特种设备作业人员及其相关管理人员特种作业操作证和建筑施工特种作业人员资格证。</w:t>
            </w:r>
          </w:p>
        </w:tc>
        <w:tc>
          <w:tcPr>
            <w:tcW w:w="1692" w:type="dxa"/>
            <w:vAlign w:val="center"/>
          </w:tcPr>
          <w:p>
            <w:pPr>
              <w:jc w:val="left"/>
              <w:rPr>
                <w:sz w:val="18"/>
                <w:szCs w:val="21"/>
              </w:rPr>
            </w:pPr>
            <w:r>
              <w:rPr>
                <w:rFonts w:hint="eastAsia"/>
                <w:sz w:val="18"/>
                <w:szCs w:val="21"/>
              </w:rPr>
              <w:t>《建筑业企业资质管理规定》，《建筑业企业资质等级标准》、《施工总承包企业资质等级标准》、《危险性较大的分部分项工程安全管理规定》（住房和城乡建设部令第37号）、《广东省住房和城乡建设厅关于房屋市政工程危险性较大的分部分项工程安全管理的实施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3" w:type="dxa"/>
            <w:vAlign w:val="center"/>
          </w:tcPr>
          <w:p>
            <w:pPr>
              <w:jc w:val="left"/>
            </w:pPr>
            <w:r>
              <w:rPr>
                <w:rFonts w:hint="eastAsia"/>
              </w:rPr>
              <w:t>8.因城市建设需要对外接受工程弃土，消纳量在20万方以下的零星受纳工程</w:t>
            </w:r>
          </w:p>
        </w:tc>
        <w:tc>
          <w:tcPr>
            <w:tcW w:w="6421" w:type="dxa"/>
            <w:vAlign w:val="center"/>
          </w:tcPr>
          <w:p>
            <w:pPr>
              <w:jc w:val="left"/>
              <w:rPr>
                <w:color w:val="000000"/>
              </w:rPr>
            </w:pPr>
            <w:r>
              <w:t>可能影响行人、交通、电力设施、通讯设施或其它建、构筑物安全的</w:t>
            </w:r>
            <w:r>
              <w:rPr>
                <w:rFonts w:hint="eastAsia"/>
              </w:rPr>
              <w:t>，或者可能造成环境污染破坏的</w:t>
            </w:r>
            <w:r>
              <w:t>受纳工程</w:t>
            </w:r>
          </w:p>
        </w:tc>
        <w:tc>
          <w:tcPr>
            <w:tcW w:w="5264" w:type="dxa"/>
            <w:vAlign w:val="center"/>
          </w:tcPr>
          <w:p>
            <w:pPr>
              <w:jc w:val="left"/>
            </w:pPr>
            <w:r>
              <w:rPr>
                <w:rFonts w:hint="eastAsia"/>
              </w:rPr>
              <w:t>1.施工企业：具有一定技术实力和管理能力且取得公司法人《营业执照》的具备安全生产条件的施工企业或施工队伍；</w:t>
            </w:r>
          </w:p>
          <w:p>
            <w:pPr>
              <w:jc w:val="left"/>
            </w:pPr>
            <w:r>
              <w:rPr>
                <w:rFonts w:hint="eastAsia"/>
              </w:rPr>
              <w:t>2.涉及特种设备操作和特殊工种的，应有与作业内容一致且在有效期内的特种设备作业人员及其相关管理人员特种作业操作证和建筑施工特种作业人员资格证。</w:t>
            </w:r>
          </w:p>
        </w:tc>
        <w:tc>
          <w:tcPr>
            <w:tcW w:w="1692" w:type="dxa"/>
            <w:vAlign w:val="center"/>
          </w:tcPr>
          <w:p>
            <w:pPr>
              <w:jc w:val="left"/>
              <w:rPr>
                <w:sz w:val="18"/>
                <w:szCs w:val="21"/>
              </w:rPr>
            </w:pPr>
            <w:r>
              <w:rPr>
                <w:rFonts w:hint="eastAsia"/>
                <w:sz w:val="18"/>
                <w:szCs w:val="21"/>
              </w:rPr>
              <w:t>《深圳市建筑废弃物受纳场建设运营管理办法》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743" w:type="dxa"/>
            <w:vAlign w:val="center"/>
          </w:tcPr>
          <w:p>
            <w:pPr>
              <w:jc w:val="left"/>
            </w:pPr>
            <w:r>
              <w:rPr>
                <w:rFonts w:hint="eastAsia"/>
              </w:rPr>
              <w:t>9.限额以上的历史遗留违法建筑二次装修工程（不含加建、改建、扩建）以及限额以上但暂未纳入我市施工许可范围的建设工程（如辖区参照《办法》进行纳管的）</w:t>
            </w:r>
          </w:p>
        </w:tc>
        <w:tc>
          <w:tcPr>
            <w:tcW w:w="6421" w:type="dxa"/>
            <w:vAlign w:val="center"/>
          </w:tcPr>
          <w:p>
            <w:pPr>
              <w:jc w:val="left"/>
            </w:pPr>
            <w:r>
              <w:rPr>
                <w:rFonts w:hint="eastAsia"/>
              </w:rPr>
              <w:t>限额以上但未纳入我市施工许可范围的装修及建设工程</w:t>
            </w:r>
          </w:p>
        </w:tc>
        <w:tc>
          <w:tcPr>
            <w:tcW w:w="5264" w:type="dxa"/>
            <w:vAlign w:val="center"/>
          </w:tcPr>
          <w:p>
            <w:pPr>
              <w:jc w:val="left"/>
              <w:rPr>
                <w:rFonts w:hint="eastAsia"/>
              </w:rPr>
            </w:pPr>
            <w:r>
              <w:rPr>
                <w:rFonts w:hint="eastAsia"/>
              </w:rPr>
              <w:t>1、施工企业的资质要求：房屋建筑工程施工总承包企业资质或建筑装修装饰工程专业承包企业资质的企业。</w:t>
            </w:r>
          </w:p>
          <w:p>
            <w:pPr>
              <w:jc w:val="left"/>
            </w:pPr>
            <w:r>
              <w:rPr>
                <w:rFonts w:hint="eastAsia"/>
              </w:rPr>
              <w:t>2、涉及建筑幕墙的应委托给房屋建筑工程施工总承包企业资质或建筑幕墙工程专业承包企业资质的施工企业；</w:t>
            </w:r>
          </w:p>
          <w:p>
            <w:pPr>
              <w:jc w:val="left"/>
            </w:pPr>
            <w:r>
              <w:rPr>
                <w:rFonts w:hint="eastAsia"/>
              </w:rPr>
              <w:t>3.涉及特种设备操作和特殊工种的，应有与作业内容一致且在有效期内的特种设备作业人员及其相关管理人员特种作业操作证和建筑施工特种作业人员资格证。</w:t>
            </w:r>
          </w:p>
        </w:tc>
        <w:tc>
          <w:tcPr>
            <w:tcW w:w="1692" w:type="dxa"/>
            <w:vAlign w:val="center"/>
          </w:tcPr>
          <w:p>
            <w:pPr>
              <w:jc w:val="left"/>
              <w:rPr>
                <w:sz w:val="18"/>
                <w:szCs w:val="21"/>
              </w:rPr>
            </w:pPr>
            <w:r>
              <w:rPr>
                <w:rFonts w:hint="eastAsia"/>
                <w:sz w:val="18"/>
                <w:szCs w:val="21"/>
              </w:rPr>
              <w:t>《建筑业企业资质等级标准》、《住宅室内装饰装修管理办法》、《建筑业企业资质管理规定》</w:t>
            </w:r>
          </w:p>
        </w:tc>
      </w:tr>
    </w:tbl>
    <w:p>
      <w:pPr>
        <w:ind w:firstLine="560" w:firstLineChars="200"/>
        <w:jc w:val="left"/>
        <w:rPr>
          <w:rFonts w:ascii="华文楷体" w:hAnsi="华文楷体" w:eastAsia="华文楷体" w:cs="华文楷体"/>
          <w:sz w:val="28"/>
          <w:szCs w:val="28"/>
        </w:rPr>
      </w:pPr>
      <w:r>
        <w:rPr>
          <w:rFonts w:hint="eastAsia" w:ascii="华文楷体" w:hAnsi="华文楷体" w:eastAsia="华文楷体" w:cs="华文楷体"/>
          <w:sz w:val="28"/>
          <w:szCs w:val="28"/>
        </w:rPr>
        <w:t>注：1.上表所列限额以下是指《广东省住房和城乡建设厅关于调整房屋建筑和市政基础设施工程施工许可证办理限额的通知》规定：“工程投资额在100万元以下（含100万元）或者建筑面积在500平方米以下（含500平方米）”。</w:t>
      </w:r>
    </w:p>
    <w:p>
      <w:pPr>
        <w:pStyle w:val="12"/>
        <w:ind w:firstLine="0" w:firstLineChars="0"/>
        <w:rPr>
          <w:rFonts w:ascii="华文楷体" w:hAnsi="华文楷体" w:eastAsia="华文楷体" w:cs="华文楷体"/>
          <w:kern w:val="2"/>
          <w:sz w:val="28"/>
          <w:szCs w:val="28"/>
        </w:rPr>
      </w:pPr>
      <w:r>
        <w:rPr>
          <w:rFonts w:hint="eastAsia" w:ascii="华文楷体" w:hAnsi="华文楷体" w:eastAsia="华文楷体" w:cs="华文楷体"/>
          <w:kern w:val="2"/>
          <w:sz w:val="28"/>
          <w:szCs w:val="28"/>
          <w:lang w:val="en-US" w:eastAsia="zh-CN"/>
        </w:rPr>
        <w:t xml:space="preserve">    2</w:t>
      </w:r>
      <w:r>
        <w:rPr>
          <w:rFonts w:hint="eastAsia" w:ascii="华文楷体" w:hAnsi="华文楷体" w:eastAsia="华文楷体" w:cs="华文楷体"/>
          <w:kern w:val="2"/>
          <w:sz w:val="28"/>
          <w:szCs w:val="28"/>
        </w:rPr>
        <w:t>、特种设备操作和特殊工种</w:t>
      </w:r>
    </w:p>
    <w:p>
      <w:pPr>
        <w:ind w:firstLine="560" w:firstLineChars="200"/>
        <w:jc w:val="left"/>
        <w:rPr>
          <w:rFonts w:ascii="华文楷体" w:hAnsi="华文楷体" w:eastAsia="华文楷体" w:cs="华文楷体"/>
          <w:sz w:val="28"/>
          <w:szCs w:val="28"/>
        </w:rPr>
      </w:pPr>
      <w:r>
        <w:rPr>
          <w:rFonts w:hint="eastAsia" w:ascii="华文楷体" w:hAnsi="华文楷体" w:eastAsia="华文楷体" w:cs="华文楷体"/>
          <w:sz w:val="28"/>
          <w:szCs w:val="28"/>
        </w:rPr>
        <w:t>安监总局特种作业目录：电工作业、焊接与热切割、高处作业、制冷与空调作业、煤矿安全作业、金属非金属矿山安全作业、石油天然气安全作业、冶金（有色）生产安全作业、危险化学品安全作业、烟花爆竹安全作业；</w:t>
      </w:r>
    </w:p>
    <w:p>
      <w:pPr>
        <w:ind w:firstLine="560" w:firstLineChars="200"/>
        <w:jc w:val="left"/>
        <w:rPr>
          <w:rFonts w:ascii="华文楷体" w:hAnsi="华文楷体" w:eastAsia="华文楷体" w:cs="华文楷体"/>
          <w:sz w:val="28"/>
          <w:szCs w:val="28"/>
        </w:rPr>
      </w:pPr>
      <w:r>
        <w:rPr>
          <w:rFonts w:hint="eastAsia" w:ascii="华文楷体" w:hAnsi="华文楷体" w:eastAsia="华文楷体" w:cs="华文楷体"/>
          <w:sz w:val="28"/>
          <w:szCs w:val="28"/>
        </w:rPr>
        <w:t>质检总局特种作业目录：锅炉、压力容器（含气瓶）、压力管道、电梯、起重机械、客运索道、大型游乐设施、场（厂）内专用机动车辆的作业人员及其相关管理人员；</w:t>
      </w:r>
    </w:p>
    <w:p>
      <w:pPr>
        <w:ind w:firstLine="560" w:firstLineChars="200"/>
        <w:jc w:val="left"/>
        <w:rPr>
          <w:rFonts w:ascii="华文楷体" w:hAnsi="华文楷体" w:eastAsia="华文楷体" w:cs="华文楷体"/>
          <w:sz w:val="28"/>
          <w:szCs w:val="28"/>
        </w:rPr>
      </w:pPr>
      <w:r>
        <w:rPr>
          <w:rFonts w:hint="eastAsia" w:ascii="华文楷体" w:hAnsi="华文楷体" w:eastAsia="华文楷体" w:cs="华文楷体"/>
          <w:sz w:val="28"/>
          <w:szCs w:val="28"/>
        </w:rPr>
        <w:t>建设部特种作业目录：建筑电工、建筑架子工、建筑起重信号司索工、建筑起重机械司机、建筑起重机械安装拆卸工、高处作业吊篮安装拆卸工、经省级以上人民政府建设主管部门认定的其他特种作业。</w:t>
      </w:r>
    </w:p>
    <w:p>
      <w:pPr>
        <w:ind w:firstLine="560" w:firstLineChars="200"/>
        <w:jc w:val="left"/>
        <w:rPr>
          <w:rFonts w:ascii="华文楷体" w:hAnsi="华文楷体" w:eastAsia="华文楷体" w:cs="华文楷体"/>
          <w:sz w:val="28"/>
          <w:szCs w:val="28"/>
        </w:rPr>
        <w:sectPr>
          <w:pgSz w:w="16838" w:h="11906" w:orient="landscape"/>
          <w:pgMar w:top="1800" w:right="1440" w:bottom="1800" w:left="1440" w:header="851" w:footer="992" w:gutter="0"/>
          <w:pgNumType w:fmt="numberInDash"/>
          <w:cols w:space="720" w:num="1"/>
          <w:docGrid w:type="lines" w:linePitch="312" w:charSpace="0"/>
        </w:sectPr>
      </w:pPr>
      <w:r>
        <w:rPr>
          <w:rFonts w:hint="eastAsia" w:ascii="华文楷体" w:hAnsi="华文楷体" w:eastAsia="华文楷体" w:cs="华文楷体"/>
          <w:sz w:val="28"/>
          <w:szCs w:val="28"/>
        </w:rPr>
        <w:t>对特种作业人员要求：年满十八周岁，且不超过国家法定退休年龄；具有初中及以上文化程度（危化品特种作业人员应当具备高中或者相当于高中及以上文化程度）；身体健康，无高血压、心脏病、癫痫病、眩晕症等妨碍本作业的其他疾病及生理缺陷；具备必要的安全技术知识与技能；相应特种作业规定的其他条件。</w:t>
      </w:r>
    </w:p>
    <w:p>
      <w:pPr>
        <w:pStyle w:val="12"/>
        <w:ind w:firstLine="0" w:firstLineChars="0"/>
        <w:rPr>
          <w:rFonts w:ascii="黑体" w:hAnsi="黑体" w:eastAsia="黑体" w:cs="黑体"/>
        </w:rPr>
      </w:pPr>
      <w:r>
        <w:rPr>
          <w:rFonts w:hint="eastAsia" w:ascii="黑体" w:hAnsi="黑体" w:eastAsia="黑体" w:cs="黑体"/>
        </w:rPr>
        <w:t>附表2：</w:t>
      </w:r>
    </w:p>
    <w:p>
      <w:pPr>
        <w:jc w:val="center"/>
        <w:rPr>
          <w:rFonts w:hint="eastAsia" w:ascii="宋体" w:hAnsi="宋体" w:eastAsia="宋体" w:cs="宋体"/>
          <w:b/>
          <w:bCs w:val="0"/>
          <w:sz w:val="36"/>
          <w:szCs w:val="36"/>
        </w:rPr>
      </w:pPr>
      <w:r>
        <w:rPr>
          <w:rFonts w:hint="eastAsia" w:ascii="宋体" w:hAnsi="宋体" w:eastAsia="宋体" w:cs="宋体"/>
          <w:b/>
          <w:bCs w:val="0"/>
          <w:sz w:val="36"/>
          <w:szCs w:val="36"/>
        </w:rPr>
        <w:t>特种设备操作证和特殊工种作业人员资格证</w:t>
      </w:r>
    </w:p>
    <w:p>
      <w:pPr>
        <w:jc w:val="center"/>
        <w:rPr>
          <w:rFonts w:hint="eastAsia" w:ascii="宋体" w:hAnsi="宋体" w:eastAsia="宋体" w:cs="宋体"/>
          <w:b/>
          <w:bCs w:val="0"/>
          <w:sz w:val="36"/>
          <w:szCs w:val="36"/>
        </w:rPr>
      </w:pPr>
      <w:r>
        <w:rPr>
          <w:rFonts w:hint="eastAsia" w:ascii="宋体" w:hAnsi="宋体" w:eastAsia="宋体" w:cs="宋体"/>
          <w:b/>
          <w:bCs w:val="0"/>
          <w:sz w:val="36"/>
          <w:szCs w:val="36"/>
        </w:rPr>
        <w:t>查询</w:t>
      </w:r>
      <w:r>
        <w:rPr>
          <w:rFonts w:hint="eastAsia" w:ascii="宋体" w:hAnsi="宋体" w:cs="宋体"/>
          <w:b/>
          <w:bCs w:val="0"/>
          <w:sz w:val="36"/>
          <w:szCs w:val="36"/>
          <w:lang w:eastAsia="zh-CN"/>
        </w:rPr>
        <w:t>方式</w:t>
      </w:r>
    </w:p>
    <w:p>
      <w:pPr>
        <w:pStyle w:val="12"/>
        <w:spacing w:line="460" w:lineRule="exact"/>
        <w:ind w:firstLine="560"/>
        <w:rPr>
          <w:sz w:val="28"/>
          <w:szCs w:val="28"/>
        </w:rPr>
      </w:pPr>
      <w:r>
        <w:rPr>
          <w:rFonts w:hint="eastAsia"/>
          <w:sz w:val="28"/>
          <w:szCs w:val="28"/>
        </w:rPr>
        <w:t>1.小散工程涉及的特种作业操作证，主要分为住房建设系统发证和应急管理（安监）系统发证两类，可以从特种作业操作证上的发证机关进行辨别。</w:t>
      </w:r>
    </w:p>
    <w:p>
      <w:pPr>
        <w:pStyle w:val="12"/>
        <w:spacing w:line="460" w:lineRule="exact"/>
        <w:ind w:firstLine="560"/>
        <w:rPr>
          <w:sz w:val="28"/>
          <w:szCs w:val="28"/>
        </w:rPr>
      </w:pPr>
      <w:r>
        <w:rPr>
          <w:rFonts w:hint="eastAsia"/>
          <w:sz w:val="28"/>
          <w:szCs w:val="28"/>
        </w:rPr>
        <w:t>2.对于应急管理（安监）系统制发的特种作业操作证，可登录</w:t>
      </w:r>
      <w:r>
        <w:rPr>
          <w:rFonts w:hint="eastAsia"/>
          <w:sz w:val="28"/>
          <w:szCs w:val="28"/>
          <w:lang w:eastAsia="zh-CN"/>
        </w:rPr>
        <w:t>“</w:t>
      </w:r>
      <w:r>
        <w:fldChar w:fldCharType="begin"/>
      </w:r>
      <w:r>
        <w:instrText xml:space="preserve">HYPERLINK "http://cx.saws.org.cn/" \t "https://www.mem.gov.cn/fw/cxfw/_blank" </w:instrText>
      </w:r>
      <w:r>
        <w:fldChar w:fldCharType="separate"/>
      </w:r>
      <w:r>
        <w:rPr>
          <w:rStyle w:val="19"/>
          <w:rFonts w:hint="eastAsia"/>
          <w:sz w:val="28"/>
          <w:szCs w:val="28"/>
        </w:rPr>
        <w:t>特种作业操作证及安全生产知识和管理能力考核合格信息查询</w:t>
      </w:r>
      <w:r>
        <w:fldChar w:fldCharType="end"/>
      </w:r>
      <w:r>
        <w:rPr>
          <w:rStyle w:val="19"/>
          <w:rFonts w:hint="eastAsia"/>
          <w:sz w:val="28"/>
          <w:szCs w:val="28"/>
        </w:rPr>
        <w:t>平台</w:t>
      </w:r>
      <w:r>
        <w:rPr>
          <w:rFonts w:hint="eastAsia"/>
          <w:sz w:val="28"/>
          <w:szCs w:val="28"/>
          <w:lang w:eastAsia="zh-CN"/>
        </w:rPr>
        <w:t>”</w:t>
      </w:r>
      <w:r>
        <w:rPr>
          <w:rFonts w:hint="eastAsia"/>
          <w:sz w:val="28"/>
          <w:szCs w:val="28"/>
        </w:rPr>
        <w:t>查询真伪。</w:t>
      </w:r>
    </w:p>
    <w:p>
      <w:pPr>
        <w:pStyle w:val="12"/>
        <w:spacing w:line="460" w:lineRule="exact"/>
        <w:ind w:firstLine="560"/>
        <w:rPr>
          <w:rFonts w:ascii="华文楷体" w:hAnsi="华文楷体" w:eastAsia="华文楷体" w:cs="华文楷体"/>
          <w:sz w:val="28"/>
          <w:szCs w:val="28"/>
        </w:rPr>
      </w:pPr>
      <w:r>
        <w:rPr>
          <w:rFonts w:hint="eastAsia"/>
          <w:sz w:val="28"/>
          <w:szCs w:val="28"/>
        </w:rPr>
        <w:t>3.对于住房建设系统制发的特种作业资格证，由各省（自治区、直辖市）住房建设行政主管部门分别制发，需到各省的平台查询真伪。</w:t>
      </w:r>
      <w:r>
        <w:rPr>
          <w:rFonts w:hint="eastAsia"/>
          <w:sz w:val="28"/>
          <w:szCs w:val="28"/>
          <w:lang w:eastAsia="zh-CN"/>
        </w:rPr>
        <w:t>如广东省为“广东省建筑施工特种作业人员资格管理系统”。</w:t>
      </w:r>
    </w:p>
    <w:sectPr>
      <w:type w:val="continuous"/>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auto"/>
    <w:pitch w:val="default"/>
    <w:sig w:usb0="E00002FF" w:usb1="4000ACFF" w:usb2="00000001" w:usb3="00000000" w:csb0="2000019F"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华文楷体">
    <w:altName w:val="楷体_GB2312"/>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4"/>
    </w:pPr>
    <w:r>
      <w:rPr>
        <w:rFonts w:ascii="Calibri" w:hAnsi="Calibri" w:eastAsia="宋体" w:cs="黑体"/>
        <w:kern w:val="2"/>
        <w:sz w:val="18"/>
        <w:szCs w:val="18"/>
        <w:lang w:val="en-US" w:eastAsia="zh-CN" w:bidi="ar-SA"/>
      </w:rPr>
      <w:pict>
        <v:shape id="Quad Arrow 1025" o:spid="_x0000_s1025" type="#_x0000_t202" style="position:absolute;left:0;margin-top:0pt;height:144pt;width:144pt;mso-position-horizontal:center;mso-position-horizontal-relative:margin;mso-wrap-style:none;rotation:0f;z-index:251658240;" o:ole="f" fillcolor="#FFFFFF" filled="f" o:preferrelative="t" stroked="f" coordorigin="0,0" coordsize="21600,21600">
          <v:fill on="f" color2="#FFFFFF" focus="0%"/>
          <v:imagedata gain="65536f" blacklevel="0f" gamma="0"/>
          <o:lock v:ext="edit" position="f" selection="f" grouping="f" rotation="f" cropping="f" text="f" aspectratio="f"/>
          <v:textbox inset="0.00pt,0.00pt,0.00pt,0.00pt" style="mso-fit-shape-to-text:t;">
            <w:txbxContent>
              <w:p>
                <w:pPr>
                  <w:snapToGrid w:val="0"/>
                  <w:rPr>
                    <w:sz w:val="24"/>
                  </w:rPr>
                </w:pPr>
                <w:r>
                  <w:rPr>
                    <w:rFonts w:hint="eastAsia"/>
                    <w:sz w:val="24"/>
                  </w:rPr>
                  <w:fldChar w:fldCharType="begin"/>
                </w:r>
                <w:r>
                  <w:rPr>
                    <w:rFonts w:hint="eastAsia"/>
                    <w:sz w:val="24"/>
                  </w:rPr>
                  <w:instrText xml:space="preserve"> PAGE  \* MERGEFORMAT </w:instrText>
                </w:r>
                <w:r>
                  <w:rPr>
                    <w:rFonts w:hint="eastAsia"/>
                    <w:sz w:val="24"/>
                  </w:rPr>
                  <w:fldChar w:fldCharType="separate"/>
                </w:r>
                <w:r>
                  <w:rPr>
                    <w:sz w:val="24"/>
                  </w:rPr>
                  <w:t>- 1 -</w:t>
                </w:r>
                <w:r>
                  <w:rPr>
                    <w:rFonts w:hint="eastAsia"/>
                    <w:sz w:val="24"/>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572855530">
    <w:nsid w:val="5DBFDEEA"/>
    <w:multiLevelType w:val="singleLevel"/>
    <w:tmpl w:val="5DBFDEEA"/>
    <w:lvl w:ilvl="0" w:tentative="1">
      <w:start w:val="1"/>
      <w:numFmt w:val="decimal"/>
      <w:suff w:val="nothing"/>
      <w:lvlText w:val="%1."/>
      <w:lvlJc w:val="left"/>
    </w:lvl>
  </w:abstractNum>
  <w:abstractNum w:abstractNumId="1572851768">
    <w:nsid w:val="5DBFD038"/>
    <w:multiLevelType w:val="singleLevel"/>
    <w:tmpl w:val="5DBFD038"/>
    <w:lvl w:ilvl="0" w:tentative="1">
      <w:start w:val="1"/>
      <w:numFmt w:val="decimal"/>
      <w:suff w:val="nothing"/>
      <w:lvlText w:val="（%1）"/>
      <w:lvlJc w:val="left"/>
    </w:lvl>
  </w:abstractNum>
  <w:abstractNum w:abstractNumId="1572852583">
    <w:nsid w:val="5DBFD367"/>
    <w:multiLevelType w:val="singleLevel"/>
    <w:tmpl w:val="5DBFD367"/>
    <w:lvl w:ilvl="0" w:tentative="1">
      <w:start w:val="1"/>
      <w:numFmt w:val="decimal"/>
      <w:suff w:val="nothing"/>
      <w:lvlText w:val="（%1）"/>
      <w:lvlJc w:val="left"/>
    </w:lvl>
  </w:abstractNum>
  <w:abstractNum w:abstractNumId="1572852617">
    <w:nsid w:val="5DBFD389"/>
    <w:multiLevelType w:val="singleLevel"/>
    <w:tmpl w:val="5DBFD389"/>
    <w:lvl w:ilvl="0" w:tentative="1">
      <w:start w:val="1"/>
      <w:numFmt w:val="decimal"/>
      <w:suff w:val="nothing"/>
      <w:lvlText w:val="（%1）"/>
      <w:lvlJc w:val="left"/>
    </w:lvl>
  </w:abstractNum>
  <w:abstractNum w:abstractNumId="1572851663">
    <w:nsid w:val="5DBFCFCF"/>
    <w:multiLevelType w:val="singleLevel"/>
    <w:tmpl w:val="5DBFCFCF"/>
    <w:lvl w:ilvl="0" w:tentative="1">
      <w:start w:val="1"/>
      <w:numFmt w:val="decimal"/>
      <w:suff w:val="nothing"/>
      <w:lvlText w:val="（%1）"/>
      <w:lvlJc w:val="left"/>
    </w:lvl>
  </w:abstractNum>
  <w:abstractNum w:abstractNumId="1572851734">
    <w:nsid w:val="5DBFD016"/>
    <w:multiLevelType w:val="singleLevel"/>
    <w:tmpl w:val="5DBFD016"/>
    <w:lvl w:ilvl="0" w:tentative="1">
      <w:start w:val="2"/>
      <w:numFmt w:val="decimal"/>
      <w:suff w:val="nothing"/>
      <w:lvlText w:val="%1."/>
      <w:lvlJc w:val="left"/>
    </w:lvl>
  </w:abstractNum>
  <w:abstractNum w:abstractNumId="1572851646">
    <w:nsid w:val="5DBFCFBE"/>
    <w:multiLevelType w:val="singleLevel"/>
    <w:tmpl w:val="5DBFCFBE"/>
    <w:lvl w:ilvl="0" w:tentative="1">
      <w:start w:val="1"/>
      <w:numFmt w:val="decimal"/>
      <w:suff w:val="nothing"/>
      <w:lvlText w:val="%1."/>
      <w:lvlJc w:val="left"/>
    </w:lvl>
  </w:abstractNum>
  <w:num w:numId="1">
    <w:abstractNumId w:val="1572851646"/>
  </w:num>
  <w:num w:numId="2">
    <w:abstractNumId w:val="1572851663"/>
  </w:num>
  <w:num w:numId="3">
    <w:abstractNumId w:val="1572851734"/>
  </w:num>
  <w:num w:numId="4">
    <w:abstractNumId w:val="1572851768"/>
  </w:num>
  <w:num w:numId="5">
    <w:abstractNumId w:val="1572852583"/>
  </w:num>
  <w:num w:numId="6">
    <w:abstractNumId w:val="1572852617"/>
  </w:num>
  <w:num w:numId="7">
    <w:abstractNumId w:val="15728555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splitPgBreakAndParaMark/>
    <w:adjustLineHeightInTable/>
    <w:doNotBreakWrappedTables/>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rsids>
    <w:rsidRoot w:val="00D34A0E"/>
    <w:rsid w:val="000351B2"/>
    <w:rsid w:val="00035B14"/>
    <w:rsid w:val="00047B3C"/>
    <w:rsid w:val="00060948"/>
    <w:rsid w:val="001506B5"/>
    <w:rsid w:val="00191E2A"/>
    <w:rsid w:val="001C072F"/>
    <w:rsid w:val="001C40AC"/>
    <w:rsid w:val="001C45F7"/>
    <w:rsid w:val="00203454"/>
    <w:rsid w:val="00204EDC"/>
    <w:rsid w:val="002114E4"/>
    <w:rsid w:val="002503A8"/>
    <w:rsid w:val="002578F0"/>
    <w:rsid w:val="002C3342"/>
    <w:rsid w:val="002D7078"/>
    <w:rsid w:val="00396FCE"/>
    <w:rsid w:val="003A2B1A"/>
    <w:rsid w:val="00433787"/>
    <w:rsid w:val="00443408"/>
    <w:rsid w:val="004930D1"/>
    <w:rsid w:val="004C1488"/>
    <w:rsid w:val="005620D8"/>
    <w:rsid w:val="0057653D"/>
    <w:rsid w:val="00576CA5"/>
    <w:rsid w:val="005A309C"/>
    <w:rsid w:val="00622391"/>
    <w:rsid w:val="00644D46"/>
    <w:rsid w:val="006769BA"/>
    <w:rsid w:val="00687B50"/>
    <w:rsid w:val="006D3E62"/>
    <w:rsid w:val="00710BD2"/>
    <w:rsid w:val="00766628"/>
    <w:rsid w:val="007A01CB"/>
    <w:rsid w:val="007D4487"/>
    <w:rsid w:val="008C78AD"/>
    <w:rsid w:val="008D5DEF"/>
    <w:rsid w:val="00925E56"/>
    <w:rsid w:val="00A1452B"/>
    <w:rsid w:val="00A17E0E"/>
    <w:rsid w:val="00A32715"/>
    <w:rsid w:val="00A62526"/>
    <w:rsid w:val="00A6362B"/>
    <w:rsid w:val="00AE7998"/>
    <w:rsid w:val="00AF747D"/>
    <w:rsid w:val="00B20525"/>
    <w:rsid w:val="00B5720D"/>
    <w:rsid w:val="00B57913"/>
    <w:rsid w:val="00B609C6"/>
    <w:rsid w:val="00B71FD9"/>
    <w:rsid w:val="00B721C2"/>
    <w:rsid w:val="00B8359B"/>
    <w:rsid w:val="00B8658E"/>
    <w:rsid w:val="00BB71A5"/>
    <w:rsid w:val="00BC23E9"/>
    <w:rsid w:val="00C06BF5"/>
    <w:rsid w:val="00C07A49"/>
    <w:rsid w:val="00C4117C"/>
    <w:rsid w:val="00CB173A"/>
    <w:rsid w:val="00D3213F"/>
    <w:rsid w:val="00D34A0E"/>
    <w:rsid w:val="00D9119F"/>
    <w:rsid w:val="00D923B1"/>
    <w:rsid w:val="00DF0E9F"/>
    <w:rsid w:val="00DF4C87"/>
    <w:rsid w:val="00E73620"/>
    <w:rsid w:val="00E75014"/>
    <w:rsid w:val="00E83B5A"/>
    <w:rsid w:val="00EA3D4F"/>
    <w:rsid w:val="00EC4E72"/>
    <w:rsid w:val="00EC79E9"/>
    <w:rsid w:val="00ED2A94"/>
    <w:rsid w:val="00F23AF3"/>
    <w:rsid w:val="00F55CC5"/>
    <w:rsid w:val="00F63392"/>
    <w:rsid w:val="00F81A5B"/>
    <w:rsid w:val="00F87E2A"/>
    <w:rsid w:val="00FA1F57"/>
    <w:rsid w:val="00FE290D"/>
    <w:rsid w:val="02317978"/>
    <w:rsid w:val="02397CB2"/>
    <w:rsid w:val="08832305"/>
    <w:rsid w:val="0AE65372"/>
    <w:rsid w:val="0B5E2E86"/>
    <w:rsid w:val="0BF32F26"/>
    <w:rsid w:val="0FF259B5"/>
    <w:rsid w:val="124F6B19"/>
    <w:rsid w:val="132A1CFF"/>
    <w:rsid w:val="137A4F81"/>
    <w:rsid w:val="13DC1337"/>
    <w:rsid w:val="1458496F"/>
    <w:rsid w:val="14BD2115"/>
    <w:rsid w:val="14D577BC"/>
    <w:rsid w:val="16304A9A"/>
    <w:rsid w:val="189B6A6C"/>
    <w:rsid w:val="18FC1153"/>
    <w:rsid w:val="1B5F18F4"/>
    <w:rsid w:val="1BB77A06"/>
    <w:rsid w:val="1BD9703F"/>
    <w:rsid w:val="1D4F4622"/>
    <w:rsid w:val="1E2C6749"/>
    <w:rsid w:val="1E980312"/>
    <w:rsid w:val="201F4440"/>
    <w:rsid w:val="22A21F61"/>
    <w:rsid w:val="231C3E29"/>
    <w:rsid w:val="23663152"/>
    <w:rsid w:val="25AB795A"/>
    <w:rsid w:val="25CB5C91"/>
    <w:rsid w:val="26913B75"/>
    <w:rsid w:val="27D43AE7"/>
    <w:rsid w:val="286F5356"/>
    <w:rsid w:val="2B2E26FB"/>
    <w:rsid w:val="2B9C061A"/>
    <w:rsid w:val="2C2E56DA"/>
    <w:rsid w:val="2F46011B"/>
    <w:rsid w:val="2FF019A1"/>
    <w:rsid w:val="31B04D12"/>
    <w:rsid w:val="322A6BDA"/>
    <w:rsid w:val="3295408B"/>
    <w:rsid w:val="335E5BFF"/>
    <w:rsid w:val="33F63FF6"/>
    <w:rsid w:val="36044CAC"/>
    <w:rsid w:val="3860038E"/>
    <w:rsid w:val="38D96D53"/>
    <w:rsid w:val="398F6072"/>
    <w:rsid w:val="39FD3633"/>
    <w:rsid w:val="3A2B62AA"/>
    <w:rsid w:val="3A4E4336"/>
    <w:rsid w:val="3A624A0A"/>
    <w:rsid w:val="3B72497D"/>
    <w:rsid w:val="3EF178D3"/>
    <w:rsid w:val="3F8846C8"/>
    <w:rsid w:val="3F9625DF"/>
    <w:rsid w:val="3FC10EA5"/>
    <w:rsid w:val="40387BEA"/>
    <w:rsid w:val="410A7F42"/>
    <w:rsid w:val="43FB0295"/>
    <w:rsid w:val="46500769"/>
    <w:rsid w:val="497A5C7B"/>
    <w:rsid w:val="4A467D26"/>
    <w:rsid w:val="4BCF496E"/>
    <w:rsid w:val="4CD007AA"/>
    <w:rsid w:val="4F7E7777"/>
    <w:rsid w:val="50312F35"/>
    <w:rsid w:val="51BA1C44"/>
    <w:rsid w:val="51BB3041"/>
    <w:rsid w:val="55D2589B"/>
    <w:rsid w:val="56B72E53"/>
    <w:rsid w:val="56E34625"/>
    <w:rsid w:val="575F1D66"/>
    <w:rsid w:val="589A2A0F"/>
    <w:rsid w:val="589D71F0"/>
    <w:rsid w:val="596452D9"/>
    <w:rsid w:val="5A1F18EA"/>
    <w:rsid w:val="5B2F7529"/>
    <w:rsid w:val="5F5128BB"/>
    <w:rsid w:val="612B2CF7"/>
    <w:rsid w:val="63080089"/>
    <w:rsid w:val="63201EAD"/>
    <w:rsid w:val="65A11F4C"/>
    <w:rsid w:val="69615C8C"/>
    <w:rsid w:val="6B561285"/>
    <w:rsid w:val="6BA63E2B"/>
    <w:rsid w:val="6C0E4565"/>
    <w:rsid w:val="6E0C6798"/>
    <w:rsid w:val="6EBB0EBA"/>
    <w:rsid w:val="6F5C2C41"/>
    <w:rsid w:val="71CE05C1"/>
    <w:rsid w:val="73F14765"/>
    <w:rsid w:val="75F13FEC"/>
    <w:rsid w:val="7926361D"/>
    <w:rsid w:val="7B992543"/>
    <w:rsid w:val="7DD47A7D"/>
    <w:rsid w:val="7E9E1C12"/>
    <w:rsid w:val="7EEF72D1"/>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1"/>
    <w:next w:val="1"/>
    <w:qFormat/>
    <w:uiPriority w:val="0"/>
    <w:pPr>
      <w:spacing w:before="100" w:beforeAutospacing="1" w:after="100" w:afterAutospacing="1"/>
      <w:outlineLvl w:val="0"/>
    </w:pPr>
    <w:rPr>
      <w:rFonts w:hint="eastAsia" w:ascii="宋体" w:hAnsi="宋体" w:eastAsia="宋体" w:cs="宋体"/>
      <w:b/>
      <w:kern w:val="44"/>
      <w:sz w:val="48"/>
      <w:szCs w:val="48"/>
      <w:lang w:val="en-US" w:eastAsia="zh-CN" w:bidi="ar-SA"/>
    </w:rPr>
  </w:style>
  <w:style w:type="character" w:default="1" w:styleId="6">
    <w:name w:val="Default Paragraph Font"/>
    <w:unhideWhenUsed/>
    <w:qFormat/>
    <w:uiPriority w:val="1"/>
  </w:style>
  <w:style w:type="table" w:default="1" w:styleId="10">
    <w:name w:val="Normal Table"/>
    <w:unhideWhenUsed/>
    <w:qFormat/>
    <w:uiPriority w:val="99"/>
    <w:tblPr>
      <w:tblStyle w:val="10"/>
      <w:tblLayout w:type="fixed"/>
      <w:tblCellMar>
        <w:top w:w="0" w:type="dxa"/>
        <w:left w:w="108" w:type="dxa"/>
        <w:bottom w:w="0" w:type="dxa"/>
        <w:right w:w="108" w:type="dxa"/>
      </w:tblCellMar>
    </w:tblPr>
    <w:tcPr>
      <w:textDirection w:val="lrTb"/>
    </w:tcPr>
  </w:style>
  <w:style w:type="paragraph" w:styleId="3">
    <w:name w:val="Balloon Text"/>
    <w:basedOn w:val="1"/>
    <w:link w:val="20"/>
    <w:qFormat/>
    <w:uiPriority w:val="0"/>
    <w:rPr>
      <w:sz w:val="18"/>
      <w:szCs w:val="18"/>
    </w:rPr>
  </w:style>
  <w:style w:type="paragraph" w:styleId="4">
    <w:name w:val="footer"/>
    <w:basedOn w:val="1"/>
    <w:link w:val="18"/>
    <w:qFormat/>
    <w:uiPriority w:val="0"/>
    <w:pPr>
      <w:tabs>
        <w:tab w:val="center" w:pos="4153"/>
        <w:tab w:val="right" w:pos="8306"/>
      </w:tabs>
      <w:snapToGrid w:val="0"/>
      <w:jc w:val="left"/>
    </w:pPr>
    <w:rPr>
      <w:sz w:val="18"/>
      <w:szCs w:val="18"/>
    </w:rPr>
  </w:style>
  <w:style w:type="paragraph" w:styleId="5">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rPr/>
  </w:style>
  <w:style w:type="character" w:styleId="8">
    <w:name w:val="FollowedHyperlink"/>
    <w:qFormat/>
    <w:uiPriority w:val="0"/>
    <w:rPr>
      <w:color w:val="000000"/>
      <w:sz w:val="18"/>
      <w:szCs w:val="18"/>
      <w:u w:val="none"/>
    </w:rPr>
  </w:style>
  <w:style w:type="character" w:styleId="9">
    <w:name w:val="Hyperlink"/>
    <w:qFormat/>
    <w:uiPriority w:val="0"/>
    <w:rPr>
      <w:color w:val="000000"/>
      <w:sz w:val="18"/>
      <w:szCs w:val="18"/>
      <w:u w:val="none"/>
    </w:rPr>
  </w:style>
  <w:style w:type="table" w:styleId="11">
    <w:name w:val="Table Grid"/>
    <w:basedOn w:val="10"/>
    <w:qFormat/>
    <w:uiPriority w:val="39"/>
    <w:pPr/>
    <w:tblPr>
      <w:tblStyle w:val="10"/>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paragraph" w:customStyle="1" w:styleId="12">
    <w:name w:val="BZWFS"/>
    <w:link w:val="19"/>
    <w:qFormat/>
    <w:uiPriority w:val="0"/>
    <w:pPr>
      <w:widowControl w:val="0"/>
      <w:spacing w:line="560" w:lineRule="exact"/>
      <w:ind w:firstLine="200" w:firstLineChars="200"/>
      <w:jc w:val="both"/>
    </w:pPr>
    <w:rPr>
      <w:rFonts w:ascii="仿宋_GB2312" w:hAnsi="仿宋_GB2312" w:eastAsia="仿宋_GB2312" w:cs="Times New Roman"/>
      <w:sz w:val="32"/>
      <w:szCs w:val="32"/>
      <w:lang w:val="en-US" w:eastAsia="zh-CN" w:bidi="ar-SA"/>
    </w:rPr>
  </w:style>
  <w:style w:type="paragraph" w:customStyle="1" w:styleId="13">
    <w:name w:val="BT01"/>
    <w:next w:val="12"/>
    <w:qFormat/>
    <w:uiPriority w:val="0"/>
    <w:pPr>
      <w:keepNext/>
      <w:widowControl w:val="0"/>
      <w:spacing w:before="100" w:beforeLines="100" w:after="100" w:afterLines="100" w:line="360" w:lineRule="auto"/>
      <w:jc w:val="center"/>
      <w:outlineLvl w:val="0"/>
    </w:pPr>
    <w:rPr>
      <w:rFonts w:ascii="宋体" w:hAnsi="宋体" w:eastAsia="宋体" w:cs="黑体"/>
      <w:b/>
      <w:kern w:val="2"/>
      <w:sz w:val="36"/>
      <w:szCs w:val="32"/>
      <w:lang w:val="en-US" w:eastAsia="zh-CN" w:bidi="ar-SA"/>
    </w:rPr>
  </w:style>
  <w:style w:type="paragraph" w:customStyle="1" w:styleId="14">
    <w:name w:val="公式排版"/>
    <w:basedOn w:val="1"/>
    <w:qFormat/>
    <w:uiPriority w:val="0"/>
    <w:pPr>
      <w:tabs>
        <w:tab w:val="center" w:pos="3990"/>
        <w:tab w:val="right" w:pos="7980"/>
      </w:tabs>
      <w:textAlignment w:val="baseline"/>
    </w:pPr>
    <w:rPr>
      <w:sz w:val="24"/>
    </w:rPr>
  </w:style>
  <w:style w:type="paragraph" w:customStyle="1" w:styleId="15">
    <w:name w:val="列表段落1"/>
    <w:basedOn w:val="1"/>
    <w:qFormat/>
    <w:uiPriority w:val="34"/>
    <w:pPr>
      <w:ind w:firstLine="420" w:firstLineChars="200"/>
    </w:pPr>
  </w:style>
  <w:style w:type="paragraph" w:customStyle="1" w:styleId="16">
    <w:name w:val="Char Char Char Char Char Char1 Char"/>
    <w:basedOn w:val="1"/>
    <w:qFormat/>
    <w:uiPriority w:val="0"/>
    <w:pPr>
      <w:widowControl/>
      <w:spacing w:after="160" w:line="240" w:lineRule="exact"/>
      <w:jc w:val="left"/>
    </w:pPr>
    <w:rPr>
      <w:rFonts w:hint="eastAsia" w:ascii="Times New Roman" w:hAnsi="Times New Roman" w:eastAsia="Times New Roman" w:cs="Times New Roman"/>
      <w:szCs w:val="20"/>
    </w:rPr>
  </w:style>
  <w:style w:type="character" w:customStyle="1" w:styleId="17">
    <w:name w:val="页眉 Char"/>
    <w:link w:val="5"/>
    <w:qFormat/>
    <w:uiPriority w:val="0"/>
    <w:rPr>
      <w:rFonts w:ascii="Calibri" w:hAnsi="Calibri" w:eastAsia="宋体" w:cs="黑体"/>
      <w:kern w:val="2"/>
      <w:sz w:val="18"/>
      <w:szCs w:val="18"/>
    </w:rPr>
  </w:style>
  <w:style w:type="character" w:customStyle="1" w:styleId="18">
    <w:name w:val="页脚 Char"/>
    <w:link w:val="4"/>
    <w:qFormat/>
    <w:uiPriority w:val="0"/>
    <w:rPr>
      <w:rFonts w:ascii="Calibri" w:hAnsi="Calibri" w:eastAsia="宋体" w:cs="黑体"/>
      <w:kern w:val="2"/>
      <w:sz w:val="18"/>
      <w:szCs w:val="18"/>
    </w:rPr>
  </w:style>
  <w:style w:type="character" w:customStyle="1" w:styleId="19">
    <w:name w:val="BZWFS Char1"/>
    <w:link w:val="12"/>
    <w:qFormat/>
    <w:uiPriority w:val="0"/>
    <w:rPr>
      <w:rFonts w:ascii="仿宋_GB2312" w:hAnsi="仿宋_GB2312" w:eastAsia="仿宋_GB2312" w:cs="Times New Roman"/>
      <w:sz w:val="32"/>
      <w:szCs w:val="32"/>
      <w:lang w:val="en-US" w:eastAsia="zh-CN" w:bidi="ar-SA"/>
    </w:rPr>
  </w:style>
  <w:style w:type="character" w:customStyle="1" w:styleId="20">
    <w:name w:val="批注框文本 Char"/>
    <w:link w:val="3"/>
    <w:qFormat/>
    <w:uiPriority w:val="0"/>
    <w:rPr>
      <w:rFonts w:ascii="Calibri" w:hAnsi="Calibri" w:cs="黑体"/>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1421</Words>
  <Characters>7591</Characters>
  <Lines>67</Lines>
  <Paragraphs>19</Paragraphs>
  <ScaleCrop>false</ScaleCrop>
  <LinksUpToDate>false</LinksUpToDate>
  <CharactersWithSpaces>0</CharactersWithSpaces>
  <Application>WPS Office 专业版_9.1.0.4798_{F1E327BC-269C-435d-A152-05C5408002CA}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神勒勒sama</dc:creator>
  <cp:lastModifiedBy>雷飞</cp:lastModifiedBy>
  <dcterms:modified xsi:type="dcterms:W3CDTF">2021-04-08T03:35:53Z</dcterms:modified>
  <dc:title>深圳市小散工程和零星作业资质资格指引（试行）</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2052-9.1.0.4798</vt:lpwstr>
  </property>
  <property fmtid="{D5CDD505-2E9C-101B-9397-08002B2CF9AE}" pid="3" name="ICV">
    <vt:lpwstr>6564CA1ED4234173B6A2DA3252789DB0</vt:lpwstr>
  </property>
</Properties>
</file>