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8"/>
        <w:ind w:firstLine="640"/>
      </w:pPr>
    </w:p>
    <w:p>
      <w:pPr>
        <w:pStyle w:val="8"/>
        <w:ind w:firstLine="640"/>
      </w:pPr>
    </w:p>
    <w:p>
      <w:pPr>
        <w:spacing w:line="560" w:lineRule="exact"/>
        <w:jc w:val="center"/>
        <w:rPr>
          <w:rFonts w:ascii="宋体" w:hAnsi="宋体" w:cs="宋体"/>
          <w:b/>
          <w:bCs/>
          <w:sz w:val="44"/>
          <w:szCs w:val="44"/>
        </w:rPr>
      </w:pPr>
      <w:r>
        <w:rPr>
          <w:rFonts w:hint="eastAsia" w:ascii="宋体" w:hAnsi="宋体" w:cs="宋体"/>
          <w:b/>
          <w:bCs/>
          <w:sz w:val="44"/>
          <w:szCs w:val="44"/>
        </w:rPr>
        <w:t>深圳市小散工程安全生产日常巡查工作指引</w:t>
      </w:r>
    </w:p>
    <w:p>
      <w:pPr>
        <w:spacing w:line="560" w:lineRule="exact"/>
        <w:jc w:val="center"/>
        <w:rPr>
          <w:rFonts w:ascii="宋体" w:hAnsi="宋体" w:cs="宋体"/>
          <w:b/>
          <w:bCs/>
          <w:sz w:val="44"/>
          <w:szCs w:val="44"/>
        </w:rPr>
      </w:pPr>
    </w:p>
    <w:p>
      <w:pPr>
        <w:pStyle w:val="8"/>
        <w:ind w:firstLine="640"/>
      </w:pPr>
      <w:r>
        <w:rPr>
          <w:rFonts w:hint="eastAsia"/>
        </w:rPr>
        <w:t>一、为有效指引小散工程安全生产日常巡查工作，制定本工作指引。</w:t>
      </w:r>
    </w:p>
    <w:p>
      <w:pPr>
        <w:pStyle w:val="8"/>
        <w:ind w:firstLine="640"/>
      </w:pPr>
      <w:r>
        <w:rPr>
          <w:rFonts w:hint="eastAsia"/>
        </w:rPr>
        <w:t>二、本指引供小散工程巡查人员（网格员、物业服务企业巡查人员等）开展安全生产日常巡查工作参考使用。</w:t>
      </w:r>
    </w:p>
    <w:p>
      <w:pPr>
        <w:pStyle w:val="8"/>
        <w:ind w:firstLine="640"/>
      </w:pPr>
      <w:r>
        <w:rPr>
          <w:rFonts w:hint="eastAsia"/>
        </w:rPr>
        <w:t>三、为保证日常巡查工作的可行性与实效性，日常巡查人员仅需承担力所能及的巡查任务，如是否落实有关管理要求、是否符合基本的安全生产条件等，具体巡查内容见附表。对于专业性较强的一些安全检查事项，各街道办事处应另行组织开展安全生产条件核查或委托第三方专业机构巡查，加强巡查整治力度。</w:t>
      </w:r>
    </w:p>
    <w:p>
      <w:pPr>
        <w:pStyle w:val="8"/>
        <w:ind w:firstLine="640"/>
      </w:pPr>
      <w:r>
        <w:rPr>
          <w:rFonts w:hint="eastAsia"/>
        </w:rPr>
        <w:t>四、</w:t>
      </w:r>
      <w:r>
        <w:t>对</w:t>
      </w:r>
      <w:r>
        <w:rPr>
          <w:rFonts w:hint="eastAsia"/>
        </w:rPr>
        <w:t>巡查发现的问题，应立即督促整改，并按规定处理或上报。</w:t>
      </w:r>
    </w:p>
    <w:p>
      <w:pPr>
        <w:pStyle w:val="8"/>
        <w:ind w:firstLine="640"/>
      </w:pPr>
    </w:p>
    <w:p>
      <w:pPr>
        <w:pStyle w:val="8"/>
        <w:ind w:firstLine="640"/>
      </w:pPr>
      <w:r>
        <w:rPr>
          <w:rFonts w:hint="eastAsia"/>
        </w:rPr>
        <w:t>附表：小散工程安全生产日常巡查要点</w:t>
      </w:r>
    </w:p>
    <w:p>
      <w:pPr>
        <w:pStyle w:val="8"/>
        <w:ind w:firstLine="640"/>
      </w:pPr>
    </w:p>
    <w:p>
      <w:pPr>
        <w:pStyle w:val="8"/>
        <w:ind w:firstLine="0" w:firstLineChars="0"/>
      </w:pPr>
    </w:p>
    <w:p>
      <w:pPr>
        <w:pStyle w:val="8"/>
        <w:ind w:firstLine="0" w:firstLineChars="0"/>
      </w:pPr>
    </w:p>
    <w:p>
      <w:pPr>
        <w:pStyle w:val="8"/>
        <w:ind w:firstLine="0" w:firstLineChars="0"/>
      </w:pPr>
    </w:p>
    <w:p>
      <w:pPr>
        <w:autoSpaceDE w:val="0"/>
        <w:autoSpaceDN w:val="0"/>
        <w:spacing w:line="600" w:lineRule="exact"/>
        <w:jc w:val="left"/>
        <w:rPr>
          <w:rFonts w:ascii="黑体" w:hAnsi="黑体" w:eastAsia="黑体" w:cs="Times New Roman"/>
          <w:kern w:val="0"/>
          <w:sz w:val="32"/>
          <w:szCs w:val="32"/>
        </w:rPr>
      </w:pPr>
      <w:r>
        <w:rPr>
          <w:rFonts w:hint="eastAsia" w:ascii="黑体" w:hAnsi="黑体" w:eastAsia="黑体" w:cs="Times New Roman"/>
          <w:kern w:val="0"/>
          <w:sz w:val="32"/>
          <w:szCs w:val="32"/>
        </w:rPr>
        <w:br w:type="page"/>
      </w:r>
      <w:bookmarkStart w:id="0" w:name="_GoBack"/>
      <w:bookmarkEnd w:id="0"/>
      <w:r>
        <w:rPr>
          <w:rFonts w:hint="eastAsia" w:ascii="黑体" w:hAnsi="黑体" w:eastAsia="黑体" w:cs="Times New Roman"/>
          <w:kern w:val="0"/>
          <w:sz w:val="32"/>
          <w:szCs w:val="32"/>
        </w:rPr>
        <w:t>附表：</w:t>
      </w:r>
    </w:p>
    <w:p>
      <w:pPr>
        <w:autoSpaceDE w:val="0"/>
        <w:autoSpaceDN w:val="0"/>
        <w:spacing w:line="600" w:lineRule="exact"/>
        <w:jc w:val="center"/>
        <w:rPr>
          <w:rFonts w:ascii="宋体" w:hAnsi="宋体" w:cs="宋体"/>
          <w:b/>
          <w:bCs/>
          <w:kern w:val="0"/>
          <w:sz w:val="32"/>
          <w:szCs w:val="32"/>
        </w:rPr>
      </w:pPr>
      <w:r>
        <w:rPr>
          <w:rFonts w:hint="eastAsia" w:ascii="宋体" w:hAnsi="宋体" w:cs="宋体"/>
          <w:b/>
          <w:bCs/>
          <w:kern w:val="0"/>
          <w:sz w:val="32"/>
          <w:szCs w:val="32"/>
        </w:rPr>
        <w:t>小散工程安全生产日常巡查要点</w:t>
      </w:r>
    </w:p>
    <w:tbl>
      <w:tblPr>
        <w:tblStyle w:val="6"/>
        <w:tblW w:w="9208" w:type="dxa"/>
        <w:jc w:val="center"/>
        <w:tblInd w:w="-14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4"/>
        <w:gridCol w:w="5386"/>
        <w:gridCol w:w="567"/>
        <w:gridCol w:w="567"/>
        <w:gridCol w:w="21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328" w:hRule="atLeast"/>
          <w:jc w:val="center"/>
        </w:trPr>
        <w:tc>
          <w:tcPr>
            <w:tcW w:w="494" w:type="dxa"/>
            <w:vMerge w:val="restart"/>
            <w:tcBorders>
              <w:tl2br w:val="nil"/>
              <w:tr2bl w:val="nil"/>
            </w:tcBorders>
            <w:vAlign w:val="center"/>
          </w:tcPr>
          <w:p>
            <w:pPr>
              <w:spacing w:line="240" w:lineRule="exact"/>
              <w:jc w:val="center"/>
              <w:rPr>
                <w:rFonts w:ascii="宋体" w:hAnsi="宋体"/>
                <w:b/>
                <w:szCs w:val="32"/>
              </w:rPr>
            </w:pPr>
            <w:r>
              <w:rPr>
                <w:rFonts w:hint="eastAsia" w:ascii="宋体" w:hAnsi="宋体"/>
                <w:b/>
                <w:szCs w:val="32"/>
              </w:rPr>
              <w:t>序号</w:t>
            </w:r>
          </w:p>
        </w:tc>
        <w:tc>
          <w:tcPr>
            <w:tcW w:w="5386" w:type="dxa"/>
            <w:vMerge w:val="restart"/>
            <w:tcBorders>
              <w:tl2br w:val="nil"/>
              <w:tr2bl w:val="nil"/>
            </w:tcBorders>
            <w:vAlign w:val="center"/>
          </w:tcPr>
          <w:p>
            <w:pPr>
              <w:spacing w:line="240" w:lineRule="exact"/>
              <w:jc w:val="center"/>
              <w:rPr>
                <w:rFonts w:ascii="宋体" w:hAnsi="宋体"/>
                <w:b/>
                <w:szCs w:val="32"/>
              </w:rPr>
            </w:pPr>
            <w:r>
              <w:rPr>
                <w:rFonts w:hint="eastAsia" w:ascii="宋体" w:hAnsi="宋体"/>
                <w:b/>
                <w:szCs w:val="32"/>
              </w:rPr>
              <w:t xml:space="preserve"> 巡 查 内 容</w:t>
            </w:r>
          </w:p>
        </w:tc>
        <w:tc>
          <w:tcPr>
            <w:tcW w:w="1134" w:type="dxa"/>
            <w:gridSpan w:val="2"/>
            <w:tcBorders>
              <w:tl2br w:val="nil"/>
              <w:tr2bl w:val="nil"/>
            </w:tcBorders>
            <w:vAlign w:val="center"/>
          </w:tcPr>
          <w:p>
            <w:pPr>
              <w:spacing w:line="240" w:lineRule="exact"/>
              <w:jc w:val="center"/>
              <w:rPr>
                <w:rFonts w:ascii="宋体" w:hAnsi="宋体"/>
                <w:b/>
                <w:szCs w:val="32"/>
              </w:rPr>
            </w:pPr>
            <w:r>
              <w:rPr>
                <w:rFonts w:hint="eastAsia" w:ascii="宋体" w:hAnsi="宋体"/>
                <w:b/>
                <w:szCs w:val="32"/>
              </w:rPr>
              <w:t>巡查结果</w:t>
            </w:r>
          </w:p>
        </w:tc>
        <w:tc>
          <w:tcPr>
            <w:tcW w:w="2194" w:type="dxa"/>
            <w:vMerge w:val="restart"/>
            <w:tcBorders>
              <w:tl2br w:val="nil"/>
              <w:tr2bl w:val="nil"/>
            </w:tcBorders>
            <w:vAlign w:val="center"/>
          </w:tcPr>
          <w:p>
            <w:pPr>
              <w:spacing w:line="240" w:lineRule="exact"/>
              <w:jc w:val="center"/>
              <w:rPr>
                <w:rFonts w:ascii="宋体" w:hAnsi="宋体"/>
                <w:b/>
                <w:szCs w:val="32"/>
              </w:rPr>
            </w:pPr>
            <w:r>
              <w:rPr>
                <w:rFonts w:hint="eastAsia" w:ascii="宋体" w:hAnsi="宋体"/>
                <w:b/>
                <w:szCs w:val="32"/>
              </w:rPr>
              <w:t>整改措施</w:t>
            </w:r>
          </w:p>
          <w:p>
            <w:pPr>
              <w:spacing w:line="240" w:lineRule="exact"/>
              <w:jc w:val="center"/>
              <w:rPr>
                <w:rFonts w:ascii="宋体" w:hAnsi="宋体"/>
                <w:b/>
                <w:szCs w:val="32"/>
              </w:rPr>
            </w:pPr>
            <w:r>
              <w:rPr>
                <w:rFonts w:hint="eastAsia" w:ascii="宋体" w:hAnsi="宋体"/>
                <w:b/>
                <w:szCs w:val="32"/>
              </w:rPr>
              <w:t>（结果为否时）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268" w:hRule="atLeast"/>
          <w:jc w:val="center"/>
        </w:trPr>
        <w:tc>
          <w:tcPr>
            <w:tcW w:w="494" w:type="dxa"/>
            <w:vMerge w:val="continue"/>
            <w:tcBorders>
              <w:tl2br w:val="nil"/>
              <w:tr2bl w:val="nil"/>
            </w:tcBorders>
            <w:vAlign w:val="center"/>
          </w:tcPr>
          <w:p>
            <w:pPr>
              <w:spacing w:line="240" w:lineRule="exact"/>
              <w:jc w:val="center"/>
              <w:rPr>
                <w:rFonts w:ascii="宋体" w:hAnsi="宋体"/>
                <w:b/>
                <w:szCs w:val="32"/>
              </w:rPr>
            </w:pPr>
          </w:p>
        </w:tc>
        <w:tc>
          <w:tcPr>
            <w:tcW w:w="5386" w:type="dxa"/>
            <w:vMerge w:val="continue"/>
            <w:tcBorders>
              <w:tl2br w:val="nil"/>
              <w:tr2bl w:val="nil"/>
            </w:tcBorders>
            <w:vAlign w:val="center"/>
          </w:tcPr>
          <w:p>
            <w:pPr>
              <w:spacing w:line="240" w:lineRule="exact"/>
              <w:jc w:val="center"/>
              <w:rPr>
                <w:rFonts w:ascii="宋体" w:hAnsi="宋体"/>
                <w:b/>
                <w:szCs w:val="32"/>
              </w:rPr>
            </w:pPr>
          </w:p>
        </w:tc>
        <w:tc>
          <w:tcPr>
            <w:tcW w:w="567" w:type="dxa"/>
            <w:tcBorders>
              <w:tl2br w:val="nil"/>
              <w:tr2bl w:val="nil"/>
            </w:tcBorders>
            <w:vAlign w:val="center"/>
          </w:tcPr>
          <w:p>
            <w:pPr>
              <w:spacing w:line="240" w:lineRule="exact"/>
              <w:jc w:val="center"/>
              <w:rPr>
                <w:rFonts w:ascii="宋体" w:hAnsi="宋体"/>
                <w:b/>
                <w:szCs w:val="32"/>
              </w:rPr>
            </w:pPr>
            <w:r>
              <w:rPr>
                <w:rFonts w:hint="eastAsia" w:ascii="宋体" w:hAnsi="宋体"/>
                <w:b/>
                <w:szCs w:val="32"/>
              </w:rPr>
              <w:t>是</w:t>
            </w:r>
          </w:p>
        </w:tc>
        <w:tc>
          <w:tcPr>
            <w:tcW w:w="567" w:type="dxa"/>
            <w:tcBorders>
              <w:tl2br w:val="nil"/>
              <w:tr2bl w:val="nil"/>
            </w:tcBorders>
            <w:vAlign w:val="center"/>
          </w:tcPr>
          <w:p>
            <w:pPr>
              <w:spacing w:line="240" w:lineRule="exact"/>
              <w:jc w:val="center"/>
              <w:rPr>
                <w:rFonts w:ascii="宋体" w:hAnsi="宋体"/>
                <w:b/>
                <w:szCs w:val="32"/>
              </w:rPr>
            </w:pPr>
            <w:r>
              <w:rPr>
                <w:rFonts w:hint="eastAsia" w:ascii="宋体" w:hAnsi="宋体"/>
                <w:b/>
                <w:szCs w:val="32"/>
              </w:rPr>
              <w:t>否</w:t>
            </w:r>
          </w:p>
        </w:tc>
        <w:tc>
          <w:tcPr>
            <w:tcW w:w="2194" w:type="dxa"/>
            <w:vMerge w:val="continue"/>
            <w:tcBorders>
              <w:tl2br w:val="nil"/>
              <w:tr2bl w:val="nil"/>
            </w:tcBorders>
            <w:vAlign w:val="center"/>
          </w:tcPr>
          <w:p>
            <w:pPr>
              <w:spacing w:line="240" w:lineRule="exact"/>
              <w:jc w:val="center"/>
              <w:rPr>
                <w:rFonts w:ascii="宋体" w:hAnsi="宋体"/>
                <w:b/>
                <w:szCs w:val="32"/>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494" w:type="dxa"/>
            <w:tcBorders>
              <w:tl2br w:val="nil"/>
              <w:tr2bl w:val="nil"/>
            </w:tcBorders>
            <w:vAlign w:val="center"/>
          </w:tcPr>
          <w:p>
            <w:pPr>
              <w:numPr>
                <w:ilvl w:val="0"/>
                <w:numId w:val="1"/>
              </w:numP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是否办理开工登记备案手续，并在</w:t>
            </w:r>
            <w:r>
              <w:rPr>
                <w:rFonts w:hint="eastAsia" w:ascii="宋体" w:hAnsi="宋体" w:cs="Times New Roman"/>
                <w:bCs/>
                <w:kern w:val="0"/>
                <w:sz w:val="20"/>
                <w:szCs w:val="32"/>
              </w:rPr>
              <w:t>施工作业现场醒目位置</w:t>
            </w:r>
            <w:r>
              <w:rPr>
                <w:rFonts w:hint="eastAsia" w:ascii="宋体" w:hAnsi="宋体"/>
                <w:bCs/>
                <w:szCs w:val="32"/>
              </w:rPr>
              <w:t>粘贴备案登记表；</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494" w:type="dxa"/>
            <w:tcBorders>
              <w:tl2br w:val="nil"/>
              <w:tr2bl w:val="nil"/>
            </w:tcBorders>
            <w:vAlign w:val="center"/>
          </w:tcPr>
          <w:p>
            <w:pPr>
              <w:numPr>
                <w:ilvl w:val="0"/>
                <w:numId w:val="1"/>
              </w:numP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是否签署风险告知书，并在</w:t>
            </w:r>
            <w:r>
              <w:rPr>
                <w:rFonts w:hint="eastAsia" w:ascii="宋体" w:hAnsi="宋体" w:cs="Times New Roman"/>
                <w:bCs/>
                <w:kern w:val="0"/>
                <w:sz w:val="20"/>
                <w:szCs w:val="32"/>
              </w:rPr>
              <w:t>施工作业现场醒目位置</w:t>
            </w:r>
            <w:r>
              <w:rPr>
                <w:rFonts w:hint="eastAsia" w:ascii="宋体" w:hAnsi="宋体"/>
                <w:bCs/>
                <w:szCs w:val="32"/>
              </w:rPr>
              <w:t>粘贴风险告知书；</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6" w:hRule="atLeast"/>
          <w:jc w:val="center"/>
        </w:trPr>
        <w:tc>
          <w:tcPr>
            <w:tcW w:w="494" w:type="dxa"/>
            <w:tcBorders>
              <w:tl2br w:val="nil"/>
              <w:tr2bl w:val="nil"/>
            </w:tcBorders>
            <w:vAlign w:val="center"/>
          </w:tcPr>
          <w:p>
            <w:pPr>
              <w:numPr>
                <w:ilvl w:val="0"/>
                <w:numId w:val="1"/>
              </w:numP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是否签署承诺书，并在</w:t>
            </w:r>
            <w:r>
              <w:rPr>
                <w:rFonts w:hint="eastAsia" w:ascii="宋体" w:hAnsi="宋体" w:cs="Times New Roman"/>
                <w:bCs/>
                <w:kern w:val="0"/>
                <w:sz w:val="20"/>
                <w:szCs w:val="32"/>
              </w:rPr>
              <w:t>施工作业现场醒目位置</w:t>
            </w:r>
            <w:r>
              <w:rPr>
                <w:rFonts w:hint="eastAsia" w:ascii="宋体" w:hAnsi="宋体"/>
                <w:bCs/>
                <w:szCs w:val="32"/>
              </w:rPr>
              <w:t>粘贴承诺书；</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266"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特种作业人员是否持证上岗；涉及必须委托施工企业情形的，是否委托具备相应资质的企业施工作业；（日常巡查人员若对该项内容难以辨别，可跳过）</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9"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小散工程是否有施工作业方案或安全专项施工方案；</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377"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r>
              <w:rPr>
                <w:rFonts w:hint="eastAsia" w:ascii="宋体" w:hAnsi="宋体"/>
                <w:bCs/>
                <w:szCs w:val="32"/>
              </w:rPr>
              <w:t>是否对作业人员先培训后上岗；</w:t>
            </w:r>
            <w:r>
              <w:rPr>
                <w:rFonts w:hint="eastAsia"/>
              </w:rPr>
              <w:t xml:space="preserve"> 是否有工人安全教育、安全技术交底等档案记录，是否有签字；</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 xml:space="preserve">立即制止，督促整改，并按规定上报。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576"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21"/>
              </w:rPr>
            </w:pPr>
            <w:r>
              <w:rPr>
                <w:rFonts w:hint="eastAsia" w:ascii="宋体" w:hAnsi="宋体"/>
                <w:bCs/>
                <w:szCs w:val="32"/>
              </w:rPr>
              <w:t>现场专职安全管理人员是否到岗履职； 是否有每天安全检查情况台账；</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立即制止，督促整改，并按规定上报，后续持续跟进检查并上报情况。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582"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21"/>
              </w:rPr>
            </w:pPr>
            <w:r>
              <w:rPr>
                <w:rFonts w:hint="eastAsia"/>
              </w:rPr>
              <w:t>高处作业工人是否佩戴安全帽、安全绳，穿防滑鞋等安全防护用具；高处作业梯子未垫高使用；</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3"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用电作业人员是否穿戴绝缘手套、绝缘鞋，用电作业的环境是否无积水，</w:t>
            </w:r>
            <w:r>
              <w:rPr>
                <w:rFonts w:hint="eastAsia"/>
                <w:szCs w:val="21"/>
              </w:rPr>
              <w:t>电缆电线是否破旧、裸露，是否设置地线</w:t>
            </w:r>
            <w:r>
              <w:rPr>
                <w:rFonts w:hint="eastAsia" w:ascii="宋体" w:hAnsi="宋体"/>
                <w:bCs/>
                <w:szCs w:val="32"/>
              </w:rPr>
              <w:t>；</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 xml:space="preserve">立即制止，督促整改，并按规定上报。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r>
              <w:rPr>
                <w:rFonts w:hint="eastAsia" w:ascii="宋体" w:hAnsi="宋体"/>
                <w:szCs w:val="21"/>
              </w:rPr>
              <w:t>电、气焊（切割）工具、设备等是否具有合格证，施工时应按照要求穿戴防护用具；</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343"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r>
              <w:rPr>
                <w:rFonts w:hint="eastAsia"/>
              </w:rPr>
              <w:t>临街通道或人行通道有无搭设安全防护棚；作业范围是否设置隔离警戒区并有警示标识；</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4"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临边、洞口等易坠落的地方是否设有防护栏杆、警示标志；</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Ex>
        <w:trPr>
          <w:trHeight w:val="699" w:hRule="atLeast"/>
          <w:jc w:val="center"/>
        </w:trPr>
        <w:tc>
          <w:tcPr>
            <w:tcW w:w="494" w:type="dxa"/>
            <w:tcBorders>
              <w:tl2br w:val="nil"/>
              <w:tr2bl w:val="nil"/>
            </w:tcBorders>
            <w:vAlign w:val="center"/>
          </w:tcPr>
          <w:p>
            <w:pPr>
              <w:numPr>
                <w:ilvl w:val="0"/>
                <w:numId w:val="1"/>
              </w:numPr>
              <w:jc w:val="center"/>
              <w:rPr>
                <w:rFonts w:ascii="宋体" w:hAnsi="宋体"/>
                <w:bCs/>
                <w:szCs w:val="32"/>
              </w:rPr>
            </w:pPr>
          </w:p>
        </w:tc>
        <w:tc>
          <w:tcPr>
            <w:tcW w:w="5386" w:type="dxa"/>
            <w:tcBorders>
              <w:tl2br w:val="nil"/>
              <w:tr2bl w:val="nil"/>
            </w:tcBorders>
            <w:vAlign w:val="center"/>
          </w:tcPr>
          <w:p>
            <w:pPr>
              <w:rPr>
                <w:rFonts w:ascii="宋体" w:hAnsi="宋体"/>
                <w:bCs/>
                <w:szCs w:val="32"/>
              </w:rPr>
            </w:pPr>
            <w:r>
              <w:rPr>
                <w:rFonts w:hint="eastAsia" w:ascii="宋体" w:hAnsi="宋体"/>
                <w:bCs/>
                <w:szCs w:val="32"/>
              </w:rPr>
              <w:t>与安全文明施工有关的其他问题。</w:t>
            </w:r>
          </w:p>
        </w:tc>
        <w:tc>
          <w:tcPr>
            <w:tcW w:w="567" w:type="dxa"/>
            <w:tcBorders>
              <w:tl2br w:val="nil"/>
              <w:tr2bl w:val="nil"/>
            </w:tcBorders>
            <w:vAlign w:val="center"/>
          </w:tcPr>
          <w:p>
            <w:pPr>
              <w:jc w:val="center"/>
              <w:rPr>
                <w:rFonts w:ascii="宋体" w:hAnsi="宋体"/>
                <w:bCs/>
                <w:szCs w:val="32"/>
              </w:rPr>
            </w:pPr>
          </w:p>
        </w:tc>
        <w:tc>
          <w:tcPr>
            <w:tcW w:w="567" w:type="dxa"/>
            <w:tcBorders>
              <w:tl2br w:val="nil"/>
              <w:tr2bl w:val="nil"/>
            </w:tcBorders>
            <w:vAlign w:val="center"/>
          </w:tcPr>
          <w:p>
            <w:pPr>
              <w:jc w:val="center"/>
              <w:rPr>
                <w:rFonts w:ascii="宋体" w:hAnsi="宋体"/>
                <w:bCs/>
                <w:szCs w:val="32"/>
              </w:rPr>
            </w:pPr>
          </w:p>
        </w:tc>
        <w:tc>
          <w:tcPr>
            <w:tcW w:w="2194" w:type="dxa"/>
            <w:tcBorders>
              <w:tl2br w:val="nil"/>
              <w:tr2bl w:val="nil"/>
            </w:tcBorders>
            <w:vAlign w:val="center"/>
          </w:tcPr>
          <w:p>
            <w:pPr>
              <w:jc w:val="left"/>
              <w:rPr>
                <w:rFonts w:ascii="宋体" w:hAnsi="宋体"/>
                <w:bCs/>
                <w:szCs w:val="32"/>
              </w:rPr>
            </w:pPr>
            <w:r>
              <w:rPr>
                <w:rFonts w:hint="eastAsia" w:ascii="宋体" w:hAnsi="宋体"/>
                <w:bCs/>
                <w:szCs w:val="32"/>
              </w:rPr>
              <w:t>立即制止，督促整改，并按规定上报。</w:t>
            </w:r>
          </w:p>
        </w:tc>
      </w:tr>
    </w:tbl>
    <w:p>
      <w:pPr>
        <w:spacing w:line="20" w:lineRule="exact"/>
        <w:rPr>
          <w:rFonts w:ascii="仿宋_GB2312" w:eastAsia="仿宋_GB2312" w:cs="仿宋_GB2312"/>
          <w:kern w:val="0"/>
          <w:sz w:val="32"/>
          <w:szCs w:val="32"/>
        </w:rPr>
      </w:pPr>
    </w:p>
    <w:sectPr>
      <w:headerReference r:id="rId4" w:type="default"/>
      <w:footerReference r:id="rId5" w:type="default"/>
      <w:pgSz w:w="11906" w:h="16838"/>
      <w:pgMar w:top="2041" w:right="1531" w:bottom="1814"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Calibri">
    <w:panose1 w:val="020F0502020204030204"/>
    <w:charset w:val="00"/>
    <w:family w:val="auto"/>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r>
      <w:rPr>
        <w:rFonts w:ascii="Calibri" w:hAnsi="Calibri" w:eastAsia="宋体" w:cs="黑体"/>
        <w:kern w:val="2"/>
        <w:sz w:val="18"/>
        <w:szCs w:val="18"/>
        <w:lang w:val="en-US" w:eastAsia="zh-CN" w:bidi="ar-SA"/>
      </w:rPr>
      <w:pict>
        <v:shape id="文本框 1"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sz w:val="18"/>
                  </w:rPr>
                </w:pPr>
                <w:r>
                  <w:rPr>
                    <w:rFonts w:hint="eastAsia"/>
                    <w:sz w:val="24"/>
                  </w:rPr>
                  <w:fldChar w:fldCharType="begin"/>
                </w:r>
                <w:r>
                  <w:rPr>
                    <w:rFonts w:hint="eastAsia"/>
                    <w:sz w:val="24"/>
                  </w:rPr>
                  <w:instrText xml:space="preserve"> PAGE  \* MERGEFORMAT </w:instrText>
                </w:r>
                <w:r>
                  <w:rPr>
                    <w:rFonts w:hint="eastAsia"/>
                    <w:sz w:val="24"/>
                  </w:rPr>
                  <w:fldChar w:fldCharType="separate"/>
                </w:r>
                <w:r>
                  <w:rPr>
                    <w:sz w:val="24"/>
                  </w:rPr>
                  <w:t>- 2 -</w:t>
                </w:r>
                <w:r>
                  <w:rPr>
                    <w:rFonts w:hint="eastAsia"/>
                    <w:sz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33716901">
    <w:nsid w:val="5B6AA9A5"/>
    <w:multiLevelType w:val="singleLevel"/>
    <w:tmpl w:val="5B6AA9A5"/>
    <w:lvl w:ilvl="0" w:tentative="1">
      <w:start w:val="1"/>
      <w:numFmt w:val="decimal"/>
      <w:lvlText w:val="%1."/>
      <w:lvlJc w:val="left"/>
      <w:pPr>
        <w:tabs>
          <w:tab w:val="left" w:pos="425"/>
        </w:tabs>
        <w:ind w:left="425" w:hanging="425"/>
      </w:pPr>
      <w:rPr>
        <w:rFonts w:hint="default"/>
      </w:rPr>
    </w:lvl>
  </w:abstractNum>
  <w:num w:numId="1">
    <w:abstractNumId w:val="153371690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splitPgBreakAndParaMark/>
    <w:doNotExpandShiftReturn/>
    <w:adjustLineHeightInTable/>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72A27"/>
    <w:rsid w:val="00070493"/>
    <w:rsid w:val="00104F68"/>
    <w:rsid w:val="00120E9A"/>
    <w:rsid w:val="00172A27"/>
    <w:rsid w:val="00213E94"/>
    <w:rsid w:val="00242500"/>
    <w:rsid w:val="002A1F65"/>
    <w:rsid w:val="003C6BB5"/>
    <w:rsid w:val="004635ED"/>
    <w:rsid w:val="004B4106"/>
    <w:rsid w:val="004D7C97"/>
    <w:rsid w:val="004E5ED4"/>
    <w:rsid w:val="004E629A"/>
    <w:rsid w:val="00526CE3"/>
    <w:rsid w:val="005A04D5"/>
    <w:rsid w:val="006442CC"/>
    <w:rsid w:val="00660034"/>
    <w:rsid w:val="006B3894"/>
    <w:rsid w:val="006D1FFC"/>
    <w:rsid w:val="006F609C"/>
    <w:rsid w:val="007B2DAD"/>
    <w:rsid w:val="007C50F1"/>
    <w:rsid w:val="007D268B"/>
    <w:rsid w:val="007D2E0E"/>
    <w:rsid w:val="00896888"/>
    <w:rsid w:val="008D4B17"/>
    <w:rsid w:val="00966B87"/>
    <w:rsid w:val="00A10C96"/>
    <w:rsid w:val="00A32153"/>
    <w:rsid w:val="00AB03EF"/>
    <w:rsid w:val="00AD078E"/>
    <w:rsid w:val="00AE7257"/>
    <w:rsid w:val="00B24DFB"/>
    <w:rsid w:val="00B57B2A"/>
    <w:rsid w:val="00BA43D8"/>
    <w:rsid w:val="00BC1280"/>
    <w:rsid w:val="00CD3CA0"/>
    <w:rsid w:val="00D12301"/>
    <w:rsid w:val="00DA3C59"/>
    <w:rsid w:val="00DB0889"/>
    <w:rsid w:val="00E0666C"/>
    <w:rsid w:val="00E673D4"/>
    <w:rsid w:val="00F17161"/>
    <w:rsid w:val="00F373B4"/>
    <w:rsid w:val="00FB3B08"/>
    <w:rsid w:val="0153075F"/>
    <w:rsid w:val="01B01053"/>
    <w:rsid w:val="01D0673A"/>
    <w:rsid w:val="03055670"/>
    <w:rsid w:val="03B010D2"/>
    <w:rsid w:val="077533F1"/>
    <w:rsid w:val="09AE656F"/>
    <w:rsid w:val="0AF049F8"/>
    <w:rsid w:val="114B4D0C"/>
    <w:rsid w:val="20801815"/>
    <w:rsid w:val="20A11517"/>
    <w:rsid w:val="2B322369"/>
    <w:rsid w:val="2D922309"/>
    <w:rsid w:val="2EE338FA"/>
    <w:rsid w:val="34F841AE"/>
    <w:rsid w:val="3BCE7CAB"/>
    <w:rsid w:val="3CB0609F"/>
    <w:rsid w:val="3E7364AF"/>
    <w:rsid w:val="40FA17BB"/>
    <w:rsid w:val="41053ABB"/>
    <w:rsid w:val="4757351A"/>
    <w:rsid w:val="4B3B40FA"/>
    <w:rsid w:val="4C73547C"/>
    <w:rsid w:val="4D1C5A0E"/>
    <w:rsid w:val="50B00DED"/>
    <w:rsid w:val="518E3B5A"/>
    <w:rsid w:val="596452D9"/>
    <w:rsid w:val="59BD50C9"/>
    <w:rsid w:val="674C1F87"/>
    <w:rsid w:val="6F8E0100"/>
    <w:rsid w:val="709E2354"/>
    <w:rsid w:val="73F11447"/>
    <w:rsid w:val="76767575"/>
    <w:rsid w:val="776677F4"/>
    <w:rsid w:val="7999518A"/>
    <w:rsid w:val="7D3E2AE6"/>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character" w:default="1" w:styleId="5">
    <w:name w:val="Default Paragraph Font"/>
    <w:unhideWhenUsed/>
    <w:uiPriority w:val="1"/>
  </w:style>
  <w:style w:type="table" w:default="1" w:styleId="6">
    <w:name w:val="Normal Table"/>
    <w:unhideWhenUsed/>
    <w:uiPriority w:val="99"/>
    <w:tblPr>
      <w:tblStyle w:val="6"/>
      <w:tblLayout w:type="fixed"/>
      <w:tblCellMar>
        <w:top w:w="0" w:type="dxa"/>
        <w:left w:w="108" w:type="dxa"/>
        <w:bottom w:w="0" w:type="dxa"/>
        <w:right w:w="108" w:type="dxa"/>
      </w:tblCellMar>
    </w:tblPr>
    <w:tcPr>
      <w:textDirection w:val="lrTb"/>
    </w:tcPr>
  </w:style>
  <w:style w:type="paragraph" w:styleId="2">
    <w:name w:val="Balloon Text"/>
    <w:basedOn w:val="1"/>
    <w:link w:val="14"/>
    <w:uiPriority w:val="0"/>
    <w:rPr>
      <w:sz w:val="18"/>
      <w:szCs w:val="18"/>
    </w:rPr>
  </w:style>
  <w:style w:type="paragraph" w:styleId="3">
    <w:name w:val="footer"/>
    <w:basedOn w:val="1"/>
    <w:link w:val="13"/>
    <w:uiPriority w:val="0"/>
    <w:pPr>
      <w:tabs>
        <w:tab w:val="center" w:pos="4153"/>
        <w:tab w:val="right" w:pos="8306"/>
      </w:tabs>
      <w:snapToGrid w:val="0"/>
      <w:jc w:val="left"/>
    </w:pPr>
    <w:rPr>
      <w:sz w:val="18"/>
      <w:szCs w:val="18"/>
    </w:rPr>
  </w:style>
  <w:style w:type="paragraph" w:styleId="4">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customStyle="1" w:styleId="7">
    <w:name w:val="BT01"/>
    <w:next w:val="8"/>
    <w:qFormat/>
    <w:uiPriority w:val="0"/>
    <w:pPr>
      <w:keepNext/>
      <w:widowControl w:val="0"/>
      <w:spacing w:before="100" w:beforeLines="100" w:after="100" w:afterLines="100" w:line="360" w:lineRule="auto"/>
      <w:jc w:val="center"/>
      <w:outlineLvl w:val="0"/>
    </w:pPr>
    <w:rPr>
      <w:rFonts w:ascii="宋体" w:hAnsi="宋体" w:eastAsia="宋体" w:cs="黑体"/>
      <w:b/>
      <w:kern w:val="2"/>
      <w:sz w:val="36"/>
      <w:szCs w:val="32"/>
      <w:lang w:val="en-US" w:eastAsia="zh-CN" w:bidi="ar-SA"/>
    </w:rPr>
  </w:style>
  <w:style w:type="paragraph" w:customStyle="1" w:styleId="8">
    <w:name w:val="BZWFS"/>
    <w:link w:val="9"/>
    <w:qFormat/>
    <w:uiPriority w:val="0"/>
    <w:pPr>
      <w:widowControl w:val="0"/>
      <w:spacing w:line="560" w:lineRule="exact"/>
      <w:ind w:firstLine="200" w:firstLineChars="200"/>
      <w:jc w:val="both"/>
    </w:pPr>
    <w:rPr>
      <w:rFonts w:ascii="仿宋_GB2312" w:hAnsi="仿宋_GB2312" w:eastAsia="仿宋_GB2312" w:cs="Times New Roman"/>
      <w:sz w:val="32"/>
      <w:szCs w:val="32"/>
      <w:lang w:val="en-US" w:eastAsia="zh-CN" w:bidi="ar-SA"/>
    </w:rPr>
  </w:style>
  <w:style w:type="character" w:customStyle="1" w:styleId="9">
    <w:name w:val="BZWFS Char"/>
    <w:link w:val="8"/>
    <w:uiPriority w:val="0"/>
    <w:rPr>
      <w:rFonts w:ascii="仿宋_GB2312" w:hAnsi="仿宋_GB2312" w:eastAsia="仿宋_GB2312"/>
      <w:sz w:val="32"/>
      <w:szCs w:val="32"/>
    </w:rPr>
  </w:style>
  <w:style w:type="paragraph" w:customStyle="1" w:styleId="10">
    <w:name w:val="公式排版"/>
    <w:basedOn w:val="1"/>
    <w:qFormat/>
    <w:uiPriority w:val="0"/>
    <w:pPr>
      <w:tabs>
        <w:tab w:val="center" w:pos="3990"/>
        <w:tab w:val="right" w:pos="7980"/>
      </w:tabs>
      <w:textAlignment w:val="baseline"/>
    </w:pPr>
    <w:rPr>
      <w:sz w:val="24"/>
    </w:rPr>
  </w:style>
  <w:style w:type="character" w:customStyle="1" w:styleId="11">
    <w:name w:val="fontstyle01"/>
    <w:qFormat/>
    <w:uiPriority w:val="0"/>
    <w:rPr>
      <w:rFonts w:hint="eastAsia" w:ascii="仿宋_GB2312" w:eastAsia="仿宋_GB2312"/>
      <w:color w:val="000000"/>
      <w:sz w:val="32"/>
      <w:szCs w:val="32"/>
    </w:rPr>
  </w:style>
  <w:style w:type="character" w:customStyle="1" w:styleId="12">
    <w:name w:val="页眉 Char"/>
    <w:link w:val="4"/>
    <w:uiPriority w:val="0"/>
    <w:rPr>
      <w:rFonts w:ascii="Calibri" w:hAnsi="Calibri" w:eastAsia="宋体" w:cs="黑体"/>
      <w:kern w:val="2"/>
      <w:sz w:val="18"/>
      <w:szCs w:val="18"/>
    </w:rPr>
  </w:style>
  <w:style w:type="character" w:customStyle="1" w:styleId="13">
    <w:name w:val="页脚 Char"/>
    <w:link w:val="3"/>
    <w:uiPriority w:val="0"/>
    <w:rPr>
      <w:rFonts w:ascii="Calibri" w:hAnsi="Calibri" w:eastAsia="宋体" w:cs="黑体"/>
      <w:kern w:val="2"/>
      <w:sz w:val="18"/>
      <w:szCs w:val="18"/>
    </w:rPr>
  </w:style>
  <w:style w:type="character" w:customStyle="1" w:styleId="14">
    <w:name w:val="批注框文本 Char"/>
    <w:link w:val="2"/>
    <w:uiPriority w:val="0"/>
    <w:rPr>
      <w:rFonts w:ascii="Calibri" w:hAnsi="Calibri" w:cs="黑体"/>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184</Words>
  <Characters>1093</Characters>
  <Lines>8</Lines>
  <Paragraphs>2</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神勒勒sama</dc:creator>
  <cp:lastModifiedBy>雷飞</cp:lastModifiedBy>
  <dcterms:modified xsi:type="dcterms:W3CDTF">2019-12-26T12:09:38Z</dcterms:modified>
  <dc:title>深圳市小散工程和零星作业安全生产巡查工作指引（试行）</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