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14"/>
      </w:pPr>
      <w:bookmarkStart w:id="0" w:name="_GoBack"/>
      <w:bookmarkEnd w:id="0"/>
    </w:p>
    <w:p>
      <w:pPr>
        <w:pStyle w:val="14"/>
      </w:pPr>
    </w:p>
    <w:p>
      <w:pPr>
        <w:pStyle w:val="12"/>
        <w:rPr>
          <w:rFonts w:ascii="Times New Roman" w:hAnsi="Times New Roman"/>
          <w:bCs/>
          <w:kern w:val="2"/>
          <w:sz w:val="36"/>
          <w:szCs w:val="36"/>
        </w:rPr>
      </w:pPr>
      <w:r>
        <w:rPr>
          <w:rFonts w:hint="eastAsia" w:ascii="Times New Roman" w:hAnsi="Times New Roman"/>
          <w:bCs/>
          <w:kern w:val="2"/>
          <w:sz w:val="36"/>
          <w:szCs w:val="36"/>
        </w:rPr>
        <w:t>深圳市小散工程安全生产执法工作指引</w:t>
      </w:r>
    </w:p>
    <w:p>
      <w:pPr>
        <w:pStyle w:val="14"/>
      </w:pPr>
    </w:p>
    <w:p>
      <w:pPr>
        <w:pStyle w:val="14"/>
      </w:pPr>
      <w:r>
        <w:rPr>
          <w:rFonts w:hint="eastAsia"/>
        </w:rPr>
        <w:t>一、为有效指引小散工程安全生产执法工作，制定本指引。</w:t>
      </w:r>
    </w:p>
    <w:p>
      <w:pPr>
        <w:pStyle w:val="14"/>
      </w:pPr>
      <w:r>
        <w:rPr>
          <w:rFonts w:hint="eastAsia"/>
        </w:rPr>
        <w:t>二、本指引供各区开展小散工程安全生产执法时参考使用。</w:t>
      </w:r>
    </w:p>
    <w:p>
      <w:pPr>
        <w:pStyle w:val="3"/>
        <w:adjustRightInd w:val="0"/>
        <w:snapToGrid w:val="0"/>
        <w:spacing w:line="560" w:lineRule="exact"/>
        <w:ind w:left="0" w:firstLine="640" w:firstLineChars="200"/>
        <w:rPr>
          <w:rFonts w:ascii="仿宋_GB2312" w:hAnsi="仿宋_GB2312" w:eastAsia="仿宋_GB2312" w:cs="Times New Roman"/>
        </w:rPr>
      </w:pPr>
      <w:r>
        <w:rPr>
          <w:rFonts w:hint="eastAsia" w:ascii="仿宋_GB2312" w:hAnsi="仿宋_GB2312" w:eastAsia="仿宋_GB2312" w:cs="Times New Roman"/>
        </w:rPr>
        <w:t>三、巡查人员在巡查过程中，如发现本指引中的违法行为，应当依照《深圳市小散工程和零星作业安全生产纳管暂行办法》的规定立即制止，并督促整改。违法主体拒不执行的，由巡查人员上报街道，街道派执法人员依法查处。</w:t>
      </w:r>
    </w:p>
    <w:p>
      <w:pPr>
        <w:pStyle w:val="14"/>
      </w:pPr>
    </w:p>
    <w:p>
      <w:pPr>
        <w:pStyle w:val="14"/>
      </w:pPr>
      <w:r>
        <w:rPr>
          <w:rFonts w:hint="eastAsia"/>
        </w:rPr>
        <w:t>附表1：小散工程常见安全生产违法违规行为执法表</w:t>
      </w:r>
    </w:p>
    <w:p>
      <w:pPr>
        <w:pStyle w:val="14"/>
        <w:sectPr>
          <w:headerReference r:id="rId4" w:type="default"/>
          <w:footerReference r:id="rId5" w:type="default"/>
          <w:pgSz w:w="11906" w:h="16838"/>
          <w:pgMar w:top="1440" w:right="1800" w:bottom="1440" w:left="1800" w:header="851" w:footer="992" w:gutter="0"/>
          <w:pgNumType w:fmt="numberInDash"/>
          <w:cols w:space="720" w:num="1"/>
          <w:docGrid w:type="lines" w:linePitch="312" w:charSpace="0"/>
        </w:sectPr>
      </w:pPr>
      <w:r>
        <w:rPr>
          <w:rFonts w:hint="eastAsia"/>
        </w:rPr>
        <w:t xml:space="preserve"> </w:t>
      </w:r>
    </w:p>
    <w:p>
      <w:pPr>
        <w:pStyle w:val="12"/>
        <w:rPr>
          <w:sz w:val="32"/>
          <w:szCs w:val="32"/>
        </w:rPr>
      </w:pPr>
      <w:r>
        <w:rPr>
          <w:rFonts w:hint="eastAsia"/>
          <w:sz w:val="32"/>
          <w:szCs w:val="32"/>
        </w:rPr>
        <w:t>附表1：小散工程常见安全生产违法违规行为执法表</w:t>
      </w:r>
    </w:p>
    <w:p>
      <w:pPr>
        <w:pStyle w:val="12"/>
        <w:rPr>
          <w:sz w:val="32"/>
          <w:szCs w:val="32"/>
        </w:rPr>
      </w:pPr>
    </w:p>
    <w:tbl>
      <w:tblPr>
        <w:tblStyle w:val="11"/>
        <w:tblW w:w="145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86"/>
        <w:gridCol w:w="966"/>
        <w:gridCol w:w="485"/>
        <w:gridCol w:w="2409"/>
        <w:gridCol w:w="6066"/>
        <w:gridCol w:w="1931"/>
        <w:gridCol w:w="16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34" w:hRule="atLeast"/>
          <w:tblHeader/>
          <w:jc w:val="center"/>
        </w:trPr>
        <w:tc>
          <w:tcPr>
            <w:tcW w:w="1086"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责任主体</w:t>
            </w:r>
          </w:p>
        </w:tc>
        <w:tc>
          <w:tcPr>
            <w:tcW w:w="966"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类别</w:t>
            </w:r>
          </w:p>
        </w:tc>
        <w:tc>
          <w:tcPr>
            <w:tcW w:w="485"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序号</w:t>
            </w:r>
          </w:p>
        </w:tc>
        <w:tc>
          <w:tcPr>
            <w:tcW w:w="2409"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违法违规行为</w:t>
            </w:r>
          </w:p>
        </w:tc>
        <w:tc>
          <w:tcPr>
            <w:tcW w:w="6066"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违反条款</w:t>
            </w:r>
          </w:p>
        </w:tc>
        <w:tc>
          <w:tcPr>
            <w:tcW w:w="1931"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处罚依据</w:t>
            </w:r>
          </w:p>
        </w:tc>
        <w:tc>
          <w:tcPr>
            <w:tcW w:w="1637" w:type="dxa"/>
            <w:vAlign w:val="center"/>
          </w:tcPr>
          <w:p>
            <w:pPr>
              <w:widowControl/>
              <w:adjustRightInd w:val="0"/>
              <w:snapToGrid w:val="0"/>
              <w:spacing w:line="240" w:lineRule="exact"/>
              <w:jc w:val="center"/>
              <w:rPr>
                <w:rFonts w:ascii="宋体" w:hAnsi="宋体" w:cs="宋体"/>
                <w:b/>
                <w:bCs/>
                <w:kern w:val="0"/>
                <w:szCs w:val="21"/>
              </w:rPr>
            </w:pPr>
            <w:r>
              <w:rPr>
                <w:rFonts w:hint="eastAsia" w:ascii="宋体" w:hAnsi="宋体" w:cs="宋体"/>
                <w:b/>
                <w:bCs/>
                <w:kern w:val="0"/>
                <w:szCs w:val="21"/>
              </w:rPr>
              <w:t>执法措施</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2617" w:hRule="atLeast"/>
          <w:jc w:val="center"/>
        </w:trPr>
        <w:tc>
          <w:tcPr>
            <w:tcW w:w="108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建设单位</w:t>
            </w:r>
          </w:p>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（业主）</w:t>
            </w: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综合方面</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未将小散工程委托具有相应资质条件的施工单位进行施工的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第六十五条</w:t>
            </w:r>
            <w:r>
              <w:rPr>
                <w:rFonts w:hint="eastAsia" w:ascii="宋体" w:hAnsi="宋体" w:cs="宋体"/>
                <w:kern w:val="0"/>
                <w:sz w:val="18"/>
                <w:szCs w:val="18"/>
              </w:rPr>
              <w:t xml:space="preserve"> </w:t>
            </w:r>
            <w:r>
              <w:rPr>
                <w:rFonts w:ascii="宋体" w:hAnsi="宋体" w:cs="宋体"/>
                <w:kern w:val="0"/>
                <w:sz w:val="18"/>
                <w:szCs w:val="18"/>
              </w:rPr>
              <w:t>发包单位将工程发包给不具有相应资质条件的承包单位的，责令改正，处以</w:t>
            </w:r>
            <w:r>
              <w:fldChar w:fldCharType="begin"/>
            </w:r>
            <w:r>
              <w:instrText xml:space="preserve">HYPERLINK "https://baike.baidu.com/item/ç½æ¬¾" \t "_blank" </w:instrText>
            </w:r>
            <w:r>
              <w:fldChar w:fldCharType="separate"/>
            </w:r>
            <w:r>
              <w:rPr>
                <w:rFonts w:ascii="宋体" w:hAnsi="宋体" w:cs="宋体"/>
                <w:kern w:val="0"/>
                <w:sz w:val="18"/>
                <w:szCs w:val="18"/>
              </w:rPr>
              <w:t>罚款</w:t>
            </w:r>
            <w:r>
              <w:fldChar w:fldCharType="end"/>
            </w:r>
            <w:r>
              <w:rPr>
                <w:rFonts w:ascii="宋体" w:hAnsi="宋体" w:cs="宋体"/>
                <w:kern w:val="0"/>
                <w:sz w:val="18"/>
                <w:szCs w:val="18"/>
              </w:rPr>
              <w:t>。</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第五十五条</w:t>
            </w:r>
            <w:r>
              <w:rPr>
                <w:rFonts w:hint="eastAsia" w:ascii="宋体" w:hAnsi="宋体" w:cs="宋体"/>
                <w:kern w:val="0"/>
                <w:sz w:val="18"/>
                <w:szCs w:val="18"/>
              </w:rPr>
              <w:t xml:space="preserve"> </w:t>
            </w:r>
            <w:r>
              <w:rPr>
                <w:rFonts w:ascii="宋体" w:hAnsi="宋体" w:cs="宋体"/>
                <w:kern w:val="0"/>
                <w:sz w:val="18"/>
                <w:szCs w:val="18"/>
              </w:rPr>
              <w:t>违反本条例的规定，建设单位有下列行为之一的，责令限期改正，处20万元以上50万元以下的罚款；造成重大安全事故，构成犯罪的，对直接责任人员，依照刑法有关规定追究刑事责任；造成损失的，依法承担赔偿责任：将拆除工程发包给不具有相应资质等级的施工单位的</w:t>
            </w:r>
            <w:r>
              <w:rPr>
                <w:rFonts w:hint="eastAsia" w:ascii="宋体" w:hAnsi="宋体" w:cs="宋体"/>
                <w:kern w:val="0"/>
                <w:sz w:val="18"/>
                <w:szCs w:val="18"/>
              </w:rPr>
              <w:t>。</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Arial"/>
                <w:color w:val="333333"/>
                <w:kern w:val="0"/>
                <w:sz w:val="18"/>
                <w:szCs w:val="18"/>
              </w:rPr>
            </w:pPr>
            <w:r>
              <w:rPr>
                <w:rFonts w:ascii="宋体" w:hAnsi="宋体" w:cs="宋体"/>
                <w:kern w:val="0"/>
                <w:sz w:val="18"/>
                <w:szCs w:val="18"/>
              </w:rPr>
              <w:t>第五十四条</w:t>
            </w:r>
            <w:r>
              <w:rPr>
                <w:rFonts w:hint="eastAsia" w:ascii="宋体" w:hAnsi="宋体" w:cs="宋体"/>
                <w:kern w:val="0"/>
                <w:sz w:val="18"/>
                <w:szCs w:val="18"/>
              </w:rPr>
              <w:t xml:space="preserve"> </w:t>
            </w:r>
            <w:r>
              <w:rPr>
                <w:rFonts w:ascii="宋体" w:hAnsi="宋体" w:cs="宋体"/>
                <w:kern w:val="0"/>
                <w:sz w:val="18"/>
                <w:szCs w:val="18"/>
              </w:rPr>
              <w:t>违反本条例规定，建设单位将建设工程发包给不具有相应资质等级的施工单位的，责令改正，处50万元以上100万元以下的罚款。</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《建筑法》第六十五条</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w:t>
            </w:r>
            <w:r>
              <w:rPr>
                <w:rFonts w:ascii="宋体" w:hAnsi="宋体" w:cs="宋体"/>
                <w:kern w:val="0"/>
                <w:sz w:val="18"/>
                <w:szCs w:val="18"/>
              </w:rPr>
              <w:t>第五十五条</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《建设工程质量管理条例》</w:t>
            </w:r>
            <w:r>
              <w:rPr>
                <w:rFonts w:ascii="宋体" w:hAnsi="宋体" w:cs="宋体"/>
                <w:kern w:val="0"/>
                <w:sz w:val="18"/>
                <w:szCs w:val="18"/>
              </w:rPr>
              <w:t>第五十四条</w:t>
            </w:r>
            <w:r>
              <w:rPr>
                <w:rFonts w:hint="eastAsia" w:ascii="宋体" w:hAnsi="宋体" w:cs="宋体"/>
                <w:kern w:val="0"/>
                <w:sz w:val="18"/>
                <w:szCs w:val="18"/>
              </w:rPr>
              <w:t>　</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1.责令停工整改；</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711" w:hRule="atLeast"/>
          <w:jc w:val="center"/>
        </w:trPr>
        <w:tc>
          <w:tcPr>
            <w:tcW w:w="1086" w:type="dxa"/>
            <w:vMerge w:val="continue"/>
            <w:vAlign w:val="center"/>
          </w:tcPr>
          <w:p>
            <w:pPr>
              <w:adjustRightInd w:val="0"/>
              <w:snapToGrid w:val="0"/>
              <w:spacing w:line="240" w:lineRule="exact"/>
              <w:jc w:val="center"/>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工程开工前，未对相邻建筑物、构筑物、地下管线、市政公用设施等进行安全防护的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第四十八条　建设单位违反本条例第十四条规定，未采取有效防护措施的，责令其限期整改。逾期未整改或者整改不合格的，可责令该工程项目停工直至整改合格，并处以三万元以上五万元以下的罚款；造成相邻建筑物和设施损毁的，应当赔偿损失。</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《深圳经济特区建设工程施工安全条例》第四十八条　</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1责令整改。</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2.逾期未整改或者整改不合格的，罚款。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887"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对施工单位提出不符合安全生产法律、法规和强制性标准规定的要求的</w:t>
            </w:r>
          </w:p>
        </w:tc>
        <w:tc>
          <w:tcPr>
            <w:tcW w:w="6066" w:type="dxa"/>
            <w:tcBorders>
              <w:top w:val="single" w:color="auto" w:sz="4" w:space="0"/>
            </w:tcBorders>
            <w:vAlign w:val="center"/>
          </w:tcPr>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第五十五条　违反本条例的规定，建设单位有下列行为之一的，责令限期改正，处20万元以上50万元以下的罚款；造成重大安全事故，构成犯罪的，对直接责任人员，依照刑法有关规定追究刑事责任；造成损失的，依法承担赔偿责任：</w:t>
            </w:r>
            <w:r>
              <w:rPr>
                <w:rFonts w:hint="eastAsia" w:ascii="宋体" w:hAnsi="宋体" w:cs="宋体"/>
                <w:kern w:val="0"/>
                <w:sz w:val="18"/>
                <w:szCs w:val="18"/>
              </w:rPr>
              <w:br/>
            </w:r>
            <w:r>
              <w:rPr>
                <w:rFonts w:hint="eastAsia" w:ascii="宋体" w:hAnsi="宋体" w:cs="宋体"/>
                <w:kern w:val="0"/>
                <w:sz w:val="18"/>
                <w:szCs w:val="18"/>
              </w:rPr>
              <w:t>　　(一)对施工单位提出不符合安全生产法律、法规和强制性标准规定的要求的；</w:t>
            </w:r>
          </w:p>
        </w:tc>
        <w:tc>
          <w:tcPr>
            <w:tcW w:w="1931" w:type="dxa"/>
            <w:tcBorders>
              <w:top w:val="single" w:color="auto" w:sz="4" w:space="0"/>
            </w:tcBorders>
            <w:vAlign w:val="center"/>
          </w:tcPr>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《建设工程安全生产管理条例》第五十五条</w:t>
            </w:r>
          </w:p>
        </w:tc>
        <w:tc>
          <w:tcPr>
            <w:tcW w:w="1637" w:type="dxa"/>
            <w:tcBorders>
              <w:top w:val="single" w:color="auto" w:sz="4" w:space="0"/>
            </w:tcBorders>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671" w:hRule="atLeast"/>
          <w:jc w:val="center"/>
        </w:trPr>
        <w:tc>
          <w:tcPr>
            <w:tcW w:w="108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建设单位</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（业主）</w:t>
            </w: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燃气管道保护</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4</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在燃气管道安全保护范围内依法从事顶进等可能危害燃气管道安全的活动，或者在燃气管道安全控制范围内施工的，未会同施工单位与管道燃气企业签订安全保护协议</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第四十六条 建设单位和施工单位违反本办法第二十六条规定，未与管道燃气企业签订安全保护协议擅自施工的，责令停止作业，各处3万元罚款；造成燃气管道损毁的，各处10万元罚款；造成损失的，依法承担赔偿责任；涉嫌犯罪的，移送司法机关依法处理。</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《深圳市燃气管道安全保护办法》第四十六条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1.责令停止作业；</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435"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5</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在燃气管道安全保护范围内依法从事顶进等可能危害燃气管道安全的活动，或者在燃气管道安全控制范围内施工，造成燃气管道损毁</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2460" w:hRule="atLeast"/>
          <w:jc w:val="center"/>
        </w:trPr>
        <w:tc>
          <w:tcPr>
            <w:tcW w:w="108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业务</w:t>
            </w:r>
            <w:r>
              <w:rPr>
                <w:rFonts w:ascii="宋体" w:hAnsi="宋体" w:cs="宋体"/>
                <w:kern w:val="0"/>
                <w:sz w:val="18"/>
                <w:szCs w:val="18"/>
              </w:rPr>
              <w:t>承揽</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6</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r>
              <w:rPr>
                <w:rFonts w:ascii="宋体" w:hAnsi="宋体" w:cs="宋体"/>
                <w:kern w:val="0"/>
                <w:sz w:val="18"/>
                <w:szCs w:val="18"/>
              </w:rPr>
              <w:t>超越本单位资质等级</w:t>
            </w:r>
            <w:r>
              <w:rPr>
                <w:rFonts w:hint="eastAsia" w:ascii="宋体" w:hAnsi="宋体" w:cs="宋体"/>
                <w:kern w:val="0"/>
                <w:sz w:val="18"/>
                <w:szCs w:val="18"/>
              </w:rPr>
              <w:t>或未取得资质证书</w:t>
            </w:r>
            <w:r>
              <w:rPr>
                <w:rFonts w:ascii="宋体" w:hAnsi="宋体" w:cs="宋体"/>
                <w:kern w:val="0"/>
                <w:sz w:val="18"/>
                <w:szCs w:val="18"/>
              </w:rPr>
              <w:t>承揽</w:t>
            </w:r>
            <w:r>
              <w:rPr>
                <w:rFonts w:hint="eastAsia" w:ascii="宋体" w:hAnsi="宋体" w:cs="宋体"/>
                <w:kern w:val="0"/>
                <w:sz w:val="18"/>
                <w:szCs w:val="18"/>
              </w:rPr>
              <w:t>小散工程</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第六十五条</w:t>
            </w:r>
            <w:r>
              <w:rPr>
                <w:rFonts w:hint="eastAsia" w:ascii="宋体" w:hAnsi="宋体" w:cs="宋体"/>
                <w:kern w:val="0"/>
                <w:sz w:val="18"/>
                <w:szCs w:val="18"/>
              </w:rPr>
              <w:t xml:space="preserve"> </w:t>
            </w:r>
            <w:r>
              <w:rPr>
                <w:rFonts w:ascii="宋体" w:hAnsi="宋体" w:cs="宋体"/>
                <w:kern w:val="0"/>
                <w:sz w:val="18"/>
                <w:szCs w:val="18"/>
              </w:rPr>
              <w:t>超越本单位资质等级承揽工程的，责令停止违法行为，处以罚款，可以责令停业整顿，降低资质等级；情节严重的，吊销资质证书；有违法所得的，予以没收。未取得资质证书承揽工程的，予以取缔，并处罚款；有违法所得的，予以没收。</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第六十条</w:t>
            </w:r>
            <w:r>
              <w:rPr>
                <w:rFonts w:hint="eastAsia" w:ascii="宋体" w:hAnsi="宋体" w:cs="宋体"/>
                <w:kern w:val="0"/>
                <w:sz w:val="18"/>
                <w:szCs w:val="18"/>
              </w:rPr>
              <w:t xml:space="preserve"> </w:t>
            </w:r>
            <w:r>
              <w:rPr>
                <w:rFonts w:ascii="宋体" w:hAnsi="宋体" w:cs="宋体"/>
                <w:kern w:val="0"/>
                <w:sz w:val="18"/>
                <w:szCs w:val="18"/>
              </w:rPr>
              <w:t>违反本条例规定</w:t>
            </w:r>
            <w:r>
              <w:rPr>
                <w:rFonts w:hint="eastAsia" w:ascii="宋体" w:hAnsi="宋体" w:cs="宋体"/>
                <w:kern w:val="0"/>
                <w:sz w:val="18"/>
                <w:szCs w:val="18"/>
              </w:rPr>
              <w:t>，</w:t>
            </w:r>
            <w:r>
              <w:rPr>
                <w:rFonts w:ascii="宋体" w:hAnsi="宋体" w:cs="宋体"/>
                <w:kern w:val="0"/>
                <w:sz w:val="18"/>
                <w:szCs w:val="18"/>
              </w:rPr>
              <w:t>施工单位超越本单位资质等级承揽工程的，责令停止违法行为，对施工单位处工程合同价款百分之二以上百分之四以下的罚款，可以责令停业整顿，降低资质等级；情节严重的，吊销资质证书；有违法所得的，予以没收。未取得资质证书承揽工程的，予以取缔，依照前款规定处以罚款；有违法所得的，予以没收。</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《建筑法》第六十五条</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b/>
                <w:kern w:val="0"/>
                <w:sz w:val="18"/>
                <w:szCs w:val="18"/>
              </w:rPr>
            </w:pPr>
            <w:r>
              <w:rPr>
                <w:rFonts w:hint="eastAsia" w:ascii="宋体" w:hAnsi="宋体" w:cs="宋体"/>
                <w:kern w:val="0"/>
                <w:sz w:val="18"/>
                <w:szCs w:val="18"/>
              </w:rPr>
              <w:t>《建设工程质量管理条例》</w:t>
            </w:r>
            <w:r>
              <w:rPr>
                <w:rFonts w:ascii="宋体" w:hAnsi="宋体" w:cs="宋体"/>
                <w:kern w:val="0"/>
                <w:sz w:val="18"/>
                <w:szCs w:val="18"/>
              </w:rPr>
              <w:t>第六十条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责令停止违法行为</w:t>
            </w:r>
            <w:r>
              <w:rPr>
                <w:rFonts w:hint="eastAsia" w:ascii="宋体" w:hAnsi="宋体" w:cs="宋体"/>
                <w:kern w:val="0"/>
                <w:sz w:val="18"/>
                <w:szCs w:val="18"/>
              </w:rPr>
              <w:t>；</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w:t>
            </w:r>
            <w:r>
              <w:rPr>
                <w:rFonts w:ascii="宋体" w:hAnsi="宋体" w:cs="宋体"/>
                <w:kern w:val="0"/>
                <w:sz w:val="18"/>
                <w:szCs w:val="18"/>
              </w:rPr>
              <w:t>罚款</w:t>
            </w:r>
            <w:r>
              <w:rPr>
                <w:rFonts w:hint="eastAsia" w:ascii="宋体" w:hAnsi="宋体" w:cs="宋体"/>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974"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7</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施工单位存在出借资质证书等违法行为</w:t>
            </w:r>
            <w:r>
              <w:rPr>
                <w:rFonts w:ascii="宋体" w:hAnsi="宋体" w:cs="宋体"/>
                <w:kern w:val="0"/>
                <w:sz w:val="18"/>
                <w:szCs w:val="18"/>
              </w:rPr>
              <w:t>承揽</w:t>
            </w:r>
            <w:r>
              <w:rPr>
                <w:rFonts w:hint="eastAsia" w:ascii="宋体" w:hAnsi="宋体" w:cs="宋体"/>
                <w:kern w:val="0"/>
                <w:sz w:val="18"/>
                <w:szCs w:val="18"/>
              </w:rPr>
              <w:t>小散工程</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 xml:space="preserve">第六十六条 </w:t>
            </w:r>
            <w:r>
              <w:rPr>
                <w:rFonts w:ascii="宋体" w:hAnsi="宋体" w:cs="宋体"/>
                <w:kern w:val="0"/>
                <w:sz w:val="18"/>
                <w:szCs w:val="18"/>
              </w:rPr>
              <w:t>建筑施工企业转让、出借资质证书或者以其他方式允许他人以本企业的名义承揽工程的，责令改正，</w:t>
            </w:r>
            <w:r>
              <w:fldChar w:fldCharType="begin"/>
            </w:r>
            <w:r>
              <w:instrText xml:space="preserve">HYPERLINK "https://baike.baidu.com/item/æ²¡æ¶è¿æ³æå¾" \t "_blank" </w:instrText>
            </w:r>
            <w:r>
              <w:fldChar w:fldCharType="separate"/>
            </w:r>
            <w:r>
              <w:rPr>
                <w:rFonts w:ascii="宋体" w:hAnsi="宋体" w:cs="宋体"/>
                <w:kern w:val="0"/>
                <w:sz w:val="18"/>
                <w:szCs w:val="18"/>
              </w:rPr>
              <w:t>没收违法所得</w:t>
            </w:r>
            <w:r>
              <w:fldChar w:fldCharType="end"/>
            </w:r>
            <w:r>
              <w:rPr>
                <w:rFonts w:ascii="宋体" w:hAnsi="宋体" w:cs="宋体"/>
                <w:kern w:val="0"/>
                <w:sz w:val="18"/>
                <w:szCs w:val="18"/>
              </w:rPr>
              <w:t>，并处罚款，可以责令停业整顿，降低资质等级；情节严重的，吊销资质证书。</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第六十</w:t>
            </w:r>
            <w:r>
              <w:rPr>
                <w:rFonts w:hint="eastAsia" w:ascii="宋体" w:hAnsi="宋体" w:cs="宋体"/>
                <w:kern w:val="0"/>
                <w:sz w:val="18"/>
                <w:szCs w:val="18"/>
              </w:rPr>
              <w:t>一</w:t>
            </w:r>
            <w:r>
              <w:rPr>
                <w:rFonts w:ascii="宋体" w:hAnsi="宋体" w:cs="宋体"/>
                <w:kern w:val="0"/>
                <w:sz w:val="18"/>
                <w:szCs w:val="18"/>
              </w:rPr>
              <w:t>条</w:t>
            </w:r>
            <w:r>
              <w:rPr>
                <w:rFonts w:hint="eastAsia" w:ascii="宋体" w:hAnsi="宋体" w:cs="宋体"/>
                <w:kern w:val="0"/>
                <w:sz w:val="18"/>
                <w:szCs w:val="18"/>
              </w:rPr>
              <w:t xml:space="preserve"> </w:t>
            </w:r>
            <w:r>
              <w:rPr>
                <w:rFonts w:ascii="宋体" w:hAnsi="宋体" w:cs="宋体"/>
                <w:kern w:val="0"/>
                <w:sz w:val="18"/>
                <w:szCs w:val="18"/>
              </w:rPr>
              <w:t>违反本条例规定，施工单位允许其他单位或者个人以本单位名义承揽工程的，责令改正，没收违法所得，对施工单位处工程合同价款百分之二以上百分之四以下的罚款；可以责令停业整顿，降低资质等级；情节严重的，吊销资质证书。</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《建筑法》第六十六条</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《建设工程质量管理条例》</w:t>
            </w:r>
            <w:r>
              <w:rPr>
                <w:rFonts w:ascii="宋体" w:hAnsi="宋体" w:cs="宋体"/>
                <w:kern w:val="0"/>
                <w:sz w:val="18"/>
                <w:szCs w:val="18"/>
              </w:rPr>
              <w:t>第六十</w:t>
            </w:r>
            <w:r>
              <w:rPr>
                <w:rFonts w:hint="eastAsia" w:ascii="宋体" w:hAnsi="宋体" w:cs="宋体"/>
                <w:kern w:val="0"/>
                <w:sz w:val="18"/>
                <w:szCs w:val="18"/>
              </w:rPr>
              <w:t>一</w:t>
            </w:r>
            <w:r>
              <w:rPr>
                <w:rFonts w:ascii="宋体" w:hAnsi="宋体" w:cs="宋体"/>
                <w:kern w:val="0"/>
                <w:sz w:val="18"/>
                <w:szCs w:val="18"/>
              </w:rPr>
              <w:t>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责令改正</w:t>
            </w:r>
            <w:r>
              <w:rPr>
                <w:rFonts w:hint="eastAsia" w:ascii="宋体" w:hAnsi="宋体" w:cs="宋体"/>
                <w:kern w:val="0"/>
                <w:sz w:val="18"/>
                <w:szCs w:val="18"/>
              </w:rPr>
              <w:t>；</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974" w:hRule="atLeast"/>
          <w:jc w:val="center"/>
        </w:trPr>
        <w:tc>
          <w:tcPr>
            <w:tcW w:w="1086" w:type="dxa"/>
            <w:vMerge w:val="restart"/>
            <w:vAlign w:val="center"/>
          </w:tcPr>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业务</w:t>
            </w:r>
            <w:r>
              <w:rPr>
                <w:rFonts w:ascii="宋体" w:hAnsi="宋体" w:cs="宋体"/>
                <w:kern w:val="0"/>
                <w:sz w:val="18"/>
                <w:szCs w:val="18"/>
              </w:rPr>
              <w:t>承揽</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8</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转包或违法分包小散工程</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 xml:space="preserve">第六十七条 </w:t>
            </w:r>
            <w:r>
              <w:rPr>
                <w:rFonts w:ascii="宋体" w:hAnsi="宋体" w:cs="宋体"/>
                <w:kern w:val="0"/>
                <w:sz w:val="18"/>
                <w:szCs w:val="18"/>
              </w:rPr>
              <w:t>承包单位将承包的工程转包的，或者违反本法规定进行分包的，责令改正，没收违法所得，并处罚款，可以责令停业整顿，降低资质等级；情节严重的，吊销资质证书。</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ascii="宋体" w:hAnsi="宋体" w:cs="宋体"/>
                <w:kern w:val="0"/>
                <w:sz w:val="18"/>
                <w:szCs w:val="18"/>
              </w:rPr>
              <w:t>第六十</w:t>
            </w:r>
            <w:r>
              <w:rPr>
                <w:rFonts w:hint="eastAsia" w:ascii="宋体" w:hAnsi="宋体" w:cs="宋体"/>
                <w:kern w:val="0"/>
                <w:sz w:val="18"/>
                <w:szCs w:val="18"/>
              </w:rPr>
              <w:t>二</w:t>
            </w:r>
            <w:r>
              <w:rPr>
                <w:rFonts w:ascii="宋体" w:hAnsi="宋体" w:cs="宋体"/>
                <w:kern w:val="0"/>
                <w:sz w:val="18"/>
                <w:szCs w:val="18"/>
              </w:rPr>
              <w:t>条</w:t>
            </w:r>
            <w:r>
              <w:rPr>
                <w:rFonts w:hint="eastAsia" w:ascii="宋体" w:hAnsi="宋体" w:cs="宋体"/>
                <w:kern w:val="0"/>
                <w:sz w:val="18"/>
                <w:szCs w:val="18"/>
              </w:rPr>
              <w:t xml:space="preserve"> </w:t>
            </w:r>
            <w:r>
              <w:rPr>
                <w:rFonts w:ascii="宋体" w:hAnsi="宋体" w:cs="宋体"/>
                <w:kern w:val="0"/>
                <w:sz w:val="18"/>
                <w:szCs w:val="18"/>
              </w:rPr>
              <w:t>违反本条例规定，承包单位将承包的工程转包或者违法分包的，责令改正，没收违法所得，对施工单位处工程合同价款百分之零点五以上百分之一以下的罚款；可以责令停业整顿，降低资质等级；情节严重的，吊销资质证书。</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《建筑法》第六十七条</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《建设工程质量管理条例》</w:t>
            </w:r>
            <w:r>
              <w:rPr>
                <w:rFonts w:ascii="宋体" w:hAnsi="宋体" w:cs="宋体"/>
                <w:kern w:val="0"/>
                <w:sz w:val="18"/>
                <w:szCs w:val="18"/>
              </w:rPr>
              <w:t>第六十</w:t>
            </w:r>
            <w:r>
              <w:rPr>
                <w:rFonts w:hint="eastAsia" w:ascii="宋体" w:hAnsi="宋体" w:cs="宋体"/>
                <w:kern w:val="0"/>
                <w:sz w:val="18"/>
                <w:szCs w:val="18"/>
              </w:rPr>
              <w:t>二</w:t>
            </w:r>
            <w:r>
              <w:rPr>
                <w:rFonts w:ascii="宋体" w:hAnsi="宋体" w:cs="宋体"/>
                <w:kern w:val="0"/>
                <w:sz w:val="18"/>
                <w:szCs w:val="18"/>
              </w:rPr>
              <w:t>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w:t>
            </w:r>
            <w:r>
              <w:rPr>
                <w:rFonts w:ascii="宋体" w:hAnsi="宋体" w:cs="宋体"/>
                <w:kern w:val="0"/>
                <w:sz w:val="18"/>
                <w:szCs w:val="18"/>
              </w:rPr>
              <w:t>责令改正</w:t>
            </w:r>
            <w:r>
              <w:rPr>
                <w:rFonts w:hint="eastAsia" w:ascii="宋体" w:hAnsi="宋体" w:cs="宋体"/>
                <w:kern w:val="0"/>
                <w:sz w:val="18"/>
                <w:szCs w:val="18"/>
              </w:rPr>
              <w:t>；</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98"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9</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安全生产许可证有效期满未办理延期手续，继续从事建筑施工活动的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第二十五条　违反本规定，安全生产许可证有效期满未办理延期手续，继续从事建筑施工活动的，责令其在建项目停止施工，限期补办延期手续，没收违法所得，并处5万元以上10万元以下的罚款；逾期仍不办理延期手续，继续从事建筑施工活动的，依照本规定第二十四条的规定处罚。</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《建筑施工企业安全生产许可证管理规定》第二十五条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1.责令停止施工；</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02"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10</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未取得安全生产许可证擅自从事建筑施工活动的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第二十四条　违反本规定，建筑施工企业未取得安全生产许可证擅自从事建筑施工活动的，责令其在建项目停止施工，没收违法所得，并处10万元以上50万元以下的罚款；造成重大安全事故或者其他严重后果，构成犯罪的，依法追究刑事责任。</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《建筑施工企业安全生产许可证管理规定》第二十四条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1.责令停止施工；</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02"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restart"/>
            <w:vAlign w:val="center"/>
          </w:tcPr>
          <w:p>
            <w:pPr>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安全管理</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11</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未设立安全生产管理机构、配备专职安全生产管理人员对施工或作业现场进行安全管理</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第六十二条　违反本条例的规定，施工单位有下列行为之一的，责令限期改正；逾期未改正的，责令停业整顿，依照《中华人民共和国安全生产法》的有关规定处以罚款。</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 xml:space="preserve">第九十四条 生产经营单位有下列行为之一的，责令限期改正，可以处五万元以下的罚款；逾期未改正的，责令停产停业整顿，并处五万元以上十万元以下的罚款，对其直接负责的主管人员和其他直接责任人员处一万元以上二万元以下的罚款： </w:t>
            </w:r>
            <w:r>
              <w:rPr>
                <w:rFonts w:hint="eastAsia" w:ascii="宋体" w:hAnsi="宋体" w:cs="宋体"/>
                <w:kern w:val="0"/>
                <w:sz w:val="18"/>
                <w:szCs w:val="18"/>
              </w:rPr>
              <w:br/>
            </w:r>
            <w:r>
              <w:rPr>
                <w:rFonts w:hint="eastAsia" w:ascii="宋体" w:hAnsi="宋体" w:cs="宋体"/>
                <w:kern w:val="0"/>
                <w:sz w:val="18"/>
                <w:szCs w:val="18"/>
              </w:rPr>
              <w:t xml:space="preserve">（一）未按照规定设置安全生产管理机构或者配备安全生产管理人员的； </w:t>
            </w:r>
            <w:r>
              <w:rPr>
                <w:rFonts w:hint="eastAsia" w:ascii="宋体" w:hAnsi="宋体" w:cs="宋体"/>
                <w:kern w:val="0"/>
                <w:sz w:val="18"/>
                <w:szCs w:val="18"/>
              </w:rPr>
              <w:br/>
            </w:r>
            <w:r>
              <w:rPr>
                <w:rFonts w:hint="eastAsia" w:ascii="宋体" w:hAnsi="宋体" w:cs="宋体"/>
                <w:kern w:val="0"/>
                <w:sz w:val="18"/>
                <w:szCs w:val="18"/>
              </w:rPr>
              <w:t xml:space="preserve">（二）建筑施工单位的主要负责人和安全生产管理人员未按照规定经考核合格的； </w:t>
            </w:r>
            <w:r>
              <w:rPr>
                <w:rFonts w:hint="eastAsia" w:ascii="宋体" w:hAnsi="宋体" w:cs="宋体"/>
                <w:kern w:val="0"/>
                <w:sz w:val="18"/>
                <w:szCs w:val="18"/>
              </w:rPr>
              <w:br/>
            </w:r>
            <w:r>
              <w:rPr>
                <w:rFonts w:hint="eastAsia" w:ascii="宋体" w:hAnsi="宋体" w:cs="宋体"/>
                <w:kern w:val="0"/>
                <w:sz w:val="18"/>
                <w:szCs w:val="18"/>
              </w:rPr>
              <w:t xml:space="preserve">（七）特种作业人员未按照规定经专门的安全作业培训并取得相应资格，上岗作业的。 </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《建设工程安全生产管理条例》第六十二条</w:t>
            </w:r>
            <w:r>
              <w:rPr>
                <w:rFonts w:hint="eastAsia" w:ascii="宋体" w:hAnsi="宋体" w:cs="宋体"/>
                <w:kern w:val="0"/>
                <w:sz w:val="18"/>
                <w:szCs w:val="18"/>
              </w:rPr>
              <w:br/>
            </w:r>
            <w:r>
              <w:rPr>
                <w:rFonts w:hint="eastAsia" w:ascii="宋体" w:hAnsi="宋体" w:cs="宋体"/>
                <w:kern w:val="0"/>
                <w:sz w:val="18"/>
                <w:szCs w:val="18"/>
              </w:rPr>
              <w:t>《中华人民共和国安全生产法》第九十四条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2201"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12</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施工单位的主要负责人、项目负责人、专职安全生产管理人员、作业人员或者特种作业人员，未经安全教育培训或者经考核不合格即从事相关工作的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488" w:hRule="atLeast"/>
          <w:jc w:val="center"/>
        </w:trPr>
        <w:tc>
          <w:tcPr>
            <w:tcW w:w="108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tc>
        <w:tc>
          <w:tcPr>
            <w:tcW w:w="966" w:type="dxa"/>
            <w:vMerge w:val="restart"/>
            <w:vAlign w:val="center"/>
          </w:tcPr>
          <w:p>
            <w:pPr>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安全管理</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13</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未在施工现场的危险部位设置明显的安全警示标志，或者未按照国家有关规定在施工现场设置消防通道、消防水源、配备消防设施和灭火器材的</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第六十二条　违反本条例的规定，施工单位有下列行为之一的，责令限期改正；逾期未改正的，责令停业整顿，依照《中华人民共和国安全生产法》的有关规定处以罚款。</w:t>
            </w:r>
          </w:p>
          <w:p>
            <w:pPr>
              <w:widowControl/>
              <w:adjustRightInd w:val="0"/>
              <w:snapToGrid w:val="0"/>
              <w:spacing w:line="240" w:lineRule="exact"/>
              <w:jc w:val="left"/>
              <w:rPr>
                <w:rFonts w:ascii="宋体" w:hAnsi="宋体" w:cs="宋体"/>
                <w:kern w:val="0"/>
                <w:sz w:val="18"/>
                <w:szCs w:val="18"/>
              </w:rPr>
            </w:pP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 xml:space="preserve">第九十六条 生产经营单位有下列行为之一的，责令限期改正，可以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 </w:t>
            </w:r>
            <w:r>
              <w:rPr>
                <w:rFonts w:hint="eastAsia" w:ascii="宋体" w:hAnsi="宋体" w:cs="宋体"/>
                <w:kern w:val="0"/>
                <w:sz w:val="18"/>
                <w:szCs w:val="18"/>
              </w:rPr>
              <w:br/>
            </w:r>
            <w:r>
              <w:rPr>
                <w:rFonts w:hint="eastAsia" w:ascii="宋体" w:hAnsi="宋体" w:cs="宋体"/>
                <w:kern w:val="0"/>
                <w:sz w:val="18"/>
                <w:szCs w:val="18"/>
              </w:rPr>
              <w:t xml:space="preserve">（一）未在有较大危险因素的生产经营场所和有关设施、设备上设置明显的安全警示标志的； </w:t>
            </w:r>
            <w:r>
              <w:rPr>
                <w:rFonts w:hint="eastAsia" w:ascii="宋体" w:hAnsi="宋体" w:cs="宋体"/>
                <w:kern w:val="0"/>
                <w:sz w:val="18"/>
                <w:szCs w:val="18"/>
              </w:rPr>
              <w:br/>
            </w:r>
            <w:r>
              <w:rPr>
                <w:rFonts w:hint="eastAsia" w:ascii="宋体" w:hAnsi="宋体" w:cs="宋体"/>
                <w:kern w:val="0"/>
                <w:sz w:val="18"/>
                <w:szCs w:val="18"/>
              </w:rPr>
              <w:t xml:space="preserve">（四）未为从业人员提供符合国家标准或者行业标准的劳动防护用品的；  </w:t>
            </w:r>
            <w:r>
              <w:rPr>
                <w:rFonts w:hint="eastAsia" w:ascii="宋体" w:hAnsi="宋体" w:cs="宋体"/>
                <w:kern w:val="0"/>
                <w:sz w:val="18"/>
                <w:szCs w:val="18"/>
              </w:rPr>
              <w:br/>
            </w:r>
            <w:r>
              <w:rPr>
                <w:rFonts w:hint="eastAsia" w:ascii="宋体" w:hAnsi="宋体" w:cs="宋体"/>
                <w:kern w:val="0"/>
                <w:sz w:val="18"/>
                <w:szCs w:val="18"/>
              </w:rPr>
              <w:t xml:space="preserve">（六）使用应当淘汰的危及生产安全的工艺、设备的。 </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《建设工程安全生产管理条例》第六十二条</w:t>
            </w:r>
            <w:r>
              <w:rPr>
                <w:rFonts w:hint="eastAsia" w:ascii="宋体" w:hAnsi="宋体" w:cs="宋体"/>
                <w:kern w:val="0"/>
                <w:sz w:val="18"/>
                <w:szCs w:val="18"/>
              </w:rPr>
              <w:br/>
            </w:r>
            <w:r>
              <w:rPr>
                <w:rFonts w:hint="eastAsia" w:ascii="宋体" w:hAnsi="宋体" w:cs="宋体"/>
                <w:kern w:val="0"/>
                <w:sz w:val="18"/>
                <w:szCs w:val="18"/>
              </w:rPr>
              <w:t>《中华人民共和国安全生产法》第九十六条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04"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14</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未向作业人员提供安全防护用具和安全防护服装的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02"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15</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使用国家明令淘汰、禁止使用的危及施工安全的工艺、设备的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25"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16</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施工前未对有关安全施工的技术要求作出详细说明的</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第六十四条　违反本条例的规定，施工单位有下列行为之一的，责令限期改正；逾期未改正的，责令停业整顿，并处5万元以上10万元以下的罚款；造成重大安全事故，构成犯罪的，对直接责任人员，依照刑法有关规定追究刑事责任：</w:t>
            </w:r>
            <w:r>
              <w:rPr>
                <w:rFonts w:hint="eastAsia" w:ascii="宋体" w:hAnsi="宋体" w:cs="宋体"/>
                <w:kern w:val="0"/>
                <w:sz w:val="18"/>
                <w:szCs w:val="18"/>
              </w:rPr>
              <w:br/>
            </w:r>
            <w:r>
              <w:rPr>
                <w:rFonts w:hint="eastAsia" w:ascii="宋体" w:hAnsi="宋体" w:cs="宋体"/>
                <w:kern w:val="0"/>
                <w:sz w:val="18"/>
                <w:szCs w:val="18"/>
              </w:rPr>
              <w:t>　　(一)施工前未对有关安全施工的技术要求作出详细说明的；</w:t>
            </w:r>
            <w:r>
              <w:rPr>
                <w:rFonts w:hint="eastAsia" w:ascii="宋体" w:hAnsi="宋体" w:cs="宋体"/>
                <w:kern w:val="0"/>
                <w:sz w:val="18"/>
                <w:szCs w:val="18"/>
              </w:rPr>
              <w:br/>
            </w:r>
            <w:r>
              <w:rPr>
                <w:rFonts w:hint="eastAsia" w:ascii="宋体" w:hAnsi="宋体" w:cs="宋体"/>
                <w:kern w:val="0"/>
                <w:sz w:val="18"/>
                <w:szCs w:val="18"/>
              </w:rPr>
              <w:t>　　(五)未对因建设工程施工可能造成损害的毗邻建筑物、构筑物和地下管线等采取专项防护措施的。</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《建设工程安全生产管理条例》第六十四条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42" w:hRule="atLeast"/>
          <w:jc w:val="center"/>
        </w:trPr>
        <w:tc>
          <w:tcPr>
            <w:tcW w:w="1086" w:type="dxa"/>
            <w:vMerge w:val="continue"/>
            <w:vAlign w:val="center"/>
          </w:tcPr>
          <w:p>
            <w:pPr>
              <w:adjustRightInd w:val="0"/>
              <w:snapToGrid w:val="0"/>
              <w:spacing w:line="240" w:lineRule="exact"/>
              <w:jc w:val="center"/>
              <w:rPr>
                <w:rFonts w:ascii="宋体" w:hAnsi="宋体" w:cs="宋体"/>
                <w:kern w:val="0"/>
                <w:sz w:val="18"/>
                <w:szCs w:val="18"/>
              </w:rPr>
            </w:pPr>
          </w:p>
        </w:tc>
        <w:tc>
          <w:tcPr>
            <w:tcW w:w="966" w:type="dxa"/>
            <w:vMerge w:val="continue"/>
            <w:vAlign w:val="center"/>
          </w:tcPr>
          <w:p>
            <w:pPr>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17</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未对因建设工程施工可能造成损害的毗邻建筑物、构筑物和地下管线等采取专项防护措施的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730"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18</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在施工组织设计中未编制安全技术措施、施工现场临时用电方案或者专项施工方案的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 xml:space="preserve">    第六十五条　违反本条例的规定，施工单位有下列行为之一的，责令限期改正；逾期未改正的，责令停业整顿，并处10万元以上30万元以下的罚款；情节严重的，降低资质等级，直至吊销资质证书；造成重大安全事故，构成犯罪的，对直接责任人员，依照刑法有关规定追究刑事责任；造成损失的，依法承担赔偿责任：</w:t>
            </w:r>
            <w:r>
              <w:rPr>
                <w:rFonts w:hint="eastAsia" w:ascii="宋体" w:hAnsi="宋体" w:cs="宋体"/>
                <w:kern w:val="0"/>
                <w:sz w:val="18"/>
                <w:szCs w:val="18"/>
              </w:rPr>
              <w:br/>
            </w:r>
            <w:r>
              <w:rPr>
                <w:rFonts w:hint="eastAsia" w:ascii="宋体" w:hAnsi="宋体" w:cs="宋体"/>
                <w:kern w:val="0"/>
                <w:sz w:val="18"/>
                <w:szCs w:val="18"/>
              </w:rPr>
              <w:t>　　(四)在施工组织设计中未编制安全技术措施、施工现场临时用电方案或者专项施工方案的。</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《建设工程安全生产管理条例》第六十五条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789" w:hRule="atLeast"/>
          <w:jc w:val="center"/>
        </w:trPr>
        <w:tc>
          <w:tcPr>
            <w:tcW w:w="1086" w:type="dxa"/>
            <w:vMerge w:val="restart"/>
            <w:vAlign w:val="center"/>
          </w:tcPr>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p>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施工单位</w:t>
            </w: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燃气管道保护</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19</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在燃气管道安全保护范围内依法从事顶进等可能危害燃气管道安全的活动，或者在燃气管道安全控制范围内施工的，未与管道燃气企业签订安全保护协议</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第四十六条 建设单位和施工单位违反本办法第二十六条规定，未与管道燃气企业签订安全保护协议擅自施工的，责令停止作业，各处3万元罚款；造成燃气管道损毁的，各处10万元罚款；造成损失的，依法承担赔偿责任；涉嫌犯罪的，移送司法机关依法处理。</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《深圳市燃气管道安全保护办法》第四十六条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1.责令停止作业；</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276"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20</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在燃气管道安全保护或者控制范围内从事活动，未在开工3日前书面通知管道燃气企业的</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第四十七条 施工单位有下列行为之一，并造成燃气管道损毁的，处3万元罚款；造成损失的，依法承担赔偿责任；涉嫌犯罪的，移送司法机关依法处理：</w:t>
            </w:r>
            <w:r>
              <w:rPr>
                <w:rFonts w:hint="eastAsia" w:ascii="宋体" w:hAnsi="宋体" w:cs="宋体"/>
                <w:kern w:val="0"/>
                <w:sz w:val="18"/>
                <w:szCs w:val="18"/>
              </w:rPr>
              <w:br/>
            </w:r>
            <w:r>
              <w:rPr>
                <w:rFonts w:hint="eastAsia" w:ascii="宋体" w:hAnsi="宋体" w:cs="宋体"/>
                <w:kern w:val="0"/>
                <w:sz w:val="18"/>
                <w:szCs w:val="18"/>
              </w:rPr>
              <w:t>　　（一）违反本办法第三十七条第一款规定，未在开工3日前书面通知管道燃气企业的；</w:t>
            </w:r>
            <w:r>
              <w:rPr>
                <w:rFonts w:hint="eastAsia" w:ascii="宋体" w:hAnsi="宋体" w:cs="宋体"/>
                <w:kern w:val="0"/>
                <w:sz w:val="18"/>
                <w:szCs w:val="18"/>
              </w:rPr>
              <w:br/>
            </w:r>
            <w:r>
              <w:rPr>
                <w:rFonts w:hint="eastAsia" w:ascii="宋体" w:hAnsi="宋体" w:cs="宋体"/>
                <w:kern w:val="0"/>
                <w:sz w:val="18"/>
                <w:szCs w:val="18"/>
              </w:rPr>
              <w:t>　　（二）违反本办法第三十八条第一款规定，未首先进行人工开挖的；</w:t>
            </w:r>
            <w:r>
              <w:rPr>
                <w:rFonts w:hint="eastAsia" w:ascii="宋体" w:hAnsi="宋体" w:cs="宋体"/>
                <w:kern w:val="0"/>
                <w:sz w:val="18"/>
                <w:szCs w:val="18"/>
              </w:rPr>
              <w:br/>
            </w:r>
            <w:r>
              <w:rPr>
                <w:rFonts w:hint="eastAsia" w:ascii="宋体" w:hAnsi="宋体" w:cs="宋体"/>
                <w:kern w:val="0"/>
                <w:sz w:val="18"/>
                <w:szCs w:val="18"/>
              </w:rPr>
              <w:t>　　（三）违反本办法第三十八条第二款规定，未立即通知管道燃气企业并采取保护措施的。</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《深圳市燃气管道安全保护办法》第四十七条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1.罚款（如造成燃气管道损毁）。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58"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21</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在燃气管道安全保护或者控制范围内从事活动，未首先进行人工开挖的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423"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22</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在施工过程中发现燃气管道现状与查询结果不一致，未立即通知管道燃气企业并采取保护措施的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687"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23</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在燃气管道安全保护范围内依法从事顶进等可能危害燃气管道安全的活动，或者在燃气管道安全控制范围内施工，造成燃气管道损毁的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第四十六条 建设单位和施工单位违反本办法第二十六条规定，未与管道燃气企业签订安全保护协议擅自施工的，责令停止作业，各处3万元罚款；造成燃气管道损毁的，各处11万元罚款；造成损失的，依法承担赔偿责任；涉嫌犯罪的，移送司法机关依法处理。</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《深圳市燃气管道安全保护办法》第二十六条、第四十六条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1.责令停止作业；</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875"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文明施工</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24</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在尚未竣工的建筑物内设置员工集体宿舍的</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第六十四条　违反本条例的规定，施工单位有下列行为之一的，责令限期改正；逾期未改正的，责令停业整顿，并处5万元以上10万元以下的罚款；造成重大安全事故，构成犯罪的，对直接责任人员，依照刑法有关规定追究刑事责任：</w:t>
            </w:r>
            <w:r>
              <w:rPr>
                <w:rFonts w:hint="eastAsia" w:ascii="宋体" w:hAnsi="宋体" w:cs="宋体"/>
                <w:kern w:val="0"/>
                <w:sz w:val="18"/>
                <w:szCs w:val="18"/>
              </w:rPr>
              <w:br/>
            </w:r>
            <w:r>
              <w:rPr>
                <w:rFonts w:hint="eastAsia" w:ascii="宋体" w:hAnsi="宋体" w:cs="宋体"/>
                <w:kern w:val="0"/>
                <w:sz w:val="18"/>
                <w:szCs w:val="18"/>
              </w:rPr>
              <w:t>　　(二)未根据不同施工阶段和周围环境及季节、气候的变化，在施工现场采取相应的安全施工措施，或者在城市市区内的建设工程的施工现场未实行封闭围挡的；</w:t>
            </w:r>
            <w:r>
              <w:rPr>
                <w:rFonts w:hint="eastAsia" w:ascii="宋体" w:hAnsi="宋体" w:cs="宋体"/>
                <w:kern w:val="0"/>
                <w:sz w:val="18"/>
                <w:szCs w:val="18"/>
              </w:rPr>
              <w:br/>
            </w:r>
            <w:r>
              <w:rPr>
                <w:rFonts w:hint="eastAsia" w:ascii="宋体" w:hAnsi="宋体" w:cs="宋体"/>
                <w:kern w:val="0"/>
                <w:sz w:val="18"/>
                <w:szCs w:val="18"/>
              </w:rPr>
              <w:t>　　(三)在尚未竣工的建筑物内设置员工集体宿舍的；</w:t>
            </w:r>
            <w:r>
              <w:rPr>
                <w:rFonts w:hint="eastAsia" w:ascii="宋体" w:hAnsi="宋体" w:cs="宋体"/>
                <w:kern w:val="0"/>
                <w:sz w:val="18"/>
                <w:szCs w:val="18"/>
              </w:rPr>
              <w:br/>
            </w:r>
            <w:r>
              <w:rPr>
                <w:rFonts w:hint="eastAsia" w:ascii="宋体" w:hAnsi="宋体" w:cs="宋体"/>
                <w:kern w:val="0"/>
                <w:sz w:val="18"/>
                <w:szCs w:val="18"/>
              </w:rPr>
              <w:t>　　(四)施工现场临时搭建的建筑物不符合安全使用要求的；</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《建设工程安全生产管理条例》第六十四条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1.先责令限期改正。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2.逾期未改正的，责令停工整改，罚款。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824"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Merge w:val="continue"/>
            <w:vAlign w:val="center"/>
          </w:tcPr>
          <w:p>
            <w:pPr>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25</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施工现场临时搭建的建筑物不符合安全使用要求的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627"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文明施工</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26</w:t>
            </w:r>
          </w:p>
        </w:tc>
        <w:tc>
          <w:tcPr>
            <w:tcW w:w="2409" w:type="dxa"/>
            <w:tcBorders>
              <w:bottom w:val="single" w:color="auto" w:sz="4" w:space="0"/>
            </w:tcBorders>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未根据不同施工阶段和周围环境及季节、气候的变化，在施工现场采取相应的安全施工措施，或者在城市市区内的建设工程的施工现场未实行封闭围挡的</w:t>
            </w:r>
          </w:p>
        </w:tc>
        <w:tc>
          <w:tcPr>
            <w:tcW w:w="6066" w:type="dxa"/>
            <w:vMerge w:val="continue"/>
            <w:tcBorders>
              <w:bottom w:val="single" w:color="auto" w:sz="4" w:space="0"/>
            </w:tcBorders>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tcBorders>
              <w:bottom w:val="single" w:color="auto" w:sz="4" w:space="0"/>
            </w:tcBorders>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tcBorders>
              <w:bottom w:val="single" w:color="auto" w:sz="4" w:space="0"/>
            </w:tcBorders>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121"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restart"/>
            <w:vAlign w:val="center"/>
          </w:tcPr>
          <w:p>
            <w:pPr>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主要负责人、项目负责人履职</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27</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未建立项目安全生产管理体系，明确项目管理人员安全职责</w:t>
            </w:r>
          </w:p>
        </w:tc>
        <w:tc>
          <w:tcPr>
            <w:tcW w:w="6066" w:type="dxa"/>
            <w:vMerge w:val="restart"/>
            <w:tcBorders>
              <w:top w:val="single" w:color="auto" w:sz="4" w:space="0"/>
            </w:tcBorders>
            <w:vAlign w:val="center"/>
          </w:tcPr>
          <w:p>
            <w:pPr>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第三十二条　主要负责人、项目负责人未按规定履行安全生产管理职责的，责令限期改正；逾期未改正的，责令建筑施工企业停业整顿；造成生产安全事故或者其他严重后果的，按照《生产安全事故报告和调查处理条例》的有关规定，依法暂扣或者吊销安全生产考核合格证书；构成犯罪的，依法追究刑事责任。主要负责人、项目负责人有前款违法行为，尚不够刑事处罚的，处2万元以上20万元以下的罚款或者按照管理权限给予撤职处分；自刑罚执行完毕或者受处分之日起，5年内不得担任建筑施工企业的主要负责人、项目负责人。</w:t>
            </w:r>
          </w:p>
        </w:tc>
        <w:tc>
          <w:tcPr>
            <w:tcW w:w="1931" w:type="dxa"/>
            <w:vMerge w:val="restart"/>
            <w:tcBorders>
              <w:top w:val="single" w:color="auto" w:sz="4" w:space="0"/>
            </w:tcBorders>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《建筑施工企业主要负责人、项目负责人和专职安全生产管理人员安全生产管理规定》第三十二条</w:t>
            </w:r>
          </w:p>
        </w:tc>
        <w:tc>
          <w:tcPr>
            <w:tcW w:w="1637" w:type="dxa"/>
            <w:vMerge w:val="restart"/>
            <w:tcBorders>
              <w:top w:val="single" w:color="auto" w:sz="4" w:space="0"/>
            </w:tcBorders>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04"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28</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未落实安全生产管理制度</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17"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29</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未监控危险性较大分部分项工程</w:t>
            </w:r>
          </w:p>
        </w:tc>
        <w:tc>
          <w:tcPr>
            <w:tcW w:w="6066" w:type="dxa"/>
            <w:vMerge w:val="continue"/>
            <w:vAlign w:val="center"/>
          </w:tcPr>
          <w:p>
            <w:pPr>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42"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30</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未及时排查处理施工现场安全事故隐患</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58"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restart"/>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安全员履职</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31</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未现场监督危险性较大的分部分项工程安全专项施工方案实施的</w:t>
            </w:r>
          </w:p>
        </w:tc>
        <w:tc>
          <w:tcPr>
            <w:tcW w:w="6066"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第三十三条　专职安全生产管理人员未按规定履行安全生产管理职责的，责令限期改正，并处1000元以上5000元以下的罚款；造成生产安全事故或者其他严重后果的，按照《生产安全事故报告和调查处理条例》的有关规定，依法暂扣或者吊销安全生产考核合格证书；构成犯罪的，依法追究刑事责任。</w:t>
            </w:r>
          </w:p>
        </w:tc>
        <w:tc>
          <w:tcPr>
            <w:tcW w:w="1931"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《建筑施工企业主要负责人、项目负责人和专职安全生产管理人员安全生产管理规定》第三十三条</w:t>
            </w:r>
          </w:p>
        </w:tc>
        <w:tc>
          <w:tcPr>
            <w:tcW w:w="1637" w:type="dxa"/>
            <w:vMerge w:val="restart"/>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1.责令改正；</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58"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32</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每天在施工现场开展安全检查，对检查中发现的安全事故隐患，未立即处理的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002" w:hRule="atLeast"/>
          <w:jc w:val="center"/>
        </w:trPr>
        <w:tc>
          <w:tcPr>
            <w:tcW w:w="1086" w:type="dxa"/>
            <w:vMerge w:val="continue"/>
            <w:vAlign w:val="center"/>
          </w:tcPr>
          <w:p>
            <w:pPr>
              <w:adjustRightInd w:val="0"/>
              <w:snapToGrid w:val="0"/>
              <w:spacing w:line="240" w:lineRule="exact"/>
              <w:jc w:val="left"/>
              <w:rPr>
                <w:rFonts w:ascii="宋体" w:hAnsi="宋体" w:cs="宋体"/>
                <w:kern w:val="0"/>
                <w:sz w:val="18"/>
                <w:szCs w:val="18"/>
              </w:rPr>
            </w:pPr>
          </w:p>
        </w:tc>
        <w:tc>
          <w:tcPr>
            <w:tcW w:w="966" w:type="dxa"/>
            <w:vMerge w:val="continue"/>
            <w:vAlign w:val="center"/>
          </w:tcPr>
          <w:p>
            <w:pPr>
              <w:widowControl/>
              <w:adjustRightInd w:val="0"/>
              <w:snapToGrid w:val="0"/>
              <w:spacing w:line="240" w:lineRule="exact"/>
              <w:jc w:val="center"/>
              <w:rPr>
                <w:rFonts w:ascii="宋体" w:hAnsi="宋体" w:cs="宋体"/>
                <w:kern w:val="0"/>
                <w:sz w:val="18"/>
                <w:szCs w:val="18"/>
              </w:rPr>
            </w:pP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33</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对检查中发现的安全隐患，不能处理的，未及时报告项目负责人和企业安全生产管理机构</w:t>
            </w:r>
          </w:p>
        </w:tc>
        <w:tc>
          <w:tcPr>
            <w:tcW w:w="606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931"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1637" w:type="dxa"/>
            <w:vMerge w:val="continue"/>
            <w:vAlign w:val="center"/>
          </w:tcPr>
          <w:p>
            <w:pPr>
              <w:widowControl/>
              <w:adjustRightInd w:val="0"/>
              <w:snapToGrid w:val="0"/>
              <w:spacing w:line="240" w:lineRule="exact"/>
              <w:jc w:val="left"/>
              <w:rPr>
                <w:rFonts w:ascii="宋体" w:hAnsi="宋体" w:cs="宋体"/>
                <w:kern w:val="0"/>
                <w:sz w:val="18"/>
                <w:szCs w:val="1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304" w:hRule="atLeast"/>
          <w:jc w:val="center"/>
        </w:trPr>
        <w:tc>
          <w:tcPr>
            <w:tcW w:w="1086" w:type="dxa"/>
            <w:vMerge w:val="continue"/>
            <w:vAlign w:val="center"/>
          </w:tcPr>
          <w:p>
            <w:pPr>
              <w:widowControl/>
              <w:adjustRightInd w:val="0"/>
              <w:snapToGrid w:val="0"/>
              <w:spacing w:line="240" w:lineRule="exact"/>
              <w:jc w:val="left"/>
              <w:rPr>
                <w:rFonts w:ascii="宋体" w:hAnsi="宋体" w:cs="宋体"/>
                <w:kern w:val="0"/>
                <w:sz w:val="18"/>
                <w:szCs w:val="18"/>
              </w:rPr>
            </w:pPr>
          </w:p>
        </w:tc>
        <w:tc>
          <w:tcPr>
            <w:tcW w:w="966"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安管人员证书管理</w:t>
            </w:r>
          </w:p>
        </w:tc>
        <w:tc>
          <w:tcPr>
            <w:tcW w:w="485" w:type="dxa"/>
            <w:vAlign w:val="center"/>
          </w:tcPr>
          <w:p>
            <w:pPr>
              <w:widowControl/>
              <w:adjustRightInd w:val="0"/>
              <w:snapToGrid w:val="0"/>
              <w:spacing w:line="240" w:lineRule="exact"/>
              <w:jc w:val="center"/>
              <w:rPr>
                <w:rFonts w:ascii="宋体" w:hAnsi="宋体" w:cs="宋体"/>
                <w:kern w:val="0"/>
                <w:sz w:val="18"/>
                <w:szCs w:val="18"/>
              </w:rPr>
            </w:pPr>
            <w:r>
              <w:rPr>
                <w:rFonts w:hint="eastAsia" w:ascii="宋体" w:hAnsi="宋体" w:cs="宋体"/>
                <w:kern w:val="0"/>
                <w:sz w:val="18"/>
                <w:szCs w:val="18"/>
              </w:rPr>
              <w:t>34</w:t>
            </w:r>
          </w:p>
        </w:tc>
        <w:tc>
          <w:tcPr>
            <w:tcW w:w="2409"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“安管人员（企业主要负责人、项目负责人和专职安全生产管理人员）”未按规定办理证书变更的</w:t>
            </w:r>
          </w:p>
        </w:tc>
        <w:tc>
          <w:tcPr>
            <w:tcW w:w="6066"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第三十一条　“安管人员”未按规定办理证书变更的，责令限期改正，并处1000元以上5000元以下的罚款。</w:t>
            </w:r>
          </w:p>
        </w:tc>
        <w:tc>
          <w:tcPr>
            <w:tcW w:w="1931"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《建筑施工企业主要负责人、项目负责人和专职安全生产管理人员安全生产管理规定》第三十一条</w:t>
            </w:r>
          </w:p>
        </w:tc>
        <w:tc>
          <w:tcPr>
            <w:tcW w:w="1637" w:type="dxa"/>
            <w:vAlign w:val="center"/>
          </w:tcPr>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1.警告；</w:t>
            </w:r>
          </w:p>
          <w:p>
            <w:pPr>
              <w:widowControl/>
              <w:adjustRightInd w:val="0"/>
              <w:snapToGrid w:val="0"/>
              <w:spacing w:line="240" w:lineRule="exact"/>
              <w:jc w:val="left"/>
              <w:rPr>
                <w:rFonts w:ascii="宋体" w:hAnsi="宋体" w:cs="宋体"/>
                <w:kern w:val="0"/>
                <w:sz w:val="18"/>
                <w:szCs w:val="18"/>
              </w:rPr>
            </w:pPr>
            <w:r>
              <w:rPr>
                <w:rFonts w:hint="eastAsia" w:ascii="宋体" w:hAnsi="宋体" w:cs="宋体"/>
                <w:kern w:val="0"/>
                <w:sz w:val="18"/>
                <w:szCs w:val="18"/>
              </w:rPr>
              <w:t>2罚款。</w:t>
            </w:r>
          </w:p>
        </w:tc>
      </w:tr>
    </w:tbl>
    <w:p>
      <w:pPr>
        <w:pStyle w:val="12"/>
        <w:jc w:val="both"/>
      </w:pPr>
      <w:r>
        <w:rPr>
          <w:rFonts w:cs="宋体"/>
          <w:sz w:val="18"/>
          <w:szCs w:val="18"/>
        </w:rPr>
        <w:t>注</w:t>
      </w:r>
      <w:r>
        <w:rPr>
          <w:rFonts w:hint="eastAsia" w:cs="宋体"/>
          <w:sz w:val="18"/>
          <w:szCs w:val="18"/>
        </w:rPr>
        <w:t>：</w:t>
      </w:r>
      <w:r>
        <w:rPr>
          <w:rFonts w:cs="宋体"/>
          <w:b w:val="0"/>
          <w:sz w:val="18"/>
          <w:szCs w:val="18"/>
        </w:rPr>
        <w:t>相关法律法规修订</w:t>
      </w:r>
      <w:r>
        <w:rPr>
          <w:rFonts w:hint="eastAsia" w:cs="宋体"/>
          <w:b w:val="0"/>
          <w:sz w:val="18"/>
          <w:szCs w:val="18"/>
        </w:rPr>
        <w:t>、</w:t>
      </w:r>
      <w:r>
        <w:rPr>
          <w:rFonts w:cs="宋体"/>
          <w:b w:val="0"/>
          <w:sz w:val="18"/>
          <w:szCs w:val="18"/>
        </w:rPr>
        <w:t>修正或有新的法律法规</w:t>
      </w:r>
      <w:r>
        <w:rPr>
          <w:rFonts w:hint="eastAsia" w:cs="宋体"/>
          <w:b w:val="0"/>
          <w:sz w:val="18"/>
          <w:szCs w:val="18"/>
        </w:rPr>
        <w:t>，</w:t>
      </w:r>
      <w:r>
        <w:rPr>
          <w:rFonts w:cs="宋体"/>
          <w:b w:val="0"/>
          <w:sz w:val="18"/>
          <w:szCs w:val="18"/>
        </w:rPr>
        <w:t>则按现行有效法律法规执行</w:t>
      </w:r>
    </w:p>
    <w:sectPr>
      <w:pgSz w:w="16838" w:h="11906" w:orient="landscape"/>
      <w:pgMar w:top="1800" w:right="1440" w:bottom="1800" w:left="144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等线">
    <w:altName w:val="宋体"/>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pPr>
    <w:r>
      <w:rPr>
        <w:rFonts w:ascii="Times New Roman" w:hAnsi="Times New Roman" w:eastAsia="宋体" w:cs="Times New Roman"/>
        <w:kern w:val="2"/>
        <w:sz w:val="18"/>
        <w:szCs w:val="18"/>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sz w:val="24"/>
                    <w:szCs w:val="24"/>
                  </w:rPr>
                </w:pPr>
                <w:r>
                  <w:rPr>
                    <w:rFonts w:hint="eastAsia"/>
                    <w:sz w:val="24"/>
                    <w:szCs w:val="24"/>
                  </w:rPr>
                  <w:fldChar w:fldCharType="begin"/>
                </w:r>
                <w:r>
                  <w:rPr>
                    <w:rFonts w:hint="eastAsia"/>
                    <w:sz w:val="24"/>
                    <w:szCs w:val="24"/>
                  </w:rPr>
                  <w:instrText xml:space="preserve"> PAGE  \* MERGEFORMAT </w:instrText>
                </w:r>
                <w:r>
                  <w:rPr>
                    <w:rFonts w:hint="eastAsia"/>
                    <w:sz w:val="24"/>
                    <w:szCs w:val="24"/>
                  </w:rPr>
                  <w:fldChar w:fldCharType="separate"/>
                </w:r>
                <w:r>
                  <w:rPr>
                    <w:sz w:val="24"/>
                    <w:szCs w:val="24"/>
                  </w:rPr>
                  <w:t>- 8 -</w:t>
                </w:r>
                <w:r>
                  <w:rPr>
                    <w:rFonts w:hint="eastAsia"/>
                    <w:sz w:val="24"/>
                    <w:szCs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6"/>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C44B6"/>
    <w:rsid w:val="001C44B6"/>
    <w:rsid w:val="00242507"/>
    <w:rsid w:val="004049EE"/>
    <w:rsid w:val="00611009"/>
    <w:rsid w:val="006C3CB8"/>
    <w:rsid w:val="00765B4A"/>
    <w:rsid w:val="007F49DB"/>
    <w:rsid w:val="00961299"/>
    <w:rsid w:val="00997747"/>
    <w:rsid w:val="00A23508"/>
    <w:rsid w:val="00B21E63"/>
    <w:rsid w:val="00BC14AA"/>
    <w:rsid w:val="00CD4B72"/>
    <w:rsid w:val="00DA2614"/>
    <w:rsid w:val="00DB43F0"/>
    <w:rsid w:val="00F65984"/>
    <w:rsid w:val="0D06536D"/>
    <w:rsid w:val="135D73AF"/>
    <w:rsid w:val="16034D74"/>
    <w:rsid w:val="16235AE0"/>
    <w:rsid w:val="2BE62EA9"/>
    <w:rsid w:val="3EBA141D"/>
    <w:rsid w:val="41C05C2A"/>
    <w:rsid w:val="478B4C6E"/>
    <w:rsid w:val="54AD0379"/>
    <w:rsid w:val="589F522B"/>
    <w:rsid w:val="596452D9"/>
    <w:rsid w:val="61692145"/>
    <w:rsid w:val="662E75B1"/>
    <w:rsid w:val="6F48677A"/>
    <w:rsid w:val="73D7089D"/>
    <w:rsid w:val="74903648"/>
    <w:rsid w:val="76A828B9"/>
    <w:rsid w:val="776A451C"/>
    <w:rsid w:val="790565FC"/>
    <w:rsid w:val="797152CB"/>
    <w:rsid w:val="7A0A520E"/>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仿宋" w:cs="等线"/>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9">
    <w:name w:val="Default Paragraph Font"/>
    <w:unhideWhenUsed/>
    <w:uiPriority w:val="1"/>
  </w:style>
  <w:style w:type="table" w:default="1" w:styleId="11">
    <w:name w:val="Normal Table"/>
    <w:unhideWhenUsed/>
    <w:uiPriority w:val="99"/>
    <w:tblPr>
      <w:tblStyle w:val="11"/>
      <w:tblLayout w:type="fixed"/>
      <w:tblCellMar>
        <w:top w:w="0" w:type="dxa"/>
        <w:left w:w="108" w:type="dxa"/>
        <w:bottom w:w="0" w:type="dxa"/>
        <w:right w:w="108" w:type="dxa"/>
      </w:tblCellMar>
    </w:tblPr>
    <w:tcPr>
      <w:textDirection w:val="lrTb"/>
    </w:tcPr>
  </w:style>
  <w:style w:type="paragraph" w:customStyle="1" w:styleId="2">
    <w:name w:val="非政府正文"/>
    <w:basedOn w:val="1"/>
    <w:qFormat/>
    <w:uiPriority w:val="99"/>
  </w:style>
  <w:style w:type="paragraph" w:styleId="3">
    <w:name w:val="Body Text"/>
    <w:basedOn w:val="1"/>
    <w:qFormat/>
    <w:uiPriority w:val="0"/>
    <w:pPr>
      <w:ind w:left="111"/>
    </w:pPr>
    <w:rPr>
      <w:rFonts w:ascii="宋体" w:hAnsi="宋体" w:cs="宋体"/>
      <w:sz w:val="32"/>
      <w:szCs w:val="32"/>
    </w:rPr>
  </w:style>
  <w:style w:type="paragraph" w:styleId="4">
    <w:name w:val="Balloon Text"/>
    <w:basedOn w:val="1"/>
    <w:link w:val="18"/>
    <w:uiPriority w:val="0"/>
    <w:rPr>
      <w:sz w:val="18"/>
      <w:szCs w:val="18"/>
    </w:r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HTML Preformatted"/>
    <w:basedOn w:val="1"/>
    <w:semiHidden/>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宋体" w:hAnsi="宋体" w:cs="宋体"/>
      <w:sz w:val="24"/>
      <w:szCs w:val="24"/>
    </w:rPr>
  </w:style>
  <w:style w:type="paragraph" w:styleId="8">
    <w:name w:val="Normal (Web)"/>
    <w:basedOn w:val="1"/>
    <w:semiHidden/>
    <w:qFormat/>
    <w:uiPriority w:val="0"/>
    <w:pPr>
      <w:spacing w:beforeAutospacing="1" w:afterAutospacing="1"/>
    </w:pPr>
    <w:rPr>
      <w:sz w:val="24"/>
      <w:szCs w:val="24"/>
    </w:rPr>
  </w:style>
  <w:style w:type="character" w:styleId="10">
    <w:name w:val="Strong"/>
    <w:qFormat/>
    <w:uiPriority w:val="0"/>
    <w:rPr>
      <w:b/>
    </w:rPr>
  </w:style>
  <w:style w:type="paragraph" w:customStyle="1" w:styleId="12">
    <w:name w:val="BT00"/>
    <w:qFormat/>
    <w:uiPriority w:val="0"/>
    <w:pPr>
      <w:widowControl w:val="0"/>
      <w:jc w:val="center"/>
      <w:outlineLvl w:val="0"/>
    </w:pPr>
    <w:rPr>
      <w:rFonts w:ascii="宋体" w:hAnsi="宋体" w:eastAsia="宋体" w:cs="Times New Roman"/>
      <w:b/>
      <w:sz w:val="44"/>
      <w:szCs w:val="44"/>
      <w:lang w:val="en-US" w:eastAsia="zh-CN" w:bidi="ar-SA"/>
    </w:rPr>
  </w:style>
  <w:style w:type="paragraph" w:customStyle="1" w:styleId="13">
    <w:name w:val="BT01"/>
    <w:next w:val="14"/>
    <w:qFormat/>
    <w:uiPriority w:val="0"/>
    <w:pPr>
      <w:keepNext/>
      <w:widowControl w:val="0"/>
      <w:spacing w:before="100" w:beforeLines="100" w:after="100" w:afterLines="100" w:line="360" w:lineRule="auto"/>
      <w:jc w:val="center"/>
      <w:outlineLvl w:val="0"/>
    </w:pPr>
    <w:rPr>
      <w:rFonts w:ascii="宋体" w:hAnsi="宋体" w:eastAsia="宋体" w:cs="黑体"/>
      <w:b/>
      <w:kern w:val="2"/>
      <w:sz w:val="36"/>
      <w:szCs w:val="32"/>
      <w:lang w:val="en-US" w:eastAsia="zh-CN" w:bidi="ar-SA"/>
    </w:rPr>
  </w:style>
  <w:style w:type="paragraph" w:customStyle="1" w:styleId="14">
    <w:name w:val="BZWFS"/>
    <w:qFormat/>
    <w:uiPriority w:val="0"/>
    <w:pPr>
      <w:widowControl w:val="0"/>
      <w:ind w:firstLine="640" w:firstLineChars="200"/>
      <w:jc w:val="both"/>
    </w:pPr>
    <w:rPr>
      <w:rFonts w:ascii="仿宋_GB2312" w:hAnsi="仿宋_GB2312" w:eastAsia="仿宋_GB2312" w:cs="Times New Roman"/>
      <w:sz w:val="32"/>
      <w:szCs w:val="32"/>
      <w:lang w:val="en-US" w:eastAsia="zh-CN" w:bidi="ar-SA"/>
    </w:rPr>
  </w:style>
  <w:style w:type="paragraph" w:customStyle="1" w:styleId="15">
    <w:name w:val="公式排版"/>
    <w:basedOn w:val="1"/>
    <w:qFormat/>
    <w:uiPriority w:val="0"/>
    <w:pPr>
      <w:tabs>
        <w:tab w:val="center" w:pos="3990"/>
        <w:tab w:val="right" w:pos="7980"/>
      </w:tabs>
      <w:textAlignment w:val="baseline"/>
    </w:pPr>
    <w:rPr>
      <w:rFonts w:ascii="宋体" w:hAnsi="宋体"/>
      <w:sz w:val="24"/>
    </w:rPr>
  </w:style>
  <w:style w:type="paragraph" w:customStyle="1" w:styleId="16">
    <w:name w:val="Table Paragraph"/>
    <w:basedOn w:val="1"/>
    <w:qFormat/>
    <w:uiPriority w:val="0"/>
  </w:style>
  <w:style w:type="paragraph" w:customStyle="1" w:styleId="17">
    <w:name w:val="Char Char Char Char Char Char1 Char"/>
    <w:basedOn w:val="1"/>
    <w:qFormat/>
    <w:uiPriority w:val="0"/>
    <w:pPr>
      <w:widowControl/>
      <w:spacing w:after="160" w:line="240" w:lineRule="exact"/>
      <w:jc w:val="left"/>
    </w:pPr>
    <w:rPr>
      <w:rFonts w:hint="eastAsia" w:eastAsia="Times New Roman"/>
    </w:rPr>
  </w:style>
  <w:style w:type="character" w:customStyle="1" w:styleId="18">
    <w:name w:val="批注框文本 Char"/>
    <w:link w:val="4"/>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1681</Words>
  <Characters>9583</Characters>
  <Lines>79</Lines>
  <Paragraphs>22</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神勒勒sama</dc:creator>
  <cp:lastModifiedBy>雷飞</cp:lastModifiedBy>
  <dcterms:modified xsi:type="dcterms:W3CDTF">2019-12-26T12:09:57Z</dcterms:modified>
  <dc:title>深圳市小散工程和零星作业安全生产执法工作指引（试行）</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