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 w:hAnsi="仿宋" w:eastAsia="仿宋"/>
          <w:color w:val="000000"/>
          <w:sz w:val="24"/>
          <w:szCs w:val="24"/>
        </w:rPr>
      </w:pPr>
      <w:bookmarkStart w:id="0" w:name="_GoBack"/>
      <w:bookmarkEnd w:id="0"/>
      <w:r>
        <w:rPr>
          <w:rFonts w:hint="eastAsia" w:ascii="仿宋" w:hAnsi="仿宋" w:eastAsia="仿宋"/>
          <w:color w:val="000000"/>
          <w:sz w:val="24"/>
          <w:szCs w:val="24"/>
        </w:rPr>
        <w:t>附件：</w:t>
      </w:r>
    </w:p>
    <w:p>
      <w:pPr>
        <w:jc w:val="center"/>
        <w:outlineLvl w:val="0"/>
        <w:rPr>
          <w:rFonts w:ascii="仿宋_GB2312" w:eastAsia="仿宋_GB2312"/>
          <w:b/>
          <w:sz w:val="32"/>
          <w:szCs w:val="32"/>
        </w:rPr>
      </w:pPr>
    </w:p>
    <w:p>
      <w:pPr>
        <w:jc w:val="center"/>
        <w:outlineLvl w:val="0"/>
        <w:rPr>
          <w:rFonts w:ascii="仿宋_GB2312" w:eastAsia="仿宋_GB2312"/>
          <w:b/>
          <w:sz w:val="32"/>
          <w:szCs w:val="32"/>
        </w:rPr>
      </w:pPr>
      <w:r>
        <w:rPr>
          <w:rFonts w:hint="eastAsia" w:ascii="仿宋_GB2312" w:eastAsia="仿宋_GB2312"/>
          <w:b/>
          <w:sz w:val="32"/>
          <w:szCs w:val="32"/>
        </w:rPr>
        <w:t>《宝安区新桥街道新桥东片区重点城市</w:t>
      </w:r>
    </w:p>
    <w:p>
      <w:pPr>
        <w:jc w:val="center"/>
        <w:outlineLvl w:val="0"/>
        <w:rPr>
          <w:rFonts w:ascii="仿宋_GB2312" w:eastAsia="仿宋_GB2312"/>
          <w:b/>
          <w:sz w:val="32"/>
          <w:szCs w:val="32"/>
        </w:rPr>
      </w:pPr>
      <w:r>
        <w:rPr>
          <w:rFonts w:hint="eastAsia" w:ascii="仿宋_GB2312" w:eastAsia="仿宋_GB2312"/>
          <w:b/>
          <w:sz w:val="32"/>
          <w:szCs w:val="32"/>
        </w:rPr>
        <w:t>更新单元计划》一览表</w:t>
      </w:r>
    </w:p>
    <w:p>
      <w:pPr>
        <w:jc w:val="center"/>
        <w:outlineLvl w:val="0"/>
        <w:rPr>
          <w:rFonts w:ascii="仿宋_GB2312" w:eastAsia="仿宋_GB2312"/>
          <w:b/>
          <w:sz w:val="32"/>
          <w:szCs w:val="32"/>
        </w:rPr>
      </w:pPr>
    </w:p>
    <w:tbl>
      <w:tblPr>
        <w:tblStyle w:val="4"/>
        <w:tblW w:w="5557" w:type="pct"/>
        <w:tblInd w:w="-432"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0" w:type="dxa"/>
          <w:bottom w:w="0" w:type="dxa"/>
          <w:right w:w="0" w:type="dxa"/>
        </w:tblCellMar>
      </w:tblPr>
      <w:tblGrid>
        <w:gridCol w:w="405"/>
        <w:gridCol w:w="702"/>
        <w:gridCol w:w="709"/>
        <w:gridCol w:w="992"/>
        <w:gridCol w:w="1134"/>
        <w:gridCol w:w="1134"/>
        <w:gridCol w:w="439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60" w:hRule="atLeast"/>
        </w:trPr>
        <w:tc>
          <w:tcPr>
            <w:tcW w:w="405" w:type="dxa"/>
            <w:tcMar>
              <w:top w:w="0" w:type="dxa"/>
              <w:left w:w="108" w:type="dxa"/>
              <w:bottom w:w="0" w:type="dxa"/>
              <w:right w:w="108" w:type="dxa"/>
            </w:tcMar>
            <w:vAlign w:val="center"/>
          </w:tcPr>
          <w:p>
            <w:pPr>
              <w:jc w:val="center"/>
              <w:rPr>
                <w:rFonts w:ascii="宋体" w:hAnsi="宋体"/>
                <w:b/>
                <w:bCs/>
                <w:color w:val="000000"/>
                <w:sz w:val="18"/>
                <w:szCs w:val="18"/>
              </w:rPr>
            </w:pPr>
            <w:r>
              <w:rPr>
                <w:rFonts w:ascii="宋体" w:hAnsi="宋体"/>
                <w:b/>
                <w:bCs/>
                <w:color w:val="000000"/>
                <w:sz w:val="18"/>
                <w:szCs w:val="18"/>
              </w:rPr>
              <w:t>编号</w:t>
            </w:r>
          </w:p>
        </w:tc>
        <w:tc>
          <w:tcPr>
            <w:tcW w:w="702" w:type="dxa"/>
            <w:tcMar>
              <w:top w:w="0" w:type="dxa"/>
              <w:left w:w="108" w:type="dxa"/>
              <w:bottom w:w="0" w:type="dxa"/>
              <w:right w:w="108" w:type="dxa"/>
            </w:tcMar>
            <w:vAlign w:val="center"/>
          </w:tcPr>
          <w:p>
            <w:pPr>
              <w:jc w:val="center"/>
              <w:rPr>
                <w:rFonts w:ascii="宋体" w:hAnsi="宋体"/>
                <w:b/>
                <w:bCs/>
                <w:color w:val="000000"/>
                <w:sz w:val="18"/>
                <w:szCs w:val="18"/>
              </w:rPr>
            </w:pPr>
            <w:r>
              <w:rPr>
                <w:rFonts w:ascii="宋体" w:hAnsi="宋体"/>
                <w:b/>
                <w:bCs/>
                <w:color w:val="000000"/>
                <w:sz w:val="18"/>
                <w:szCs w:val="18"/>
              </w:rPr>
              <w:t>辖区</w:t>
            </w:r>
          </w:p>
        </w:tc>
        <w:tc>
          <w:tcPr>
            <w:tcW w:w="709" w:type="dxa"/>
            <w:tcMar>
              <w:top w:w="0" w:type="dxa"/>
              <w:left w:w="108" w:type="dxa"/>
              <w:bottom w:w="0" w:type="dxa"/>
              <w:right w:w="108" w:type="dxa"/>
            </w:tcMar>
            <w:vAlign w:val="center"/>
          </w:tcPr>
          <w:p>
            <w:pPr>
              <w:jc w:val="center"/>
              <w:rPr>
                <w:rFonts w:ascii="宋体" w:hAnsi="宋体"/>
                <w:b/>
                <w:bCs/>
                <w:color w:val="000000"/>
                <w:sz w:val="18"/>
                <w:szCs w:val="18"/>
              </w:rPr>
            </w:pPr>
            <w:r>
              <w:rPr>
                <w:rFonts w:ascii="宋体" w:hAnsi="宋体"/>
                <w:b/>
                <w:bCs/>
                <w:color w:val="000000"/>
                <w:sz w:val="18"/>
                <w:szCs w:val="18"/>
              </w:rPr>
              <w:t>街道</w:t>
            </w:r>
          </w:p>
        </w:tc>
        <w:tc>
          <w:tcPr>
            <w:tcW w:w="992" w:type="dxa"/>
            <w:tcMar>
              <w:top w:w="0" w:type="dxa"/>
              <w:left w:w="108" w:type="dxa"/>
              <w:bottom w:w="0" w:type="dxa"/>
              <w:right w:w="108" w:type="dxa"/>
            </w:tcMar>
            <w:vAlign w:val="center"/>
          </w:tcPr>
          <w:p>
            <w:pPr>
              <w:jc w:val="center"/>
              <w:rPr>
                <w:rFonts w:ascii="宋体" w:hAnsi="宋体"/>
                <w:b/>
                <w:bCs/>
                <w:color w:val="000000"/>
                <w:sz w:val="18"/>
                <w:szCs w:val="18"/>
              </w:rPr>
            </w:pPr>
            <w:r>
              <w:rPr>
                <w:rFonts w:ascii="宋体" w:hAnsi="宋体"/>
                <w:b/>
                <w:bCs/>
                <w:color w:val="000000"/>
                <w:sz w:val="18"/>
                <w:szCs w:val="18"/>
              </w:rPr>
              <w:t>单元名称</w:t>
            </w:r>
          </w:p>
        </w:tc>
        <w:tc>
          <w:tcPr>
            <w:tcW w:w="1134" w:type="dxa"/>
            <w:tcMar>
              <w:top w:w="0" w:type="dxa"/>
              <w:left w:w="108" w:type="dxa"/>
              <w:bottom w:w="0" w:type="dxa"/>
              <w:right w:w="108" w:type="dxa"/>
            </w:tcMar>
            <w:vAlign w:val="center"/>
          </w:tcPr>
          <w:p>
            <w:pPr>
              <w:jc w:val="center"/>
              <w:rPr>
                <w:rFonts w:ascii="宋体" w:hAnsi="宋体"/>
                <w:b/>
                <w:bCs/>
                <w:color w:val="000000"/>
                <w:sz w:val="18"/>
                <w:szCs w:val="18"/>
              </w:rPr>
            </w:pPr>
            <w:r>
              <w:rPr>
                <w:rFonts w:ascii="宋体" w:hAnsi="宋体"/>
                <w:b/>
                <w:bCs/>
                <w:color w:val="000000"/>
                <w:sz w:val="18"/>
                <w:szCs w:val="18"/>
              </w:rPr>
              <w:t>申报主体</w:t>
            </w:r>
          </w:p>
        </w:tc>
        <w:tc>
          <w:tcPr>
            <w:tcW w:w="1134" w:type="dxa"/>
            <w:tcMar>
              <w:top w:w="0" w:type="dxa"/>
              <w:left w:w="108" w:type="dxa"/>
              <w:bottom w:w="0" w:type="dxa"/>
              <w:right w:w="108" w:type="dxa"/>
            </w:tcMar>
            <w:vAlign w:val="center"/>
          </w:tcPr>
          <w:p>
            <w:pPr>
              <w:jc w:val="center"/>
              <w:rPr>
                <w:rFonts w:ascii="宋体" w:hAnsi="宋体"/>
                <w:b/>
                <w:bCs/>
                <w:color w:val="000000"/>
                <w:sz w:val="18"/>
                <w:szCs w:val="18"/>
              </w:rPr>
            </w:pPr>
            <w:r>
              <w:rPr>
                <w:rFonts w:hint="eastAsia" w:ascii="宋体" w:hAnsi="宋体"/>
                <w:b/>
                <w:bCs/>
                <w:color w:val="000000"/>
                <w:sz w:val="18"/>
                <w:szCs w:val="18"/>
              </w:rPr>
              <w:t>拆除范围</w:t>
            </w:r>
            <w:r>
              <w:rPr>
                <w:rFonts w:ascii="宋体" w:hAnsi="宋体"/>
                <w:b/>
                <w:bCs/>
                <w:color w:val="000000"/>
                <w:sz w:val="18"/>
                <w:szCs w:val="18"/>
              </w:rPr>
              <w:t>用地面积（平方米）</w:t>
            </w:r>
          </w:p>
        </w:tc>
        <w:tc>
          <w:tcPr>
            <w:tcW w:w="4395" w:type="dxa"/>
            <w:tcMar>
              <w:top w:w="0" w:type="dxa"/>
              <w:left w:w="108" w:type="dxa"/>
              <w:bottom w:w="0" w:type="dxa"/>
              <w:right w:w="108" w:type="dxa"/>
            </w:tcMar>
            <w:vAlign w:val="center"/>
          </w:tcPr>
          <w:p>
            <w:pPr>
              <w:jc w:val="center"/>
              <w:rPr>
                <w:rFonts w:ascii="宋体" w:hAnsi="宋体"/>
                <w:b/>
                <w:bCs/>
                <w:color w:val="000000"/>
                <w:sz w:val="18"/>
                <w:szCs w:val="18"/>
              </w:rPr>
            </w:pPr>
            <w:r>
              <w:rPr>
                <w:rFonts w:ascii="宋体" w:hAnsi="宋体"/>
                <w:b/>
                <w:bCs/>
                <w:color w:val="000000"/>
                <w:sz w:val="18"/>
                <w:szCs w:val="18"/>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8" w:hRule="atLeast"/>
        </w:trPr>
        <w:tc>
          <w:tcPr>
            <w:tcW w:w="405" w:type="dxa"/>
            <w:tcMar>
              <w:top w:w="0" w:type="dxa"/>
              <w:left w:w="108" w:type="dxa"/>
              <w:bottom w:w="0" w:type="dxa"/>
              <w:right w:w="108" w:type="dxa"/>
            </w:tcMar>
            <w:vAlign w:val="center"/>
          </w:tcPr>
          <w:p>
            <w:pPr>
              <w:widowControl/>
              <w:jc w:val="center"/>
              <w:rPr>
                <w:rFonts w:cs="Times New Roman" w:asciiTheme="minorEastAsia" w:hAnsiTheme="minorEastAsia"/>
                <w:color w:val="000000"/>
                <w:kern w:val="0"/>
                <w:sz w:val="18"/>
                <w:szCs w:val="18"/>
              </w:rPr>
            </w:pPr>
            <w:r>
              <w:rPr>
                <w:rFonts w:hint="eastAsia" w:cs="Times New Roman" w:asciiTheme="minorEastAsia" w:hAnsiTheme="minorEastAsia"/>
                <w:color w:val="000000"/>
                <w:kern w:val="0"/>
                <w:sz w:val="18"/>
                <w:szCs w:val="18"/>
              </w:rPr>
              <w:t>1</w:t>
            </w:r>
          </w:p>
        </w:tc>
        <w:tc>
          <w:tcPr>
            <w:tcW w:w="702" w:type="dxa"/>
            <w:tcMar>
              <w:top w:w="0" w:type="dxa"/>
              <w:left w:w="108" w:type="dxa"/>
              <w:bottom w:w="0" w:type="dxa"/>
              <w:right w:w="108" w:type="dxa"/>
            </w:tcMar>
            <w:vAlign w:val="center"/>
          </w:tcPr>
          <w:p>
            <w:pPr>
              <w:widowControl/>
              <w:jc w:val="center"/>
              <w:rPr>
                <w:rFonts w:cs="Times New Roman" w:asciiTheme="minorEastAsia" w:hAnsiTheme="minorEastAsia"/>
                <w:color w:val="000000"/>
                <w:kern w:val="0"/>
                <w:sz w:val="18"/>
                <w:szCs w:val="18"/>
              </w:rPr>
            </w:pPr>
            <w:r>
              <w:rPr>
                <w:rFonts w:hint="eastAsia" w:cs="Times New Roman" w:asciiTheme="minorEastAsia" w:hAnsiTheme="minorEastAsia"/>
                <w:color w:val="000000"/>
                <w:kern w:val="0"/>
                <w:sz w:val="18"/>
                <w:szCs w:val="18"/>
              </w:rPr>
              <w:t>宝安区</w:t>
            </w:r>
          </w:p>
        </w:tc>
        <w:tc>
          <w:tcPr>
            <w:tcW w:w="709" w:type="dxa"/>
            <w:tcMar>
              <w:top w:w="0" w:type="dxa"/>
              <w:left w:w="108" w:type="dxa"/>
              <w:bottom w:w="0" w:type="dxa"/>
              <w:right w:w="108" w:type="dxa"/>
            </w:tcMar>
            <w:vAlign w:val="center"/>
          </w:tcPr>
          <w:p>
            <w:pPr>
              <w:widowControl/>
              <w:jc w:val="center"/>
              <w:rPr>
                <w:rFonts w:cs="Times New Roman" w:asciiTheme="minorEastAsia" w:hAnsiTheme="minorEastAsia"/>
                <w:color w:val="000000"/>
                <w:kern w:val="0"/>
                <w:sz w:val="18"/>
                <w:szCs w:val="18"/>
              </w:rPr>
            </w:pPr>
            <w:r>
              <w:rPr>
                <w:rFonts w:hint="eastAsia" w:cs="Times New Roman" w:asciiTheme="minorEastAsia" w:hAnsiTheme="minorEastAsia"/>
                <w:color w:val="000000"/>
                <w:kern w:val="0"/>
                <w:sz w:val="18"/>
                <w:szCs w:val="18"/>
              </w:rPr>
              <w:t>新桥街道</w:t>
            </w:r>
          </w:p>
        </w:tc>
        <w:tc>
          <w:tcPr>
            <w:tcW w:w="992" w:type="dxa"/>
            <w:tcMar>
              <w:top w:w="0" w:type="dxa"/>
              <w:left w:w="108" w:type="dxa"/>
              <w:bottom w:w="0" w:type="dxa"/>
              <w:right w:w="108" w:type="dxa"/>
            </w:tcMar>
            <w:vAlign w:val="center"/>
          </w:tcPr>
          <w:p>
            <w:pPr>
              <w:widowControl/>
              <w:jc w:val="center"/>
              <w:rPr>
                <w:rFonts w:cs="Times New Roman" w:asciiTheme="minorEastAsia" w:hAnsiTheme="minorEastAsia"/>
                <w:color w:val="000000"/>
                <w:kern w:val="0"/>
                <w:sz w:val="18"/>
                <w:szCs w:val="18"/>
              </w:rPr>
            </w:pPr>
            <w:r>
              <w:rPr>
                <w:rFonts w:hint="eastAsia" w:cs="Times New Roman" w:asciiTheme="minorEastAsia" w:hAnsiTheme="minorEastAsia"/>
                <w:color w:val="000000"/>
                <w:kern w:val="0"/>
                <w:sz w:val="18"/>
                <w:szCs w:val="18"/>
              </w:rPr>
              <w:t>新桥东片区重点城市更新单元</w:t>
            </w:r>
          </w:p>
        </w:tc>
        <w:tc>
          <w:tcPr>
            <w:tcW w:w="1134" w:type="dxa"/>
            <w:tcMar>
              <w:top w:w="0" w:type="dxa"/>
              <w:left w:w="108" w:type="dxa"/>
              <w:bottom w:w="0" w:type="dxa"/>
              <w:right w:w="108" w:type="dxa"/>
            </w:tcMar>
            <w:vAlign w:val="center"/>
          </w:tcPr>
          <w:p>
            <w:pPr>
              <w:widowControl/>
              <w:jc w:val="center"/>
              <w:rPr>
                <w:rFonts w:cs="Times New Roman" w:asciiTheme="minorEastAsia" w:hAnsiTheme="minorEastAsia"/>
                <w:color w:val="000000"/>
                <w:kern w:val="0"/>
                <w:sz w:val="18"/>
                <w:szCs w:val="18"/>
              </w:rPr>
            </w:pPr>
            <w:r>
              <w:rPr>
                <w:rFonts w:hint="eastAsia" w:cs="Times New Roman" w:asciiTheme="minorEastAsia" w:hAnsiTheme="minorEastAsia"/>
                <w:color w:val="000000"/>
                <w:kern w:val="0"/>
                <w:sz w:val="18"/>
                <w:szCs w:val="18"/>
              </w:rPr>
              <w:t>深圳市宝安区城市更新局</w:t>
            </w:r>
          </w:p>
        </w:tc>
        <w:tc>
          <w:tcPr>
            <w:tcW w:w="1134" w:type="dxa"/>
            <w:tcMar>
              <w:top w:w="0" w:type="dxa"/>
              <w:left w:w="108" w:type="dxa"/>
              <w:bottom w:w="0" w:type="dxa"/>
              <w:right w:w="108" w:type="dxa"/>
            </w:tcMar>
            <w:vAlign w:val="center"/>
          </w:tcPr>
          <w:p>
            <w:pPr>
              <w:widowControl/>
              <w:jc w:val="center"/>
              <w:rPr>
                <w:rFonts w:cs="Times New Roman" w:asciiTheme="minorEastAsia" w:hAnsiTheme="minorEastAsia"/>
                <w:color w:val="000000"/>
                <w:kern w:val="0"/>
                <w:sz w:val="18"/>
                <w:szCs w:val="18"/>
              </w:rPr>
            </w:pPr>
            <w:r>
              <w:rPr>
                <w:rFonts w:hint="eastAsia" w:cs="Times New Roman" w:asciiTheme="minorEastAsia" w:hAnsiTheme="minorEastAsia"/>
                <w:color w:val="000000"/>
                <w:kern w:val="0"/>
                <w:sz w:val="18"/>
                <w:szCs w:val="18"/>
              </w:rPr>
              <w:t>1274442</w:t>
            </w:r>
          </w:p>
        </w:tc>
        <w:tc>
          <w:tcPr>
            <w:tcW w:w="4395" w:type="dxa"/>
            <w:tcMar>
              <w:top w:w="0" w:type="dxa"/>
              <w:left w:w="108" w:type="dxa"/>
              <w:bottom w:w="0" w:type="dxa"/>
              <w:right w:w="108" w:type="dxa"/>
            </w:tcMar>
            <w:vAlign w:val="center"/>
          </w:tcPr>
          <w:p>
            <w:pPr>
              <w:pStyle w:val="6"/>
              <w:widowControl/>
              <w:numPr>
                <w:ilvl w:val="0"/>
                <w:numId w:val="1"/>
              </w:numPr>
              <w:ind w:firstLineChars="0"/>
              <w:rPr>
                <w:rFonts w:asciiTheme="minorEastAsia" w:hAnsiTheme="minorEastAsia"/>
                <w:color w:val="000000"/>
                <w:kern w:val="0"/>
                <w:sz w:val="18"/>
                <w:szCs w:val="18"/>
              </w:rPr>
            </w:pPr>
            <w:r>
              <w:rPr>
                <w:rFonts w:hint="eastAsia" w:asciiTheme="minorEastAsia" w:hAnsiTheme="minorEastAsia"/>
                <w:color w:val="000000"/>
                <w:kern w:val="0"/>
                <w:sz w:val="18"/>
                <w:szCs w:val="18"/>
              </w:rPr>
              <w:t>拟更新方向为普通工业、新型产业等功能。</w:t>
            </w:r>
          </w:p>
          <w:p>
            <w:pPr>
              <w:pStyle w:val="6"/>
              <w:widowControl/>
              <w:numPr>
                <w:ilvl w:val="0"/>
                <w:numId w:val="1"/>
              </w:numPr>
              <w:ind w:firstLineChars="0"/>
              <w:rPr>
                <w:rFonts w:asciiTheme="minorEastAsia" w:hAnsiTheme="minorEastAsia"/>
                <w:color w:val="000000"/>
                <w:kern w:val="0"/>
                <w:sz w:val="18"/>
                <w:szCs w:val="18"/>
              </w:rPr>
            </w:pPr>
            <w:r>
              <w:rPr>
                <w:rFonts w:hint="eastAsia" w:asciiTheme="minorEastAsia" w:hAnsiTheme="minorEastAsia"/>
                <w:color w:val="000000"/>
                <w:kern w:val="0"/>
                <w:sz w:val="18"/>
                <w:szCs w:val="18"/>
              </w:rPr>
              <w:t>土地移交率不低于35%。</w:t>
            </w:r>
          </w:p>
          <w:p>
            <w:pPr>
              <w:pStyle w:val="6"/>
              <w:widowControl/>
              <w:numPr>
                <w:ilvl w:val="0"/>
                <w:numId w:val="1"/>
              </w:numPr>
              <w:ind w:firstLineChars="0"/>
              <w:rPr>
                <w:rFonts w:asciiTheme="minorEastAsia" w:hAnsiTheme="minorEastAsia"/>
                <w:color w:val="000000"/>
                <w:kern w:val="0"/>
                <w:sz w:val="18"/>
                <w:szCs w:val="18"/>
              </w:rPr>
            </w:pPr>
            <w:r>
              <w:rPr>
                <w:rFonts w:hint="eastAsia" w:asciiTheme="minorEastAsia" w:hAnsiTheme="minorEastAsia"/>
                <w:color w:val="000000"/>
                <w:kern w:val="0"/>
                <w:sz w:val="18"/>
                <w:szCs w:val="18"/>
              </w:rPr>
              <w:t>落实一所建设用地规模不小于40000平方米、班级规模不小于48班的寄宿制高中。从支持教育发展角度，该高中在条件允许的情况下，尽可能提高配置标准，增加班级规模。具体规模可结合用地条件在更新单元规划中确定。</w:t>
            </w:r>
          </w:p>
          <w:p>
            <w:pPr>
              <w:pStyle w:val="6"/>
              <w:widowControl/>
              <w:numPr>
                <w:ilvl w:val="0"/>
                <w:numId w:val="1"/>
              </w:numPr>
              <w:ind w:firstLineChars="0"/>
              <w:rPr>
                <w:rFonts w:asciiTheme="minorEastAsia" w:hAnsiTheme="minorEastAsia"/>
                <w:color w:val="000000"/>
                <w:kern w:val="0"/>
                <w:sz w:val="18"/>
                <w:szCs w:val="18"/>
              </w:rPr>
            </w:pPr>
            <w:r>
              <w:rPr>
                <w:rFonts w:hint="eastAsia" w:asciiTheme="minorEastAsia" w:hAnsiTheme="minorEastAsia"/>
                <w:color w:val="000000"/>
                <w:kern w:val="0"/>
                <w:sz w:val="18"/>
                <w:szCs w:val="18"/>
              </w:rPr>
              <w:t>在落实“</w:t>
            </w:r>
            <w:r>
              <w:rPr>
                <w:rFonts w:hint="eastAsia" w:asciiTheme="minorEastAsia" w:hAnsiTheme="minorEastAsia"/>
                <w:color w:val="000000"/>
                <w:kern w:val="0"/>
                <w:sz w:val="18"/>
                <w:szCs w:val="18"/>
                <w:lang w:eastAsia="zh-CN"/>
              </w:rPr>
              <w:t>一带一路”倡议</w:t>
            </w:r>
            <w:r>
              <w:rPr>
                <w:rFonts w:hint="eastAsia" w:asciiTheme="minorEastAsia" w:hAnsiTheme="minorEastAsia"/>
                <w:color w:val="000000"/>
                <w:kern w:val="0"/>
                <w:sz w:val="18"/>
                <w:szCs w:val="18"/>
              </w:rPr>
              <w:t>、对标国际大湾区、推进建设国际一流湾区名城的背景下，下阶段应在落实深圳市城市总体规划、法定图则等相关法定规划的基础上，高标准落实各类公共设施。</w:t>
            </w:r>
          </w:p>
          <w:p>
            <w:pPr>
              <w:pStyle w:val="6"/>
              <w:widowControl/>
              <w:numPr>
                <w:ilvl w:val="0"/>
                <w:numId w:val="1"/>
              </w:numPr>
              <w:ind w:firstLineChars="0"/>
              <w:rPr>
                <w:rFonts w:asciiTheme="minorEastAsia" w:hAnsiTheme="minorEastAsia"/>
                <w:color w:val="000000"/>
                <w:kern w:val="0"/>
                <w:sz w:val="18"/>
                <w:szCs w:val="18"/>
              </w:rPr>
            </w:pPr>
            <w:r>
              <w:rPr>
                <w:rFonts w:hint="eastAsia" w:asciiTheme="minorEastAsia" w:hAnsiTheme="minorEastAsia"/>
                <w:color w:val="000000"/>
                <w:kern w:val="0"/>
                <w:sz w:val="18"/>
                <w:szCs w:val="18"/>
              </w:rPr>
              <w:t>鉴于该更新单元面积较大，区域位置优越，建议采取国际咨询方式，对该更新单元城市设计进行深入、详实研究，推动该更新单元高水平规划、高水准建设。</w:t>
            </w:r>
          </w:p>
          <w:p>
            <w:pPr>
              <w:pStyle w:val="6"/>
              <w:widowControl/>
              <w:numPr>
                <w:ilvl w:val="0"/>
                <w:numId w:val="1"/>
              </w:numPr>
              <w:ind w:firstLineChars="0"/>
              <w:rPr>
                <w:rFonts w:asciiTheme="minorEastAsia" w:hAnsiTheme="minorEastAsia"/>
                <w:color w:val="000000"/>
                <w:kern w:val="0"/>
                <w:sz w:val="18"/>
                <w:szCs w:val="18"/>
              </w:rPr>
            </w:pPr>
            <w:r>
              <w:rPr>
                <w:rFonts w:hint="eastAsia" w:asciiTheme="minorEastAsia" w:hAnsiTheme="minorEastAsia"/>
                <w:color w:val="000000"/>
                <w:kern w:val="0"/>
                <w:sz w:val="18"/>
                <w:szCs w:val="18"/>
              </w:rPr>
              <w:t>应落实《深圳市工业区块线管理办法》、市区城市更新“十三五”规划等管控要求。</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52" w:hRule="atLeast"/>
        </w:trPr>
        <w:tc>
          <w:tcPr>
            <w:tcW w:w="9471" w:type="dxa"/>
            <w:gridSpan w:val="7"/>
            <w:tcMar>
              <w:top w:w="0" w:type="dxa"/>
              <w:left w:w="108" w:type="dxa"/>
              <w:bottom w:w="0" w:type="dxa"/>
              <w:right w:w="108" w:type="dxa"/>
            </w:tcMar>
            <w:vAlign w:val="center"/>
          </w:tcPr>
          <w:p>
            <w:pPr>
              <w:rPr>
                <w:rFonts w:ascii="宋体" w:hAnsi="宋体"/>
                <w:color w:val="000000"/>
                <w:sz w:val="18"/>
                <w:szCs w:val="18"/>
              </w:rPr>
            </w:pPr>
            <w:r>
              <w:rPr>
                <w:rFonts w:hint="eastAsia" w:ascii="宋体" w:hAnsi="宋体"/>
                <w:b/>
                <w:bCs/>
                <w:color w:val="000000"/>
                <w:sz w:val="18"/>
                <w:szCs w:val="18"/>
              </w:rPr>
              <w:t>特别提示：</w:t>
            </w:r>
          </w:p>
          <w:p>
            <w:pPr>
              <w:ind w:firstLine="420"/>
              <w:rPr>
                <w:rFonts w:ascii="宋体" w:hAnsi="宋体"/>
                <w:color w:val="000000"/>
                <w:sz w:val="18"/>
                <w:szCs w:val="18"/>
              </w:rPr>
            </w:pPr>
            <w:r>
              <w:rPr>
                <w:rFonts w:ascii="宋体" w:hAnsi="宋体"/>
                <w:color w:val="000000"/>
                <w:sz w:val="18"/>
                <w:szCs w:val="18"/>
              </w:rPr>
              <w:t>1.本表所列的城市更新单元</w:t>
            </w:r>
            <w:r>
              <w:rPr>
                <w:rFonts w:hint="eastAsia" w:ascii="宋体" w:hAnsi="宋体"/>
                <w:color w:val="000000"/>
                <w:sz w:val="18"/>
                <w:szCs w:val="18"/>
              </w:rPr>
              <w:t>属政府主导的重点更新单元，</w:t>
            </w:r>
            <w:r>
              <w:rPr>
                <w:rFonts w:ascii="宋体" w:hAnsi="宋体"/>
                <w:color w:val="000000"/>
                <w:sz w:val="18"/>
                <w:szCs w:val="18"/>
              </w:rPr>
              <w:t>须按照城市更新相关政策完成城市更新单元规划编制及项目实施主体确认等工作后方可实施开发建设。</w:t>
            </w:r>
          </w:p>
          <w:p>
            <w:pPr>
              <w:ind w:firstLine="420"/>
              <w:rPr>
                <w:rFonts w:ascii="宋体" w:hAnsi="宋体"/>
                <w:color w:val="000000"/>
                <w:sz w:val="18"/>
                <w:szCs w:val="18"/>
              </w:rPr>
            </w:pPr>
            <w:r>
              <w:rPr>
                <w:rFonts w:ascii="宋体" w:hAnsi="宋体"/>
                <w:color w:val="000000"/>
                <w:sz w:val="18"/>
                <w:szCs w:val="18"/>
              </w:rPr>
              <w:t>2.本表所列“申报主体”仅为城市更新单元计划的申报主体，项目实施主体须依据城市更新政策规定的条件及程序进行确认后产生。</w:t>
            </w:r>
          </w:p>
          <w:p>
            <w:pPr>
              <w:ind w:firstLine="360" w:firstLineChars="200"/>
              <w:rPr>
                <w:rFonts w:ascii="宋体" w:hAnsi="宋体"/>
                <w:color w:val="000000"/>
                <w:sz w:val="18"/>
                <w:szCs w:val="18"/>
              </w:rPr>
            </w:pPr>
            <w:r>
              <w:rPr>
                <w:rFonts w:ascii="宋体" w:hAnsi="宋体"/>
                <w:color w:val="000000"/>
                <w:sz w:val="18"/>
                <w:szCs w:val="18"/>
              </w:rPr>
              <w:t>3.</w:t>
            </w:r>
            <w:r>
              <w:rPr>
                <w:rFonts w:hint="eastAsia" w:ascii="宋体" w:hAnsi="宋体"/>
                <w:sz w:val="18"/>
                <w:szCs w:val="18"/>
              </w:rPr>
              <w:t xml:space="preserve"> 本表所列城市更新单元的规划建设要求在城市更新单元规划审批过程中予以确定，除满足本表所列要求外，还应满足法定图则等上层次规划关于交通、市政、公共配套设施的建设要求和城市更新政策中公共利益项目等用地的移交要求</w:t>
            </w:r>
            <w:r>
              <w:rPr>
                <w:rFonts w:ascii="宋体" w:hAnsi="宋体"/>
                <w:color w:val="000000"/>
                <w:sz w:val="18"/>
                <w:szCs w:val="18"/>
              </w:rPr>
              <w:t>。</w:t>
            </w:r>
          </w:p>
        </w:tc>
      </w:tr>
    </w:tbl>
    <w:p/>
    <w:p>
      <w:pPr>
        <w:ind w:firstLine="105" w:firstLineChars="50"/>
        <w:rPr>
          <w:rFonts w:hint="eastAsia"/>
          <w:sz w:val="18"/>
          <w:szCs w:val="18"/>
        </w:rPr>
      </w:pPr>
      <w:r>
        <w:rPr>
          <w:rFonts w:hint="eastAsia"/>
        </w:rPr>
        <w:t>　</w:t>
      </w:r>
      <w:r>
        <w:rPr>
          <w:rFonts w:hint="eastAsia"/>
          <w:sz w:val="18"/>
          <w:szCs w:val="18"/>
        </w:rPr>
        <w:t>　</w:t>
      </w:r>
    </w:p>
    <w:p>
      <w:pPr>
        <w:ind w:firstLine="120" w:firstLineChars="50"/>
        <w:rPr>
          <w:rFonts w:hint="eastAsia" w:ascii="仿宋" w:hAnsi="仿宋" w:eastAsia="仿宋"/>
          <w:sz w:val="24"/>
          <w:szCs w:val="24"/>
        </w:rPr>
      </w:pPr>
      <w:r>
        <w:rPr>
          <w:rFonts w:hint="eastAsia" w:ascii="仿宋" w:hAnsi="仿宋" w:eastAsia="仿宋"/>
          <w:sz w:val="24"/>
          <w:szCs w:val="24"/>
        </w:rPr>
        <w:t>附图：宝安区新桥街道新桥东片区重点城市更新单元拟拆除重建范围示意图</w:t>
      </w:r>
    </w:p>
    <w:p>
      <w:pPr>
        <w:ind w:firstLine="120" w:firstLineChars="50"/>
        <w:rPr>
          <w:rFonts w:ascii="仿宋" w:hAnsi="仿宋" w:eastAsia="仿宋"/>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36737D"/>
    <w:multiLevelType w:val="multilevel"/>
    <w:tmpl w:val="1C36737D"/>
    <w:lvl w:ilvl="0" w:tentative="0">
      <w:start w:val="1"/>
      <w:numFmt w:val="decimalEnclosedCircle"/>
      <w:lvlText w:val="%1"/>
      <w:lvlJc w:val="left"/>
      <w:pPr>
        <w:ind w:left="420" w:hanging="420"/>
      </w:pPr>
      <w:rPr>
        <w:rFonts w:ascii="宋体" w:hAnsi="宋体" w:eastAsia="宋体"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39D"/>
    <w:rsid w:val="00005935"/>
    <w:rsid w:val="0000631A"/>
    <w:rsid w:val="00006C15"/>
    <w:rsid w:val="00040397"/>
    <w:rsid w:val="0005413E"/>
    <w:rsid w:val="000A11D7"/>
    <w:rsid w:val="000D61C8"/>
    <w:rsid w:val="000D6FCE"/>
    <w:rsid w:val="000E67B7"/>
    <w:rsid w:val="000E6DC4"/>
    <w:rsid w:val="0011015C"/>
    <w:rsid w:val="00142EF8"/>
    <w:rsid w:val="001C70CA"/>
    <w:rsid w:val="001F6A40"/>
    <w:rsid w:val="002044E9"/>
    <w:rsid w:val="002073E5"/>
    <w:rsid w:val="002114C6"/>
    <w:rsid w:val="002136B7"/>
    <w:rsid w:val="00221873"/>
    <w:rsid w:val="002319B4"/>
    <w:rsid w:val="002337B3"/>
    <w:rsid w:val="00244B68"/>
    <w:rsid w:val="003038B1"/>
    <w:rsid w:val="00312E15"/>
    <w:rsid w:val="00316172"/>
    <w:rsid w:val="00342AC5"/>
    <w:rsid w:val="003471A9"/>
    <w:rsid w:val="003534C5"/>
    <w:rsid w:val="0035401A"/>
    <w:rsid w:val="00355A0D"/>
    <w:rsid w:val="00372877"/>
    <w:rsid w:val="003E039D"/>
    <w:rsid w:val="004363E2"/>
    <w:rsid w:val="004862D1"/>
    <w:rsid w:val="00486EB9"/>
    <w:rsid w:val="00492900"/>
    <w:rsid w:val="004A589D"/>
    <w:rsid w:val="004B32CA"/>
    <w:rsid w:val="004B7DC2"/>
    <w:rsid w:val="004D0287"/>
    <w:rsid w:val="004D1904"/>
    <w:rsid w:val="004E63AB"/>
    <w:rsid w:val="005200EF"/>
    <w:rsid w:val="00524035"/>
    <w:rsid w:val="005436F2"/>
    <w:rsid w:val="0055089A"/>
    <w:rsid w:val="00551041"/>
    <w:rsid w:val="00562CCB"/>
    <w:rsid w:val="005666A0"/>
    <w:rsid w:val="005738BB"/>
    <w:rsid w:val="00586BD1"/>
    <w:rsid w:val="005B548E"/>
    <w:rsid w:val="005C77DA"/>
    <w:rsid w:val="005D4516"/>
    <w:rsid w:val="006027DB"/>
    <w:rsid w:val="006A1D91"/>
    <w:rsid w:val="006A3054"/>
    <w:rsid w:val="006A4F92"/>
    <w:rsid w:val="006A579A"/>
    <w:rsid w:val="006C4D98"/>
    <w:rsid w:val="006D44D5"/>
    <w:rsid w:val="00710031"/>
    <w:rsid w:val="00716318"/>
    <w:rsid w:val="0073163C"/>
    <w:rsid w:val="00742E19"/>
    <w:rsid w:val="007511BE"/>
    <w:rsid w:val="00777656"/>
    <w:rsid w:val="00801DD5"/>
    <w:rsid w:val="008A309C"/>
    <w:rsid w:val="008A5BC4"/>
    <w:rsid w:val="008E5290"/>
    <w:rsid w:val="008F5857"/>
    <w:rsid w:val="00903391"/>
    <w:rsid w:val="0093130A"/>
    <w:rsid w:val="00964645"/>
    <w:rsid w:val="00972225"/>
    <w:rsid w:val="0098017B"/>
    <w:rsid w:val="009B1ADF"/>
    <w:rsid w:val="009B400F"/>
    <w:rsid w:val="009B437D"/>
    <w:rsid w:val="009C079F"/>
    <w:rsid w:val="009F6AF7"/>
    <w:rsid w:val="00A35919"/>
    <w:rsid w:val="00A8068A"/>
    <w:rsid w:val="00A90A01"/>
    <w:rsid w:val="00AE1A34"/>
    <w:rsid w:val="00AF1BC5"/>
    <w:rsid w:val="00AF1EB3"/>
    <w:rsid w:val="00B005AB"/>
    <w:rsid w:val="00B2454F"/>
    <w:rsid w:val="00B40E72"/>
    <w:rsid w:val="00B4765F"/>
    <w:rsid w:val="00B71AB6"/>
    <w:rsid w:val="00B7302F"/>
    <w:rsid w:val="00B7583E"/>
    <w:rsid w:val="00B776E7"/>
    <w:rsid w:val="00B90135"/>
    <w:rsid w:val="00BD5A48"/>
    <w:rsid w:val="00C0201F"/>
    <w:rsid w:val="00C06BCF"/>
    <w:rsid w:val="00C229DA"/>
    <w:rsid w:val="00C24888"/>
    <w:rsid w:val="00C347E2"/>
    <w:rsid w:val="00C77B4C"/>
    <w:rsid w:val="00CD0B5D"/>
    <w:rsid w:val="00CF00C7"/>
    <w:rsid w:val="00D07D4A"/>
    <w:rsid w:val="00D17A97"/>
    <w:rsid w:val="00D30094"/>
    <w:rsid w:val="00D335BC"/>
    <w:rsid w:val="00D86179"/>
    <w:rsid w:val="00D9294A"/>
    <w:rsid w:val="00DA715F"/>
    <w:rsid w:val="00DD2BAB"/>
    <w:rsid w:val="00DD7EB4"/>
    <w:rsid w:val="00E04096"/>
    <w:rsid w:val="00E301F3"/>
    <w:rsid w:val="00E45EA0"/>
    <w:rsid w:val="00E46403"/>
    <w:rsid w:val="00E731CE"/>
    <w:rsid w:val="00E74BD6"/>
    <w:rsid w:val="00EB3D99"/>
    <w:rsid w:val="00EC43E1"/>
    <w:rsid w:val="00EE0579"/>
    <w:rsid w:val="00F23097"/>
    <w:rsid w:val="00F367C3"/>
    <w:rsid w:val="00F5720A"/>
    <w:rsid w:val="00F60FDA"/>
    <w:rsid w:val="00F72430"/>
    <w:rsid w:val="00F91E19"/>
    <w:rsid w:val="00FA623E"/>
    <w:rsid w:val="00FB3957"/>
    <w:rsid w:val="00FD1754"/>
    <w:rsid w:val="00FE76D7"/>
    <w:rsid w:val="59435B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rPr>
      <w:rFonts w:ascii="Times New Roman" w:hAnsi="Times New Roman" w:eastAsia="宋体" w:cs="Times New Roman"/>
      <w:szCs w:val="24"/>
    </w:rPr>
  </w:style>
  <w:style w:type="paragraph" w:customStyle="1" w:styleId="7">
    <w:name w:val="Char Char Char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character" w:customStyle="1" w:styleId="8">
    <w:name w:val="页眉 Char"/>
    <w:basedOn w:val="5"/>
    <w:link w:val="3"/>
    <w:qFormat/>
    <w:uiPriority w:val="99"/>
    <w:rPr>
      <w:sz w:val="18"/>
      <w:szCs w:val="18"/>
    </w:rPr>
  </w:style>
  <w:style w:type="character" w:customStyle="1" w:styleId="9">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C826E0B-11A5-4941-A13A-2645EAF4431C}">
  <ds:schemaRefs/>
</ds:datastoreItem>
</file>

<file path=docProps/app.xml><?xml version="1.0" encoding="utf-8"?>
<Properties xmlns="http://schemas.openxmlformats.org/officeDocument/2006/extended-properties" xmlns:vt="http://schemas.openxmlformats.org/officeDocument/2006/docPropsVTypes">
  <Template>Normal</Template>
  <Company>Chinese ORG</Company>
  <Pages>1</Pages>
  <Words>108</Words>
  <Characters>621</Characters>
  <Lines>5</Lines>
  <Paragraphs>1</Paragraphs>
  <TotalTime>6</TotalTime>
  <ScaleCrop>false</ScaleCrop>
  <LinksUpToDate>false</LinksUpToDate>
  <CharactersWithSpaces>728</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2018-12-12T03:14:00Z</dcterms:created>
  <dc:creator>姚雪松</dc:creator>
  <cp:lastModifiedBy>偏北就是我</cp:lastModifiedBy>
  <cp:lastPrinted>2018-12-12T03:18:00Z</cp:lastPrinted>
  <dcterms:modified xsi:type="dcterms:W3CDTF">2021-04-16T06:43:18Z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ECBCC00173CD4EF5AEBAADA8CC4A19F9</vt:lpwstr>
  </property>
</Properties>
</file>