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b w:val="0"/>
          <w:i w:val="0"/>
          <w:caps w:val="0"/>
          <w:spacing w:val="0"/>
          <w:w w:val="100"/>
          <w:sz w:val="32"/>
          <w:szCs w:val="32"/>
          <w:lang w:val="en-US" w:eastAsia="zh-CN"/>
        </w:rPr>
      </w:pPr>
      <w:r>
        <w:rPr>
          <w:rFonts w:hint="eastAsia"/>
          <w:b w:val="0"/>
          <w:i w:val="0"/>
          <w:caps w:val="0"/>
          <w:spacing w:val="0"/>
          <w:w w:val="100"/>
          <w:sz w:val="32"/>
          <w:szCs w:val="32"/>
          <w:lang w:val="en-US" w:eastAsia="zh-CN"/>
        </w:rPr>
        <w:t>深圳市住房和建设局2020年度课题开展情况公示</w:t>
      </w:r>
    </w:p>
    <w:p>
      <w:pPr>
        <w:snapToGrid/>
        <w:spacing w:before="0" w:beforeAutospacing="0" w:after="0" w:afterAutospacing="0" w:line="240" w:lineRule="auto"/>
        <w:jc w:val="center"/>
        <w:textAlignment w:val="baseline"/>
        <w:rPr>
          <w:rFonts w:hint="eastAsia"/>
          <w:b w:val="0"/>
          <w:i w:val="0"/>
          <w:caps w:val="0"/>
          <w:spacing w:val="0"/>
          <w:w w:val="100"/>
          <w:sz w:val="20"/>
          <w:lang w:val="en-US" w:eastAsia="zh-CN"/>
        </w:rPr>
      </w:pPr>
    </w:p>
    <w:tbl>
      <w:tblPr>
        <w:tblStyle w:val="3"/>
        <w:tblW w:w="13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223"/>
        <w:gridCol w:w="849"/>
        <w:gridCol w:w="1335"/>
        <w:gridCol w:w="1869"/>
        <w:gridCol w:w="392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80"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序号</w:t>
            </w:r>
          </w:p>
        </w:tc>
        <w:tc>
          <w:tcPr>
            <w:tcW w:w="4223"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课题名称</w:t>
            </w:r>
          </w:p>
        </w:tc>
        <w:tc>
          <w:tcPr>
            <w:tcW w:w="849"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经费预算（万）</w:t>
            </w:r>
          </w:p>
        </w:tc>
        <w:tc>
          <w:tcPr>
            <w:tcW w:w="1335"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开展方式（公开招标/自行采购）</w:t>
            </w:r>
          </w:p>
        </w:tc>
        <w:tc>
          <w:tcPr>
            <w:tcW w:w="1869"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承接方</w:t>
            </w:r>
          </w:p>
        </w:tc>
        <w:tc>
          <w:tcPr>
            <w:tcW w:w="3926"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履约情况（已完成/正在进行）</w:t>
            </w:r>
          </w:p>
        </w:tc>
        <w:tc>
          <w:tcPr>
            <w:tcW w:w="1304" w:type="dxa"/>
          </w:tcPr>
          <w:p>
            <w:pPr>
              <w:snapToGrid/>
              <w:spacing w:before="0" w:beforeAutospacing="0" w:after="0" w:afterAutospacing="0" w:line="240" w:lineRule="auto"/>
              <w:jc w:val="center"/>
              <w:textAlignment w:val="baseline"/>
              <w:rPr>
                <w:rFonts w:hint="eastAsia" w:ascii="黑体" w:hAnsi="黑体" w:eastAsia="黑体" w:cs="黑体"/>
                <w:b w:val="0"/>
                <w:i w:val="0"/>
                <w:caps w:val="0"/>
                <w:spacing w:val="0"/>
                <w:w w:val="100"/>
                <w:sz w:val="20"/>
                <w:lang w:val="en-US" w:eastAsia="zh-CN"/>
              </w:rPr>
            </w:pPr>
            <w:r>
              <w:rPr>
                <w:rFonts w:hint="eastAsia" w:ascii="黑体" w:hAnsi="黑体" w:eastAsia="黑体" w:cs="黑体"/>
                <w:b w:val="0"/>
                <w:i w:val="0"/>
                <w:caps w:val="0"/>
                <w:spacing w:val="0"/>
                <w:w w:val="100"/>
                <w:sz w:val="21"/>
                <w:lang w:val="en-US" w:eastAsia="zh-CN"/>
              </w:rPr>
              <w:t>绩效评价结果（优秀/良好/一般）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1</w:t>
            </w:r>
          </w:p>
        </w:tc>
        <w:tc>
          <w:tcPr>
            <w:tcW w:w="4223" w:type="dxa"/>
            <w:vAlign w:val="top"/>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《深圳市高压天然气管道巡护指引》编写</w:t>
            </w:r>
          </w:p>
        </w:tc>
        <w:tc>
          <w:tcPr>
            <w:tcW w:w="84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25.6</w:t>
            </w:r>
          </w:p>
        </w:tc>
        <w:tc>
          <w:tcPr>
            <w:tcW w:w="1335"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公开招标</w:t>
            </w:r>
          </w:p>
        </w:tc>
        <w:tc>
          <w:tcPr>
            <w:tcW w:w="186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深圳市燃气集团股份有限公司</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i w:val="0"/>
                <w:caps w:val="0"/>
                <w:spacing w:val="0"/>
                <w:w w:val="100"/>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2</w:t>
            </w:r>
          </w:p>
        </w:tc>
        <w:tc>
          <w:tcPr>
            <w:tcW w:w="4223" w:type="dxa"/>
            <w:vAlign w:val="top"/>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《深圳市燃气安全管理长效机制》 编写</w:t>
            </w:r>
          </w:p>
        </w:tc>
        <w:tc>
          <w:tcPr>
            <w:tcW w:w="84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23.7</w:t>
            </w:r>
          </w:p>
        </w:tc>
        <w:tc>
          <w:tcPr>
            <w:tcW w:w="1335"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公开招标</w:t>
            </w:r>
          </w:p>
        </w:tc>
        <w:tc>
          <w:tcPr>
            <w:tcW w:w="186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深圳市金鼎安全技术有限公司</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i w:val="0"/>
                <w:caps w:val="0"/>
                <w:spacing w:val="0"/>
                <w:w w:val="100"/>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3</w:t>
            </w:r>
          </w:p>
        </w:tc>
        <w:tc>
          <w:tcPr>
            <w:tcW w:w="4223" w:type="dxa"/>
            <w:vAlign w:val="top"/>
          </w:tcPr>
          <w:p>
            <w:pPr>
              <w:widowControl/>
              <w:snapToGrid/>
              <w:spacing w:before="0" w:beforeAutospacing="0" w:after="0" w:afterAutospacing="0" w:line="315" w:lineRule="atLeast"/>
              <w:jc w:val="center"/>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color w:val="333333"/>
                <w:spacing w:val="0"/>
                <w:w w:val="100"/>
                <w:kern w:val="0"/>
                <w:sz w:val="24"/>
                <w:szCs w:val="24"/>
              </w:rPr>
              <w:t>《施工工法对管廊工程造价影响研究》</w:t>
            </w:r>
          </w:p>
        </w:tc>
        <w:tc>
          <w:tcPr>
            <w:tcW w:w="84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37.76</w:t>
            </w:r>
          </w:p>
        </w:tc>
        <w:tc>
          <w:tcPr>
            <w:tcW w:w="1335"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公开招标（局内）</w:t>
            </w:r>
          </w:p>
        </w:tc>
        <w:tc>
          <w:tcPr>
            <w:tcW w:w="1869"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color w:val="000000"/>
                <w:kern w:val="0"/>
                <w:sz w:val="24"/>
                <w:szCs w:val="24"/>
                <w:u w:val="none"/>
                <w:lang w:val="en-US" w:eastAsia="zh-CN" w:bidi="ar"/>
              </w:rPr>
              <w:t>深圳中冶管廊建设投资有限公司</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4</w:t>
            </w:r>
          </w:p>
        </w:tc>
        <w:tc>
          <w:tcPr>
            <w:tcW w:w="4223" w:type="dxa"/>
            <w:vAlign w:val="top"/>
          </w:tcPr>
          <w:p>
            <w:pPr>
              <w:widowControl/>
              <w:snapToGrid/>
              <w:spacing w:before="0" w:beforeAutospacing="0" w:after="0" w:afterAutospacing="0" w:line="315" w:lineRule="atLeast"/>
              <w:jc w:val="center"/>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color w:val="333333"/>
                <w:spacing w:val="0"/>
                <w:w w:val="100"/>
                <w:kern w:val="0"/>
                <w:sz w:val="24"/>
                <w:szCs w:val="24"/>
              </w:rPr>
              <w:t>《综合管廊给水管道入廊分析体系及深埋管廊入廊给水管道安全保障措施研究》</w:t>
            </w:r>
          </w:p>
        </w:tc>
        <w:tc>
          <w:tcPr>
            <w:tcW w:w="84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38</w:t>
            </w:r>
          </w:p>
        </w:tc>
        <w:tc>
          <w:tcPr>
            <w:tcW w:w="1335"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公开招标（局内）</w:t>
            </w:r>
          </w:p>
        </w:tc>
        <w:tc>
          <w:tcPr>
            <w:tcW w:w="1869"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color w:val="000000"/>
                <w:kern w:val="0"/>
                <w:sz w:val="24"/>
                <w:szCs w:val="24"/>
                <w:u w:val="none"/>
                <w:lang w:val="en-US" w:eastAsia="zh-CN" w:bidi="ar"/>
              </w:rPr>
              <w:t>深圳市市政设计研究院、深水龙岗水务集团</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i w:val="0"/>
                <w:caps w:val="0"/>
                <w:spacing w:val="0"/>
                <w:w w:val="100"/>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5</w:t>
            </w:r>
          </w:p>
        </w:tc>
        <w:tc>
          <w:tcPr>
            <w:tcW w:w="4223" w:type="dxa"/>
            <w:vAlign w:val="top"/>
          </w:tcPr>
          <w:p>
            <w:pPr>
              <w:widowControl/>
              <w:snapToGrid/>
              <w:spacing w:before="0" w:beforeAutospacing="0" w:after="0" w:afterAutospacing="0" w:line="315" w:lineRule="atLeast"/>
              <w:jc w:val="center"/>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color w:val="333333"/>
                <w:spacing w:val="0"/>
                <w:w w:val="100"/>
                <w:kern w:val="0"/>
                <w:sz w:val="24"/>
                <w:szCs w:val="24"/>
              </w:rPr>
              <w:t>《综合管廊廊内构件预制装配技术研究》</w:t>
            </w:r>
          </w:p>
        </w:tc>
        <w:tc>
          <w:tcPr>
            <w:tcW w:w="849"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40</w:t>
            </w:r>
          </w:p>
        </w:tc>
        <w:tc>
          <w:tcPr>
            <w:tcW w:w="1335"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公开招标（局内）</w:t>
            </w:r>
          </w:p>
        </w:tc>
        <w:tc>
          <w:tcPr>
            <w:tcW w:w="1869" w:type="dxa"/>
            <w:vAlign w:val="center"/>
          </w:tcPr>
          <w:p>
            <w:pPr>
              <w:keepNext w:val="0"/>
              <w:keepLines w:val="0"/>
              <w:widowControl/>
              <w:suppressLineNumbers w:val="0"/>
              <w:jc w:val="center"/>
              <w:textAlignment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i w:val="0"/>
                <w:color w:val="000000"/>
                <w:kern w:val="0"/>
                <w:sz w:val="24"/>
                <w:szCs w:val="24"/>
                <w:u w:val="none"/>
                <w:lang w:val="en-US" w:eastAsia="zh-CN" w:bidi="ar"/>
              </w:rPr>
              <w:t>深圳市市政设计研究院有限公司</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已完成</w:t>
            </w:r>
          </w:p>
        </w:tc>
        <w:tc>
          <w:tcPr>
            <w:tcW w:w="1304" w:type="dxa"/>
            <w:vAlign w:val="top"/>
          </w:tcPr>
          <w:p>
            <w:pPr>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6</w:t>
            </w:r>
          </w:p>
        </w:tc>
        <w:tc>
          <w:tcPr>
            <w:tcW w:w="4223" w:type="dxa"/>
            <w:vAlign w:val="top"/>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spacing w:val="0"/>
                <w:w w:val="100"/>
                <w:sz w:val="24"/>
                <w:szCs w:val="24"/>
                <w:lang w:val="en-US" w:eastAsia="zh-CN"/>
              </w:rPr>
              <w:t>《脱水干化泥饼安全填埋的工程特性研究》</w:t>
            </w:r>
          </w:p>
        </w:tc>
        <w:tc>
          <w:tcPr>
            <w:tcW w:w="849" w:type="dxa"/>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39.2</w:t>
            </w:r>
          </w:p>
        </w:tc>
        <w:tc>
          <w:tcPr>
            <w:tcW w:w="1335" w:type="dxa"/>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局内自行采购</w:t>
            </w:r>
          </w:p>
        </w:tc>
        <w:tc>
          <w:tcPr>
            <w:tcW w:w="1869" w:type="dxa"/>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浙江大学和深圳市特区建发环境科技有限公司的联合体</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80" w:type="dxa"/>
          </w:tcPr>
          <w:p>
            <w:pPr>
              <w:snapToGrid/>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0"/>
                <w:lang w:val="en-US" w:eastAsia="zh-CN"/>
              </w:rPr>
              <w:t>7</w:t>
            </w:r>
            <w:bookmarkStart w:id="0" w:name="_GoBack"/>
            <w:bookmarkEnd w:id="0"/>
          </w:p>
        </w:tc>
        <w:tc>
          <w:tcPr>
            <w:tcW w:w="4223" w:type="dxa"/>
            <w:vAlign w:val="top"/>
          </w:tcPr>
          <w:p>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b w:val="0"/>
                <w:i w:val="0"/>
                <w:caps w:val="0"/>
                <w:spacing w:val="0"/>
                <w:w w:val="100"/>
                <w:sz w:val="24"/>
                <w:szCs w:val="24"/>
                <w:lang w:val="en-US" w:eastAsia="zh-CN"/>
              </w:rPr>
              <w:t>《废弃加气混凝土砌块再生利用技术研究》</w:t>
            </w:r>
          </w:p>
        </w:tc>
        <w:tc>
          <w:tcPr>
            <w:tcW w:w="849"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36.6</w:t>
            </w:r>
          </w:p>
        </w:tc>
        <w:tc>
          <w:tcPr>
            <w:tcW w:w="1335" w:type="dxa"/>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局内自行采购</w:t>
            </w:r>
          </w:p>
        </w:tc>
        <w:tc>
          <w:tcPr>
            <w:tcW w:w="1869" w:type="dxa"/>
            <w:vAlign w:val="top"/>
          </w:tcPr>
          <w:p>
            <w:pP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哈尔滨工业大学（深圳）和深圳华威环保建材有限公司的联合体</w:t>
            </w:r>
          </w:p>
        </w:tc>
        <w:tc>
          <w:tcPr>
            <w:tcW w:w="3926"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已完成</w:t>
            </w:r>
          </w:p>
        </w:tc>
        <w:tc>
          <w:tcPr>
            <w:tcW w:w="1304" w:type="dxa"/>
            <w:vAlign w:val="top"/>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优秀</w:t>
            </w:r>
          </w:p>
        </w:tc>
      </w:tr>
    </w:tbl>
    <w:p>
      <w:pPr>
        <w:snapToGrid/>
        <w:spacing w:before="0" w:beforeAutospacing="0" w:after="0" w:afterAutospacing="0" w:line="240" w:lineRule="auto"/>
        <w:jc w:val="both"/>
        <w:textAlignment w:val="baseline"/>
        <w:rPr>
          <w:rFonts w:hint="default"/>
          <w:b w:val="0"/>
          <w:i w:val="0"/>
          <w:caps w:val="0"/>
          <w:spacing w:val="0"/>
          <w:w w:val="100"/>
          <w:sz w:val="2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6063"/>
    <w:rsid w:val="04812FBA"/>
    <w:rsid w:val="1DF62FFE"/>
    <w:rsid w:val="26BB7F03"/>
    <w:rsid w:val="3EA730C0"/>
    <w:rsid w:val="49826063"/>
    <w:rsid w:val="4E1958E5"/>
    <w:rsid w:val="71F9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l-btn-left"/>
    <w:basedOn w:val="4"/>
    <w:uiPriority w:val="0"/>
  </w:style>
  <w:style w:type="character" w:customStyle="1" w:styleId="6">
    <w:name w:val="l-btn-left1"/>
    <w:basedOn w:val="4"/>
    <w:uiPriority w:val="0"/>
  </w:style>
  <w:style w:type="character" w:customStyle="1" w:styleId="7">
    <w:name w:val="l-btn-left2"/>
    <w:basedOn w:val="4"/>
    <w:qFormat/>
    <w:uiPriority w:val="0"/>
  </w:style>
  <w:style w:type="character" w:customStyle="1" w:styleId="8">
    <w:name w:val="l-btn-left3"/>
    <w:basedOn w:val="4"/>
    <w:qFormat/>
    <w:uiPriority w:val="0"/>
  </w:style>
  <w:style w:type="character" w:customStyle="1" w:styleId="9">
    <w:name w:val="l-btn-empty"/>
    <w:basedOn w:val="4"/>
    <w:qFormat/>
    <w:uiPriority w:val="0"/>
  </w:style>
  <w:style w:type="character" w:customStyle="1" w:styleId="10">
    <w:name w:val="l-btn-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2021-06-16T11:30:00Z</dcterms:created>
  <dc:creator>张育珊</dc:creator>
  <cp:lastModifiedBy>张育珊</cp:lastModifiedBy>
  <dcterms:modified xsi:type="dcterms:W3CDTF">2021-06-17T06:43:33Z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7208F26594FD4D8B9DB34C9F31BD0801</vt:lpwstr>
  </property>
</Properties>
</file>