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eastAsia="zh-CN"/>
        </w:rPr>
        <w:t>附件1</w:t>
      </w:r>
    </w:p>
    <w:p>
      <w:pPr>
        <w:jc w:val="center"/>
        <w:rPr>
          <w:rFonts w:hint="eastAsia" w:ascii="华文中宋" w:hAnsi="宋体" w:eastAsia="华文中宋" w:cs="Times New Roman"/>
          <w:b/>
          <w:bCs/>
          <w:snapToGrid w:val="0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华文中宋" w:hAnsi="宋体" w:eastAsia="华文中宋" w:cs="Times New Roman"/>
          <w:b/>
          <w:bCs/>
          <w:snapToGrid w:val="0"/>
          <w:color w:val="auto"/>
          <w:sz w:val="32"/>
          <w:szCs w:val="24"/>
          <w:highlight w:val="none"/>
          <w:lang w:eastAsia="zh-CN"/>
        </w:rPr>
        <w:t>房屋建筑工程基本情况表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037"/>
        <w:gridCol w:w="89"/>
        <w:gridCol w:w="993"/>
        <w:gridCol w:w="304"/>
        <w:gridCol w:w="1498"/>
        <w:gridCol w:w="427"/>
        <w:gridCol w:w="51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工程名称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工程地点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建设行政主管部门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建筑面积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建筑高度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m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层/栋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/    /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结构类型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基础形式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开工时间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建设单位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勘察单位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设计单位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监理单位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施工单位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建设单位项目负责人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勘察单位项目负责人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highlight w:val="none"/>
              </w:rPr>
              <w:t>设计单位项目负责人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监理单位项目总监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施工单位项目经理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工程进度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检查部位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rPr>
          <w:rFonts w:hint="eastAsia" w:ascii="宋体" w:hAnsi="宋体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备注：表一至表七中，如某项扣分总值超出该项应得分，则该项实得分为0。</w:t>
      </w:r>
    </w:p>
    <w:p>
      <w:pPr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           年    月    日</w:t>
      </w:r>
    </w:p>
    <w:p>
      <w:pPr>
        <w:rPr>
          <w:rFonts w:ascii="宋体" w:hAnsi="宋体"/>
          <w:color w:val="auto"/>
          <w:highlight w:val="none"/>
        </w:rPr>
        <w:sectPr>
          <w:headerReference r:id="rId3" w:type="default"/>
          <w:footnotePr>
            <w:numFmt w:val="decimal"/>
          </w:footnotePr>
          <w:pgSz w:w="11907" w:h="16840"/>
          <w:pgMar w:top="2041" w:right="1531" w:bottom="1871" w:left="1587" w:header="851" w:footer="992" w:gutter="0"/>
          <w:cols w:space="720" w:num="1"/>
          <w:docGrid w:type="lines"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color w:val="auto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表一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施工单位质量行为检查表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210分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工程名称：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75"/>
        <w:gridCol w:w="412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检查项目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扣分标准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项目管理机构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项目管理人员配备不齐，扣50分；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岗位责任制不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明细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c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岗位责任制不落实，扣20分。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现场质量管理制度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现场质量管理制度一般，扣10分；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无现场质量管理制度或现场质量管理制度差，扣3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工程质量检验制度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工程质量检验制度一般，扣10分；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.无工程质量检验制度或工程质量检验制度差，扣3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项目经理履职情况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重要工序、部位不在岗，扣20分。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技术负责人履职情况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重要工序、部位不在岗，扣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质量员履职情况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质量员履职情况一般，扣</w:t>
            </w:r>
            <w:r>
              <w:rPr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质量员履职情况差，扣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五牌一图设置情况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养护室设置情况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a.未设置混凝土试块标准养护室或标准养护室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温湿度等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施工组织设计或专项施工方案（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含装配式建筑</w:t>
            </w:r>
            <w:r>
              <w:rPr>
                <w:rFonts w:ascii="宋体" w:hAnsi="宋体"/>
                <w:szCs w:val="21"/>
                <w:highlight w:val="none"/>
                <w:lang w:eastAsia="zh-CN"/>
              </w:rPr>
              <w:t>预制构件吊装和支撑、预制构件成品保护、装配式模板施工等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）审批情况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未按要求组织审批，扣20分。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质量问题和质量事故处理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缺处理方案，扣20分；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缺处理台账，扣10分。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219" w:hangingChars="9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合  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napToGrid w:val="0"/>
                <w:color w:val="auto"/>
                <w:szCs w:val="21"/>
                <w:highlight w:val="none"/>
                <w:lang w:val="en-US" w:eastAsia="zh-CN"/>
              </w:rPr>
              <w:t>210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</w:trPr>
        <w:tc>
          <w:tcPr>
            <w:tcW w:w="9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发现的主要问题：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检查人：            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Cs w:val="21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表二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技术资料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190分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97"/>
        <w:gridCol w:w="3658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整体要求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污损，涂改，零乱，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缺损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设计变更文件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不符合要求，扣20分。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装配式建筑预制构件出厂质量证明文件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a.</w:t>
            </w:r>
            <w:r>
              <w:rPr>
                <w:rFonts w:hint="eastAsia"/>
                <w:color w:val="auto"/>
                <w:highlight w:val="none"/>
              </w:rPr>
              <w:t>缺1份，扣5分，缺2份及以上，扣10分。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检测试验管理情况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检测试验计划是否制定，未制定扣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 w:val="0"/>
                <w:sz w:val="21"/>
                <w:highlight w:val="none"/>
              </w:rPr>
              <w:t>b.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eastAsia="zh-CN"/>
              </w:rPr>
              <w:t>取样人员和见证人员资质是否满足要求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，不满足扣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2分/人；取样流程是否符合要求，不符合扣2分/次；抽样频率是否符合要求，不符合扣2分/次；试样标志标识是否规范，不规范扣2分/次；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c</w:t>
            </w:r>
            <w:r>
              <w:rPr>
                <w:b w:val="0"/>
                <w:bCs w:val="0"/>
                <w:sz w:val="21"/>
                <w:highlight w:val="none"/>
              </w:rPr>
              <w:t>.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eastAsia="zh-CN"/>
              </w:rPr>
              <w:t>材料未检先用，扣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；使用不符合规定材料，扣4分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val="en-US" w:eastAsia="zh-CN"/>
              </w:rPr>
              <w:t>d.</w:t>
            </w: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eastAsia="zh-CN"/>
              </w:rPr>
              <w:t>检测报告出具不及时，扣</w:t>
            </w: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val="en-US" w:eastAsia="zh-CN"/>
              </w:rPr>
              <w:t>2分/次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隐蔽工程在未出检测报告前先隐蔽，扣4分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；出具或伪造虚假检测报告，对检测不合格报告抽测、替换、修改等行为，扣4分/份。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钢筋原材进场复验报告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      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钢筋接头检验报告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防水材料检验报告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装配式建筑灌浆套筒检验、</w:t>
            </w:r>
            <w:r>
              <w:rPr>
                <w:sz w:val="21"/>
                <w:highlight w:val="none"/>
              </w:rPr>
              <w:t>预制构件与现浇结构连接试块强度检测</w:t>
            </w:r>
            <w:r>
              <w:rPr>
                <w:rFonts w:hint="eastAsia"/>
                <w:sz w:val="21"/>
                <w:highlight w:val="none"/>
              </w:rPr>
              <w:t>、</w:t>
            </w:r>
            <w:r>
              <w:rPr>
                <w:sz w:val="21"/>
                <w:highlight w:val="none"/>
              </w:rPr>
              <w:t>预制构件接缝防水性能检测</w:t>
            </w:r>
            <w:r>
              <w:rPr>
                <w:rFonts w:hint="eastAsia"/>
                <w:sz w:val="21"/>
                <w:highlight w:val="none"/>
              </w:rPr>
              <w:t>、</w:t>
            </w:r>
            <w:r>
              <w:rPr>
                <w:sz w:val="21"/>
                <w:highlight w:val="none"/>
              </w:rPr>
              <w:t>预制外墙外保温检测</w:t>
            </w:r>
            <w:r>
              <w:rPr>
                <w:rFonts w:hint="eastAsia"/>
                <w:sz w:val="21"/>
                <w:highlight w:val="none"/>
              </w:rPr>
              <w:t>等报告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混凝土(</w:t>
            </w:r>
            <w:r>
              <w:rPr>
                <w:rFonts w:hint="eastAsia"/>
                <w:sz w:val="21"/>
                <w:highlight w:val="none"/>
              </w:rPr>
              <w:t>含预制构件</w:t>
            </w:r>
            <w:r>
              <w:rPr>
                <w:rFonts w:hint="eastAsia"/>
                <w:color w:val="auto"/>
                <w:sz w:val="21"/>
                <w:highlight w:val="none"/>
              </w:rPr>
              <w:t>)、砂浆和装配式建筑套筒灌浆料试件检验报告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地基强度或承载力检验报告、工程桩承载力及桩身完整性检验报告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装配式建筑验收记录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a.缺首个装配式标准层施工前的下部结构验收记录，扣5分；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b.缺首个装配式标准层施工完成后验收记录，扣5分；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c.缺</w:t>
            </w:r>
            <w:r>
              <w:rPr>
                <w:sz w:val="21"/>
                <w:szCs w:val="21"/>
                <w:highlight w:val="none"/>
              </w:rPr>
              <w:t>首批预制构件、首个装配</w:t>
            </w:r>
            <w:r>
              <w:rPr>
                <w:rFonts w:hint="eastAsia"/>
                <w:sz w:val="21"/>
                <w:szCs w:val="21"/>
                <w:highlight w:val="none"/>
              </w:rPr>
              <w:t>式标准层结构等验收记录，扣5分；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d.缺预制构件连接节点、后浇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混凝土</w:t>
            </w:r>
            <w:r>
              <w:rPr>
                <w:rFonts w:hint="eastAsia"/>
                <w:sz w:val="21"/>
                <w:szCs w:val="21"/>
                <w:highlight w:val="none"/>
              </w:rPr>
              <w:t>等隐蔽验收记录，扣5分。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检验批、分项、分部工程验收记录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不齐全，扣10分；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逻辑有误，有作假嫌疑，扣20分。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3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合计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190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发现的主要问题：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混凝土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spacing w:line="460" w:lineRule="exact"/>
        <w:ind w:left="-357" w:leftChars="-170" w:firstLine="525" w:firstLineChars="25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  <w:lang w:eastAsia="zh-CN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表三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实物观感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100分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</w:t>
      </w:r>
      <w:r>
        <w:rPr>
          <w:rFonts w:hint="eastAsia"/>
          <w:color w:val="auto"/>
          <w:sz w:val="21"/>
          <w:highlight w:val="none"/>
        </w:rPr>
        <w:t>检查部位</w:t>
      </w:r>
      <w:r>
        <w:rPr>
          <w:rFonts w:hint="eastAsia"/>
          <w:color w:val="auto"/>
          <w:sz w:val="21"/>
          <w:highlight w:val="none"/>
          <w:lang w:eastAsia="zh-CN"/>
        </w:rPr>
        <w:t>（</w:t>
      </w:r>
      <w:r>
        <w:rPr>
          <w:rFonts w:hint="eastAsia"/>
          <w:color w:val="auto"/>
          <w:sz w:val="21"/>
          <w:highlight w:val="none"/>
        </w:rPr>
        <w:t>备注：抽查一栋楼的一个标准层</w:t>
      </w:r>
      <w:r>
        <w:rPr>
          <w:rFonts w:hint="eastAsia"/>
          <w:color w:val="auto"/>
          <w:sz w:val="21"/>
          <w:highlight w:val="none"/>
          <w:lang w:eastAsia="zh-CN"/>
        </w:rPr>
        <w:t>）</w:t>
      </w:r>
      <w:r>
        <w:rPr>
          <w:rFonts w:hint="eastAsia"/>
          <w:color w:val="auto"/>
          <w:sz w:val="21"/>
          <w:highlight w:val="none"/>
        </w:rPr>
        <w:t>：</w:t>
      </w:r>
      <w:r>
        <w:rPr>
          <w:color w:val="auto"/>
          <w:sz w:val="21"/>
          <w:highlight w:val="none"/>
        </w:rPr>
        <w:t xml:space="preserve">      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50"/>
        <w:gridCol w:w="4950"/>
        <w:gridCol w:w="11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露筋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纵向受力钢筋，扣10分；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其他部位钢筋，扣5分。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蜂窝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少量，扣</w:t>
            </w:r>
            <w:r>
              <w:rPr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较多，扣</w:t>
            </w:r>
            <w:r>
              <w:rPr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量大面广，扣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孔洞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构件主要受力部位，扣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夹渣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疏松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裂缝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影响结构性能或使用功能的裂缝，扣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不影响结构性能或使用功能的裂缝，扣5分。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连接部位缺陷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影响结构传力性能的缺陷，扣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不影响结构传力性能的缺陷，扣5分。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外形缺陷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a.清水混凝土构件，每处扣2分；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b.普通混凝土构件，每处扣</w:t>
            </w:r>
            <w:r>
              <w:rPr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砌筑构造质量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构造柱、圈梁不符合要求，扣3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厨厕间墙根无</w:t>
            </w:r>
            <w:r>
              <w:rPr>
                <w:color w:val="auto"/>
                <w:sz w:val="21"/>
                <w:szCs w:val="21"/>
                <w:highlight w:val="none"/>
              </w:rPr>
              <w:t>200mm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高素砼，扣3</w:t>
            </w:r>
            <w:r>
              <w:rPr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c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纵横墙咬槎不规范，扣10分；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d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砌体与砼连接处未加钢丝网，扣5分；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预埋管、线、箱处洞槽不规范，扣5分；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f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斜顶砖不符合要求，扣5分。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合</w:t>
            </w:r>
            <w:r>
              <w:rPr>
                <w:b/>
                <w:bCs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发现主要问题：</w:t>
            </w: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57" w:leftChars="-170" w:firstLine="24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highlight w:val="none"/>
        </w:rPr>
        <w:t>检查人：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表四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实测实量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shd w:val="clear" w:color="auto" w:fill="auto"/>
          <w:lang w:val="en-US" w:eastAsia="zh-CN"/>
        </w:rPr>
        <w:t>140分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11"/>
        <w:gridCol w:w="5194"/>
        <w:gridCol w:w="11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垂直度</w:t>
            </w:r>
          </w:p>
        </w:tc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a.实测点中，超过允许偏差的点数少于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时，每点扣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分；超过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时，该项为零分。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highlight w:val="none"/>
              </w:rPr>
              <w:t>每项各测</w:t>
            </w:r>
            <w:r>
              <w:rPr>
                <w:color w:val="auto"/>
                <w:sz w:val="21"/>
                <w:highlight w:val="none"/>
              </w:rPr>
              <w:t>30</w:t>
            </w:r>
            <w:r>
              <w:rPr>
                <w:rFonts w:hint="eastAsia"/>
                <w:color w:val="auto"/>
                <w:sz w:val="21"/>
                <w:highlight w:val="none"/>
              </w:rPr>
              <w:t>点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表面平整度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混凝土结构强度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随机从柱、梁共抽取4个构件采用回弹法进行实测，出现不满足设计要求扣40分。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钢筋保护层厚度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随机从梁、板共抽取4个构件采用钢筋探测仪进行实测，不满足规范要求扣5分/构件。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住宅排烟道耐软物撞击性能检验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从进场的排烟道中随机抽取3根进行检验，出现不满足标准要求扣10分。检验方法见标准（住宅厨房和卫生间排烟（气）道制品JG/T194-2018）。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楼板（梯板）厚度检测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每个单位工程检测不少于3个楼板和3个梯板的构件，每个构件的检测点不少于3个取平均值，不满足规范要求扣5分/构件。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7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eastAsia="zh-CN"/>
              </w:rPr>
              <w:t>140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  <w:jc w:val="center"/>
        </w:trPr>
        <w:tc>
          <w:tcPr>
            <w:tcW w:w="9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检查人：</w:t>
      </w:r>
      <w:r>
        <w:rPr>
          <w:color w:val="auto"/>
          <w:highlight w:val="none"/>
        </w:rPr>
        <w:t xml:space="preserve">                                                     </w:t>
      </w:r>
      <w:r>
        <w:rPr>
          <w:rFonts w:hint="eastAsia"/>
          <w:color w:val="auto"/>
          <w:highlight w:val="none"/>
        </w:rPr>
        <w:t>年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>
      <w:pPr>
        <w:rPr>
          <w:color w:val="auto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表五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钢筋工程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备注：抽查一个检验批。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92"/>
        <w:gridCol w:w="4860"/>
        <w:gridCol w:w="108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钢筋原材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有弯曲，扣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有油污，扣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有损伤，扣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有裂纹，扣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/>
                <w:b/>
                <w:bCs/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e.</w:t>
            </w:r>
            <w:r>
              <w:rPr>
                <w:rFonts w:hint="eastAsia"/>
                <w:color w:val="auto"/>
                <w:sz w:val="21"/>
                <w:highlight w:val="none"/>
              </w:rPr>
              <w:t>有老锈，扣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  <w:t>f.</w:t>
            </w:r>
            <w:r>
              <w:rPr>
                <w:rFonts w:hint="default"/>
                <w:color w:val="auto"/>
                <w:sz w:val="21"/>
                <w:highlight w:val="none"/>
                <w:shd w:val="clear" w:color="auto" w:fill="auto"/>
              </w:rPr>
              <w:t>使用游标卡尺现场抽测直径</w:t>
            </w:r>
            <w:r>
              <w:rPr>
                <w:rFonts w:hint="eastAsia"/>
                <w:color w:val="auto"/>
                <w:sz w:val="21"/>
                <w:highlight w:val="none"/>
                <w:shd w:val="clear" w:color="auto" w:fill="auto"/>
                <w:lang w:eastAsia="zh-CN"/>
              </w:rPr>
              <w:t>，不符合</w:t>
            </w:r>
            <w:r>
              <w:rPr>
                <w:rFonts w:hint="default"/>
                <w:color w:val="auto"/>
                <w:sz w:val="21"/>
                <w:highlight w:val="none"/>
                <w:shd w:val="clear" w:color="auto" w:fill="auto"/>
                <w:lang w:eastAsia="zh-CN"/>
              </w:rPr>
              <w:t>扣</w:t>
            </w:r>
            <w:r>
              <w:rPr>
                <w:rFonts w:hint="default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  <w:t>5分：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钢筋加工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弯钩角度不对，扣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弯钩直段长度不够，扣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箍筋形状不规范，扣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尺寸偏差超规范，扣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连接接头外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不合乎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接头位置不对，扣10分；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搭接长度不够，扣</w:t>
            </w: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d.</w:t>
            </w:r>
            <w:r>
              <w:rPr>
                <w:rFonts w:hint="eastAsia"/>
                <w:color w:val="auto"/>
                <w:sz w:val="21"/>
                <w:highlight w:val="none"/>
              </w:rPr>
              <w:t>接头面积百分率超规范，扣</w:t>
            </w:r>
            <w:r>
              <w:rPr>
                <w:color w:val="auto"/>
                <w:sz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e.</w:t>
            </w:r>
            <w:r>
              <w:rPr>
                <w:rFonts w:hint="eastAsia"/>
                <w:color w:val="auto"/>
                <w:sz w:val="21"/>
                <w:highlight w:val="none"/>
              </w:rPr>
              <w:t>接头处箍筋加密不符合规范要求，每处扣5分。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钢筋安装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钢筋骨架尺寸超过允许偏差，扣5分；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钢筋间距、排距超允许偏差，扣5分； </w:t>
            </w:r>
          </w:p>
          <w:p>
            <w:pPr>
              <w:pStyle w:val="2"/>
              <w:spacing w:line="300" w:lineRule="exact"/>
              <w:ind w:left="192" w:hanging="192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c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墙、柱根部，钢筋位置偏出墙、柱边线，扣10分；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d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>漏绑点超过</w:t>
            </w:r>
            <w:r>
              <w:rPr>
                <w:color w:val="auto"/>
                <w:sz w:val="21"/>
                <w:highlight w:val="none"/>
              </w:rPr>
              <w:t>10%</w:t>
            </w:r>
            <w:r>
              <w:rPr>
                <w:rFonts w:hint="eastAsia"/>
                <w:color w:val="auto"/>
                <w:sz w:val="21"/>
                <w:highlight w:val="none"/>
              </w:rPr>
              <w:t>，扣5分；超过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，扣</w:t>
            </w:r>
            <w:r>
              <w:rPr>
                <w:color w:val="auto"/>
                <w:sz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e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洞口加固不规范，扣5分；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f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梁、柱核心区箍筋少漏、不均匀，扣5分；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g</w:t>
            </w:r>
            <w:r>
              <w:rPr>
                <w:color w:val="auto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锚固长度不够，扣5分；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钢筋保护层垫块、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马凳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垫块厚度不符合要求，扣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垫块间距不符合要求，扣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马凳高度不足，间距大，扣</w:t>
            </w:r>
            <w:r>
              <w:rPr>
                <w:color w:val="auto"/>
                <w:sz w:val="21"/>
                <w:highlight w:val="none"/>
              </w:rPr>
              <w:t>4</w:t>
            </w:r>
            <w:r>
              <w:rPr>
                <w:rFonts w:hint="eastAsia"/>
                <w:color w:val="auto"/>
                <w:sz w:val="21"/>
                <w:highlight w:val="none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57" w:leftChars="-170" w:firstLine="21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表六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装配式建筑工程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28"/>
        <w:gridCol w:w="4860"/>
        <w:gridCol w:w="108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预制构件外观质量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、尺寸大小、位置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36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已安装的预制构件外观质量存在严重缺陷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或尺寸偏差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预留孔、预留洞、预埋件、预留插筋、键槽的位置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偏差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预制构件种类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a.已安装的预制构件种类与施工图纸不符，扣20分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a.预制构件连接节点部位与施工图纸不符，扣20分。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21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a.钢筋焊接的观感质量不合格，扣5分；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b.钢筋机械连接的观感质量不合格，扣5分；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c.钢筋的搭接长度或锚固长度不满足设计要求，扣5分。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460" w:lineRule="exact"/>
        <w:ind w:left="-357" w:leftChars="-170" w:firstLine="210" w:firstLineChars="10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highlight w:val="none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表七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模板工程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工程名称：</w:t>
      </w:r>
      <w:r>
        <w:rPr>
          <w:color w:val="auto"/>
          <w:sz w:val="21"/>
          <w:highlight w:val="none"/>
        </w:rPr>
        <w:t xml:space="preserve">                                                  </w:t>
      </w:r>
      <w:r>
        <w:rPr>
          <w:rFonts w:hint="eastAsia"/>
          <w:color w:val="auto"/>
          <w:sz w:val="21"/>
          <w:highlight w:val="none"/>
        </w:rPr>
        <w:t>检查部位：</w:t>
      </w:r>
      <w:r>
        <w:rPr>
          <w:color w:val="auto"/>
          <w:sz w:val="21"/>
          <w:highlight w:val="none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/>
          <w:color w:val="auto"/>
          <w:sz w:val="21"/>
          <w:highlight w:val="none"/>
        </w:rPr>
        <w:t>备注：抽查一个检验批。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51"/>
        <w:gridCol w:w="465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扣分标准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安装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color w:val="auto"/>
                <w:spacing w:val="-6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 xml:space="preserve">拼接不平整，拼缝过大，模板内有杂物或积水，扣10分；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b</w:t>
            </w:r>
            <w:r>
              <w:rPr>
                <w:color w:val="auto"/>
                <w:spacing w:val="-6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模板及其支架不具有足够的承载能力、刚度和稳定性，不能可靠承受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  <w:lang w:eastAsia="zh-CN"/>
              </w:rPr>
              <w:t>浇筑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混凝土的重量、侧压力以及施工荷载，扣30分。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拆除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color w:val="auto"/>
                <w:spacing w:val="-6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 xml:space="preserve">未按方案拆除，扣30分；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b</w:t>
            </w:r>
            <w:r>
              <w:rPr>
                <w:color w:val="auto"/>
                <w:spacing w:val="-6"/>
                <w:sz w:val="21"/>
                <w:highlight w:val="none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  <w:highlight w:val="none"/>
              </w:rPr>
              <w:t>拆除后模板未及时清理保养，无序堆放，扣10分。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  <w:r>
              <w:rPr>
                <w:color w:val="auto"/>
                <w:sz w:val="21"/>
                <w:highlight w:val="none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合</w:t>
            </w:r>
            <w:r>
              <w:rPr>
                <w:b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ab/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存在主要问题：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</w:tc>
      </w:tr>
    </w:tbl>
    <w:p>
      <w:pPr>
        <w:pStyle w:val="2"/>
        <w:spacing w:line="240" w:lineRule="exact"/>
        <w:ind w:firstLine="420"/>
        <w:rPr>
          <w:color w:val="auto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检查人：</w:t>
      </w:r>
      <w:r>
        <w:rPr>
          <w:color w:val="auto"/>
          <w:sz w:val="21"/>
          <w:highlight w:val="none"/>
        </w:rPr>
        <w:t xml:space="preserve">                                                     </w:t>
      </w:r>
      <w:r>
        <w:rPr>
          <w:rFonts w:hint="eastAsia"/>
          <w:color w:val="auto"/>
          <w:sz w:val="21"/>
          <w:highlight w:val="none"/>
        </w:rPr>
        <w:t>年</w:t>
      </w:r>
      <w:r>
        <w:rPr>
          <w:color w:val="auto"/>
          <w:sz w:val="21"/>
          <w:highlight w:val="none"/>
        </w:rPr>
        <w:t xml:space="preserve">    </w:t>
      </w:r>
      <w:r>
        <w:rPr>
          <w:rFonts w:hint="eastAsia"/>
          <w:color w:val="auto"/>
          <w:sz w:val="21"/>
          <w:highlight w:val="none"/>
        </w:rPr>
        <w:t>月</w:t>
      </w:r>
      <w:r>
        <w:rPr>
          <w:color w:val="auto"/>
          <w:sz w:val="21"/>
          <w:highlight w:val="none"/>
        </w:rPr>
        <w:t xml:space="preserve">    </w:t>
      </w:r>
      <w:r>
        <w:rPr>
          <w:rFonts w:hint="eastAsia"/>
          <w:color w:val="auto"/>
          <w:sz w:val="21"/>
          <w:highlight w:val="none"/>
        </w:rPr>
        <w:t>日</w:t>
      </w:r>
    </w:p>
    <w:p>
      <w:pPr>
        <w:pStyle w:val="2"/>
        <w:spacing w:line="240" w:lineRule="exact"/>
        <w:ind w:firstLine="420"/>
        <w:rPr>
          <w:color w:val="auto"/>
          <w:sz w:val="21"/>
          <w:highlight w:val="none"/>
        </w:rPr>
      </w:pPr>
    </w:p>
    <w:p>
      <w:pPr>
        <w:pStyle w:val="2"/>
        <w:spacing w:line="240" w:lineRule="exact"/>
        <w:ind w:firstLine="420"/>
        <w:rPr>
          <w:rFonts w:ascii="宋体" w:hAnsi="宋体" w:eastAsia="华文中宋"/>
          <w:color w:val="auto"/>
          <w:sz w:val="21"/>
          <w:highlight w:val="none"/>
        </w:rPr>
      </w:pPr>
    </w:p>
    <w:p>
      <w:pPr>
        <w:pStyle w:val="2"/>
        <w:spacing w:line="460" w:lineRule="exact"/>
        <w:ind w:firstLine="0" w:firstLineChars="0"/>
        <w:jc w:val="center"/>
        <w:rPr>
          <w:rFonts w:hint="eastAsia" w:eastAsia="华文中宋"/>
          <w:b/>
          <w:bCs/>
          <w:color w:val="auto"/>
          <w:sz w:val="30"/>
          <w:highlight w:val="none"/>
        </w:rPr>
        <w:sectPr>
          <w:headerReference r:id="rId4" w:type="default"/>
          <w:footnotePr>
            <w:numFmt w:val="decimal"/>
          </w:footnotePr>
          <w:pgSz w:w="11907" w:h="16840"/>
          <w:pgMar w:top="1134" w:right="1134" w:bottom="1134" w:left="1134" w:header="851" w:footer="992" w:gutter="0"/>
          <w:cols w:space="720" w:num="1"/>
          <w:docGrid w:type="lines"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  <w:highlight w:val="none"/>
        </w:rPr>
      </w:pPr>
      <w:r>
        <w:rPr>
          <w:rFonts w:hint="eastAsia" w:eastAsia="华文中宋"/>
          <w:b/>
          <w:bCs/>
          <w:color w:val="auto"/>
          <w:sz w:val="30"/>
          <w:highlight w:val="none"/>
        </w:rPr>
        <w:t>表八</w:t>
      </w:r>
      <w:r>
        <w:rPr>
          <w:rFonts w:eastAsia="华文中宋"/>
          <w:b/>
          <w:bCs/>
          <w:color w:val="auto"/>
          <w:sz w:val="30"/>
          <w:highlight w:val="none"/>
        </w:rPr>
        <w:t xml:space="preserve">  </w:t>
      </w:r>
      <w:r>
        <w:rPr>
          <w:rFonts w:hint="eastAsia" w:eastAsia="华文中宋"/>
          <w:b/>
          <w:bCs/>
          <w:color w:val="auto"/>
          <w:sz w:val="30"/>
          <w:highlight w:val="none"/>
        </w:rPr>
        <w:t>评分统计</w:t>
      </w:r>
    </w:p>
    <w:p>
      <w:pPr>
        <w:pStyle w:val="2"/>
        <w:spacing w:line="460" w:lineRule="exact"/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工程名称：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26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检查项目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应得分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实得分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得分率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eastAsia="zh-CN"/>
              </w:rPr>
              <w:t>（实得分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val="en-US" w:eastAsia="zh-CN"/>
              </w:rPr>
              <w:t>/应得分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质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行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术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资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料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物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观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实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钢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装配式建筑工程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模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综合评分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2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>综合评价：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  <w:p>
            <w:pPr>
              <w:spacing w:line="460" w:lineRule="exact"/>
              <w:rPr>
                <w:color w:val="auto"/>
                <w:highlight w:val="none"/>
              </w:rPr>
            </w:pPr>
          </w:p>
        </w:tc>
      </w:tr>
    </w:tbl>
    <w:p>
      <w:pPr>
        <w:pStyle w:val="2"/>
        <w:spacing w:line="460" w:lineRule="exact"/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检查小组签名：</w:t>
      </w:r>
      <w:r>
        <w:rPr>
          <w:color w:val="auto"/>
          <w:highlight w:val="none"/>
        </w:rPr>
        <w:t xml:space="preserve">                                          </w:t>
      </w:r>
      <w:r>
        <w:rPr>
          <w:rFonts w:hint="eastAsia"/>
          <w:color w:val="auto"/>
          <w:highlight w:val="none"/>
        </w:rPr>
        <w:t>年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color w:val="auto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>
      <w:pPr>
        <w:pStyle w:val="2"/>
        <w:spacing w:line="460" w:lineRule="exact"/>
        <w:ind w:firstLine="720"/>
        <w:rPr>
          <w:rFonts w:ascii="黑体" w:hAnsi="宋体" w:eastAsia="黑体"/>
          <w:sz w:val="36"/>
          <w:szCs w:val="36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3508"/>
    <w:multiLevelType w:val="singleLevel"/>
    <w:tmpl w:val="60473508"/>
    <w:lvl w:ilvl="0" w:tentative="0">
      <w:start w:val="1"/>
      <w:numFmt w:val="low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after="0" w:line="240" w:lineRule="auto"/>
      <w:ind w:firstLine="480" w:firstLineChars="200"/>
      <w:jc w:val="both"/>
    </w:pPr>
    <w:rPr>
      <w:rFonts w:ascii="Times New Roman" w:hAnsi="Times New Roman"/>
      <w:snapToGrid w:val="0"/>
      <w:kern w:val="2"/>
      <w:sz w:val="24"/>
      <w:szCs w:val="24"/>
      <w:lang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customStyle="1" w:styleId="6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张亮</dc:creator>
  <cp:lastModifiedBy>张亮</cp:lastModifiedBy>
  <dcterms:modified xsi:type="dcterms:W3CDTF">2021-12-17T07:00:13Z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02975C71B46C45E0894394BD65F2CCAB</vt:lpwstr>
  </property>
</Properties>
</file>