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422" w:afterAutospacing="0" w:line="27" w:lineRule="atLeast"/>
        <w:jc w:val="center"/>
        <w:outlineLvl w:val="0"/>
        <w:rPr>
          <w:rFonts w:ascii="宋体" w:hAnsi="宋体" w:cs="宋体"/>
          <w:b/>
          <w:sz w:val="44"/>
          <w:szCs w:val="44"/>
        </w:rPr>
      </w:pPr>
      <w:bookmarkStart w:id="2" w:name="_GoBack"/>
      <w:r>
        <w:rPr>
          <w:rStyle w:val="5"/>
          <w:rFonts w:hint="eastAsia" w:ascii="宋体" w:hAnsi="宋体" w:cs="宋体"/>
          <w:color w:val="333333"/>
          <w:sz w:val="44"/>
          <w:szCs w:val="44"/>
          <w:shd w:val="clear" w:color="auto" w:fill="FFFFFF"/>
        </w:rPr>
        <w:t>深圳市建设工程招标投标后评估工作指引</w:t>
      </w:r>
    </w:p>
    <w:bookmarkEnd w:id="2"/>
    <w:p>
      <w:pPr>
        <w:pStyle w:val="2"/>
        <w:widowControl/>
        <w:spacing w:beforeAutospacing="0" w:after="422" w:afterAutospacing="0" w:line="27" w:lineRule="atLeast"/>
        <w:jc w:val="center"/>
        <w:outlineLvl w:val="0"/>
        <w:rPr>
          <w:rFonts w:ascii="黑体" w:hAnsi="黑体" w:eastAsia="黑体" w:cs="黑体"/>
          <w:bCs/>
          <w:color w:val="333333"/>
          <w:sz w:val="32"/>
          <w:szCs w:val="32"/>
          <w:shd w:val="clear" w:color="auto" w:fill="FFFFFF"/>
        </w:rPr>
      </w:pPr>
      <w:r>
        <w:rPr>
          <w:rStyle w:val="5"/>
          <w:rFonts w:hint="eastAsia" w:ascii="黑体" w:hAnsi="黑体" w:eastAsia="黑体" w:cs="黑体"/>
          <w:b w:val="0"/>
          <w:bCs/>
          <w:color w:val="333333"/>
          <w:sz w:val="32"/>
          <w:szCs w:val="32"/>
          <w:shd w:val="clear" w:color="auto" w:fill="FFFFFF"/>
        </w:rPr>
        <w:t>第一章 总  则</w:t>
      </w:r>
    </w:p>
    <w:p>
      <w:pPr>
        <w:spacing w:line="56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第一条</w:t>
      </w:r>
      <w:r>
        <w:rPr>
          <w:rFonts w:hint="eastAsia" w:ascii="Times New Roman" w:hAnsi="Times New Roman" w:eastAsia="仿宋_GB2312" w:cs="仿宋_GB2312"/>
          <w:sz w:val="32"/>
          <w:szCs w:val="32"/>
        </w:rPr>
        <w:t xml:space="preserve">  为有效监管招标投标活动，进一步规范建筑市场秩序，根据《关于建设工程招标投标改革的若干规定》</w:t>
      </w:r>
      <w:r>
        <w:rPr>
          <w:rFonts w:hint="eastAsia" w:ascii="仿宋_GB2312" w:hAnsi="仿宋_GB2312" w:eastAsia="仿宋_GB2312" w:cs="仿宋_GB2312"/>
          <w:sz w:val="32"/>
          <w:szCs w:val="32"/>
        </w:rPr>
        <w:t>（深府〔2015〕73号）</w:t>
      </w:r>
      <w:r>
        <w:rPr>
          <w:rFonts w:hint="eastAsia" w:ascii="Times New Roman" w:hAnsi="Times New Roman" w:eastAsia="仿宋_GB2312" w:cs="仿宋_GB2312"/>
          <w:sz w:val="32"/>
          <w:szCs w:val="32"/>
        </w:rPr>
        <w:t>、</w:t>
      </w:r>
      <w:r>
        <w:rPr>
          <w:rFonts w:hint="eastAsia" w:ascii="仿宋_GB2312" w:hAnsi="仿宋_GB2312" w:eastAsia="仿宋_GB2312" w:cs="仿宋_GB2312"/>
          <w:sz w:val="32"/>
          <w:szCs w:val="32"/>
        </w:rPr>
        <w:t>《关于进一步完善建设工程招标投标制度的若干措施》（深建规〔2020〕1号</w:t>
      </w:r>
      <w:r>
        <w:rPr>
          <w:rFonts w:hint="eastAsia" w:ascii="Times New Roman" w:hAnsi="Times New Roman" w:eastAsia="仿宋_GB2312" w:cs="仿宋_GB2312"/>
          <w:sz w:val="32"/>
          <w:szCs w:val="32"/>
        </w:rPr>
        <w:t>）等有关规定，制定本指引。</w:t>
      </w:r>
    </w:p>
    <w:p>
      <w:pPr>
        <w:spacing w:line="56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第二条</w:t>
      </w:r>
      <w:r>
        <w:rPr>
          <w:rFonts w:hint="eastAsia" w:ascii="Times New Roman" w:hAnsi="Times New Roman" w:eastAsia="仿宋_GB2312" w:cs="仿宋_GB2312"/>
          <w:sz w:val="32"/>
          <w:szCs w:val="32"/>
        </w:rPr>
        <w:t xml:space="preserve">  建设工程</w:t>
      </w:r>
      <w:r>
        <w:rPr>
          <w:rFonts w:hint="eastAsia" w:ascii="仿宋_GB2312" w:hAnsi="仿宋_GB2312" w:eastAsia="仿宋_GB2312" w:cs="仿宋_GB2312"/>
          <w:sz w:val="32"/>
          <w:szCs w:val="32"/>
        </w:rPr>
        <w:t>招标投标后评估（以下简称“标后评估”）是指招标投标活动完成后，建设、交通等招标投标监督部门（以下简称</w:t>
      </w:r>
      <w:r>
        <w:rPr>
          <w:rFonts w:ascii="仿宋_GB2312" w:hAnsi="仿宋_GB2312" w:eastAsia="仿宋_GB2312" w:cs="仿宋_GB2312"/>
          <w:sz w:val="32"/>
          <w:szCs w:val="32"/>
        </w:rPr>
        <w:t>“招投标监</w:t>
      </w:r>
      <w:r>
        <w:rPr>
          <w:rFonts w:ascii="Times New Roman" w:hAnsi="Times New Roman" w:eastAsia="仿宋_GB2312" w:cs="仿宋_GB2312"/>
          <w:sz w:val="32"/>
          <w:szCs w:val="32"/>
        </w:rPr>
        <w:t>督部门”</w:t>
      </w:r>
      <w:r>
        <w:rPr>
          <w:rFonts w:hint="eastAsia" w:ascii="Times New Roman" w:hAnsi="Times New Roman" w:eastAsia="仿宋_GB2312" w:cs="仿宋_GB2312"/>
          <w:sz w:val="32"/>
          <w:szCs w:val="32"/>
        </w:rPr>
        <w:t>）对依法必须招标项目的招标投标活动是否符合公开、公平、公正及诚实信用原则，招标结果是否合理进行评估。</w:t>
      </w:r>
    </w:p>
    <w:p>
      <w:pPr>
        <w:spacing w:line="56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 xml:space="preserve">第三条 </w:t>
      </w:r>
      <w:r>
        <w:rPr>
          <w:rFonts w:hint="eastAsia" w:ascii="Times New Roman" w:hAnsi="Times New Roman" w:eastAsia="仿宋_GB2312" w:cs="仿宋_GB2312"/>
          <w:sz w:val="32"/>
          <w:szCs w:val="32"/>
        </w:rPr>
        <w:t xml:space="preserve"> </w:t>
      </w:r>
      <w:r>
        <w:rPr>
          <w:rFonts w:ascii="Times New Roman" w:hAnsi="Times New Roman" w:eastAsia="仿宋_GB2312" w:cs="仿宋_GB2312"/>
          <w:sz w:val="32"/>
          <w:szCs w:val="32"/>
        </w:rPr>
        <w:t>标后评估原则上每年开展一次，</w:t>
      </w:r>
      <w:r>
        <w:rPr>
          <w:rFonts w:hint="eastAsia" w:ascii="Times New Roman" w:hAnsi="Times New Roman" w:eastAsia="仿宋_GB2312" w:cs="仿宋_GB2312"/>
          <w:sz w:val="32"/>
          <w:szCs w:val="32"/>
        </w:rPr>
        <w:t>重点选取以下项目进行评估：</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（一）国家及省市重点项目或其他社会影响较大的项目；</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（二）招标过程中有投诉、举报或其他异常情况的项目；</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（三）发生质量、安全事故的项目；</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（四）招投标监督部门重点监管对象负责招标的项目；</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（五）其他需要进行标后评估的项目。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标后评估项目数量应不低于当年度已发出中标通知书项目数量的3%，且不少于20个，符合前款所列情形的项目数量不足的，可在其他已发出中标通知书项目中采用随机抽取的方式补足。</w:t>
      </w:r>
    </w:p>
    <w:p>
      <w:pPr>
        <w:spacing w:line="560" w:lineRule="exact"/>
        <w:ind w:firstLine="640" w:firstLineChars="200"/>
        <w:rPr>
          <w:rFonts w:ascii="仿宋_GB2312" w:hAnsi="仿宋_GB2312" w:eastAsia="仿宋_GB2312" w:cs="仿宋_GB2312"/>
          <w:sz w:val="32"/>
          <w:szCs w:val="32"/>
        </w:rPr>
      </w:pPr>
    </w:p>
    <w:p>
      <w:pPr>
        <w:pStyle w:val="2"/>
        <w:widowControl/>
        <w:spacing w:beforeAutospacing="0" w:after="422" w:afterAutospacing="0" w:line="27" w:lineRule="atLeast"/>
        <w:jc w:val="center"/>
        <w:outlineLvl w:val="0"/>
        <w:rPr>
          <w:rStyle w:val="5"/>
          <w:rFonts w:ascii="黑体" w:hAnsi="黑体" w:eastAsia="黑体" w:cs="黑体"/>
          <w:b w:val="0"/>
          <w:bCs/>
          <w:color w:val="333333"/>
          <w:sz w:val="32"/>
          <w:szCs w:val="32"/>
          <w:shd w:val="clear" w:color="auto" w:fill="FFFFFF"/>
        </w:rPr>
      </w:pPr>
      <w:r>
        <w:rPr>
          <w:rStyle w:val="5"/>
          <w:rFonts w:hint="eastAsia" w:ascii="黑体" w:hAnsi="黑体" w:eastAsia="黑体" w:cs="黑体"/>
          <w:b w:val="0"/>
          <w:bCs/>
          <w:color w:val="333333"/>
          <w:sz w:val="32"/>
          <w:szCs w:val="32"/>
          <w:shd w:val="clear" w:color="auto" w:fill="FFFFFF"/>
        </w:rPr>
        <w:t>第二章 职责分工</w:t>
      </w:r>
    </w:p>
    <w:p>
      <w:pPr>
        <w:spacing w:line="56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第四条</w:t>
      </w:r>
      <w:r>
        <w:rPr>
          <w:rFonts w:hint="eastAsia" w:ascii="Times New Roman" w:hAnsi="Times New Roman" w:eastAsia="仿宋_GB2312" w:cs="仿宋_GB2312"/>
          <w:sz w:val="32"/>
          <w:szCs w:val="32"/>
        </w:rPr>
        <w:t xml:space="preserve">  市建设行政主管部门统筹管理标后评估工作，其基本职责包括：</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（一）制定标后评估相关制度；</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（二）监督、指导全市标后评估工作；</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（三）汇总招投标监督部门的标后评估报告，分析存在的问题及原因，及时完善相关招投标制度。</w:t>
      </w:r>
    </w:p>
    <w:p>
      <w:pPr>
        <w:spacing w:line="56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第五条</w:t>
      </w:r>
      <w:r>
        <w:rPr>
          <w:rFonts w:hint="eastAsia" w:ascii="Times New Roman" w:hAnsi="Times New Roman" w:eastAsia="仿宋_GB2312" w:cs="仿宋_GB2312"/>
          <w:sz w:val="32"/>
          <w:szCs w:val="32"/>
        </w:rPr>
        <w:t xml:space="preserve"> 招投标监督部门根据管理权限，负责对其监管的建设工程项目进行标后评估，出具评估报告，并于标后评估工作完成后一个月内将评估报告报送市建设行政主管部门。评估报告原则上对社会公开。</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招投标监督部门应组建标后评估工作组开展标后评估工作，评估工作应符合评估过程保密、结果客观公正原则。标后评估工作组可采取委托专家或第三方咨询机构的方式组建，并符合下列要求：</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（一）采用委托专家方式的，专家数量一般为五人或以上单数，专家可采用从评标专家库中选取或邀请纪检监察等相关部门人员的方式确定，从评标专家库中选取的专家应具备与评估项目相匹配的专业能力；</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（二）采用委托第三方咨询机构方式的，委托的第三方咨询机构应熟悉深圳市建设工程招标投标法律法规，了解深圳建筑市场从业企业的综合实力、信誉、履约能力等情况。</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（三）标后评估咨询机构或工作组有关人员与被评估项目存在利害关系的，应当主动回避。</w:t>
      </w:r>
    </w:p>
    <w:p>
      <w:pPr>
        <w:spacing w:line="56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第六条</w:t>
      </w:r>
      <w:r>
        <w:rPr>
          <w:rFonts w:hint="eastAsia" w:ascii="Times New Roman" w:hAnsi="Times New Roman" w:eastAsia="仿宋_GB2312" w:cs="仿宋_GB2312"/>
          <w:sz w:val="32"/>
          <w:szCs w:val="32"/>
        </w:rPr>
        <w:t xml:space="preserve">  其他相关方职责：</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（一）招标人应</w:t>
      </w:r>
      <w:r>
        <w:rPr>
          <w:rFonts w:hint="eastAsia" w:ascii="仿宋_GB2312" w:hAnsi="仿宋_GB2312" w:eastAsia="仿宋_GB2312" w:cs="仿宋_GB2312"/>
          <w:sz w:val="32"/>
          <w:szCs w:val="32"/>
        </w:rPr>
        <w:t>积极配合招投标监督部门开展标后评估工作，提供</w:t>
      </w:r>
      <w:r>
        <w:rPr>
          <w:rFonts w:hint="eastAsia" w:ascii="Times New Roman" w:hAnsi="Times New Roman" w:eastAsia="仿宋_GB2312" w:cs="仿宋_GB2312"/>
          <w:sz w:val="32"/>
          <w:szCs w:val="32"/>
        </w:rPr>
        <w:t>入围、清标、定标以及与中标人签订的合同等相关资料，并对评估过程中发现的不明确内容，以书面形式作必要的澄清或者说明；</w:t>
      </w:r>
    </w:p>
    <w:p>
      <w:pPr>
        <w:spacing w:line="560" w:lineRule="exact"/>
        <w:ind w:firstLine="640" w:firstLineChars="200"/>
        <w:rPr>
          <w:rStyle w:val="5"/>
          <w:rFonts w:ascii="黑体" w:hAnsi="黑体" w:eastAsia="黑体" w:cs="黑体"/>
          <w:b w:val="0"/>
          <w:bCs/>
          <w:color w:val="333333"/>
          <w:sz w:val="32"/>
          <w:szCs w:val="32"/>
          <w:shd w:val="clear" w:color="auto" w:fill="FFFFFF"/>
        </w:rPr>
      </w:pPr>
      <w:r>
        <w:rPr>
          <w:rFonts w:hint="eastAsia" w:ascii="Times New Roman" w:hAnsi="Times New Roman" w:eastAsia="仿宋_GB2312" w:cs="仿宋_GB2312"/>
          <w:sz w:val="32"/>
          <w:szCs w:val="32"/>
        </w:rPr>
        <w:t>（二）公共资源交易中心提供标后评估项目的招标备案资料、招标文件、资格预审文件、投标文件、开标评标定标过程相关资料、现场录音录像等资料。</w:t>
      </w:r>
    </w:p>
    <w:p>
      <w:pPr>
        <w:spacing w:line="560" w:lineRule="exact"/>
        <w:ind w:firstLine="640" w:firstLineChars="200"/>
        <w:rPr>
          <w:rFonts w:ascii="Times New Roman" w:hAnsi="Times New Roman" w:eastAsia="仿宋_GB2312" w:cs="仿宋_GB2312"/>
          <w:sz w:val="32"/>
          <w:szCs w:val="32"/>
        </w:rPr>
      </w:pPr>
    </w:p>
    <w:p>
      <w:pPr>
        <w:pStyle w:val="2"/>
        <w:widowControl/>
        <w:numPr>
          <w:ilvl w:val="0"/>
          <w:numId w:val="1"/>
        </w:numPr>
        <w:spacing w:beforeAutospacing="0" w:after="422" w:afterAutospacing="0" w:line="27" w:lineRule="atLeast"/>
        <w:jc w:val="center"/>
        <w:outlineLvl w:val="0"/>
        <w:rPr>
          <w:rStyle w:val="5"/>
          <w:rFonts w:ascii="黑体" w:hAnsi="黑体" w:eastAsia="黑体" w:cs="黑体"/>
          <w:b w:val="0"/>
          <w:bCs/>
          <w:color w:val="333333"/>
          <w:kern w:val="2"/>
          <w:sz w:val="32"/>
          <w:szCs w:val="32"/>
          <w:shd w:val="clear" w:color="auto" w:fill="FFFFFF"/>
        </w:rPr>
      </w:pPr>
      <w:r>
        <w:rPr>
          <w:rStyle w:val="5"/>
          <w:rFonts w:hint="eastAsia" w:ascii="黑体" w:hAnsi="黑体" w:eastAsia="黑体" w:cs="黑体"/>
          <w:b w:val="0"/>
          <w:bCs/>
          <w:color w:val="333333"/>
          <w:sz w:val="32"/>
          <w:szCs w:val="32"/>
          <w:shd w:val="clear" w:color="auto" w:fill="FFFFFF"/>
        </w:rPr>
        <w:t xml:space="preserve"> 评估程序和标准</w:t>
      </w:r>
    </w:p>
    <w:p>
      <w:pPr>
        <w:spacing w:line="56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第七条</w:t>
      </w:r>
      <w:r>
        <w:rPr>
          <w:rFonts w:hint="eastAsia" w:ascii="Times New Roman" w:hAnsi="Times New Roman" w:eastAsia="仿宋_GB2312" w:cs="仿宋_GB2312"/>
          <w:sz w:val="32"/>
          <w:szCs w:val="32"/>
        </w:rPr>
        <w:t xml:space="preserve">  标后评估工作按照以下程序开展：</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（一）招投标监督部门确定标后评估项目；</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（二）招投标监督部门组建标后评估工作组，提出相关工作要求；</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（三）标后评估工作组收集、整理评估所需资料；</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（四）标后评估工作组对标后评估项目进行分类，建立相应的评估标准（评估标准参考附件1）；</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（五）标后评估工作组按照确定的评估标准，通过定量与定性分析相结合的方式，出具评估意见；</w:t>
      </w:r>
    </w:p>
    <w:p>
      <w:pPr>
        <w:spacing w:line="560" w:lineRule="exact"/>
        <w:ind w:firstLine="640" w:firstLineChars="200"/>
        <w:rPr>
          <w:rFonts w:ascii="Times New Roman" w:hAnsi="Times New Roman" w:eastAsia="仿宋_GB2312" w:cs="仿宋_GB2312"/>
        </w:rPr>
      </w:pPr>
      <w:r>
        <w:rPr>
          <w:rFonts w:hint="eastAsia" w:ascii="Times New Roman" w:hAnsi="Times New Roman" w:eastAsia="仿宋_GB2312" w:cs="仿宋_GB2312"/>
          <w:sz w:val="32"/>
          <w:szCs w:val="32"/>
        </w:rPr>
        <w:t>（六）标后评估工作组汇总评估意见，向招投标监督部门提交评估报告（评估报告文本格式参考附件2）。</w:t>
      </w:r>
    </w:p>
    <w:p>
      <w:pPr>
        <w:spacing w:line="56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第八条</w:t>
      </w:r>
      <w:r>
        <w:rPr>
          <w:rFonts w:hint="eastAsia" w:ascii="Times New Roman" w:hAnsi="Times New Roman" w:eastAsia="仿宋_GB2312" w:cs="仿宋_GB2312"/>
          <w:sz w:val="32"/>
          <w:szCs w:val="32"/>
        </w:rPr>
        <w:t xml:space="preserve">  评估标准应当覆盖招标投标全过程，包括招标公告发布、开标、过多投标人淘汰、评标、清标、定标、中标人综合实力分析以及异常情况等。</w:t>
      </w:r>
    </w:p>
    <w:p>
      <w:pPr>
        <w:spacing w:line="56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第九条</w:t>
      </w:r>
      <w:r>
        <w:rPr>
          <w:rFonts w:hint="eastAsia" w:ascii="Times New Roman" w:hAnsi="Times New Roman" w:eastAsia="仿宋_GB2312" w:cs="仿宋_GB2312"/>
          <w:sz w:val="32"/>
          <w:szCs w:val="32"/>
        </w:rPr>
        <w:t xml:space="preserve">  评估标准</w:t>
      </w:r>
      <w:r>
        <w:rPr>
          <w:rFonts w:ascii="Times New Roman" w:hAnsi="Times New Roman" w:eastAsia="仿宋_GB2312" w:cs="仿宋_GB2312"/>
          <w:sz w:val="32"/>
          <w:szCs w:val="32"/>
        </w:rPr>
        <w:t>可根据项目类型、项目规模等情况进行调整</w:t>
      </w:r>
      <w:r>
        <w:rPr>
          <w:rFonts w:hint="eastAsia" w:ascii="Times New Roman" w:hAnsi="Times New Roman" w:eastAsia="仿宋_GB2312" w:cs="仿宋_GB2312"/>
          <w:sz w:val="32"/>
          <w:szCs w:val="32"/>
        </w:rPr>
        <w:t>，调整原则如下：</w:t>
      </w:r>
    </w:p>
    <w:p>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（一）评估指标应指向明确，与评估要求、项目类别（施工类、货物类、服务类）、政策依据相关联；</w:t>
      </w:r>
    </w:p>
    <w:p>
      <w:pPr>
        <w:spacing w:line="560" w:lineRule="exact"/>
        <w:ind w:firstLine="640" w:firstLineChars="200"/>
        <w:rPr>
          <w:rFonts w:hint="eastAsia" w:ascii="Times New Roman" w:hAnsi="Times New Roman" w:eastAsia="仿宋_GB2312" w:cs="仿宋_GB2312"/>
          <w:sz w:val="32"/>
          <w:szCs w:val="32"/>
        </w:rPr>
      </w:pPr>
      <w:r>
        <w:rPr>
          <w:rFonts w:ascii="Times New Roman" w:hAnsi="Times New Roman" w:eastAsia="仿宋_GB2312" w:cs="仿宋_GB2312"/>
          <w:sz w:val="32"/>
          <w:szCs w:val="32"/>
        </w:rPr>
        <w:t>（二）</w:t>
      </w:r>
      <w:r>
        <w:rPr>
          <w:rFonts w:hint="eastAsia" w:ascii="Times New Roman" w:hAnsi="Times New Roman" w:eastAsia="仿宋_GB2312" w:cs="仿宋_GB2312"/>
          <w:sz w:val="32"/>
          <w:szCs w:val="32"/>
        </w:rPr>
        <w:t>评估指标设置应能体现招标投标活动是否合法合规，招标结果是否实现择优竞价；</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（三）评估指标应细化、量化，确难以量化的，可采用定性表述，但应具有可衡量性。</w:t>
      </w:r>
    </w:p>
    <w:p>
      <w:pPr>
        <w:spacing w:line="560" w:lineRule="exact"/>
        <w:ind w:firstLine="643" w:firstLineChars="200"/>
        <w:rPr>
          <w:rFonts w:ascii="仿宋_GB2312" w:hAnsi="仿宋_GB2312" w:eastAsia="仿宋_GB2312" w:cs="仿宋_GB2312"/>
          <w:sz w:val="32"/>
          <w:szCs w:val="32"/>
        </w:rPr>
      </w:pPr>
      <w:r>
        <w:rPr>
          <w:rFonts w:hint="eastAsia" w:ascii="Times New Roman" w:hAnsi="Times New Roman" w:eastAsia="仿宋_GB2312" w:cs="仿宋_GB2312"/>
          <w:b/>
          <w:bCs/>
          <w:sz w:val="32"/>
          <w:szCs w:val="32"/>
        </w:rPr>
        <w:t>第十条</w:t>
      </w:r>
      <w:r>
        <w:rPr>
          <w:rFonts w:hint="eastAsia" w:ascii="Times New Roman" w:hAnsi="Times New Roman" w:eastAsia="仿宋_GB2312" w:cs="仿宋_GB2312"/>
          <w:sz w:val="32"/>
          <w:szCs w:val="32"/>
        </w:rPr>
        <w:t xml:space="preserve">  标后评估工作组依据评估标准进行评分，总分为100分。</w:t>
      </w:r>
      <w:r>
        <w:rPr>
          <w:rFonts w:hint="eastAsia" w:ascii="仿宋_GB2312" w:hAnsi="仿宋_GB2312" w:eastAsia="仿宋_GB2312" w:cs="仿宋_GB2312"/>
          <w:sz w:val="32"/>
          <w:szCs w:val="32"/>
        </w:rPr>
        <w:t>根据得分（用字母“N”表示）情况分为以下四个等级：</w:t>
      </w:r>
    </w:p>
    <w:p>
      <w:pPr>
        <w:pStyle w:val="6"/>
        <w:numPr>
          <w:ilvl w:val="0"/>
          <w:numId w:val="2"/>
        </w:numPr>
        <w:spacing w:line="560" w:lineRule="exact"/>
        <w:ind w:firstLineChars="0"/>
        <w:rPr>
          <w:rFonts w:ascii="仿宋_GB2312" w:hAnsi="仿宋_GB2312" w:eastAsia="仿宋_GB2312" w:cs="仿宋_GB2312"/>
          <w:b/>
          <w:bCs/>
          <w:sz w:val="32"/>
          <w:szCs w:val="32"/>
        </w:rPr>
      </w:pPr>
      <w:r>
        <w:rPr>
          <w:rFonts w:hint="eastAsia" w:ascii="仿宋_GB2312" w:hAnsi="仿宋_GB2312" w:eastAsia="仿宋_GB2312" w:cs="仿宋_GB2312"/>
          <w:sz w:val="32"/>
          <w:szCs w:val="32"/>
        </w:rPr>
        <w:t>当N≥90分时，评估结果为优秀；</w:t>
      </w:r>
    </w:p>
    <w:p>
      <w:pPr>
        <w:pStyle w:val="6"/>
        <w:numPr>
          <w:ilvl w:val="0"/>
          <w:numId w:val="2"/>
        </w:numPr>
        <w:spacing w:line="560" w:lineRule="exact"/>
        <w:ind w:firstLineChars="0"/>
        <w:rPr>
          <w:rFonts w:ascii="仿宋_GB2312" w:hAnsi="仿宋_GB2312" w:eastAsia="仿宋_GB2312" w:cs="仿宋_GB2312"/>
          <w:b/>
          <w:bCs/>
          <w:sz w:val="32"/>
          <w:szCs w:val="32"/>
        </w:rPr>
      </w:pPr>
      <w:r>
        <w:rPr>
          <w:rFonts w:hint="eastAsia" w:ascii="仿宋_GB2312" w:hAnsi="仿宋_GB2312" w:eastAsia="仿宋_GB2312" w:cs="仿宋_GB2312"/>
          <w:sz w:val="32"/>
          <w:szCs w:val="32"/>
        </w:rPr>
        <w:t>当75≤N＜90分时，评估结果为良好；</w:t>
      </w:r>
    </w:p>
    <w:p>
      <w:pPr>
        <w:pStyle w:val="6"/>
        <w:numPr>
          <w:ilvl w:val="0"/>
          <w:numId w:val="2"/>
        </w:numPr>
        <w:spacing w:line="560" w:lineRule="exact"/>
        <w:ind w:firstLineChars="0"/>
        <w:rPr>
          <w:rFonts w:ascii="仿宋_GB2312" w:hAnsi="仿宋_GB2312" w:eastAsia="仿宋_GB2312" w:cs="仿宋_GB2312"/>
          <w:b/>
          <w:bCs/>
          <w:sz w:val="32"/>
          <w:szCs w:val="32"/>
        </w:rPr>
      </w:pPr>
      <w:r>
        <w:rPr>
          <w:rFonts w:hint="eastAsia" w:ascii="仿宋_GB2312" w:hAnsi="仿宋_GB2312" w:eastAsia="仿宋_GB2312" w:cs="仿宋_GB2312"/>
          <w:sz w:val="32"/>
          <w:szCs w:val="32"/>
        </w:rPr>
        <w:t>当60≤N＜75分时，评估结果为合格；</w:t>
      </w:r>
    </w:p>
    <w:p>
      <w:pPr>
        <w:pStyle w:val="6"/>
        <w:numPr>
          <w:ilvl w:val="0"/>
          <w:numId w:val="2"/>
        </w:numPr>
        <w:spacing w:line="560" w:lineRule="exact"/>
        <w:ind w:firstLineChars="0"/>
        <w:rPr>
          <w:rFonts w:ascii="仿宋_GB2312" w:hAnsi="仿宋_GB2312" w:eastAsia="仿宋_GB2312" w:cs="仿宋_GB2312"/>
          <w:b/>
          <w:bCs/>
          <w:sz w:val="32"/>
          <w:szCs w:val="32"/>
        </w:rPr>
      </w:pPr>
      <w:r>
        <w:rPr>
          <w:rFonts w:hint="eastAsia" w:ascii="仿宋_GB2312" w:hAnsi="仿宋_GB2312" w:eastAsia="仿宋_GB2312" w:cs="仿宋_GB2312"/>
          <w:sz w:val="32"/>
          <w:szCs w:val="32"/>
        </w:rPr>
        <w:t>当N＜60分时，评估结果为不合格。</w:t>
      </w:r>
    </w:p>
    <w:p>
      <w:pPr>
        <w:spacing w:line="56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第十一条</w:t>
      </w:r>
      <w:r>
        <w:rPr>
          <w:rFonts w:hint="eastAsia" w:ascii="Times New Roman" w:hAnsi="Times New Roman" w:eastAsia="仿宋_GB2312" w:cs="仿宋_GB2312"/>
          <w:sz w:val="32"/>
          <w:szCs w:val="32"/>
        </w:rPr>
        <w:t xml:space="preserve"> 存在下列情况之一的，该项目评估结果为不合格</w:t>
      </w:r>
      <w:r>
        <w:rPr>
          <w:rFonts w:hint="eastAsia" w:ascii="仿宋_GB2312" w:hAnsi="仿宋_GB2312" w:eastAsia="仿宋_GB2312" w:cs="仿宋_GB2312"/>
          <w:sz w:val="32"/>
          <w:szCs w:val="32"/>
        </w:rPr>
        <w:t>：</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（一）提供虚假材料的；</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（二）签订背离合同实质性内容协议的；</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（三）存在与招投标活动相关的其他违法、违规情形。</w:t>
      </w:r>
    </w:p>
    <w:p>
      <w:pPr>
        <w:rPr>
          <w:rFonts w:ascii="宋体" w:hAnsi="宋体" w:cs="宋体"/>
          <w:color w:val="333333"/>
          <w:sz w:val="24"/>
          <w:shd w:val="clear" w:color="auto" w:fill="FFFFFF"/>
        </w:rPr>
      </w:pPr>
      <w:r>
        <w:rPr>
          <w:rStyle w:val="5"/>
          <w:rFonts w:hint="eastAsia" w:ascii="宋体" w:hAnsi="宋体" w:cs="宋体"/>
          <w:color w:val="333333"/>
          <w:sz w:val="24"/>
          <w:shd w:val="clear" w:color="auto" w:fill="FFFFFF"/>
        </w:rPr>
        <w:t xml:space="preserve"> </w:t>
      </w:r>
    </w:p>
    <w:p>
      <w:pPr>
        <w:pStyle w:val="2"/>
        <w:widowControl/>
        <w:spacing w:beforeAutospacing="0" w:after="422" w:afterAutospacing="0" w:line="27" w:lineRule="atLeast"/>
        <w:jc w:val="center"/>
        <w:outlineLvl w:val="0"/>
        <w:rPr>
          <w:rStyle w:val="5"/>
          <w:rFonts w:ascii="黑体" w:hAnsi="黑体" w:eastAsia="黑体" w:cs="黑体"/>
          <w:b w:val="0"/>
          <w:bCs/>
          <w:color w:val="333333"/>
          <w:sz w:val="32"/>
          <w:szCs w:val="32"/>
          <w:shd w:val="clear" w:color="auto" w:fill="FFFFFF"/>
        </w:rPr>
      </w:pPr>
      <w:r>
        <w:rPr>
          <w:rStyle w:val="5"/>
          <w:rFonts w:hint="eastAsia" w:ascii="黑体" w:hAnsi="黑体" w:eastAsia="黑体" w:cs="黑体"/>
          <w:b w:val="0"/>
          <w:bCs/>
          <w:color w:val="333333"/>
          <w:sz w:val="32"/>
          <w:szCs w:val="32"/>
          <w:shd w:val="clear" w:color="auto" w:fill="FFFFFF"/>
        </w:rPr>
        <w:t>第四章 监督管理</w:t>
      </w:r>
    </w:p>
    <w:p>
      <w:pPr>
        <w:spacing w:line="56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第十二条</w:t>
      </w:r>
      <w:r>
        <w:rPr>
          <w:rFonts w:hint="eastAsia" w:ascii="Times New Roman" w:hAnsi="Times New Roman" w:eastAsia="仿宋_GB2312" w:cs="仿宋_GB2312"/>
          <w:sz w:val="32"/>
          <w:szCs w:val="32"/>
        </w:rPr>
        <w:t xml:space="preserve"> 标后评估成果可作为市建设行政主管部门制定招投标政策的重要参考依据。  </w:t>
      </w:r>
    </w:p>
    <w:p>
      <w:pPr>
        <w:spacing w:line="56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第十三条</w:t>
      </w:r>
      <w:r>
        <w:rPr>
          <w:rFonts w:hint="eastAsia" w:ascii="Times New Roman" w:hAnsi="Times New Roman" w:eastAsia="仿宋_GB2312" w:cs="仿宋_GB2312"/>
          <w:sz w:val="32"/>
          <w:szCs w:val="32"/>
        </w:rPr>
        <w:t xml:space="preserve">  市建设行政主管部门可根据有关规定，将标后评估结果纳入招标人、招标代理机构、投标人、评标专家及其他相关人员等招标投标活动责任主体信用体系，</w:t>
      </w:r>
      <w:r>
        <w:rPr>
          <w:rFonts w:hint="eastAsia" w:ascii="仿宋_GB2312" w:hAnsi="仿宋_GB2312" w:eastAsia="仿宋_GB2312" w:cs="仿宋_GB2312"/>
          <w:sz w:val="32"/>
          <w:szCs w:val="32"/>
        </w:rPr>
        <w:t>并计入信用评价得分。</w:t>
      </w:r>
    </w:p>
    <w:p>
      <w:pPr>
        <w:spacing w:line="560" w:lineRule="exact"/>
        <w:ind w:firstLine="643" w:firstLineChars="200"/>
        <w:rPr>
          <w:rFonts w:ascii="仿宋_GB2312" w:hAnsi="仿宋_GB2312" w:eastAsia="仿宋_GB2312" w:cs="仿宋_GB2312"/>
          <w:sz w:val="32"/>
          <w:szCs w:val="32"/>
        </w:rPr>
      </w:pPr>
      <w:r>
        <w:rPr>
          <w:rFonts w:hint="eastAsia" w:ascii="Times New Roman" w:hAnsi="Times New Roman" w:eastAsia="仿宋_GB2312" w:cs="仿宋_GB2312"/>
          <w:b/>
          <w:bCs/>
          <w:sz w:val="32"/>
          <w:szCs w:val="32"/>
        </w:rPr>
        <w:t>第十四条</w:t>
      </w:r>
      <w:r>
        <w:rPr>
          <w:rFonts w:hint="eastAsia" w:ascii="Times New Roman" w:hAnsi="Times New Roman" w:eastAsia="仿宋_GB2312" w:cs="仿宋_GB2312"/>
          <w:sz w:val="32"/>
          <w:szCs w:val="32"/>
        </w:rPr>
        <w:t xml:space="preserve">  有关单位不配合开展标后评估工作的，招投标监督部门可以给予</w:t>
      </w:r>
      <w:r>
        <w:rPr>
          <w:rFonts w:hint="eastAsia" w:ascii="仿宋_GB2312" w:hAnsi="仿宋_GB2312" w:eastAsia="仿宋_GB2312" w:cs="仿宋_GB2312"/>
          <w:sz w:val="32"/>
          <w:szCs w:val="32"/>
        </w:rPr>
        <w:t>限期整改、提醒谈话</w:t>
      </w:r>
      <w:r>
        <w:rPr>
          <w:rFonts w:hint="eastAsia" w:ascii="Times New Roman" w:hAnsi="Times New Roman" w:eastAsia="仿宋_GB2312" w:cs="仿宋_GB2312"/>
          <w:sz w:val="32"/>
          <w:szCs w:val="32"/>
        </w:rPr>
        <w:t>、</w:t>
      </w:r>
      <w:r>
        <w:rPr>
          <w:rFonts w:hint="eastAsia" w:ascii="仿宋_GB2312" w:hAnsi="仿宋_GB2312" w:eastAsia="仿宋_GB2312" w:cs="仿宋_GB2312"/>
          <w:sz w:val="32"/>
          <w:szCs w:val="32"/>
        </w:rPr>
        <w:t>不良行为记录等处理。</w:t>
      </w:r>
    </w:p>
    <w:p>
      <w:pPr>
        <w:spacing w:line="560" w:lineRule="exact"/>
        <w:ind w:firstLine="640"/>
        <w:rPr>
          <w:rFonts w:ascii="Times New Roman" w:hAnsi="Times New Roman" w:eastAsia="仿宋_GB2312" w:cs="仿宋_GB2312"/>
          <w:sz w:val="32"/>
          <w:szCs w:val="32"/>
        </w:rPr>
      </w:pPr>
      <w:r>
        <w:rPr>
          <w:rFonts w:ascii="Times New Roman" w:hAnsi="Times New Roman" w:eastAsia="仿宋_GB2312" w:cs="仿宋_GB2312"/>
          <w:sz w:val="32"/>
          <w:szCs w:val="32"/>
        </w:rPr>
        <w:t>标后评估工作组在评估过程中存在避重就轻、弄虚作假情形的，招投标监督部门应依法追究相应责任。</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对标后评估工作中发现的涉嫌违反《中华人民共和国招标投标法》等有关法律法规的情形，招投标监督部门应依法严肃查处。</w:t>
      </w:r>
    </w:p>
    <w:p>
      <w:pPr>
        <w:spacing w:line="56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第十五条</w:t>
      </w:r>
      <w:r>
        <w:rPr>
          <w:rFonts w:hint="eastAsia" w:ascii="Times New Roman" w:hAnsi="Times New Roman" w:eastAsia="仿宋_GB2312" w:cs="仿宋_GB2312"/>
          <w:sz w:val="32"/>
          <w:szCs w:val="32"/>
        </w:rPr>
        <w:t xml:space="preserve">  本指引由市建设行政主管部门负责解释。</w:t>
      </w:r>
    </w:p>
    <w:p>
      <w:pPr>
        <w:spacing w:line="560" w:lineRule="exact"/>
        <w:ind w:firstLine="643" w:firstLineChars="200"/>
        <w:rPr>
          <w:rFonts w:hint="eastAsia" w:ascii="Times New Roman" w:hAnsi="Times New Roman" w:eastAsia="仿宋_GB2312" w:cs="仿宋_GB2312"/>
          <w:sz w:val="32"/>
          <w:szCs w:val="32"/>
        </w:rPr>
        <w:sectPr>
          <w:pgSz w:w="11906" w:h="16838"/>
          <w:pgMar w:top="1531" w:right="1871" w:bottom="1587" w:left="2041" w:header="851" w:footer="992" w:gutter="0"/>
          <w:cols w:space="720" w:num="1"/>
          <w:docGrid w:type="lines" w:linePitch="312" w:charSpace="0"/>
        </w:sectPr>
      </w:pPr>
      <w:r>
        <w:rPr>
          <w:rFonts w:hint="eastAsia" w:ascii="Times New Roman" w:hAnsi="Times New Roman" w:eastAsia="仿宋_GB2312" w:cs="仿宋_GB2312"/>
          <w:b/>
          <w:bCs/>
          <w:sz w:val="32"/>
          <w:szCs w:val="32"/>
        </w:rPr>
        <w:t>第十六条</w:t>
      </w:r>
      <w:r>
        <w:rPr>
          <w:rFonts w:hint="eastAsia" w:ascii="Times New Roman" w:hAnsi="Times New Roman" w:eastAsia="仿宋_GB2312" w:cs="仿宋_GB2312"/>
          <w:sz w:val="32"/>
          <w:szCs w:val="32"/>
        </w:rPr>
        <w:t xml:space="preserve">  本指引自发布之日起实施。</w:t>
      </w:r>
    </w:p>
    <w:p>
      <w:pPr>
        <w:spacing w:before="156" w:beforeLines="50" w:line="560" w:lineRule="exact"/>
        <w:jc w:val="left"/>
        <w:outlineLvl w:val="0"/>
        <w:rPr>
          <w:rFonts w:ascii="黑体" w:hAnsi="黑体" w:eastAsia="黑体" w:cs="黑体"/>
          <w:bCs/>
          <w:sz w:val="28"/>
          <w:szCs w:val="28"/>
        </w:rPr>
      </w:pPr>
      <w:r>
        <w:rPr>
          <w:rFonts w:hint="eastAsia" w:ascii="黑体" w:hAnsi="黑体" w:eastAsia="黑体" w:cs="黑体"/>
          <w:bCs/>
          <w:sz w:val="28"/>
          <w:szCs w:val="28"/>
        </w:rPr>
        <w:t>附件1：评估标准（参考）</w:t>
      </w:r>
    </w:p>
    <w:p>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工程名称：</w:t>
      </w:r>
    </w:p>
    <w:p>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项目类型：</w:t>
      </w:r>
    </w:p>
    <w:p>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招标人：</w:t>
      </w:r>
    </w:p>
    <w:p>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招标代理机构：</w:t>
      </w:r>
    </w:p>
    <w:p>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招标方式：</w:t>
      </w:r>
    </w:p>
    <w:p>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入围方法：</w:t>
      </w:r>
    </w:p>
    <w:p>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定标方法：</w:t>
      </w:r>
    </w:p>
    <w:p>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中标人：</w:t>
      </w:r>
    </w:p>
    <w:p>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中标时间：</w:t>
      </w:r>
    </w:p>
    <w:p>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项目综合得分：</w:t>
      </w:r>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5"/>
        <w:gridCol w:w="3062"/>
        <w:gridCol w:w="5736"/>
        <w:gridCol w:w="2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655" w:type="dxa"/>
            <w:noWrap w:val="0"/>
            <w:vAlign w:val="top"/>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评估环节</w:t>
            </w:r>
          </w:p>
        </w:tc>
        <w:tc>
          <w:tcPr>
            <w:tcW w:w="3062" w:type="dxa"/>
            <w:noWrap w:val="0"/>
            <w:vAlign w:val="top"/>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评估指标</w:t>
            </w:r>
          </w:p>
        </w:tc>
        <w:tc>
          <w:tcPr>
            <w:tcW w:w="5736" w:type="dxa"/>
            <w:noWrap w:val="0"/>
            <w:vAlign w:val="top"/>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参考评分标准</w:t>
            </w:r>
          </w:p>
        </w:tc>
        <w:tc>
          <w:tcPr>
            <w:tcW w:w="2721" w:type="dxa"/>
            <w:noWrap w:val="0"/>
            <w:vAlign w:val="top"/>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vMerge w:val="restart"/>
            <w:noWrap w:val="0"/>
            <w:vAlign w:val="top"/>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（一）招标公告发布环节（15分）</w:t>
            </w:r>
          </w:p>
        </w:tc>
        <w:tc>
          <w:tcPr>
            <w:tcW w:w="3062" w:type="dxa"/>
            <w:noWrap w:val="0"/>
            <w:vAlign w:val="top"/>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招标备案资料是否齐全（5分）</w:t>
            </w:r>
          </w:p>
        </w:tc>
        <w:tc>
          <w:tcPr>
            <w:tcW w:w="5736" w:type="dxa"/>
            <w:noWrap w:val="0"/>
            <w:vAlign w:val="top"/>
          </w:tcPr>
          <w:p>
            <w:pPr>
              <w:widowControl/>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（1）招标备案资料齐全，得分为5分；</w:t>
            </w:r>
          </w:p>
          <w:p>
            <w:pPr>
              <w:widowControl/>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（2）招标备案资料基本齐全，得分为4-3分；</w:t>
            </w:r>
          </w:p>
          <w:p>
            <w:pPr>
              <w:widowControl/>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（3）招标备案资料不齐全，得分为0-2分。</w:t>
            </w:r>
          </w:p>
        </w:tc>
        <w:tc>
          <w:tcPr>
            <w:tcW w:w="2721" w:type="dxa"/>
            <w:noWrap w:val="0"/>
            <w:vAlign w:val="top"/>
          </w:tcPr>
          <w:p>
            <w:pPr>
              <w:widowControl/>
              <w:jc w:val="center"/>
              <w:textAlignment w:val="center"/>
              <w:rPr>
                <w:rFonts w:ascii="仿宋_GB2312" w:hAnsi="仿宋_GB2312" w:eastAsia="仿宋_GB2312" w:cs="仿宋_GB2312"/>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vMerge w:val="continue"/>
            <w:noWrap w:val="0"/>
            <w:vAlign w:val="top"/>
          </w:tcPr>
          <w:p>
            <w:pPr>
              <w:widowControl/>
              <w:jc w:val="center"/>
              <w:textAlignment w:val="center"/>
              <w:rPr>
                <w:rFonts w:ascii="仿宋_GB2312" w:hAnsi="仿宋_GB2312" w:eastAsia="仿宋_GB2312" w:cs="仿宋_GB2312"/>
                <w:color w:val="000000"/>
                <w:kern w:val="0"/>
                <w:szCs w:val="21"/>
                <w:lang w:bidi="ar"/>
              </w:rPr>
            </w:pPr>
          </w:p>
        </w:tc>
        <w:tc>
          <w:tcPr>
            <w:tcW w:w="3062" w:type="dxa"/>
            <w:noWrap w:val="0"/>
            <w:vAlign w:val="top"/>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资格条件设置</w:t>
            </w:r>
          </w:p>
        </w:tc>
        <w:tc>
          <w:tcPr>
            <w:tcW w:w="5736" w:type="dxa"/>
            <w:noWrap w:val="0"/>
            <w:vAlign w:val="top"/>
          </w:tcPr>
          <w:p>
            <w:pPr>
              <w:widowControl/>
              <w:jc w:val="left"/>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资格条件设置</w:t>
            </w:r>
            <w:r>
              <w:rPr>
                <w:rFonts w:hint="eastAsia" w:ascii="仿宋_GB2312" w:hAnsi="仿宋_GB2312" w:eastAsia="仿宋_GB2312" w:cs="仿宋_GB2312"/>
                <w:color w:val="000000"/>
                <w:kern w:val="0"/>
                <w:szCs w:val="21"/>
                <w:lang w:bidi="ar"/>
              </w:rPr>
              <w:t>不合理，该项目评估意见为不合格。</w:t>
            </w:r>
          </w:p>
        </w:tc>
        <w:tc>
          <w:tcPr>
            <w:tcW w:w="2721" w:type="dxa"/>
            <w:noWrap w:val="0"/>
            <w:vAlign w:val="top"/>
          </w:tcPr>
          <w:p>
            <w:pPr>
              <w:widowControl/>
              <w:jc w:val="center"/>
              <w:textAlignment w:val="center"/>
              <w:rPr>
                <w:rFonts w:ascii="仿宋_GB2312" w:hAnsi="仿宋_GB2312" w:eastAsia="仿宋_GB2312" w:cs="仿宋_GB2312"/>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vMerge w:val="continue"/>
            <w:noWrap w:val="0"/>
            <w:vAlign w:val="top"/>
          </w:tcPr>
          <w:p>
            <w:pPr>
              <w:widowControl/>
              <w:jc w:val="center"/>
              <w:textAlignment w:val="center"/>
              <w:rPr>
                <w:rFonts w:ascii="仿宋_GB2312" w:hAnsi="仿宋_GB2312" w:eastAsia="仿宋_GB2312" w:cs="仿宋_GB2312"/>
                <w:color w:val="000000"/>
                <w:kern w:val="0"/>
                <w:szCs w:val="21"/>
                <w:lang w:bidi="ar"/>
              </w:rPr>
            </w:pPr>
          </w:p>
        </w:tc>
        <w:tc>
          <w:tcPr>
            <w:tcW w:w="3062" w:type="dxa"/>
            <w:noWrap w:val="0"/>
            <w:vAlign w:val="top"/>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招标文件编制（10分）</w:t>
            </w:r>
          </w:p>
        </w:tc>
        <w:tc>
          <w:tcPr>
            <w:tcW w:w="5736" w:type="dxa"/>
            <w:noWrap w:val="0"/>
            <w:vAlign w:val="top"/>
          </w:tcPr>
          <w:p>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（1）招标文件编制合理，得分为6-10分；</w:t>
            </w:r>
          </w:p>
          <w:p>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（2）招标文件编制不合理，得分为0-5分。</w:t>
            </w:r>
          </w:p>
        </w:tc>
        <w:tc>
          <w:tcPr>
            <w:tcW w:w="2721" w:type="dxa"/>
            <w:noWrap w:val="0"/>
            <w:vAlign w:val="top"/>
          </w:tcPr>
          <w:p>
            <w:pPr>
              <w:widowControl/>
              <w:jc w:val="center"/>
              <w:textAlignment w:val="center"/>
              <w:rPr>
                <w:rFonts w:ascii="仿宋_GB2312" w:hAnsi="仿宋_GB2312" w:eastAsia="仿宋_GB2312" w:cs="仿宋_GB2312"/>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vMerge w:val="restart"/>
            <w:noWrap w:val="0"/>
            <w:vAlign w:val="top"/>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（二）开标环节（10分）</w:t>
            </w:r>
          </w:p>
          <w:p>
            <w:pPr>
              <w:widowControl/>
              <w:jc w:val="center"/>
              <w:textAlignment w:val="center"/>
              <w:rPr>
                <w:rFonts w:ascii="仿宋_GB2312" w:hAnsi="仿宋_GB2312" w:eastAsia="仿宋_GB2312" w:cs="仿宋_GB2312"/>
                <w:color w:val="000000"/>
                <w:kern w:val="0"/>
                <w:szCs w:val="21"/>
                <w:lang w:bidi="ar"/>
              </w:rPr>
            </w:pPr>
          </w:p>
        </w:tc>
        <w:tc>
          <w:tcPr>
            <w:tcW w:w="3062" w:type="dxa"/>
            <w:noWrap w:val="0"/>
            <w:vAlign w:val="top"/>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kern w:val="0"/>
                <w:szCs w:val="21"/>
                <w:lang w:bidi="ar"/>
              </w:rPr>
              <w:t>资格审查合规性</w:t>
            </w:r>
          </w:p>
        </w:tc>
        <w:tc>
          <w:tcPr>
            <w:tcW w:w="5736" w:type="dxa"/>
            <w:noWrap w:val="0"/>
            <w:vAlign w:val="top"/>
          </w:tcPr>
          <w:p>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未</w:t>
            </w:r>
            <w:r>
              <w:rPr>
                <w:rFonts w:ascii="仿宋_GB2312" w:hAnsi="仿宋_GB2312" w:eastAsia="仿宋_GB2312" w:cs="仿宋_GB2312"/>
                <w:color w:val="000000"/>
                <w:kern w:val="0"/>
                <w:szCs w:val="21"/>
                <w:lang w:bidi="ar"/>
              </w:rPr>
              <w:t>按招标文件要求进行资格审查</w:t>
            </w:r>
            <w:r>
              <w:rPr>
                <w:rFonts w:hint="eastAsia" w:ascii="仿宋_GB2312" w:hAnsi="仿宋_GB2312" w:eastAsia="仿宋_GB2312" w:cs="仿宋_GB2312"/>
                <w:color w:val="000000"/>
                <w:kern w:val="0"/>
                <w:szCs w:val="21"/>
                <w:lang w:bidi="ar"/>
              </w:rPr>
              <w:t>，该项目评估意见为不合格。</w:t>
            </w:r>
          </w:p>
        </w:tc>
        <w:tc>
          <w:tcPr>
            <w:tcW w:w="2721" w:type="dxa"/>
            <w:noWrap w:val="0"/>
            <w:vAlign w:val="top"/>
          </w:tcPr>
          <w:p>
            <w:pPr>
              <w:widowControl/>
              <w:jc w:val="center"/>
              <w:textAlignment w:val="center"/>
              <w:rPr>
                <w:rFonts w:ascii="仿宋_GB2312" w:hAnsi="仿宋_GB2312" w:eastAsia="仿宋_GB2312" w:cs="仿宋_GB2312"/>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vMerge w:val="continue"/>
            <w:noWrap w:val="0"/>
            <w:vAlign w:val="top"/>
          </w:tcPr>
          <w:p>
            <w:pPr>
              <w:widowControl/>
              <w:jc w:val="center"/>
              <w:textAlignment w:val="center"/>
              <w:rPr>
                <w:rFonts w:ascii="仿宋_GB2312" w:hAnsi="仿宋_GB2312" w:eastAsia="仿宋_GB2312" w:cs="仿宋_GB2312"/>
                <w:color w:val="000000"/>
                <w:kern w:val="0"/>
                <w:szCs w:val="21"/>
                <w:lang w:bidi="ar"/>
              </w:rPr>
            </w:pPr>
          </w:p>
        </w:tc>
        <w:tc>
          <w:tcPr>
            <w:tcW w:w="3062" w:type="dxa"/>
            <w:noWrap w:val="0"/>
            <w:vAlign w:val="top"/>
          </w:tcPr>
          <w:p>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招标文件的投标报价上限，投标人数量，投标人的报价区间分布情况（10分）</w:t>
            </w:r>
          </w:p>
        </w:tc>
        <w:tc>
          <w:tcPr>
            <w:tcW w:w="5736" w:type="dxa"/>
            <w:noWrap w:val="0"/>
            <w:vAlign w:val="top"/>
          </w:tcPr>
          <w:p>
            <w:pPr>
              <w:widowControl/>
              <w:jc w:val="left"/>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将最低</w:t>
            </w:r>
            <w:r>
              <w:rPr>
                <w:rFonts w:hint="eastAsia" w:ascii="仿宋_GB2312" w:hAnsi="仿宋_GB2312" w:eastAsia="仿宋_GB2312" w:cs="仿宋_GB2312"/>
                <w:color w:val="000000"/>
                <w:kern w:val="0"/>
                <w:szCs w:val="21"/>
                <w:lang w:bidi="ar"/>
              </w:rPr>
              <w:t>投标</w:t>
            </w:r>
            <w:r>
              <w:rPr>
                <w:rFonts w:ascii="仿宋_GB2312" w:hAnsi="仿宋_GB2312" w:eastAsia="仿宋_GB2312" w:cs="仿宋_GB2312"/>
                <w:color w:val="000000"/>
                <w:kern w:val="0"/>
                <w:szCs w:val="21"/>
                <w:lang w:bidi="ar"/>
              </w:rPr>
              <w:t>报价</w:t>
            </w:r>
            <w:r>
              <w:rPr>
                <w:rFonts w:hint="eastAsia" w:ascii="仿宋_GB2312" w:hAnsi="仿宋_GB2312" w:eastAsia="仿宋_GB2312" w:cs="仿宋_GB2312"/>
                <w:color w:val="000000"/>
                <w:kern w:val="0"/>
                <w:szCs w:val="21"/>
                <w:lang w:bidi="ar"/>
              </w:rPr>
              <w:t>和</w:t>
            </w:r>
            <w:r>
              <w:rPr>
                <w:rFonts w:ascii="仿宋_GB2312" w:hAnsi="仿宋_GB2312" w:eastAsia="仿宋_GB2312" w:cs="仿宋_GB2312"/>
                <w:color w:val="000000"/>
                <w:kern w:val="0"/>
                <w:szCs w:val="21"/>
                <w:lang w:bidi="ar"/>
              </w:rPr>
              <w:t>投标报价上限从低到高</w:t>
            </w:r>
            <w:r>
              <w:rPr>
                <w:rFonts w:hint="eastAsia" w:ascii="仿宋_GB2312" w:hAnsi="仿宋_GB2312" w:eastAsia="仿宋_GB2312" w:cs="仿宋_GB2312"/>
                <w:color w:val="000000"/>
                <w:kern w:val="0"/>
                <w:szCs w:val="21"/>
                <w:lang w:bidi="ar"/>
              </w:rPr>
              <w:t>等分为若干个区间</w:t>
            </w:r>
            <w:r>
              <w:rPr>
                <w:rFonts w:ascii="仿宋_GB2312" w:hAnsi="仿宋_GB2312" w:eastAsia="仿宋_GB2312" w:cs="仿宋_GB2312"/>
                <w:color w:val="000000"/>
                <w:kern w:val="0"/>
                <w:szCs w:val="21"/>
                <w:lang w:bidi="ar"/>
              </w:rPr>
              <w:t>，判断全部投标人投标报价区间分布情况</w:t>
            </w:r>
            <w:r>
              <w:rPr>
                <w:rFonts w:hint="eastAsia" w:ascii="仿宋_GB2312" w:hAnsi="仿宋_GB2312" w:eastAsia="仿宋_GB2312" w:cs="仿宋_GB2312"/>
                <w:color w:val="000000"/>
                <w:kern w:val="0"/>
                <w:szCs w:val="21"/>
                <w:lang w:bidi="ar"/>
              </w:rPr>
              <w:t>。</w:t>
            </w:r>
          </w:p>
          <w:p>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（1）区间分布合理，得分为6-10分；</w:t>
            </w:r>
          </w:p>
          <w:p>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（2）区间分布不合理，得分为0-5分。</w:t>
            </w:r>
          </w:p>
        </w:tc>
        <w:tc>
          <w:tcPr>
            <w:tcW w:w="2721" w:type="dxa"/>
            <w:noWrap w:val="0"/>
            <w:vAlign w:val="top"/>
          </w:tcPr>
          <w:p>
            <w:pPr>
              <w:widowControl/>
              <w:jc w:val="center"/>
              <w:textAlignment w:val="center"/>
              <w:rPr>
                <w:rFonts w:ascii="仿宋_GB2312" w:hAnsi="仿宋_GB2312" w:eastAsia="仿宋_GB2312" w:cs="仿宋_GB2312"/>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noWrap w:val="0"/>
            <w:vAlign w:val="top"/>
          </w:tcPr>
          <w:p>
            <w:pPr>
              <w:widowControl/>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（三）过多投标人淘汰环节（5分）</w:t>
            </w:r>
          </w:p>
        </w:tc>
        <w:tc>
          <w:tcPr>
            <w:tcW w:w="3062" w:type="dxa"/>
            <w:noWrap w:val="0"/>
            <w:vAlign w:val="top"/>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入围环节按照“竞价择优”的原则进行淘汰工作（5分）</w:t>
            </w:r>
          </w:p>
        </w:tc>
        <w:tc>
          <w:tcPr>
            <w:tcW w:w="5736" w:type="dxa"/>
            <w:noWrap w:val="0"/>
            <w:vAlign w:val="top"/>
          </w:tcPr>
          <w:p>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（1）进入评标环节的投标人比被淘汰投标人的资质更高、业绩更多、综合实力更强、投标报价更低，得分4-5分；</w:t>
            </w:r>
          </w:p>
          <w:p>
            <w:pPr>
              <w:widowControl/>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（2）进入评标环节的投标人比被淘汰投标人的资质更低、业绩更少、综合实力更弱、投标报价更高，得分0-3分。</w:t>
            </w:r>
          </w:p>
          <w:p>
            <w:pPr>
              <w:widowControl/>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注：如评估项目无此环节，得5分。</w:t>
            </w:r>
          </w:p>
        </w:tc>
        <w:tc>
          <w:tcPr>
            <w:tcW w:w="2721" w:type="dxa"/>
            <w:noWrap w:val="0"/>
            <w:vAlign w:val="top"/>
          </w:tcPr>
          <w:p>
            <w:pPr>
              <w:widowControl/>
              <w:jc w:val="center"/>
              <w:textAlignment w:val="center"/>
              <w:rPr>
                <w:rFonts w:ascii="仿宋_GB2312" w:hAnsi="仿宋_GB2312" w:eastAsia="仿宋_GB2312" w:cs="仿宋_GB2312"/>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vMerge w:val="restart"/>
            <w:noWrap w:val="0"/>
            <w:vAlign w:val="top"/>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（四）评标环节（10分）</w:t>
            </w:r>
          </w:p>
          <w:p>
            <w:pPr>
              <w:widowControl/>
              <w:jc w:val="center"/>
              <w:textAlignment w:val="center"/>
              <w:rPr>
                <w:rFonts w:ascii="仿宋_GB2312" w:hAnsi="仿宋_GB2312" w:eastAsia="仿宋_GB2312" w:cs="仿宋_GB2312"/>
                <w:color w:val="000000"/>
                <w:kern w:val="0"/>
                <w:szCs w:val="21"/>
                <w:lang w:bidi="ar"/>
              </w:rPr>
            </w:pPr>
          </w:p>
        </w:tc>
        <w:tc>
          <w:tcPr>
            <w:tcW w:w="3062" w:type="dxa"/>
            <w:noWrap w:val="0"/>
            <w:vAlign w:val="top"/>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评标过程的规范性（10分）</w:t>
            </w:r>
          </w:p>
        </w:tc>
        <w:tc>
          <w:tcPr>
            <w:tcW w:w="5736" w:type="dxa"/>
            <w:noWrap w:val="0"/>
            <w:vAlign w:val="top"/>
          </w:tcPr>
          <w:p>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（1）严格按照招标文件规定的评标办法进行评审，</w:t>
            </w:r>
            <w:r>
              <w:rPr>
                <w:rFonts w:ascii="仿宋_GB2312" w:hAnsi="仿宋_GB2312" w:eastAsia="仿宋_GB2312" w:cs="仿宋_GB2312"/>
                <w:color w:val="000000"/>
                <w:kern w:val="0"/>
                <w:szCs w:val="21"/>
                <w:lang w:bidi="ar"/>
              </w:rPr>
              <w:t>评标委员会</w:t>
            </w:r>
            <w:r>
              <w:rPr>
                <w:rFonts w:hint="eastAsia" w:ascii="仿宋_GB2312" w:hAnsi="仿宋_GB2312" w:eastAsia="仿宋_GB2312" w:cs="仿宋_GB2312"/>
                <w:color w:val="000000"/>
                <w:kern w:val="0"/>
                <w:szCs w:val="21"/>
                <w:lang w:bidi="ar"/>
              </w:rPr>
              <w:t>按规定进行评标工作，得分为</w:t>
            </w:r>
            <w:r>
              <w:rPr>
                <w:rFonts w:ascii="仿宋_GB2312" w:hAnsi="仿宋_GB2312" w:eastAsia="仿宋_GB2312" w:cs="仿宋_GB2312"/>
                <w:color w:val="000000"/>
                <w:kern w:val="0"/>
                <w:szCs w:val="21"/>
                <w:lang w:bidi="ar"/>
              </w:rPr>
              <w:t>6</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color w:val="000000"/>
                <w:kern w:val="0"/>
                <w:szCs w:val="21"/>
                <w:lang w:bidi="ar"/>
              </w:rPr>
              <w:t>10</w:t>
            </w:r>
            <w:r>
              <w:rPr>
                <w:rFonts w:hint="eastAsia" w:ascii="仿宋_GB2312" w:hAnsi="仿宋_GB2312" w:eastAsia="仿宋_GB2312" w:cs="仿宋_GB2312"/>
                <w:color w:val="000000"/>
                <w:kern w:val="0"/>
                <w:szCs w:val="21"/>
                <w:lang w:bidi="ar"/>
              </w:rPr>
              <w:t>分；</w:t>
            </w:r>
          </w:p>
          <w:p>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（2）未严格按照招标文件规定的评标办法进行评审，</w:t>
            </w:r>
            <w:r>
              <w:rPr>
                <w:rFonts w:ascii="仿宋_GB2312" w:hAnsi="仿宋_GB2312" w:eastAsia="仿宋_GB2312" w:cs="仿宋_GB2312"/>
                <w:color w:val="000000"/>
                <w:kern w:val="0"/>
                <w:szCs w:val="21"/>
                <w:lang w:bidi="ar"/>
              </w:rPr>
              <w:t>评标委员会</w:t>
            </w:r>
            <w:r>
              <w:rPr>
                <w:rFonts w:hint="eastAsia" w:ascii="仿宋_GB2312" w:hAnsi="仿宋_GB2312" w:eastAsia="仿宋_GB2312" w:cs="仿宋_GB2312"/>
                <w:color w:val="000000"/>
                <w:kern w:val="0"/>
                <w:szCs w:val="21"/>
                <w:lang w:bidi="ar"/>
              </w:rPr>
              <w:t>未按规定进行评标工作，得分为0-</w:t>
            </w:r>
            <w:r>
              <w:rPr>
                <w:rFonts w:ascii="仿宋_GB2312" w:hAnsi="仿宋_GB2312" w:eastAsia="仿宋_GB2312" w:cs="仿宋_GB2312"/>
                <w:color w:val="000000"/>
                <w:kern w:val="0"/>
                <w:szCs w:val="21"/>
                <w:lang w:bidi="ar"/>
              </w:rPr>
              <w:t>5</w:t>
            </w:r>
            <w:r>
              <w:rPr>
                <w:rFonts w:hint="eastAsia" w:ascii="仿宋_GB2312" w:hAnsi="仿宋_GB2312" w:eastAsia="仿宋_GB2312" w:cs="仿宋_GB2312"/>
                <w:color w:val="000000"/>
                <w:kern w:val="0"/>
                <w:szCs w:val="21"/>
                <w:lang w:bidi="ar"/>
              </w:rPr>
              <w:t>分；</w:t>
            </w:r>
          </w:p>
        </w:tc>
        <w:tc>
          <w:tcPr>
            <w:tcW w:w="2721" w:type="dxa"/>
            <w:noWrap w:val="0"/>
            <w:vAlign w:val="top"/>
          </w:tcPr>
          <w:p>
            <w:pPr>
              <w:widowControl/>
              <w:jc w:val="left"/>
              <w:textAlignment w:val="center"/>
              <w:rPr>
                <w:rFonts w:ascii="仿宋_GB2312" w:hAnsi="仿宋_GB2312" w:eastAsia="仿宋_GB2312" w:cs="仿宋_GB2312"/>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vMerge w:val="continue"/>
            <w:noWrap w:val="0"/>
            <w:vAlign w:val="top"/>
          </w:tcPr>
          <w:p>
            <w:pPr>
              <w:widowControl/>
              <w:jc w:val="center"/>
              <w:textAlignment w:val="center"/>
              <w:rPr>
                <w:rFonts w:ascii="仿宋_GB2312" w:hAnsi="仿宋_GB2312" w:eastAsia="仿宋_GB2312" w:cs="仿宋_GB2312"/>
                <w:color w:val="000000"/>
                <w:kern w:val="0"/>
                <w:szCs w:val="21"/>
                <w:lang w:bidi="ar"/>
              </w:rPr>
            </w:pPr>
          </w:p>
        </w:tc>
        <w:tc>
          <w:tcPr>
            <w:tcW w:w="3062" w:type="dxa"/>
            <w:noWrap w:val="0"/>
            <w:vAlign w:val="top"/>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废标情形</w:t>
            </w:r>
          </w:p>
        </w:tc>
        <w:tc>
          <w:tcPr>
            <w:tcW w:w="5736" w:type="dxa"/>
            <w:noWrap w:val="0"/>
            <w:vAlign w:val="top"/>
          </w:tcPr>
          <w:p>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废标不合理，该项目评估意见为不合格。</w:t>
            </w:r>
          </w:p>
        </w:tc>
        <w:tc>
          <w:tcPr>
            <w:tcW w:w="2721" w:type="dxa"/>
            <w:noWrap w:val="0"/>
            <w:vAlign w:val="top"/>
          </w:tcPr>
          <w:p>
            <w:pPr>
              <w:widowControl/>
              <w:jc w:val="center"/>
              <w:textAlignment w:val="center"/>
              <w:rPr>
                <w:rFonts w:ascii="仿宋_GB2312" w:hAnsi="仿宋_GB2312" w:eastAsia="仿宋_GB2312" w:cs="仿宋_GB2312"/>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vMerge w:val="restart"/>
            <w:noWrap w:val="0"/>
            <w:vAlign w:val="top"/>
          </w:tcPr>
          <w:p>
            <w:pPr>
              <w:widowControl/>
              <w:jc w:val="center"/>
              <w:textAlignment w:val="center"/>
              <w:rPr>
                <w:rFonts w:ascii="仿宋_GB2312" w:hAnsi="仿宋_GB2312" w:eastAsia="仿宋_GB2312" w:cs="仿宋_GB2312"/>
                <w:color w:val="000000"/>
                <w:kern w:val="0"/>
                <w:szCs w:val="21"/>
                <w:lang w:bidi="ar"/>
              </w:rPr>
            </w:pPr>
          </w:p>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（五）清标环节（15分）</w:t>
            </w:r>
          </w:p>
          <w:p>
            <w:pPr>
              <w:widowControl/>
              <w:jc w:val="center"/>
              <w:textAlignment w:val="center"/>
              <w:rPr>
                <w:rFonts w:ascii="仿宋_GB2312" w:hAnsi="仿宋_GB2312" w:eastAsia="仿宋_GB2312" w:cs="仿宋_GB2312"/>
                <w:color w:val="000000"/>
                <w:kern w:val="0"/>
                <w:szCs w:val="21"/>
                <w:lang w:bidi="ar"/>
              </w:rPr>
            </w:pPr>
          </w:p>
        </w:tc>
        <w:tc>
          <w:tcPr>
            <w:tcW w:w="3062" w:type="dxa"/>
            <w:noWrap w:val="0"/>
            <w:vAlign w:val="top"/>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是否提供清标文件，清标工作的合法合规性(10分）</w:t>
            </w:r>
          </w:p>
        </w:tc>
        <w:tc>
          <w:tcPr>
            <w:tcW w:w="5736" w:type="dxa"/>
            <w:noWrap w:val="0"/>
            <w:vAlign w:val="top"/>
          </w:tcPr>
          <w:p>
            <w:pPr>
              <w:widowControl/>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（1）提供清标文件，清标工作合法合规，得分为7-10分；</w:t>
            </w:r>
          </w:p>
          <w:p>
            <w:pPr>
              <w:widowControl/>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（2）提供清标文件，清标工作基本合法合规，得分为4-6分；</w:t>
            </w:r>
          </w:p>
          <w:p>
            <w:pPr>
              <w:widowControl/>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（3）未提供清标文件，出现违法违规行为，得分为0-3分。</w:t>
            </w:r>
          </w:p>
        </w:tc>
        <w:tc>
          <w:tcPr>
            <w:tcW w:w="2721" w:type="dxa"/>
            <w:noWrap w:val="0"/>
            <w:vAlign w:val="top"/>
          </w:tcPr>
          <w:p>
            <w:pPr>
              <w:widowControl/>
              <w:jc w:val="center"/>
              <w:textAlignment w:val="center"/>
              <w:rPr>
                <w:rFonts w:ascii="仿宋_GB2312" w:hAnsi="仿宋_GB2312" w:eastAsia="仿宋_GB2312" w:cs="仿宋_GB2312"/>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vMerge w:val="continue"/>
            <w:noWrap w:val="0"/>
            <w:vAlign w:val="top"/>
          </w:tcPr>
          <w:p>
            <w:pPr>
              <w:widowControl/>
              <w:jc w:val="center"/>
              <w:textAlignment w:val="center"/>
              <w:rPr>
                <w:rFonts w:ascii="仿宋_GB2312" w:hAnsi="仿宋_GB2312" w:eastAsia="仿宋_GB2312" w:cs="仿宋_GB2312"/>
                <w:color w:val="000000"/>
                <w:kern w:val="0"/>
                <w:szCs w:val="21"/>
                <w:lang w:bidi="ar"/>
              </w:rPr>
            </w:pPr>
          </w:p>
        </w:tc>
        <w:tc>
          <w:tcPr>
            <w:tcW w:w="3062" w:type="dxa"/>
            <w:noWrap w:val="0"/>
            <w:vAlign w:val="top"/>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清标工作汇总分析的合理性，是否对定标工作起到了重要的辅助作用（清标制度是否建立）（5分）</w:t>
            </w:r>
          </w:p>
        </w:tc>
        <w:tc>
          <w:tcPr>
            <w:tcW w:w="5736" w:type="dxa"/>
            <w:noWrap w:val="0"/>
            <w:vAlign w:val="top"/>
          </w:tcPr>
          <w:p>
            <w:pPr>
              <w:widowControl/>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（1）清标工作全部完成投标人及拟派项目负责人进行考察、质询，投标文件或方案进行澄清与复核，对项目后期可能遇到的风险和问题进行评估等工作，得分为</w:t>
            </w:r>
            <w:r>
              <w:rPr>
                <w:rFonts w:ascii="仿宋_GB2312" w:hAnsi="仿宋_GB2312" w:eastAsia="仿宋_GB2312" w:cs="仿宋_GB2312"/>
                <w:color w:val="000000"/>
                <w:kern w:val="0"/>
                <w:szCs w:val="21"/>
                <w:lang w:bidi="ar"/>
              </w:rPr>
              <w:t>4</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color w:val="000000"/>
                <w:kern w:val="0"/>
                <w:szCs w:val="21"/>
                <w:lang w:bidi="ar"/>
              </w:rPr>
              <w:t>5</w:t>
            </w:r>
            <w:r>
              <w:rPr>
                <w:rFonts w:hint="eastAsia" w:ascii="仿宋_GB2312" w:hAnsi="仿宋_GB2312" w:eastAsia="仿宋_GB2312" w:cs="仿宋_GB2312"/>
                <w:color w:val="000000"/>
                <w:kern w:val="0"/>
                <w:szCs w:val="21"/>
                <w:lang w:bidi="ar"/>
              </w:rPr>
              <w:t>分；</w:t>
            </w:r>
          </w:p>
          <w:p>
            <w:pPr>
              <w:widowControl/>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（2）清标工作基本完成，得分为</w:t>
            </w:r>
            <w:r>
              <w:rPr>
                <w:rFonts w:ascii="仿宋_GB2312" w:hAnsi="仿宋_GB2312" w:eastAsia="仿宋_GB2312" w:cs="仿宋_GB2312"/>
                <w:color w:val="000000"/>
                <w:kern w:val="0"/>
                <w:szCs w:val="21"/>
                <w:lang w:bidi="ar"/>
              </w:rPr>
              <w:t>2</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color w:val="000000"/>
                <w:kern w:val="0"/>
                <w:szCs w:val="21"/>
                <w:lang w:bidi="ar"/>
              </w:rPr>
              <w:t>3</w:t>
            </w:r>
            <w:r>
              <w:rPr>
                <w:rFonts w:hint="eastAsia" w:ascii="仿宋_GB2312" w:hAnsi="仿宋_GB2312" w:eastAsia="仿宋_GB2312" w:cs="仿宋_GB2312"/>
                <w:color w:val="000000"/>
                <w:kern w:val="0"/>
                <w:szCs w:val="21"/>
                <w:lang w:bidi="ar"/>
              </w:rPr>
              <w:t>分；</w:t>
            </w:r>
          </w:p>
          <w:p>
            <w:pPr>
              <w:widowControl/>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（3）清标工作未完成，得分为0-</w:t>
            </w:r>
            <w:r>
              <w:rPr>
                <w:rFonts w:ascii="仿宋_GB2312" w:hAnsi="仿宋_GB2312" w:eastAsia="仿宋_GB2312" w:cs="仿宋_GB2312"/>
                <w:color w:val="000000"/>
                <w:kern w:val="0"/>
                <w:szCs w:val="21"/>
                <w:lang w:bidi="ar"/>
              </w:rPr>
              <w:t>1</w:t>
            </w:r>
            <w:r>
              <w:rPr>
                <w:rFonts w:hint="eastAsia" w:ascii="仿宋_GB2312" w:hAnsi="仿宋_GB2312" w:eastAsia="仿宋_GB2312" w:cs="仿宋_GB2312"/>
                <w:color w:val="000000"/>
                <w:kern w:val="0"/>
                <w:szCs w:val="21"/>
                <w:lang w:bidi="ar"/>
              </w:rPr>
              <w:t>分。</w:t>
            </w:r>
          </w:p>
        </w:tc>
        <w:tc>
          <w:tcPr>
            <w:tcW w:w="2721" w:type="dxa"/>
            <w:noWrap w:val="0"/>
            <w:vAlign w:val="top"/>
          </w:tcPr>
          <w:p>
            <w:pPr>
              <w:widowControl/>
              <w:jc w:val="center"/>
              <w:textAlignment w:val="center"/>
              <w:rPr>
                <w:rFonts w:ascii="仿宋_GB2312" w:hAnsi="仿宋_GB2312" w:eastAsia="仿宋_GB2312" w:cs="仿宋_GB2312"/>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vMerge w:val="continue"/>
            <w:noWrap w:val="0"/>
            <w:vAlign w:val="top"/>
          </w:tcPr>
          <w:p>
            <w:pPr>
              <w:widowControl/>
              <w:jc w:val="center"/>
              <w:textAlignment w:val="center"/>
              <w:rPr>
                <w:rFonts w:ascii="仿宋_GB2312" w:hAnsi="仿宋_GB2312" w:eastAsia="仿宋_GB2312" w:cs="仿宋_GB2312"/>
                <w:color w:val="000000"/>
                <w:kern w:val="0"/>
                <w:szCs w:val="21"/>
                <w:lang w:bidi="ar"/>
              </w:rPr>
            </w:pPr>
          </w:p>
        </w:tc>
        <w:tc>
          <w:tcPr>
            <w:tcW w:w="3062" w:type="dxa"/>
            <w:noWrap w:val="0"/>
            <w:vAlign w:val="top"/>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清标报告中是否有明示或暗示中标单位的内容</w:t>
            </w:r>
          </w:p>
        </w:tc>
        <w:tc>
          <w:tcPr>
            <w:tcW w:w="5736" w:type="dxa"/>
            <w:noWrap w:val="0"/>
            <w:vAlign w:val="top"/>
          </w:tcPr>
          <w:p>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清标报告有明示或暗示中标单位的内容，该项目评估意见为不合格。</w:t>
            </w:r>
          </w:p>
        </w:tc>
        <w:tc>
          <w:tcPr>
            <w:tcW w:w="2721" w:type="dxa"/>
            <w:noWrap w:val="0"/>
            <w:vAlign w:val="top"/>
          </w:tcPr>
          <w:p>
            <w:pPr>
              <w:widowControl/>
              <w:jc w:val="center"/>
              <w:textAlignment w:val="center"/>
              <w:rPr>
                <w:rFonts w:ascii="仿宋_GB2312" w:hAnsi="仿宋_GB2312" w:eastAsia="仿宋_GB2312" w:cs="仿宋_GB2312"/>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vMerge w:val="restart"/>
            <w:noWrap w:val="0"/>
            <w:vAlign w:val="top"/>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（六）定标环节（20分）</w:t>
            </w:r>
          </w:p>
        </w:tc>
        <w:tc>
          <w:tcPr>
            <w:tcW w:w="3062" w:type="dxa"/>
            <w:noWrap w:val="0"/>
            <w:vAlign w:val="top"/>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在招标公告发布前，招标人是否结合项目实际，根据定标工作规则，制定项目定标方案，并报招标人内设（或上级）的纪检监察机构（或督查机构）备案（5分）</w:t>
            </w:r>
          </w:p>
        </w:tc>
        <w:tc>
          <w:tcPr>
            <w:tcW w:w="5736" w:type="dxa"/>
            <w:noWrap w:val="0"/>
            <w:vAlign w:val="top"/>
          </w:tcPr>
          <w:p>
            <w:pPr>
              <w:widowControl/>
              <w:numPr>
                <w:ilvl w:val="0"/>
                <w:numId w:val="3"/>
              </w:numP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根据备案的定标规则制定项目的定标方案，得分为4-5分；</w:t>
            </w:r>
          </w:p>
          <w:p>
            <w:pPr>
              <w:widowControl/>
              <w:numPr>
                <w:ilvl w:val="0"/>
                <w:numId w:val="3"/>
              </w:numP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未根据备案的定标规则制定项目的定标方案，得分为0-3分。</w:t>
            </w:r>
          </w:p>
        </w:tc>
        <w:tc>
          <w:tcPr>
            <w:tcW w:w="2721" w:type="dxa"/>
            <w:noWrap w:val="0"/>
            <w:vAlign w:val="top"/>
          </w:tcPr>
          <w:p>
            <w:pPr>
              <w:widowControl/>
              <w:jc w:val="center"/>
              <w:textAlignment w:val="center"/>
              <w:rPr>
                <w:rFonts w:ascii="仿宋_GB2312" w:hAnsi="仿宋_GB2312" w:eastAsia="仿宋_GB2312" w:cs="仿宋_GB2312"/>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vMerge w:val="continue"/>
            <w:noWrap w:val="0"/>
            <w:vAlign w:val="top"/>
          </w:tcPr>
          <w:p>
            <w:pPr>
              <w:widowControl/>
              <w:jc w:val="center"/>
              <w:textAlignment w:val="center"/>
              <w:rPr>
                <w:rFonts w:ascii="仿宋_GB2312" w:hAnsi="仿宋_GB2312" w:eastAsia="仿宋_GB2312" w:cs="仿宋_GB2312"/>
                <w:color w:val="000000"/>
                <w:kern w:val="0"/>
                <w:szCs w:val="21"/>
                <w:lang w:bidi="ar"/>
              </w:rPr>
            </w:pPr>
          </w:p>
        </w:tc>
        <w:tc>
          <w:tcPr>
            <w:tcW w:w="3062" w:type="dxa"/>
            <w:noWrap w:val="0"/>
            <w:vAlign w:val="top"/>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定标时是否严格遵守定标方案，未临时改变规则（5分）</w:t>
            </w:r>
          </w:p>
        </w:tc>
        <w:tc>
          <w:tcPr>
            <w:tcW w:w="5736" w:type="dxa"/>
            <w:noWrap w:val="0"/>
            <w:vAlign w:val="top"/>
          </w:tcPr>
          <w:p>
            <w:pPr>
              <w:widowControl/>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（1）定标时严格遵守定标方案，得分为5分；</w:t>
            </w:r>
          </w:p>
          <w:p>
            <w:pPr>
              <w:widowControl/>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（2）定标时未遵守定标方案，得分为0分。</w:t>
            </w:r>
          </w:p>
        </w:tc>
        <w:tc>
          <w:tcPr>
            <w:tcW w:w="2721" w:type="dxa"/>
            <w:noWrap w:val="0"/>
            <w:vAlign w:val="top"/>
          </w:tcPr>
          <w:p>
            <w:pPr>
              <w:widowControl/>
              <w:jc w:val="center"/>
              <w:textAlignment w:val="center"/>
              <w:rPr>
                <w:rFonts w:ascii="仿宋_GB2312" w:hAnsi="仿宋_GB2312" w:eastAsia="仿宋_GB2312" w:cs="仿宋_GB2312"/>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vMerge w:val="continue"/>
            <w:noWrap w:val="0"/>
            <w:vAlign w:val="top"/>
          </w:tcPr>
          <w:p>
            <w:pPr>
              <w:widowControl/>
              <w:jc w:val="center"/>
              <w:textAlignment w:val="center"/>
              <w:rPr>
                <w:rFonts w:ascii="仿宋_GB2312" w:hAnsi="仿宋_GB2312" w:eastAsia="仿宋_GB2312" w:cs="仿宋_GB2312"/>
                <w:color w:val="000000"/>
                <w:kern w:val="0"/>
                <w:szCs w:val="21"/>
                <w:lang w:bidi="ar"/>
              </w:rPr>
            </w:pPr>
          </w:p>
        </w:tc>
        <w:tc>
          <w:tcPr>
            <w:tcW w:w="3062" w:type="dxa"/>
            <w:noWrap w:val="0"/>
            <w:vAlign w:val="top"/>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定标方案是否对清标内容、定标工作细则、择优要素及竞价方法等内容予以明确（5分）</w:t>
            </w:r>
          </w:p>
        </w:tc>
        <w:tc>
          <w:tcPr>
            <w:tcW w:w="5736" w:type="dxa"/>
            <w:noWrap w:val="0"/>
            <w:vAlign w:val="top"/>
          </w:tcPr>
          <w:p>
            <w:pPr>
              <w:widowControl/>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（1）定标方案各项内容齐全并明确，得分为4-5分；</w:t>
            </w:r>
          </w:p>
          <w:p>
            <w:pPr>
              <w:widowControl/>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（2）定标方案各项内容基本齐全并明确，得分为2-3分；</w:t>
            </w:r>
          </w:p>
          <w:p>
            <w:pPr>
              <w:widowControl/>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（3）定标方案各项内容不齐全、不明确，得分为0-1分。</w:t>
            </w:r>
          </w:p>
        </w:tc>
        <w:tc>
          <w:tcPr>
            <w:tcW w:w="2721" w:type="dxa"/>
            <w:noWrap w:val="0"/>
            <w:vAlign w:val="top"/>
          </w:tcPr>
          <w:p>
            <w:pPr>
              <w:widowControl/>
              <w:jc w:val="center"/>
              <w:textAlignment w:val="center"/>
              <w:rPr>
                <w:rFonts w:ascii="仿宋_GB2312" w:hAnsi="仿宋_GB2312" w:eastAsia="仿宋_GB2312" w:cs="仿宋_GB2312"/>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vMerge w:val="continue"/>
            <w:noWrap w:val="0"/>
            <w:vAlign w:val="top"/>
          </w:tcPr>
          <w:p>
            <w:pPr>
              <w:widowControl/>
              <w:jc w:val="center"/>
              <w:textAlignment w:val="center"/>
              <w:rPr>
                <w:rFonts w:ascii="仿宋_GB2312" w:hAnsi="仿宋_GB2312" w:eastAsia="仿宋_GB2312" w:cs="仿宋_GB2312"/>
                <w:color w:val="000000"/>
                <w:kern w:val="0"/>
                <w:szCs w:val="21"/>
                <w:lang w:bidi="ar"/>
              </w:rPr>
            </w:pPr>
          </w:p>
        </w:tc>
        <w:tc>
          <w:tcPr>
            <w:tcW w:w="3062" w:type="dxa"/>
            <w:noWrap w:val="0"/>
            <w:vAlign w:val="top"/>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中标人（或进入票决抽签环节的投标人）是否比未中标的（或未进入票决抽签环节）投标人综合实力更强（5分）</w:t>
            </w:r>
          </w:p>
        </w:tc>
        <w:tc>
          <w:tcPr>
            <w:tcW w:w="5736" w:type="dxa"/>
            <w:noWrap w:val="0"/>
            <w:vAlign w:val="top"/>
          </w:tcPr>
          <w:p>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（1）综合分析中标人（或进入票决抽签环节的投标人）比未中标（或未进入票决抽签环节）投标人的信誉、履约能力、投标报价、评标结果等优点相对更多，得分4-5分；</w:t>
            </w:r>
          </w:p>
          <w:p>
            <w:pPr>
              <w:widowControl/>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（2）上述内容中具备2-3项，得分2-3分；</w:t>
            </w:r>
          </w:p>
          <w:p>
            <w:pPr>
              <w:widowControl/>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（3）上述内容中具备1-2项，得分0-1分。</w:t>
            </w:r>
          </w:p>
        </w:tc>
        <w:tc>
          <w:tcPr>
            <w:tcW w:w="2721" w:type="dxa"/>
            <w:noWrap w:val="0"/>
            <w:vAlign w:val="top"/>
          </w:tcPr>
          <w:p>
            <w:pPr>
              <w:widowControl/>
              <w:jc w:val="center"/>
              <w:textAlignment w:val="center"/>
              <w:rPr>
                <w:rFonts w:ascii="仿宋_GB2312" w:hAnsi="仿宋_GB2312" w:eastAsia="仿宋_GB2312" w:cs="仿宋_GB2312"/>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vMerge w:val="restart"/>
            <w:noWrap w:val="0"/>
            <w:vAlign w:val="top"/>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（七）中标人综合实力</w:t>
            </w:r>
          </w:p>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w:t>
            </w:r>
            <w:r>
              <w:rPr>
                <w:rFonts w:ascii="仿宋_GB2312" w:hAnsi="仿宋_GB2312" w:eastAsia="仿宋_GB2312" w:cs="仿宋_GB2312"/>
                <w:color w:val="000000"/>
                <w:kern w:val="0"/>
                <w:szCs w:val="21"/>
                <w:lang w:bidi="ar"/>
              </w:rPr>
              <w:t>0</w:t>
            </w:r>
            <w:r>
              <w:rPr>
                <w:rFonts w:hint="eastAsia" w:ascii="仿宋_GB2312" w:hAnsi="仿宋_GB2312" w:eastAsia="仿宋_GB2312" w:cs="仿宋_GB2312"/>
                <w:color w:val="000000"/>
                <w:kern w:val="0"/>
                <w:szCs w:val="21"/>
                <w:lang w:bidi="ar"/>
              </w:rPr>
              <w:t>分）</w:t>
            </w:r>
          </w:p>
        </w:tc>
        <w:tc>
          <w:tcPr>
            <w:tcW w:w="3062" w:type="dxa"/>
            <w:noWrap w:val="0"/>
            <w:vAlign w:val="top"/>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中标人注册人员数量、信用情况、综合排名情况（5分）</w:t>
            </w:r>
          </w:p>
        </w:tc>
        <w:tc>
          <w:tcPr>
            <w:tcW w:w="5736" w:type="dxa"/>
            <w:noWrap w:val="0"/>
            <w:vAlign w:val="top"/>
          </w:tcPr>
          <w:p>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（1）中标人人员构成更为合理、信用情况优良、综合实力强，得分为4-5分；</w:t>
            </w:r>
          </w:p>
          <w:p>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（2）中标人人员构成不合理、信用情况较差、综合实力较差，得分为0-3分。</w:t>
            </w:r>
          </w:p>
        </w:tc>
        <w:tc>
          <w:tcPr>
            <w:tcW w:w="2721" w:type="dxa"/>
            <w:noWrap w:val="0"/>
            <w:vAlign w:val="top"/>
          </w:tcPr>
          <w:p>
            <w:pPr>
              <w:widowControl/>
              <w:jc w:val="center"/>
              <w:textAlignment w:val="center"/>
              <w:rPr>
                <w:rFonts w:ascii="仿宋_GB2312" w:hAnsi="仿宋_GB2312" w:eastAsia="仿宋_GB2312" w:cs="仿宋_GB2312"/>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vMerge w:val="continue"/>
            <w:noWrap w:val="0"/>
            <w:vAlign w:val="top"/>
          </w:tcPr>
          <w:p>
            <w:pPr>
              <w:widowControl/>
              <w:jc w:val="center"/>
              <w:textAlignment w:val="center"/>
              <w:rPr>
                <w:rFonts w:ascii="仿宋_GB2312" w:hAnsi="仿宋_GB2312" w:eastAsia="仿宋_GB2312" w:cs="仿宋_GB2312"/>
                <w:color w:val="000000"/>
                <w:kern w:val="0"/>
                <w:szCs w:val="21"/>
                <w:lang w:bidi="ar"/>
              </w:rPr>
            </w:pPr>
          </w:p>
        </w:tc>
        <w:tc>
          <w:tcPr>
            <w:tcW w:w="3062" w:type="dxa"/>
            <w:noWrap w:val="0"/>
            <w:vAlign w:val="top"/>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合同履约评价（5分）</w:t>
            </w:r>
          </w:p>
        </w:tc>
        <w:tc>
          <w:tcPr>
            <w:tcW w:w="5736" w:type="dxa"/>
            <w:noWrap w:val="0"/>
            <w:vAlign w:val="top"/>
          </w:tcPr>
          <w:p>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kern w:val="0"/>
                <w:szCs w:val="21"/>
                <w:lang w:bidi="ar"/>
              </w:rPr>
              <w:t>（1）履约评价情况较好，</w:t>
            </w:r>
            <w:r>
              <w:rPr>
                <w:rFonts w:hint="eastAsia" w:ascii="仿宋_GB2312" w:hAnsi="仿宋_GB2312" w:eastAsia="仿宋_GB2312" w:cs="仿宋_GB2312"/>
                <w:color w:val="000000"/>
                <w:kern w:val="0"/>
                <w:szCs w:val="21"/>
                <w:lang w:bidi="ar"/>
              </w:rPr>
              <w:t>得分为4-5分；</w:t>
            </w:r>
          </w:p>
          <w:p>
            <w:pPr>
              <w:widowControl/>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kern w:val="0"/>
                <w:szCs w:val="21"/>
                <w:lang w:bidi="ar"/>
              </w:rPr>
              <w:t>（2）履约评价情况合格，</w:t>
            </w:r>
            <w:r>
              <w:rPr>
                <w:rFonts w:hint="eastAsia" w:ascii="仿宋_GB2312" w:hAnsi="仿宋_GB2312" w:eastAsia="仿宋_GB2312" w:cs="仿宋_GB2312"/>
                <w:color w:val="000000"/>
                <w:kern w:val="0"/>
                <w:szCs w:val="21"/>
                <w:lang w:bidi="ar"/>
              </w:rPr>
              <w:t>得分为2-3分；</w:t>
            </w:r>
          </w:p>
          <w:p>
            <w:pPr>
              <w:widowControl/>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w:t>
            </w:r>
            <w:r>
              <w:rPr>
                <w:rFonts w:hint="eastAsia" w:ascii="仿宋_GB2312" w:hAnsi="仿宋_GB2312" w:eastAsia="仿宋_GB2312" w:cs="仿宋_GB2312"/>
                <w:kern w:val="0"/>
                <w:szCs w:val="21"/>
                <w:lang w:bidi="ar"/>
              </w:rPr>
              <w:t>履约评价情况不合格，</w:t>
            </w:r>
            <w:r>
              <w:rPr>
                <w:rFonts w:hint="eastAsia" w:ascii="仿宋_GB2312" w:hAnsi="仿宋_GB2312" w:eastAsia="仿宋_GB2312" w:cs="仿宋_GB2312"/>
                <w:color w:val="000000"/>
                <w:kern w:val="0"/>
                <w:szCs w:val="21"/>
                <w:lang w:bidi="ar"/>
              </w:rPr>
              <w:t>得分为0-1分。</w:t>
            </w:r>
          </w:p>
        </w:tc>
        <w:tc>
          <w:tcPr>
            <w:tcW w:w="2721" w:type="dxa"/>
            <w:noWrap w:val="0"/>
            <w:vAlign w:val="top"/>
          </w:tcPr>
          <w:p>
            <w:pPr>
              <w:widowControl/>
              <w:jc w:val="center"/>
              <w:textAlignment w:val="center"/>
              <w:rPr>
                <w:rFonts w:ascii="仿宋_GB2312" w:hAnsi="仿宋_GB2312" w:eastAsia="仿宋_GB2312" w:cs="仿宋_GB2312"/>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vMerge w:val="restart"/>
            <w:noWrap w:val="0"/>
            <w:vAlign w:val="top"/>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（八）异常情况</w:t>
            </w:r>
          </w:p>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w:t>
            </w:r>
            <w:r>
              <w:rPr>
                <w:rFonts w:ascii="仿宋_GB2312" w:hAnsi="仿宋_GB2312" w:eastAsia="仿宋_GB2312" w:cs="仿宋_GB2312"/>
                <w:color w:val="000000"/>
                <w:kern w:val="0"/>
                <w:szCs w:val="21"/>
                <w:lang w:bidi="ar"/>
              </w:rPr>
              <w:t>5</w:t>
            </w:r>
            <w:r>
              <w:rPr>
                <w:rFonts w:hint="eastAsia" w:ascii="仿宋_GB2312" w:hAnsi="仿宋_GB2312" w:eastAsia="仿宋_GB2312" w:cs="仿宋_GB2312"/>
                <w:color w:val="000000"/>
                <w:kern w:val="0"/>
                <w:szCs w:val="21"/>
                <w:lang w:bidi="ar"/>
              </w:rPr>
              <w:t>分）</w:t>
            </w:r>
          </w:p>
        </w:tc>
        <w:tc>
          <w:tcPr>
            <w:tcW w:w="3062" w:type="dxa"/>
            <w:noWrap w:val="0"/>
            <w:vAlign w:val="top"/>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异议投诉处理情况（</w:t>
            </w:r>
            <w:r>
              <w:rPr>
                <w:rFonts w:ascii="仿宋_GB2312" w:hAnsi="仿宋_GB2312" w:eastAsia="仿宋_GB2312" w:cs="仿宋_GB2312"/>
                <w:color w:val="000000"/>
                <w:kern w:val="0"/>
                <w:szCs w:val="21"/>
                <w:lang w:bidi="ar"/>
              </w:rPr>
              <w:t>10</w:t>
            </w:r>
            <w:r>
              <w:rPr>
                <w:rFonts w:hint="eastAsia" w:ascii="仿宋_GB2312" w:hAnsi="仿宋_GB2312" w:eastAsia="仿宋_GB2312" w:cs="仿宋_GB2312"/>
                <w:color w:val="000000"/>
                <w:kern w:val="0"/>
                <w:szCs w:val="21"/>
                <w:lang w:bidi="ar"/>
              </w:rPr>
              <w:t>分）</w:t>
            </w:r>
          </w:p>
        </w:tc>
        <w:tc>
          <w:tcPr>
            <w:tcW w:w="5736" w:type="dxa"/>
            <w:noWrap w:val="0"/>
            <w:vAlign w:val="top"/>
          </w:tcPr>
          <w:p>
            <w:pPr>
              <w:widowControl/>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（1）异议处理合理，未出现投诉情况，得</w:t>
            </w:r>
            <w:r>
              <w:rPr>
                <w:rFonts w:ascii="仿宋_GB2312" w:hAnsi="仿宋_GB2312" w:eastAsia="仿宋_GB2312" w:cs="仿宋_GB2312"/>
                <w:color w:val="000000"/>
                <w:kern w:val="0"/>
                <w:szCs w:val="21"/>
                <w:lang w:bidi="ar"/>
              </w:rPr>
              <w:t>10</w:t>
            </w:r>
            <w:r>
              <w:rPr>
                <w:rFonts w:hint="eastAsia" w:ascii="仿宋_GB2312" w:hAnsi="仿宋_GB2312" w:eastAsia="仿宋_GB2312" w:cs="仿宋_GB2312"/>
                <w:color w:val="000000"/>
                <w:kern w:val="0"/>
                <w:szCs w:val="21"/>
                <w:lang w:bidi="ar"/>
              </w:rPr>
              <w:t>分；</w:t>
            </w:r>
          </w:p>
          <w:p>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（2）异议处理不合理，出现投诉情况，投诉无效，得</w:t>
            </w:r>
            <w:r>
              <w:rPr>
                <w:rFonts w:ascii="仿宋_GB2312" w:hAnsi="仿宋_GB2312" w:eastAsia="仿宋_GB2312" w:cs="仿宋_GB2312"/>
                <w:color w:val="000000"/>
                <w:kern w:val="0"/>
                <w:szCs w:val="21"/>
                <w:lang w:bidi="ar"/>
              </w:rPr>
              <w:t>5</w:t>
            </w:r>
            <w:r>
              <w:rPr>
                <w:rFonts w:hint="eastAsia" w:ascii="仿宋_GB2312" w:hAnsi="仿宋_GB2312" w:eastAsia="仿宋_GB2312" w:cs="仿宋_GB2312"/>
                <w:color w:val="000000"/>
                <w:kern w:val="0"/>
                <w:szCs w:val="21"/>
                <w:lang w:bidi="ar"/>
              </w:rPr>
              <w:t>分；</w:t>
            </w:r>
          </w:p>
          <w:p>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w:t>
            </w:r>
            <w:r>
              <w:rPr>
                <w:rFonts w:ascii="仿宋_GB2312" w:hAnsi="仿宋_GB2312" w:eastAsia="仿宋_GB2312" w:cs="仿宋_GB2312"/>
                <w:color w:val="000000"/>
                <w:kern w:val="0"/>
                <w:szCs w:val="21"/>
                <w:lang w:bidi="ar"/>
              </w:rPr>
              <w:t>3）</w:t>
            </w:r>
            <w:r>
              <w:rPr>
                <w:rFonts w:hint="eastAsia" w:ascii="仿宋_GB2312" w:hAnsi="仿宋_GB2312" w:eastAsia="仿宋_GB2312" w:cs="仿宋_GB2312"/>
                <w:color w:val="000000"/>
                <w:kern w:val="0"/>
                <w:szCs w:val="21"/>
                <w:lang w:bidi="ar"/>
              </w:rPr>
              <w:t>异议处理不合理，出现投诉情况，投诉成立，该项目评估意见为不合格。</w:t>
            </w:r>
          </w:p>
        </w:tc>
        <w:tc>
          <w:tcPr>
            <w:tcW w:w="2721" w:type="dxa"/>
            <w:noWrap w:val="0"/>
            <w:vAlign w:val="top"/>
          </w:tcPr>
          <w:p>
            <w:pPr>
              <w:widowControl/>
              <w:jc w:val="center"/>
              <w:textAlignment w:val="center"/>
              <w:rPr>
                <w:rFonts w:ascii="仿宋_GB2312" w:hAnsi="仿宋_GB2312" w:eastAsia="仿宋_GB2312" w:cs="仿宋_GB2312"/>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vMerge w:val="continue"/>
            <w:noWrap w:val="0"/>
            <w:vAlign w:val="top"/>
          </w:tcPr>
          <w:p>
            <w:pPr>
              <w:widowControl/>
              <w:jc w:val="center"/>
              <w:textAlignment w:val="center"/>
              <w:rPr>
                <w:rFonts w:ascii="仿宋_GB2312" w:hAnsi="仿宋_GB2312" w:eastAsia="仿宋_GB2312" w:cs="仿宋_GB2312"/>
                <w:color w:val="000000"/>
                <w:kern w:val="0"/>
                <w:szCs w:val="21"/>
                <w:lang w:bidi="ar"/>
              </w:rPr>
            </w:pPr>
          </w:p>
        </w:tc>
        <w:tc>
          <w:tcPr>
            <w:tcW w:w="3062" w:type="dxa"/>
            <w:noWrap w:val="0"/>
            <w:vAlign w:val="top"/>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kern w:val="0"/>
                <w:szCs w:val="21"/>
                <w:lang w:bidi="ar"/>
              </w:rPr>
              <w:t>与中标人签订的合同</w:t>
            </w:r>
            <w:r>
              <w:rPr>
                <w:rFonts w:hint="eastAsia" w:ascii="仿宋_GB2312" w:hAnsi="仿宋_GB2312" w:eastAsia="仿宋_GB2312" w:cs="仿宋_GB2312"/>
                <w:color w:val="000000"/>
                <w:kern w:val="0"/>
                <w:szCs w:val="21"/>
                <w:lang w:bidi="ar"/>
              </w:rPr>
              <w:t>（5分）</w:t>
            </w:r>
          </w:p>
        </w:tc>
        <w:tc>
          <w:tcPr>
            <w:tcW w:w="5736" w:type="dxa"/>
            <w:noWrap w:val="0"/>
            <w:vAlign w:val="top"/>
          </w:tcPr>
          <w:p>
            <w:pPr>
              <w:widowControl/>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（1）招标人与中标人签订的合同未背离招标文件实质性内容的，得分为5分；</w:t>
            </w:r>
          </w:p>
          <w:p>
            <w:pPr>
              <w:widowControl/>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kern w:val="0"/>
                <w:szCs w:val="21"/>
                <w:lang w:bidi="ar"/>
              </w:rPr>
              <w:t>（2）</w:t>
            </w:r>
            <w:r>
              <w:rPr>
                <w:rFonts w:ascii="仿宋_GB2312" w:hAnsi="仿宋_GB2312" w:eastAsia="仿宋_GB2312" w:cs="仿宋_GB2312"/>
                <w:kern w:val="0"/>
                <w:szCs w:val="21"/>
                <w:lang w:bidi="ar"/>
              </w:rPr>
              <w:t>招标人</w:t>
            </w:r>
            <w:r>
              <w:rPr>
                <w:rFonts w:hint="eastAsia" w:ascii="仿宋_GB2312" w:hAnsi="仿宋_GB2312" w:eastAsia="仿宋_GB2312" w:cs="仿宋_GB2312"/>
                <w:kern w:val="0"/>
                <w:szCs w:val="21"/>
                <w:lang w:bidi="ar"/>
              </w:rPr>
              <w:t>与中标人签订的合同背离招标文件实质性内容的，得分为0分。</w:t>
            </w:r>
          </w:p>
        </w:tc>
        <w:tc>
          <w:tcPr>
            <w:tcW w:w="2721" w:type="dxa"/>
            <w:noWrap w:val="0"/>
            <w:vAlign w:val="top"/>
          </w:tcPr>
          <w:p>
            <w:pPr>
              <w:widowControl/>
              <w:jc w:val="center"/>
              <w:textAlignment w:val="center"/>
              <w:rPr>
                <w:rFonts w:ascii="仿宋_GB2312" w:hAnsi="仿宋_GB2312" w:eastAsia="仿宋_GB2312" w:cs="仿宋_GB2312"/>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4" w:hRule="atLeast"/>
        </w:trPr>
        <w:tc>
          <w:tcPr>
            <w:tcW w:w="14174" w:type="dxa"/>
            <w:gridSpan w:val="4"/>
            <w:noWrap w:val="0"/>
            <w:vAlign w:val="top"/>
          </w:tcPr>
          <w:p>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项目总体评价：</w:t>
            </w:r>
          </w:p>
          <w:p>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（可另附页，评估总体意见以及分别对招标过程的合法合规性、招标结果是否实现竞价择优、招标资料的完整性等完成情况作出具体评价）</w:t>
            </w: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left"/>
              <w:textAlignment w:val="center"/>
              <w:rPr>
                <w:rFonts w:ascii="仿宋_GB2312" w:hAnsi="仿宋_GB2312" w:eastAsia="仿宋_GB2312" w:cs="仿宋_GB2312"/>
                <w:color w:val="000000"/>
                <w:kern w:val="0"/>
                <w:szCs w:val="21"/>
                <w:lang w:bidi="ar"/>
              </w:rPr>
            </w:pPr>
          </w:p>
          <w:p>
            <w:pPr>
              <w:widowControl/>
              <w:jc w:val="center"/>
              <w:textAlignment w:val="center"/>
              <w:rPr>
                <w:rFonts w:ascii="仿宋_GB2312" w:hAnsi="仿宋_GB2312" w:eastAsia="仿宋_GB2312" w:cs="仿宋_GB2312"/>
                <w:color w:val="000000"/>
                <w:kern w:val="0"/>
                <w:szCs w:val="21"/>
                <w:lang w:bidi="ar"/>
              </w:rPr>
            </w:pPr>
          </w:p>
        </w:tc>
      </w:tr>
    </w:tbl>
    <w:p>
      <w:pPr>
        <w:widowControl/>
        <w:jc w:val="left"/>
        <w:textAlignment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注：标后评估工作中，具体评估标准可基于此表进行调整（评估环节为固定项，评估指标及分值可根据项目实际情况进行修改，总分为100分）</w:t>
      </w:r>
    </w:p>
    <w:p/>
    <w:p>
      <w:pPr>
        <w:tabs>
          <w:tab w:val="left" w:pos="12814"/>
        </w:tabs>
        <w:jc w:val="left"/>
        <w:sectPr>
          <w:pgSz w:w="16838" w:h="11906" w:orient="landscape"/>
          <w:pgMar w:top="2041" w:right="1531" w:bottom="1871" w:left="1587" w:header="851" w:footer="992" w:gutter="0"/>
          <w:cols w:space="720" w:num="1"/>
          <w:docGrid w:type="lines" w:linePitch="312" w:charSpace="0"/>
        </w:sectPr>
      </w:pPr>
    </w:p>
    <w:p>
      <w:pPr>
        <w:spacing w:before="156" w:beforeLines="50" w:line="560" w:lineRule="exact"/>
        <w:jc w:val="left"/>
        <w:outlineLvl w:val="0"/>
        <w:rPr>
          <w:rFonts w:ascii="黑体" w:hAnsi="黑体" w:eastAsia="黑体" w:cs="黑体"/>
          <w:bCs/>
          <w:sz w:val="28"/>
          <w:szCs w:val="28"/>
        </w:rPr>
      </w:pPr>
      <w:r>
        <w:rPr>
          <w:rFonts w:hint="eastAsia" w:ascii="黑体" w:hAnsi="黑体" w:eastAsia="黑体" w:cs="黑体"/>
          <w:bCs/>
          <w:sz w:val="28"/>
          <w:szCs w:val="28"/>
        </w:rPr>
        <w:t>附件2：评估报告文本格式（参考）</w:t>
      </w:r>
    </w:p>
    <w:p>
      <w:pPr>
        <w:jc w:val="left"/>
      </w:pPr>
    </w:p>
    <w:p>
      <w:pPr>
        <w:jc w:val="left"/>
      </w:pPr>
    </w:p>
    <w:p>
      <w:pPr>
        <w:jc w:val="left"/>
      </w:pPr>
    </w:p>
    <w:p>
      <w:pPr>
        <w:jc w:val="left"/>
      </w:pPr>
    </w:p>
    <w:p>
      <w:pPr>
        <w:jc w:val="left"/>
      </w:pPr>
    </w:p>
    <w:p>
      <w:pPr>
        <w:jc w:val="left"/>
      </w:pPr>
    </w:p>
    <w:p>
      <w:pPr>
        <w:jc w:val="left"/>
      </w:pPr>
    </w:p>
    <w:p>
      <w:pPr>
        <w:ind w:firstLine="1320" w:firstLineChars="300"/>
        <w:rPr>
          <w:rFonts w:ascii="黑体" w:hAnsi="黑体" w:eastAsia="黑体" w:cs="黑体"/>
          <w:sz w:val="44"/>
          <w:szCs w:val="44"/>
        </w:rPr>
      </w:pPr>
      <w:r>
        <w:rPr>
          <w:rFonts w:hint="eastAsia" w:ascii="黑体" w:hAnsi="黑体" w:eastAsia="黑体" w:cs="黑体"/>
          <w:sz w:val="44"/>
          <w:szCs w:val="44"/>
          <w:u w:val="single"/>
        </w:rPr>
        <w:t xml:space="preserve">                    （年度项目）</w:t>
      </w:r>
    </w:p>
    <w:p>
      <w:pPr>
        <w:ind w:firstLine="3080" w:firstLineChars="700"/>
        <w:rPr>
          <w:rFonts w:ascii="黑体" w:hAnsi="黑体" w:eastAsia="黑体" w:cs="黑体"/>
          <w:sz w:val="44"/>
          <w:szCs w:val="44"/>
        </w:rPr>
      </w:pPr>
      <w:r>
        <w:rPr>
          <w:rFonts w:hint="eastAsia" w:ascii="黑体" w:hAnsi="黑体" w:eastAsia="黑体" w:cs="黑体"/>
          <w:sz w:val="44"/>
          <w:szCs w:val="44"/>
        </w:rPr>
        <w:t>标后评估报告</w:t>
      </w:r>
    </w:p>
    <w:p>
      <w:pPr>
        <w:ind w:firstLine="3080" w:firstLineChars="700"/>
        <w:rPr>
          <w:rFonts w:ascii="黑体" w:hAnsi="黑体" w:eastAsia="黑体" w:cs="黑体"/>
          <w:sz w:val="44"/>
          <w:szCs w:val="44"/>
        </w:rPr>
      </w:pPr>
    </w:p>
    <w:p>
      <w:pPr>
        <w:ind w:firstLine="3080" w:firstLineChars="700"/>
        <w:rPr>
          <w:rFonts w:ascii="黑体" w:hAnsi="黑体" w:eastAsia="黑体" w:cs="黑体"/>
          <w:sz w:val="44"/>
          <w:szCs w:val="44"/>
        </w:rPr>
      </w:pPr>
    </w:p>
    <w:p>
      <w:pPr>
        <w:ind w:firstLine="3080" w:firstLineChars="700"/>
        <w:rPr>
          <w:rFonts w:ascii="黑体" w:hAnsi="黑体" w:eastAsia="黑体" w:cs="黑体"/>
          <w:sz w:val="44"/>
          <w:szCs w:val="44"/>
        </w:rPr>
      </w:pPr>
    </w:p>
    <w:p>
      <w:pPr>
        <w:ind w:firstLine="3080" w:firstLineChars="700"/>
        <w:rPr>
          <w:rFonts w:ascii="黑体" w:hAnsi="黑体" w:eastAsia="黑体" w:cs="黑体"/>
          <w:sz w:val="44"/>
          <w:szCs w:val="44"/>
        </w:rPr>
      </w:pPr>
    </w:p>
    <w:p>
      <w:pPr>
        <w:ind w:firstLine="3080" w:firstLineChars="700"/>
        <w:rPr>
          <w:rFonts w:ascii="黑体" w:hAnsi="黑体" w:eastAsia="黑体" w:cs="黑体"/>
          <w:sz w:val="44"/>
          <w:szCs w:val="44"/>
        </w:rPr>
      </w:pPr>
    </w:p>
    <w:p>
      <w:pPr>
        <w:ind w:firstLine="3080" w:firstLineChars="700"/>
        <w:rPr>
          <w:rFonts w:ascii="黑体" w:hAnsi="黑体" w:eastAsia="黑体" w:cs="黑体"/>
          <w:sz w:val="44"/>
          <w:szCs w:val="44"/>
        </w:rPr>
      </w:pPr>
    </w:p>
    <w:p>
      <w:pPr>
        <w:rPr>
          <w:rFonts w:ascii="黑体" w:hAnsi="黑体" w:eastAsia="黑体" w:cs="黑体"/>
          <w:sz w:val="44"/>
          <w:szCs w:val="44"/>
        </w:rPr>
      </w:pPr>
    </w:p>
    <w:p>
      <w:pPr>
        <w:ind w:firstLine="3080" w:firstLineChars="700"/>
        <w:rPr>
          <w:rFonts w:ascii="黑体" w:hAnsi="黑体" w:eastAsia="黑体" w:cs="黑体"/>
          <w:sz w:val="44"/>
          <w:szCs w:val="44"/>
        </w:rPr>
      </w:pPr>
    </w:p>
    <w:p>
      <w:pPr>
        <w:ind w:firstLine="3080" w:firstLineChars="700"/>
        <w:rPr>
          <w:rFonts w:ascii="黑体" w:hAnsi="黑体" w:eastAsia="黑体" w:cs="黑体"/>
          <w:sz w:val="44"/>
          <w:szCs w:val="44"/>
        </w:rPr>
      </w:pPr>
    </w:p>
    <w:p>
      <w:pPr>
        <w:ind w:firstLine="3080" w:firstLineChars="700"/>
        <w:rPr>
          <w:rFonts w:ascii="黑体" w:hAnsi="黑体" w:eastAsia="黑体" w:cs="黑体"/>
          <w:sz w:val="44"/>
          <w:szCs w:val="44"/>
        </w:rPr>
      </w:pPr>
    </w:p>
    <w:p>
      <w:pPr>
        <w:ind w:firstLine="2520" w:firstLineChars="700"/>
        <w:rPr>
          <w:rFonts w:ascii="黑体" w:hAnsi="黑体" w:eastAsia="黑体" w:cs="黑体"/>
          <w:sz w:val="36"/>
          <w:szCs w:val="36"/>
        </w:rPr>
      </w:pPr>
      <w:r>
        <w:rPr>
          <w:rFonts w:hint="eastAsia" w:ascii="黑体" w:hAnsi="黑体" w:eastAsia="黑体" w:cs="黑体"/>
          <w:sz w:val="36"/>
          <w:szCs w:val="36"/>
        </w:rPr>
        <w:t>编制单位：</w:t>
      </w:r>
      <w:r>
        <w:rPr>
          <w:rFonts w:hint="eastAsia" w:ascii="黑体" w:hAnsi="黑体" w:eastAsia="黑体" w:cs="黑体"/>
          <w:sz w:val="36"/>
          <w:szCs w:val="36"/>
          <w:u w:val="single"/>
        </w:rPr>
        <w:t xml:space="preserve">           </w:t>
      </w:r>
    </w:p>
    <w:p>
      <w:pPr>
        <w:rPr>
          <w:rFonts w:ascii="黑体" w:hAnsi="黑体" w:eastAsia="黑体" w:cs="黑体"/>
          <w:sz w:val="36"/>
          <w:szCs w:val="36"/>
        </w:rPr>
      </w:pPr>
      <w:r>
        <w:rPr>
          <w:rFonts w:hint="eastAsia" w:ascii="黑体" w:hAnsi="黑体" w:eastAsia="黑体" w:cs="黑体"/>
          <w:sz w:val="44"/>
          <w:szCs w:val="44"/>
        </w:rPr>
        <w:t xml:space="preserve">       </w:t>
      </w:r>
      <w:r>
        <w:rPr>
          <w:rFonts w:hint="eastAsia" w:ascii="黑体" w:hAnsi="黑体" w:eastAsia="黑体" w:cs="黑体"/>
          <w:sz w:val="36"/>
          <w:szCs w:val="36"/>
        </w:rPr>
        <w:t xml:space="preserve">        </w:t>
      </w:r>
      <w:r>
        <w:rPr>
          <w:rFonts w:hint="eastAsia" w:ascii="黑体" w:hAnsi="黑体" w:eastAsia="黑体" w:cs="黑体"/>
          <w:sz w:val="36"/>
          <w:szCs w:val="36"/>
          <w:u w:val="single"/>
        </w:rPr>
        <w:t xml:space="preserve">      </w:t>
      </w:r>
      <w:r>
        <w:rPr>
          <w:rFonts w:hint="eastAsia" w:ascii="黑体" w:hAnsi="黑体" w:eastAsia="黑体" w:cs="黑体"/>
          <w:sz w:val="36"/>
          <w:szCs w:val="36"/>
        </w:rPr>
        <w:t>年</w:t>
      </w:r>
      <w:r>
        <w:rPr>
          <w:rFonts w:hint="eastAsia" w:ascii="黑体" w:hAnsi="黑体" w:eastAsia="黑体" w:cs="黑体"/>
          <w:sz w:val="36"/>
          <w:szCs w:val="36"/>
          <w:u w:val="single"/>
        </w:rPr>
        <w:t xml:space="preserve">    </w:t>
      </w:r>
      <w:r>
        <w:rPr>
          <w:rFonts w:hint="eastAsia" w:ascii="黑体" w:hAnsi="黑体" w:eastAsia="黑体" w:cs="黑体"/>
          <w:sz w:val="36"/>
          <w:szCs w:val="36"/>
        </w:rPr>
        <w:t>月</w:t>
      </w:r>
    </w:p>
    <w:p>
      <w:pPr>
        <w:ind w:firstLine="3080" w:firstLineChars="700"/>
        <w:rPr>
          <w:rFonts w:ascii="黑体" w:hAnsi="黑体" w:eastAsia="黑体" w:cs="黑体"/>
          <w:sz w:val="44"/>
          <w:szCs w:val="44"/>
        </w:rPr>
        <w:sectPr>
          <w:pgSz w:w="11906" w:h="16838"/>
          <w:pgMar w:top="2041" w:right="1531" w:bottom="1871" w:left="1587" w:header="851" w:footer="992" w:gutter="0"/>
          <w:cols w:space="720" w:num="1"/>
          <w:docGrid w:type="lines" w:linePitch="312" w:charSpace="0"/>
        </w:sectPr>
      </w:pPr>
    </w:p>
    <w:p>
      <w:pPr>
        <w:ind w:firstLine="3080" w:firstLineChars="700"/>
        <w:rPr>
          <w:rFonts w:ascii="黑体" w:hAnsi="黑体" w:eastAsia="黑体" w:cs="黑体"/>
          <w:sz w:val="44"/>
          <w:szCs w:val="44"/>
        </w:rPr>
      </w:pPr>
    </w:p>
    <w:p>
      <w:pPr>
        <w:ind w:firstLine="560" w:firstLineChars="200"/>
        <w:rPr>
          <w:rFonts w:hint="eastAsia" w:ascii="黑体" w:hAnsi="黑体" w:eastAsia="黑体" w:cs="黑体"/>
          <w:sz w:val="28"/>
          <w:szCs w:val="28"/>
        </w:rPr>
      </w:pPr>
      <w:r>
        <w:rPr>
          <w:rFonts w:hint="eastAsia" w:ascii="黑体" w:hAnsi="黑体" w:eastAsia="黑体" w:cs="黑体"/>
          <w:sz w:val="28"/>
          <w:szCs w:val="28"/>
        </w:rPr>
        <w:t>目录</w:t>
      </w:r>
    </w:p>
    <w:p>
      <w:pPr>
        <w:ind w:firstLine="560" w:firstLineChars="200"/>
        <w:rPr>
          <w:rFonts w:hint="eastAsia" w:ascii="黑体" w:hAnsi="黑体" w:eastAsia="黑体" w:cs="黑体"/>
          <w:sz w:val="28"/>
          <w:szCs w:val="28"/>
        </w:rPr>
      </w:pPr>
      <w:r>
        <w:rPr>
          <w:rFonts w:hint="eastAsia" w:ascii="黑体" w:hAnsi="黑体" w:eastAsia="黑体" w:cs="黑体"/>
          <w:sz w:val="28"/>
          <w:szCs w:val="28"/>
        </w:rPr>
        <w:t>报告摘要</w:t>
      </w:r>
    </w:p>
    <w:p>
      <w:pPr>
        <w:ind w:firstLine="560" w:firstLineChars="200"/>
        <w:rPr>
          <w:rFonts w:hint="eastAsia" w:ascii="黑体" w:hAnsi="黑体" w:eastAsia="黑体" w:cs="黑体"/>
          <w:sz w:val="28"/>
          <w:szCs w:val="28"/>
        </w:rPr>
      </w:pPr>
      <w:r>
        <w:rPr>
          <w:rFonts w:hint="eastAsia" w:ascii="黑体" w:hAnsi="黑体" w:eastAsia="黑体" w:cs="黑体"/>
          <w:sz w:val="28"/>
          <w:szCs w:val="28"/>
        </w:rPr>
        <w:t>一、概况</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概述评估项目的筛选标准、评估项目数量及类型、评估依据及目的、评估工作开展流程等。</w:t>
      </w:r>
    </w:p>
    <w:p>
      <w:pPr>
        <w:ind w:firstLine="560" w:firstLineChars="200"/>
        <w:rPr>
          <w:rFonts w:hint="eastAsia" w:ascii="黑体" w:hAnsi="黑体" w:eastAsia="黑体" w:cs="黑体"/>
          <w:sz w:val="28"/>
          <w:szCs w:val="28"/>
        </w:rPr>
      </w:pPr>
      <w:r>
        <w:rPr>
          <w:rFonts w:hint="eastAsia" w:ascii="黑体" w:hAnsi="黑体" w:eastAsia="黑体" w:cs="黑体"/>
          <w:sz w:val="28"/>
          <w:szCs w:val="28"/>
        </w:rPr>
        <w:t>二、评估内容</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1.依据本指引第三章的有关要求确定评估标准，并对评估标准作相应解释说明</w:t>
      </w:r>
    </w:p>
    <w:p>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2.根据评估标准对各项目开展评估工作，并进行汇总分析</w:t>
      </w:r>
    </w:p>
    <w:p>
      <w:pPr>
        <w:ind w:firstLine="560" w:firstLineChars="200"/>
        <w:rPr>
          <w:rFonts w:hint="eastAsia" w:ascii="黑体" w:hAnsi="黑体" w:eastAsia="黑体" w:cs="黑体"/>
          <w:sz w:val="28"/>
          <w:szCs w:val="28"/>
        </w:rPr>
      </w:pPr>
      <w:r>
        <w:rPr>
          <w:rFonts w:hint="eastAsia" w:ascii="黑体" w:hAnsi="黑体" w:eastAsia="黑体" w:cs="黑体"/>
          <w:sz w:val="28"/>
          <w:szCs w:val="28"/>
        </w:rPr>
        <w:t>三、评估结论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1.总体评估结论</w:t>
      </w:r>
    </w:p>
    <w:p>
      <w:pPr>
        <w:widowControl/>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2.存在的问题及原因分析</w:t>
      </w:r>
    </w:p>
    <w:p>
      <w:pPr>
        <w:ind w:firstLine="560" w:firstLineChars="200"/>
        <w:rPr>
          <w:rFonts w:hint="eastAsia" w:ascii="黑体" w:hAnsi="黑体" w:eastAsia="黑体" w:cs="黑体"/>
          <w:sz w:val="28"/>
          <w:szCs w:val="28"/>
        </w:rPr>
      </w:pPr>
      <w:r>
        <w:rPr>
          <w:rFonts w:hint="eastAsia" w:ascii="黑体" w:hAnsi="黑体" w:eastAsia="黑体" w:cs="黑体"/>
          <w:sz w:val="28"/>
          <w:szCs w:val="28"/>
        </w:rPr>
        <w:t>四、改进措施及合理化建议</w:t>
      </w:r>
    </w:p>
    <w:p>
      <w:pPr>
        <w:widowControl/>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对存在问题的改进措施及合理化建议</w:t>
      </w:r>
    </w:p>
    <w:p>
      <w:pPr>
        <w:widowControl/>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1.评估人员名单</w:t>
      </w:r>
    </w:p>
    <w:p>
      <w:pPr>
        <w:tabs>
          <w:tab w:val="left" w:pos="12814"/>
        </w:tabs>
        <w:jc w:val="left"/>
        <w:rPr>
          <w:rFonts w:ascii="宋体" w:hAnsi="宋体" w:cs="宋体"/>
          <w:b/>
          <w:bCs/>
          <w:color w:val="000000"/>
          <w:sz w:val="32"/>
          <w:szCs w:val="32"/>
        </w:rPr>
      </w:pPr>
      <w:r>
        <w:rPr>
          <w:rFonts w:hint="eastAsia" w:ascii="仿宋_GB2312" w:hAnsi="仿宋_GB2312" w:eastAsia="仿宋_GB2312" w:cs="仿宋_GB2312"/>
          <w:sz w:val="28"/>
          <w:szCs w:val="28"/>
        </w:rPr>
        <w:t xml:space="preserve">    2.项目评估相关资料</w:t>
      </w:r>
      <w:r>
        <w:rPr>
          <w:rFonts w:hint="eastAsia"/>
        </w:rPr>
        <w:tab/>
      </w:r>
    </w:p>
    <w:p/>
    <w:p/>
    <w:p/>
    <w:p/>
    <w:p/>
    <w:p>
      <w:pPr>
        <w:pBdr>
          <w:top w:val="single" w:color="auto" w:sz="4" w:space="0"/>
          <w:bottom w:val="single" w:color="auto" w:sz="4" w:space="0"/>
        </w:pBdr>
        <w:snapToGrid w:val="0"/>
        <w:ind w:firstLine="280" w:firstLineChars="100"/>
      </w:pPr>
      <w:bookmarkStart w:id="0" w:name="OLE_LINK2"/>
      <w:bookmarkStart w:id="1" w:name="OLE_LINK1"/>
      <w:r>
        <w:rPr>
          <w:rFonts w:hint="eastAsia" w:ascii="仿宋_GB2312" w:eastAsia="仿宋_GB2312"/>
          <w:sz w:val="28"/>
          <w:szCs w:val="28"/>
        </w:rPr>
        <w:t>深圳市住房和建设局办公室              2021年12月31日印发</w:t>
      </w:r>
      <w:bookmarkEnd w:id="0"/>
      <w:bookmarkEnd w:id="1"/>
    </w:p>
    <w:sectPr>
      <w:pgSz w:w="11906" w:h="16838"/>
      <w:pgMar w:top="2041" w:right="1531"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615F1"/>
    <w:multiLevelType w:val="multilevel"/>
    <w:tmpl w:val="37A615F1"/>
    <w:lvl w:ilvl="0" w:tentative="0">
      <w:start w:val="1"/>
      <w:numFmt w:val="japaneseCounting"/>
      <w:lvlText w:val="（%1）"/>
      <w:lvlJc w:val="left"/>
      <w:pPr>
        <w:ind w:left="1720" w:hanging="1080"/>
      </w:pPr>
      <w:rPr>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3ADE0E2C"/>
    <w:multiLevelType w:val="singleLevel"/>
    <w:tmpl w:val="3ADE0E2C"/>
    <w:lvl w:ilvl="0" w:tentative="0">
      <w:start w:val="3"/>
      <w:numFmt w:val="chineseCounting"/>
      <w:suff w:val="space"/>
      <w:lvlText w:val="第%1章"/>
      <w:lvlJc w:val="left"/>
      <w:rPr>
        <w:rFonts w:hint="eastAsia"/>
      </w:rPr>
    </w:lvl>
  </w:abstractNum>
  <w:abstractNum w:abstractNumId="2">
    <w:nsid w:val="7692B410"/>
    <w:multiLevelType w:val="singleLevel"/>
    <w:tmpl w:val="7692B410"/>
    <w:lvl w:ilvl="0" w:tentative="0">
      <w:start w:val="1"/>
      <w:numFmt w:val="decimal"/>
      <w:suff w:val="nothing"/>
      <w:lvlText w:val="（%1）"/>
      <w:lvlJc w:val="left"/>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A455F0"/>
    <w:rsid w:val="0DA455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paragraph" w:styleId="6">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2022-01-18T03:35:00Z</dcterms:created>
  <dc:creator>蒋岩</dc:creator>
  <cp:lastModifiedBy>蒋岩</cp:lastModifiedBy>
  <dcterms:modified xsi:type="dcterms:W3CDTF">2022-01-18T03:36:32Z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