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仿宋_GB2312" w:eastAsia="仿宋_GB2312" w:cs="仿宋_GB2312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spacing w:line="300" w:lineRule="auto"/>
        <w:jc w:val="center"/>
        <w:rPr>
          <w:rFonts w:ascii="宋体" w:hAnsi="宋体" w:cs="宋体"/>
          <w:b/>
          <w:bCs/>
          <w:color w:val="000000" w:themeColor="text1"/>
          <w:spacing w:val="1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1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宋体" w:hAnsi="宋体" w:cs="宋体"/>
          <w:b/>
          <w:bCs/>
          <w:color w:val="000000" w:themeColor="text1"/>
          <w:spacing w:val="15"/>
          <w:sz w:val="44"/>
          <w:szCs w:val="44"/>
          <w14:textFill>
            <w14:solidFill>
              <w14:schemeClr w14:val="tx1"/>
            </w14:solidFill>
          </w14:textFill>
        </w:rPr>
        <w:t>核查细则及核查用表</w:t>
      </w:r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一、目的和依据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为规范建设工程质量检测活动，根据《建设工程质量检测管理办法》(中华人民共和国建设部令第141号)、《广东省建设工程质量检测机构资质条件细则》，结合本市实际制定本核查细则。</w:t>
      </w:r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二、适用范围</w:t>
      </w:r>
    </w:p>
    <w:p>
      <w:pPr>
        <w:widowControl/>
        <w:wordWrap w:val="0"/>
        <w:spacing w:line="540" w:lineRule="atLeast"/>
        <w:ind w:firstLine="648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在本市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范围内以下事项，适用本细则：</w:t>
      </w:r>
    </w:p>
    <w:p>
      <w:pPr>
        <w:widowControl/>
        <w:numPr>
          <w:ilvl w:val="0"/>
          <w:numId w:val="1"/>
        </w:numPr>
        <w:wordWrap w:val="0"/>
        <w:spacing w:line="540" w:lineRule="atLeast"/>
        <w:ind w:firstLine="648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建设工程质量检测机构资质的新申请、增项、升级、延续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等资质核准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numPr>
          <w:ilvl w:val="0"/>
          <w:numId w:val="0"/>
        </w:numPr>
        <w:wordWrap w:val="0"/>
        <w:spacing w:line="54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实施检测机构的资质动态核查及专项检查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三、管理部门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市建设行政主管部门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负责组织、监督全市建设工程质量检测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机构的资质申请、资质动态核查及专项检查工作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四、所覆盖的检测项目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本细则所覆盖的核查项目按照《建设工程质量检测管理办法》（中华人民共和国建设部令第141号）的相关规定制定，包括以下检测类别：</w:t>
      </w:r>
    </w:p>
    <w:p>
      <w:pPr>
        <w:widowControl/>
        <w:wordWrap w:val="0"/>
        <w:spacing w:line="540" w:lineRule="atLeast"/>
        <w:ind w:left="564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见证取样检测；</w:t>
      </w:r>
    </w:p>
    <w:p>
      <w:pPr>
        <w:widowControl/>
        <w:wordWrap w:val="0"/>
        <w:spacing w:line="540" w:lineRule="atLeast"/>
        <w:ind w:left="590" w:firstLine="4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1.建筑材料检测；</w:t>
      </w:r>
    </w:p>
    <w:p>
      <w:pPr>
        <w:widowControl/>
        <w:wordWrap w:val="0"/>
        <w:spacing w:line="540" w:lineRule="atLeast"/>
        <w:ind w:left="590" w:firstLine="4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2.土工及沥青检测。</w:t>
      </w:r>
    </w:p>
    <w:p>
      <w:pPr>
        <w:widowControl/>
        <w:wordWrap w:val="0"/>
        <w:spacing w:line="540" w:lineRule="atLeast"/>
        <w:ind w:left="564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（二）专项检测：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1.地基基础工程检测；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2.主体结构工程现场检测；</w:t>
      </w:r>
    </w:p>
    <w:p>
      <w:pPr>
        <w:widowControl/>
        <w:wordWrap w:val="0"/>
        <w:spacing w:line="540" w:lineRule="atLeast"/>
        <w:ind w:firstLine="648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3.钢结构工程检测；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4.建筑幕墙工程检测。</w:t>
      </w:r>
      <w:bookmarkStart w:id="0" w:name="_GoBack"/>
      <w:bookmarkEnd w:id="0"/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五、资质核查实施要点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1.核查表参照检测资质核准项目分类，共列六大类，每大类分别按检测方法（参数）分若干核查表。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2.实施现场资质核查前，应组成核查组，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核查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组组长对被核查检测机构提交的申报材料进行审查。主要审查内容如下：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（1）所申报的检测项目是否清晰明确；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（2）所提供的计量认证文件是否符合要求；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（3）所提供申报项目的从业人员资料是否符合要求；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（4）所提供检测项目的相应设施配置资料是否符合要求；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（5）近年参加能力验证的相关文件或说明是否符合要求。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审查应填写《检测机构资质许可申请材料书面审查意见表》，通过审查后方可实施现场核查，不通过审查的退回申请。</w:t>
      </w:r>
    </w:p>
    <w:p>
      <w:pPr>
        <w:widowControl/>
        <w:numPr>
          <w:ilvl w:val="0"/>
          <w:numId w:val="0"/>
        </w:numPr>
        <w:wordWrap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3.核查时，按被核查检测机构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的资质逐项核查。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核查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人员应随机抽取相应检测项目的资料，经检测机构相关人员确认后，按核查记录要求内容逐项核查并记录。检测机构相关人员应主动配合，提供检测工作台账、记录、报告等资料。资质核查资料按被核查检测机构组册，每册按大类分卷，形成完整的核查结果，所查实事项资料应留取有效的复印件。</w:t>
      </w:r>
    </w:p>
    <w:p>
      <w:pPr>
        <w:widowControl/>
        <w:numPr>
          <w:ilvl w:val="0"/>
          <w:numId w:val="0"/>
        </w:numPr>
        <w:wordWrap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核查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组人员与被核查检测机构应在在核查记录表相应栏目签名确认。对相关方面未予签字确认的记录，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核查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组可如实记录情况，集体确认事实。</w:t>
      </w:r>
    </w:p>
    <w:p>
      <w:pPr>
        <w:widowControl/>
        <w:numPr>
          <w:ilvl w:val="0"/>
          <w:numId w:val="0"/>
        </w:numPr>
        <w:wordWrap w:val="0"/>
        <w:spacing w:line="54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人员核查要点</w:t>
      </w:r>
    </w:p>
    <w:p>
      <w:pPr>
        <w:widowControl/>
        <w:wordWrap w:val="0"/>
        <w:spacing w:line="54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被核查检测机构每检测项目（方法）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相应专业工作经验的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持证上岗检测人员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（检验测试、报告编写、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报告校对、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报告审核）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不得少于3人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检测人员不得同时受聘于两个或者两个以上检测机构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。专项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检测人员不得同时从事四种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以上检测项目（方法）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。辅助人员、见习人员应在持证检测人员现场陪同、指导下开展工作，不得单独开展工作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wordWrap w:val="0"/>
        <w:spacing w:line="54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开展地基基础工程类检测项目的机构，应当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注册岩土工程师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资格人员。开展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主体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结构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（含钢结构）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工程类现场检测项目的机构，应当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一级注册结构工程师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资格人员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注册人员必须具备在岗及从事相关工作的有效证明，注册人员从事检验测试、报告编写、校对、审核等工作必须持证上岗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报告审核人员必须满足相应的资格要求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wordWrap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被核查检测机构的检测人员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持有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住建部门认可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合法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培训合格证。</w:t>
      </w:r>
    </w:p>
    <w:p>
      <w:pPr>
        <w:widowControl/>
        <w:wordWrap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检测人员必须经过理论考试及实操考核。通过考核的人员数量必须满足开展该项目的最低人员数量要求。</w:t>
      </w:r>
    </w:p>
    <w:p>
      <w:pPr>
        <w:widowControl/>
        <w:wordWrap w:val="0"/>
        <w:spacing w:line="540" w:lineRule="atLeast"/>
        <w:ind w:firstLine="567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6.当场作出本次核查通过/不通过的初审意见，（不通过的，一次性告知不通过理由，并给出整改建议）。</w:t>
      </w:r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六、核查评定</w:t>
      </w:r>
    </w:p>
    <w:p>
      <w:pPr>
        <w:widowControl/>
        <w:wordWrap w:val="0"/>
        <w:spacing w:line="540" w:lineRule="atLeast"/>
        <w:ind w:firstLine="567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1.每一种检测项目（方法、参数）按核查项分为主控项目、次控项目、一般项目，★标记为主控项目，☆标记为次控项目，无标记为一般项目。</w:t>
      </w:r>
    </w:p>
    <w:p>
      <w:pPr>
        <w:widowControl/>
        <w:wordWrap w:val="0"/>
        <w:spacing w:line="540" w:lineRule="atLeast"/>
        <w:ind w:firstLine="567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2.评定标准：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有下列情形之一的检测项目（方法、参数）评定为“不通过”：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①主控项目1项或以上“不符合”。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②次控项目2项或以上“不符合”。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③一般项目3项或以上“不符合”。</w:t>
      </w:r>
    </w:p>
    <w:p>
      <w:pPr>
        <w:widowControl/>
        <w:wordWrap w:val="0"/>
        <w:spacing w:line="540" w:lineRule="atLeast"/>
        <w:ind w:firstLine="648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④次控项目1项“不符合”，一般项目2项 “不符合”。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对检测机构综合能力及检测人员的考核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详见《检测机构综合能力评定表》、《检测人员综合考核评定表》。</w:t>
      </w:r>
    </w:p>
    <w:p>
      <w:pPr>
        <w:widowControl/>
        <w:wordWrap w:val="0"/>
        <w:spacing w:line="540" w:lineRule="atLeast"/>
        <w:ind w:firstLine="648"/>
        <w:rPr>
          <w:rFonts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七、未能通过现场核查的检测项目（参数）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根据企业检测能力、设备、人员业务水平等综合评价，建议企业整改完成后（不少于三个月）再申报该项检测资质。</w:t>
      </w:r>
    </w:p>
    <w:p>
      <w:pPr>
        <w:widowControl/>
        <w:wordWrap w:val="0"/>
        <w:spacing w:line="540" w:lineRule="atLeast"/>
        <w:ind w:firstLine="65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违反以下规定的，所申请的项目不予通过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1.在我市检测监管平台上传虚假数据的；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2.未取得相应的资质，擅自开展检测业务的；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3.不按规定的检测程序及方法进行检测出具检测报告的；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4.检测报告中数据、结论等实质内容与检测过程的记录无法构成可靠的溯源关系；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5.未经检测出具检测报告的。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：检测方法（参数）若干核查表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3894"/>
    <w:multiLevelType w:val="singleLevel"/>
    <w:tmpl w:val="5DC2389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DC90C9B"/>
    <w:multiLevelType w:val="singleLevel"/>
    <w:tmpl w:val="5DC90C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219B7"/>
    <w:rsid w:val="058C0FB3"/>
    <w:rsid w:val="0D2C6A61"/>
    <w:rsid w:val="1A8913AF"/>
    <w:rsid w:val="1B30634B"/>
    <w:rsid w:val="1FD63717"/>
    <w:rsid w:val="23AA1FDA"/>
    <w:rsid w:val="26990232"/>
    <w:rsid w:val="34877331"/>
    <w:rsid w:val="34BA2682"/>
    <w:rsid w:val="38C8058E"/>
    <w:rsid w:val="3F455094"/>
    <w:rsid w:val="423C5908"/>
    <w:rsid w:val="532A5AA9"/>
    <w:rsid w:val="53D06099"/>
    <w:rsid w:val="5DB76799"/>
    <w:rsid w:val="61181F23"/>
    <w:rsid w:val="6FC830EB"/>
    <w:rsid w:val="734A3CD6"/>
    <w:rsid w:val="73A8751C"/>
    <w:rsid w:val="743D5CE0"/>
    <w:rsid w:val="77190E91"/>
    <w:rsid w:val="79415DF7"/>
    <w:rsid w:val="7A8930D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蒋岩</dc:creator>
  <cp:lastModifiedBy>蒋岩</cp:lastModifiedBy>
  <dcterms:modified xsi:type="dcterms:W3CDTF">2020-11-05T08:23:41Z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