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olor w:val="auto"/>
          <w:lang w:eastAsia="zh-CN"/>
        </w:rPr>
      </w:pPr>
    </w:p>
    <w:p>
      <w:pPr>
        <w:pStyle w:val="2"/>
        <w:rPr>
          <w:rFonts w:hint="eastAsia"/>
          <w:color w:val="auto"/>
          <w:lang w:eastAsia="zh-CN"/>
        </w:rPr>
      </w:pPr>
    </w:p>
    <w:p>
      <w:pPr>
        <w:pStyle w:val="3"/>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36"/>
          <w:lang w:val="en-US" w:eastAsia="zh-CN"/>
        </w:rPr>
      </w:pPr>
      <w:r>
        <w:rPr>
          <w:rFonts w:hint="eastAsia" w:ascii="方正小标宋简体" w:hAnsi="方正小标宋简体" w:eastAsia="方正小标宋简体" w:cs="方正小标宋简体"/>
          <w:color w:val="auto"/>
          <w:sz w:val="44"/>
          <w:szCs w:val="36"/>
          <w:lang w:val="en-US" w:eastAsia="zh-CN"/>
        </w:rPr>
        <w:t>广东省住房和城乡建设厅关于对国务院安委会第十一考核巡查组抽查项目和房屋市政工程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36"/>
          <w:lang w:val="en-US" w:eastAsia="zh-CN"/>
        </w:rPr>
      </w:pPr>
      <w:r>
        <w:rPr>
          <w:rFonts w:hint="eastAsia" w:ascii="方正小标宋简体" w:hAnsi="方正小标宋简体" w:eastAsia="方正小标宋简体" w:cs="方正小标宋简体"/>
          <w:color w:val="auto"/>
          <w:sz w:val="44"/>
          <w:szCs w:val="36"/>
          <w:lang w:val="en-US" w:eastAsia="zh-CN"/>
        </w:rPr>
        <w:t>安全生产专项治理行动开展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36"/>
          <w:lang w:val="en-US" w:eastAsia="zh-CN"/>
        </w:rPr>
      </w:pPr>
      <w:r>
        <w:rPr>
          <w:rFonts w:hint="eastAsia" w:ascii="方正小标宋简体" w:hAnsi="方正小标宋简体" w:eastAsia="方正小标宋简体" w:cs="方正小标宋简体"/>
          <w:color w:val="auto"/>
          <w:sz w:val="44"/>
          <w:szCs w:val="36"/>
          <w:lang w:val="en-US" w:eastAsia="zh-CN"/>
        </w:rPr>
        <w:t>“回头看”的通知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auto"/>
          <w:sz w:val="20"/>
          <w:szCs w:val="20"/>
          <w:lang w:eastAsia="zh-CN"/>
        </w:rPr>
      </w:pPr>
    </w:p>
    <w:p>
      <w:pPr>
        <w:keepNext w:val="0"/>
        <w:keepLines w:val="0"/>
        <w:widowControl/>
        <w:suppressLineNumbers w:val="0"/>
        <w:ind w:firstLine="640" w:firstLineChars="200"/>
        <w:jc w:val="both"/>
        <w:rPr>
          <w:rFonts w:hint="eastAsia" w:ascii="仿宋_GB2312" w:hAnsi="Calibri" w:eastAsia="仿宋_GB2312" w:cs="Times New Roman"/>
          <w:color w:val="auto"/>
          <w:sz w:val="32"/>
          <w:szCs w:val="32"/>
          <w:highlight w:val="none"/>
          <w:lang w:val="en-US" w:eastAsia="zh-CN" w:bidi="ar-SA"/>
        </w:rPr>
      </w:pPr>
    </w:p>
    <w:p>
      <w:pPr>
        <w:keepNext w:val="0"/>
        <w:keepLines w:val="0"/>
        <w:widowControl/>
        <w:suppressLineNumbers w:val="0"/>
        <w:jc w:val="both"/>
        <w:rPr>
          <w:rFonts w:hint="eastAsia" w:ascii="仿宋_GB2312" w:hAnsi="Calibri" w:eastAsia="仿宋_GB2312" w:cs="Times New Roman"/>
          <w:color w:val="auto"/>
          <w:sz w:val="32"/>
          <w:szCs w:val="32"/>
          <w:highlight w:val="none"/>
          <w:lang w:val="en-US" w:eastAsia="zh-CN" w:bidi="ar-SA"/>
        </w:rPr>
      </w:pPr>
      <w:r>
        <w:rPr>
          <w:rFonts w:hint="eastAsia" w:ascii="仿宋_GB2312" w:hAnsi="Calibri" w:eastAsia="仿宋_GB2312" w:cs="Times New Roman"/>
          <w:color w:val="auto"/>
          <w:sz w:val="32"/>
          <w:szCs w:val="32"/>
          <w:highlight w:val="none"/>
          <w:lang w:val="en-US" w:eastAsia="zh-CN" w:bidi="ar-SA"/>
        </w:rPr>
        <w:t>各地级以上市住房和城乡建设主管部门，广州、深圳、佛山、惠州、东莞、中山市交通运输局，佛山市轨道交通局</w:t>
      </w:r>
      <w:r>
        <w:rPr>
          <w:rFonts w:hint="eastAsia" w:ascii="仿宋_GB2312" w:hAnsi="Calibri" w:cs="Times New Roman"/>
          <w:color w:val="auto"/>
          <w:sz w:val="32"/>
          <w:szCs w:val="32"/>
          <w:highlight w:val="none"/>
          <w:lang w:val="en-US" w:eastAsia="zh-CN" w:bidi="ar-SA"/>
        </w:rPr>
        <w:t>，各有关单位</w:t>
      </w:r>
      <w:r>
        <w:rPr>
          <w:rFonts w:hint="eastAsia" w:ascii="仿宋_GB2312" w:hAnsi="Calibri" w:eastAsia="仿宋_GB2312" w:cs="Times New Roman"/>
          <w:color w:val="auto"/>
          <w:sz w:val="32"/>
          <w:szCs w:val="32"/>
          <w:highlight w:val="none"/>
          <w:lang w:val="en-US" w:eastAsia="zh-CN" w:bidi="ar-SA"/>
        </w:rPr>
        <w:t>：</w:t>
      </w:r>
    </w:p>
    <w:p>
      <w:pPr>
        <w:keepNext w:val="0"/>
        <w:keepLines w:val="0"/>
        <w:widowControl/>
        <w:suppressLineNumbers w:val="0"/>
        <w:ind w:firstLine="640" w:firstLineChars="200"/>
        <w:jc w:val="both"/>
        <w:rPr>
          <w:rFonts w:hint="eastAsia" w:ascii="仿宋_GB2312" w:hAnsi="仿宋_GB2312" w:cs="仿宋_GB2312"/>
          <w:color w:val="auto"/>
          <w:sz w:val="32"/>
          <w:szCs w:val="32"/>
          <w:lang w:val="en-US" w:eastAsia="zh-CN"/>
        </w:rPr>
      </w:pPr>
      <w:r>
        <w:rPr>
          <w:rFonts w:hint="eastAsia" w:ascii="仿宋_GB2312" w:hAnsi="Calibri" w:eastAsia="仿宋_GB2312" w:cs="Times New Roman"/>
          <w:color w:val="auto"/>
          <w:sz w:val="32"/>
          <w:szCs w:val="32"/>
          <w:highlight w:val="none"/>
          <w:lang w:val="en-US" w:eastAsia="zh-CN" w:bidi="ar-SA"/>
        </w:rPr>
        <w:t>今年以来，</w:t>
      </w:r>
      <w:r>
        <w:rPr>
          <w:rFonts w:hint="eastAsia" w:ascii="仿宋_GB2312" w:hAnsi="Calibri" w:cs="Times New Roman"/>
          <w:color w:val="auto"/>
          <w:sz w:val="32"/>
          <w:szCs w:val="32"/>
          <w:highlight w:val="none"/>
          <w:lang w:val="en-US" w:eastAsia="zh-CN" w:bidi="ar-SA"/>
        </w:rPr>
        <w:t>住房和城乡建设部部署开展了房屋市政工程安全生产专项治理行动，</w:t>
      </w:r>
      <w:r>
        <w:rPr>
          <w:rFonts w:hint="eastAsia" w:ascii="仿宋_GB2312" w:hAnsi="Calibri" w:eastAsia="仿宋_GB2312" w:cs="Times New Roman"/>
          <w:color w:val="auto"/>
          <w:sz w:val="32"/>
          <w:szCs w:val="32"/>
          <w:highlight w:val="none"/>
          <w:lang w:val="en-US" w:eastAsia="zh-CN" w:bidi="ar-SA"/>
        </w:rPr>
        <w:t>我厅开展了</w:t>
      </w:r>
      <w:r>
        <w:rPr>
          <w:rFonts w:hint="eastAsia" w:ascii="仿宋_GB2312" w:hAnsi="Calibri" w:cs="Times New Roman"/>
          <w:color w:val="auto"/>
          <w:sz w:val="32"/>
          <w:szCs w:val="32"/>
          <w:highlight w:val="none"/>
          <w:lang w:val="en-US" w:eastAsia="zh-CN" w:bidi="ar-SA"/>
        </w:rPr>
        <w:t>2022年房屋市政工程施工安全专项巡查和</w:t>
      </w:r>
      <w:r>
        <w:rPr>
          <w:rFonts w:hint="eastAsia" w:ascii="仿宋_GB2312" w:hAnsi="Calibri" w:eastAsia="仿宋_GB2312" w:cs="Times New Roman"/>
          <w:color w:val="auto"/>
          <w:sz w:val="32"/>
          <w:szCs w:val="32"/>
          <w:highlight w:val="none"/>
          <w:lang w:val="en-US" w:eastAsia="zh-CN" w:bidi="ar-SA"/>
        </w:rPr>
        <w:t>交叉检查。为认真贯彻落实习近平总书记关于安全生产的重要指示精神，</w:t>
      </w:r>
      <w:r>
        <w:rPr>
          <w:rFonts w:hint="eastAsia" w:ascii="仿宋_GB2312" w:hAnsi="仿宋_GB2312" w:cs="仿宋_GB2312"/>
          <w:color w:val="auto"/>
          <w:sz w:val="32"/>
          <w:szCs w:val="32"/>
          <w:lang w:val="en-US" w:eastAsia="zh-CN"/>
        </w:rPr>
        <w:t>全面</w:t>
      </w:r>
      <w:r>
        <w:rPr>
          <w:rFonts w:hint="eastAsia" w:ascii="仿宋_GB2312" w:hAnsi="Calibri" w:eastAsia="仿宋_GB2312" w:cs="Times New Roman"/>
          <w:color w:val="auto"/>
          <w:sz w:val="32"/>
          <w:szCs w:val="32"/>
          <w:highlight w:val="none"/>
          <w:lang w:val="en-US" w:eastAsia="zh-CN" w:bidi="ar-SA"/>
        </w:rPr>
        <w:t>跟踪落实国务院安委会第十一考核巡查组</w:t>
      </w:r>
      <w:r>
        <w:rPr>
          <w:rFonts w:hint="eastAsia" w:ascii="仿宋_GB2312" w:hAnsi="Calibri" w:cs="Times New Roman"/>
          <w:color w:val="auto"/>
          <w:sz w:val="32"/>
          <w:szCs w:val="32"/>
          <w:highlight w:val="none"/>
          <w:lang w:val="en-US" w:eastAsia="zh-CN" w:bidi="ar-SA"/>
        </w:rPr>
        <w:t>整改反馈意见（今年5月23日至6月1日，</w:t>
      </w:r>
      <w:r>
        <w:rPr>
          <w:rFonts w:hint="eastAsia" w:ascii="仿宋_GB2312" w:hAnsi="Calibri" w:eastAsia="仿宋_GB2312" w:cs="Times New Roman"/>
          <w:color w:val="auto"/>
          <w:sz w:val="32"/>
          <w:szCs w:val="32"/>
          <w:highlight w:val="none"/>
          <w:lang w:val="en-US" w:eastAsia="zh-CN" w:bidi="ar-SA"/>
        </w:rPr>
        <w:t>国务院安委会第十一考核巡查组</w:t>
      </w:r>
      <w:r>
        <w:rPr>
          <w:rFonts w:hint="eastAsia" w:ascii="仿宋_GB2312" w:hAnsi="Calibri" w:cs="Times New Roman"/>
          <w:color w:val="auto"/>
          <w:sz w:val="32"/>
          <w:szCs w:val="32"/>
          <w:highlight w:val="none"/>
          <w:lang w:val="en-US" w:eastAsia="zh-CN" w:bidi="ar-SA"/>
        </w:rPr>
        <w:t>抽查了清远市、云浮市在建房屋市政工程项目）和住建部专项治理行动全覆盖检查要求</w:t>
      </w:r>
      <w:r>
        <w:rPr>
          <w:rFonts w:hint="eastAsia" w:ascii="仿宋_GB2312" w:hAnsi="仿宋_GB2312" w:cs="仿宋_GB2312"/>
          <w:color w:val="auto"/>
          <w:sz w:val="32"/>
          <w:szCs w:val="32"/>
          <w:lang w:val="en-US" w:eastAsia="zh-CN"/>
        </w:rPr>
        <w:t>，督促企业落实主体责任，全面加强建筑施工安全监管，我厅决定对国务院安委会第十一考核巡查组抽查项目和</w:t>
      </w:r>
      <w:r>
        <w:rPr>
          <w:rFonts w:hint="eastAsia" w:ascii="仿宋_GB2312" w:hAnsi="Calibri" w:cs="Times New Roman"/>
          <w:color w:val="auto"/>
          <w:sz w:val="32"/>
          <w:szCs w:val="32"/>
          <w:highlight w:val="none"/>
          <w:lang w:val="en-US" w:eastAsia="zh-CN" w:bidi="ar-SA"/>
        </w:rPr>
        <w:t>房屋市政工程安全生产专项治理行动</w:t>
      </w:r>
      <w:r>
        <w:rPr>
          <w:rFonts w:hint="eastAsia" w:ascii="仿宋_GB2312" w:hAnsi="仿宋_GB2312" w:cs="仿宋_GB2312"/>
          <w:color w:val="auto"/>
          <w:sz w:val="32"/>
          <w:szCs w:val="32"/>
          <w:lang w:val="en-US" w:eastAsia="zh-CN"/>
        </w:rPr>
        <w:t>开展“回头看”。现就有关事项通知如下：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方正黑体_GBK" w:hAnsi="方正黑体_GBK" w:eastAsia="方正黑体_GBK" w:cs="方正黑体_GBK"/>
          <w:color w:val="auto"/>
          <w:sz w:val="32"/>
          <w:szCs w:val="32"/>
          <w:lang w:val="en-US" w:eastAsia="zh-CN"/>
        </w:rPr>
        <w:t>“回头看”</w:t>
      </w:r>
      <w:r>
        <w:rPr>
          <w:rFonts w:hint="eastAsia" w:ascii="黑体" w:hAnsi="黑体" w:eastAsia="黑体" w:cs="黑体"/>
          <w:color w:val="auto"/>
          <w:sz w:val="32"/>
          <w:szCs w:val="32"/>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2022年8月18日至2022年9月30日。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w:t>
      </w:r>
      <w:r>
        <w:rPr>
          <w:rFonts w:hint="eastAsia" w:ascii="方正黑体_GBK" w:hAnsi="方正黑体_GBK" w:eastAsia="方正黑体_GBK" w:cs="方正黑体_GBK"/>
          <w:color w:val="auto"/>
          <w:sz w:val="32"/>
          <w:szCs w:val="32"/>
          <w:lang w:val="en-US" w:eastAsia="zh-CN"/>
        </w:rPr>
        <w:t>“回头看”</w:t>
      </w:r>
      <w:r>
        <w:rPr>
          <w:rFonts w:hint="eastAsia" w:ascii="黑体" w:hAnsi="黑体" w:eastAsia="黑体" w:cs="黑体"/>
          <w:color w:val="auto"/>
          <w:kern w:val="2"/>
          <w:sz w:val="32"/>
          <w:szCs w:val="32"/>
          <w:lang w:val="en-US" w:eastAsia="zh-CN" w:bidi="ar-SA"/>
        </w:rPr>
        <w:t>方式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z w:val="32"/>
          <w:szCs w:val="32"/>
          <w:lang w:eastAsia="zh-CN" w:bidi="ar-SA"/>
        </w:rPr>
      </w:pPr>
      <w:r>
        <w:rPr>
          <w:rFonts w:hint="eastAsia" w:ascii="楷体" w:hAnsi="楷体" w:eastAsia="楷体" w:cs="楷体"/>
          <w:b w:val="0"/>
          <w:bCs w:val="0"/>
          <w:color w:val="auto"/>
          <w:sz w:val="32"/>
          <w:szCs w:val="32"/>
          <w:lang w:val="en-US" w:eastAsia="zh-CN"/>
        </w:rPr>
        <w:t>（一）市级及区、县级“回头看”。</w:t>
      </w:r>
      <w:r>
        <w:rPr>
          <w:rFonts w:hint="eastAsia" w:ascii="仿宋_GB2312" w:hAnsi="Calibri" w:cs="Times New Roman"/>
          <w:color w:val="auto"/>
          <w:sz w:val="32"/>
          <w:szCs w:val="32"/>
          <w:highlight w:val="none"/>
          <w:lang w:val="en-US" w:eastAsia="zh-CN" w:bidi="ar-SA"/>
        </w:rPr>
        <w:t>各地级以上市住房和城乡建设主管部门领导带队，</w:t>
      </w:r>
      <w:r>
        <w:rPr>
          <w:rFonts w:hint="eastAsia" w:ascii="仿宋_GB2312" w:hAnsi="仿宋_GB2312" w:cs="仿宋_GB2312"/>
          <w:color w:val="auto"/>
          <w:kern w:val="2"/>
          <w:sz w:val="32"/>
          <w:szCs w:val="32"/>
          <w:lang w:val="en-US" w:eastAsia="zh-CN" w:bidi="ar-SA"/>
        </w:rPr>
        <w:t>对各县区落实</w:t>
      </w:r>
      <w:r>
        <w:rPr>
          <w:rFonts w:hint="eastAsia" w:ascii="仿宋_GB2312" w:hAnsi="仿宋_GB2312" w:cs="仿宋_GB2312"/>
          <w:color w:val="auto"/>
          <w:sz w:val="32"/>
          <w:szCs w:val="32"/>
          <w:lang w:val="en-US" w:eastAsia="zh-CN"/>
        </w:rPr>
        <w:t>国务院安委会第十一考核巡查组抽查项目（清远市、云浮市）和</w:t>
      </w:r>
      <w:r>
        <w:rPr>
          <w:rFonts w:hint="eastAsia" w:ascii="仿宋_GB2312" w:hAnsi="Calibri" w:cs="Times New Roman"/>
          <w:color w:val="auto"/>
          <w:sz w:val="32"/>
          <w:szCs w:val="32"/>
          <w:highlight w:val="none"/>
          <w:lang w:val="en-US" w:eastAsia="zh-CN" w:bidi="ar-SA"/>
        </w:rPr>
        <w:t>开展房屋市政工程安全生产专项治理行动情况进行“回头看”。各县区住房和城乡建设主管部门领导带队，对各企业和在建房屋市政工程项目开展“回头看”</w:t>
      </w:r>
      <w:r>
        <w:rPr>
          <w:rFonts w:hint="eastAsia" w:ascii="仿宋_GB2312" w:hAnsi="仿宋_GB2312" w:cs="仿宋_GB2312"/>
          <w:color w:val="auto"/>
          <w:sz w:val="32"/>
          <w:szCs w:val="32"/>
          <w:lang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z w:val="32"/>
          <w:szCs w:val="32"/>
          <w:lang w:eastAsia="zh-CN" w:bidi="ar-SA"/>
        </w:rPr>
      </w:pPr>
      <w:r>
        <w:rPr>
          <w:rFonts w:hint="eastAsia" w:ascii="楷体" w:hAnsi="楷体" w:eastAsia="楷体" w:cs="楷体"/>
          <w:b w:val="0"/>
          <w:bCs w:val="0"/>
          <w:color w:val="auto"/>
          <w:sz w:val="32"/>
          <w:szCs w:val="32"/>
          <w:lang w:val="en-US" w:eastAsia="zh-CN"/>
        </w:rPr>
        <w:t>（二）省级“回头看”。</w:t>
      </w:r>
      <w:r>
        <w:rPr>
          <w:rFonts w:hint="eastAsia" w:ascii="仿宋_GB2312" w:hAnsi="仿宋_GB2312" w:cs="仿宋_GB2312"/>
          <w:color w:val="auto"/>
          <w:sz w:val="32"/>
          <w:szCs w:val="32"/>
          <w:lang w:val="en-US" w:eastAsia="zh-CN"/>
        </w:rPr>
        <w:t>省级“回头看”由厅相关负责同志带队，邀请相关执法人员和建筑施工安全管理、起重机械等专家参加，赴各地住房和城乡建设主管部门、项目施工现场开展“回头看”（具体安排由“回头看”小组与各地联络员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方正黑体_GBK" w:hAnsi="方正黑体_GBK" w:eastAsia="方正黑体_GBK" w:cs="方正黑体_GBK"/>
          <w:color w:val="auto"/>
          <w:sz w:val="32"/>
          <w:szCs w:val="32"/>
          <w:lang w:val="en-US" w:eastAsia="zh-CN"/>
        </w:rPr>
        <w:t>“回头看”内容</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主管部门</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cs="Times New Roman"/>
          <w:color w:val="auto"/>
          <w:sz w:val="32"/>
          <w:szCs w:val="32"/>
          <w:highlight w:val="none"/>
          <w:lang w:val="en-US" w:eastAsia="zh-CN" w:bidi="ar-SA"/>
        </w:rPr>
      </w:pPr>
      <w:r>
        <w:rPr>
          <w:rFonts w:hint="eastAsia" w:ascii="仿宋_GB2312" w:hAnsi="Calibri" w:cs="Times New Roman"/>
          <w:color w:val="auto"/>
          <w:sz w:val="32"/>
          <w:szCs w:val="32"/>
          <w:highlight w:val="none"/>
          <w:lang w:val="en-US" w:eastAsia="zh-CN" w:bidi="ar-SA"/>
        </w:rPr>
        <w:t>1.贯彻学习</w:t>
      </w:r>
      <w:r>
        <w:rPr>
          <w:rFonts w:hint="eastAsia" w:ascii="仿宋_GB2312" w:hAnsi="Calibri" w:eastAsia="仿宋_GB2312" w:cs="Times New Roman"/>
          <w:color w:val="auto"/>
          <w:sz w:val="32"/>
          <w:szCs w:val="32"/>
          <w:highlight w:val="none"/>
          <w:lang w:val="en-US" w:eastAsia="zh-CN" w:bidi="ar-SA"/>
        </w:rPr>
        <w:t>习近平总书记关于安全生产的重要指示精神</w:t>
      </w:r>
      <w:r>
        <w:rPr>
          <w:rFonts w:hint="eastAsia" w:ascii="仿宋_GB2312" w:hAnsi="Calibri" w:cs="Times New Roman"/>
          <w:color w:val="auto"/>
          <w:sz w:val="32"/>
          <w:szCs w:val="32"/>
          <w:highlight w:val="none"/>
          <w:lang w:val="en-US" w:eastAsia="zh-CN" w:bidi="ar-SA"/>
        </w:rPr>
        <w:t>，</w:t>
      </w:r>
      <w:r>
        <w:rPr>
          <w:rFonts w:hint="eastAsia" w:ascii="仿宋_GB2312" w:hAnsi="Calibri" w:eastAsia="仿宋_GB2312" w:cs="Times New Roman"/>
          <w:color w:val="auto"/>
          <w:sz w:val="32"/>
          <w:szCs w:val="32"/>
          <w:highlight w:val="none"/>
          <w:lang w:val="en-US" w:eastAsia="zh-CN" w:bidi="ar-SA"/>
        </w:rPr>
        <w:t>落实国务院安委会第十一考核巡查组</w:t>
      </w:r>
      <w:r>
        <w:rPr>
          <w:rFonts w:hint="eastAsia" w:ascii="仿宋_GB2312" w:hAnsi="Calibri" w:cs="Times New Roman"/>
          <w:color w:val="auto"/>
          <w:sz w:val="32"/>
          <w:szCs w:val="32"/>
          <w:highlight w:val="none"/>
          <w:lang w:val="en-US" w:eastAsia="zh-CN" w:bidi="ar-SA"/>
        </w:rPr>
        <w:t>整改反馈意见，落实国务院安委会关于进一步强化安全生产责任落实坚决防范遏制重特大事故的若干措施情况，落实住房和城乡建设部和省安委办安全生产工作部署情况；</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cs="Times New Roman"/>
          <w:color w:val="auto"/>
          <w:sz w:val="32"/>
          <w:szCs w:val="32"/>
          <w:highlight w:val="none"/>
          <w:lang w:val="en-US" w:eastAsia="zh-CN" w:bidi="ar-SA"/>
        </w:rPr>
      </w:pPr>
      <w:r>
        <w:rPr>
          <w:rFonts w:hint="eastAsia" w:ascii="仿宋_GB2312" w:hAnsi="Calibri" w:cs="Times New Roman"/>
          <w:color w:val="auto"/>
          <w:sz w:val="32"/>
          <w:szCs w:val="32"/>
          <w:highlight w:val="none"/>
          <w:lang w:val="en-US" w:eastAsia="zh-CN" w:bidi="ar-SA"/>
        </w:rPr>
        <w:t>2.开展房屋市政工程安全生产专项治理行动情况；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3.开展</w:t>
      </w:r>
      <w:r>
        <w:rPr>
          <w:rFonts w:hint="eastAsia" w:ascii="仿宋_GB2312" w:hAnsi="仿宋_GB2312" w:eastAsia="仿宋_GB2312" w:cs="仿宋_GB2312"/>
          <w:color w:val="auto"/>
          <w:kern w:val="2"/>
          <w:sz w:val="32"/>
          <w:szCs w:val="32"/>
          <w:highlight w:val="none"/>
          <w:lang w:val="en-US" w:eastAsia="zh-CN" w:bidi="ar-SA"/>
        </w:rPr>
        <w:t>“落实施工企业安全生产主体责任专项行动”工作</w:t>
      </w:r>
      <w:r>
        <w:rPr>
          <w:rFonts w:hint="eastAsia" w:ascii="仿宋_GB2312" w:hAnsi="仿宋_GB2312" w:cs="仿宋_GB2312"/>
          <w:color w:val="auto"/>
          <w:kern w:val="2"/>
          <w:sz w:val="32"/>
          <w:szCs w:val="32"/>
          <w:highlight w:val="none"/>
          <w:lang w:val="en-US" w:eastAsia="zh-CN" w:bidi="ar-SA"/>
        </w:rPr>
        <w:t>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4.开展</w:t>
      </w:r>
      <w:r>
        <w:rPr>
          <w:rFonts w:hint="eastAsia" w:ascii="仿宋_GB2312" w:hAnsi="仿宋_GB2312" w:eastAsia="仿宋_GB2312" w:cs="仿宋_GB2312"/>
          <w:color w:val="auto"/>
          <w:kern w:val="2"/>
          <w:sz w:val="32"/>
          <w:szCs w:val="32"/>
          <w:highlight w:val="none"/>
          <w:lang w:val="en-US" w:eastAsia="zh-CN" w:bidi="ar-SA"/>
        </w:rPr>
        <w:t>房屋市政工程有限空间作业、污水管道施工安全防范工作</w:t>
      </w:r>
      <w:r>
        <w:rPr>
          <w:rFonts w:hint="eastAsia" w:ascii="仿宋_GB2312" w:hAnsi="仿宋_GB2312" w:cs="仿宋_GB2312"/>
          <w:color w:val="auto"/>
          <w:kern w:val="2"/>
          <w:sz w:val="32"/>
          <w:szCs w:val="32"/>
          <w:highlight w:val="none"/>
          <w:lang w:val="en-US" w:eastAsia="zh-CN" w:bidi="ar-SA"/>
        </w:rPr>
        <w:t>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5.督促建设单位落实质量安全首要责任工作情况。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（二）企业及项目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cs="Times New Roman"/>
          <w:color w:val="auto"/>
          <w:sz w:val="32"/>
          <w:szCs w:val="32"/>
          <w:highlight w:val="none"/>
          <w:lang w:val="en-US" w:eastAsia="zh-CN" w:bidi="ar-SA"/>
        </w:rPr>
      </w:pPr>
      <w:r>
        <w:rPr>
          <w:rFonts w:hint="eastAsia" w:ascii="仿宋_GB2312" w:hAnsi="Calibri" w:eastAsia="仿宋_GB2312" w:cs="Times New Roman"/>
          <w:color w:val="auto"/>
          <w:sz w:val="32"/>
          <w:szCs w:val="32"/>
          <w:highlight w:val="none"/>
          <w:lang w:val="en-US" w:eastAsia="zh-CN" w:bidi="ar-SA"/>
        </w:rPr>
        <w:t>国务院安委会第十一考核巡查组抽查项目</w:t>
      </w:r>
      <w:r>
        <w:rPr>
          <w:rFonts w:hint="eastAsia" w:ascii="仿宋_GB2312" w:hAnsi="Calibri" w:cs="Times New Roman"/>
          <w:color w:val="auto"/>
          <w:sz w:val="32"/>
          <w:szCs w:val="32"/>
          <w:highlight w:val="none"/>
          <w:lang w:val="en-US" w:eastAsia="zh-CN" w:bidi="ar-SA"/>
        </w:rPr>
        <w:t>、2022年房屋市政工程施工安全专项巡查存在严重安全隐患和问题项目、</w:t>
      </w:r>
      <w:r>
        <w:rPr>
          <w:rFonts w:hint="eastAsia" w:ascii="仿宋_GB2312" w:hAnsi="Calibri" w:eastAsia="仿宋_GB2312" w:cs="Times New Roman"/>
          <w:color w:val="auto"/>
          <w:sz w:val="32"/>
          <w:szCs w:val="32"/>
          <w:highlight w:val="none"/>
          <w:lang w:val="en-US" w:eastAsia="zh-CN" w:bidi="ar-SA"/>
        </w:rPr>
        <w:t>全省房屋市政工程安全生产交叉检查</w:t>
      </w:r>
      <w:r>
        <w:rPr>
          <w:rFonts w:hint="eastAsia" w:ascii="仿宋_GB2312" w:hAnsi="Calibri" w:cs="Times New Roman"/>
          <w:color w:val="auto"/>
          <w:sz w:val="32"/>
          <w:szCs w:val="32"/>
          <w:highlight w:val="none"/>
          <w:lang w:val="en-US" w:eastAsia="zh-CN" w:bidi="ar-SA"/>
        </w:rPr>
        <w:t>存在严重安全隐患和问题项目、上半年建筑施工安全检查下发执法建议书项目、随机抽查今年上半年住房和城乡建设部、省安委办检查督导项目。内容如下：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1.存在问题及隐患整改落实情况。</w:t>
      </w:r>
      <w:r>
        <w:rPr>
          <w:rFonts w:hint="eastAsia" w:ascii="仿宋_GB2312" w:hAnsi="Calibri" w:eastAsia="仿宋_GB2312" w:cs="Times New Roman"/>
          <w:b w:val="0"/>
          <w:bCs w:val="0"/>
          <w:color w:val="auto"/>
          <w:sz w:val="32"/>
          <w:szCs w:val="32"/>
          <w:highlight w:val="none"/>
          <w:lang w:val="en-US" w:eastAsia="zh-CN" w:bidi="ar-SA"/>
        </w:rPr>
        <w:t>落实国务院安委会第十一考核巡查组</w:t>
      </w:r>
      <w:r>
        <w:rPr>
          <w:rFonts w:hint="eastAsia" w:ascii="仿宋_GB2312" w:hAnsi="Calibri" w:cs="Times New Roman"/>
          <w:b w:val="0"/>
          <w:bCs w:val="0"/>
          <w:color w:val="auto"/>
          <w:sz w:val="32"/>
          <w:szCs w:val="32"/>
          <w:highlight w:val="none"/>
          <w:lang w:val="en-US" w:eastAsia="zh-CN" w:bidi="ar-SA"/>
        </w:rPr>
        <w:t>整改反馈意见、2022年房屋市政工程施工安全专项巡查、</w:t>
      </w:r>
      <w:r>
        <w:rPr>
          <w:rFonts w:hint="eastAsia" w:ascii="仿宋_GB2312" w:hAnsi="Calibri" w:eastAsia="仿宋_GB2312" w:cs="Times New Roman"/>
          <w:b w:val="0"/>
          <w:bCs w:val="0"/>
          <w:color w:val="auto"/>
          <w:sz w:val="32"/>
          <w:szCs w:val="32"/>
          <w:highlight w:val="none"/>
          <w:lang w:val="en-US" w:eastAsia="zh-CN" w:bidi="ar-SA"/>
        </w:rPr>
        <w:t>全省房屋市政工程安全生产交叉检查</w:t>
      </w:r>
      <w:r>
        <w:rPr>
          <w:rFonts w:hint="eastAsia" w:ascii="仿宋_GB2312" w:hAnsi="Calibri" w:cs="Times New Roman"/>
          <w:b w:val="0"/>
          <w:bCs w:val="0"/>
          <w:color w:val="auto"/>
          <w:sz w:val="32"/>
          <w:szCs w:val="32"/>
          <w:highlight w:val="none"/>
          <w:lang w:val="en-US" w:eastAsia="zh-CN" w:bidi="ar-SA"/>
        </w:rPr>
        <w:t>等检查中发现的问题</w:t>
      </w:r>
      <w:r>
        <w:rPr>
          <w:rFonts w:hint="eastAsia" w:ascii="仿宋_GB2312" w:hAnsi="仿宋_GB2312" w:cs="仿宋_GB2312"/>
          <w:b w:val="0"/>
          <w:bCs w:val="0"/>
          <w:color w:val="auto"/>
          <w:kern w:val="2"/>
          <w:sz w:val="32"/>
          <w:szCs w:val="32"/>
          <w:highlight w:val="none"/>
          <w:lang w:val="en-US" w:eastAsia="zh-CN" w:bidi="ar-SA"/>
        </w:rPr>
        <w:t>及隐患整改落实情况；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2.主体责任落实情况。</w:t>
      </w:r>
      <w:r>
        <w:rPr>
          <w:rFonts w:hint="eastAsia" w:ascii="仿宋_GB2312" w:hAnsi="仿宋_GB2312" w:eastAsia="仿宋_GB2312" w:cs="仿宋_GB2312"/>
          <w:b w:val="0"/>
          <w:bCs w:val="0"/>
          <w:i w:val="0"/>
          <w:caps w:val="0"/>
          <w:color w:val="auto"/>
          <w:spacing w:val="0"/>
          <w:sz w:val="32"/>
          <w:szCs w:val="32"/>
          <w:highlight w:val="none"/>
          <w:shd w:val="clear" w:color="auto" w:fill="FFFFFF"/>
          <w:lang w:bidi="ar-SA"/>
        </w:rPr>
        <w:t>落实建设单位的工程质量安全首要责任</w:t>
      </w:r>
      <w:r>
        <w:rPr>
          <w:rFonts w:hint="eastAsia" w:ascii="仿宋_GB2312" w:hAnsi="仿宋_GB2312" w:cs="仿宋_GB2312"/>
          <w:b w:val="0"/>
          <w:bCs w:val="0"/>
          <w:i w:val="0"/>
          <w:caps w:val="0"/>
          <w:color w:val="auto"/>
          <w:spacing w:val="0"/>
          <w:sz w:val="32"/>
          <w:szCs w:val="32"/>
          <w:highlight w:val="none"/>
          <w:shd w:val="clear" w:color="auto" w:fill="FFFFFF"/>
          <w:lang w:eastAsia="zh-CN" w:bidi="ar-SA"/>
        </w:rPr>
        <w:t>和施工单位、监理单位主体责任情况；</w:t>
      </w:r>
      <w:r>
        <w:rPr>
          <w:rFonts w:hint="eastAsia" w:ascii="仿宋_GB2312" w:hAnsi="仿宋" w:eastAsia="仿宋_GB2312" w:cs="Times New Roman"/>
          <w:b w:val="0"/>
          <w:bCs w:val="0"/>
          <w:color w:val="auto"/>
          <w:sz w:val="32"/>
          <w:szCs w:val="32"/>
          <w:highlight w:val="none"/>
          <w:u w:val="none"/>
          <w:lang w:val="en-US" w:eastAsia="zh-CN" w:bidi="ar-SA"/>
        </w:rPr>
        <w:t>建立健全并落实安全生产分级管控和隐患排查治理双重预防工作机制</w:t>
      </w:r>
      <w:r>
        <w:rPr>
          <w:rFonts w:hint="eastAsia" w:ascii="仿宋_GB2312" w:hAnsi="仿宋" w:cs="Times New Roman"/>
          <w:b w:val="0"/>
          <w:bCs w:val="0"/>
          <w:color w:val="auto"/>
          <w:sz w:val="32"/>
          <w:szCs w:val="32"/>
          <w:highlight w:val="none"/>
          <w:u w:val="none"/>
          <w:lang w:eastAsia="zh-CN" w:bidi="ar-SA"/>
        </w:rPr>
        <w:t>等情况；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3.有限空间作业安全防范情况。</w:t>
      </w:r>
      <w:r>
        <w:rPr>
          <w:rFonts w:hint="eastAsia" w:ascii="仿宋_GB2312" w:hAnsi="仿宋_GB2312" w:eastAsia="仿宋_GB2312" w:cs="仿宋_GB2312"/>
          <w:b w:val="0"/>
          <w:bCs w:val="0"/>
          <w:color w:val="auto"/>
          <w:kern w:val="2"/>
          <w:sz w:val="32"/>
          <w:szCs w:val="32"/>
          <w:highlight w:val="none"/>
          <w:lang w:val="en-US" w:eastAsia="zh-CN" w:bidi="ar-SA"/>
        </w:rPr>
        <w:t>按照省安全生产委员会办公室、应急管理厅关于有限空间作业“</w:t>
      </w:r>
      <w:r>
        <w:rPr>
          <w:rFonts w:hint="eastAsia" w:ascii="仿宋_GB2312" w:hAnsi="仿宋_GB2312" w:eastAsia="仿宋_GB2312" w:cs="仿宋_GB2312"/>
          <w:b w:val="0"/>
          <w:bCs w:val="0"/>
          <w:color w:val="auto"/>
          <w:sz w:val="32"/>
          <w:szCs w:val="32"/>
          <w:highlight w:val="none"/>
          <w:lang w:val="en-US" w:eastAsia="zh-CN"/>
        </w:rPr>
        <w:t>七不准</w:t>
      </w:r>
      <w:r>
        <w:rPr>
          <w:rFonts w:hint="eastAsia" w:ascii="仿宋_GB2312" w:hAnsi="仿宋_GB2312" w:eastAsia="仿宋_GB2312" w:cs="仿宋_GB2312"/>
          <w:b w:val="0"/>
          <w:bCs w:val="0"/>
          <w:color w:val="auto"/>
          <w:kern w:val="2"/>
          <w:sz w:val="32"/>
          <w:szCs w:val="32"/>
          <w:highlight w:val="none"/>
          <w:lang w:val="en-US" w:eastAsia="zh-CN" w:bidi="ar-SA"/>
        </w:rPr>
        <w:t>”要求，落实有限空间作业安全防范</w:t>
      </w:r>
      <w:r>
        <w:rPr>
          <w:rFonts w:hint="eastAsia" w:ascii="仿宋_GB2312" w:hAnsi="仿宋_GB2312" w:cs="仿宋_GB2312"/>
          <w:b w:val="0"/>
          <w:bCs w:val="0"/>
          <w:color w:val="auto"/>
          <w:kern w:val="2"/>
          <w:sz w:val="32"/>
          <w:szCs w:val="32"/>
          <w:highlight w:val="none"/>
          <w:lang w:val="en-US" w:eastAsia="zh-CN" w:bidi="ar-SA"/>
        </w:rPr>
        <w:t>措施，开展应急演练和教育培训情况；</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4.关键岗位人员到岗履职情况。</w:t>
      </w:r>
      <w:r>
        <w:rPr>
          <w:rFonts w:hint="eastAsia" w:ascii="仿宋_GB2312" w:hAnsi="仿宋_GB2312" w:eastAsia="仿宋_GB2312" w:cs="仿宋_GB2312"/>
          <w:b w:val="0"/>
          <w:bCs w:val="0"/>
          <w:color w:val="auto"/>
          <w:kern w:val="2"/>
          <w:sz w:val="32"/>
          <w:szCs w:val="32"/>
          <w:highlight w:val="none"/>
          <w:lang w:val="en-US" w:eastAsia="zh-CN" w:bidi="ar-SA"/>
        </w:rPr>
        <w:t>重点检查企业负责人带班检查情况，项目负责人、专职安全员到位及从业人员特别是特种作业人员持证上岗情况，以及安全生产应知应会知识掌握情况</w:t>
      </w:r>
      <w:r>
        <w:rPr>
          <w:rFonts w:hint="eastAsia" w:ascii="仿宋_GB2312" w:hAnsi="仿宋_GB2312" w:cs="仿宋_GB2312"/>
          <w:b w:val="0"/>
          <w:bCs w:val="0"/>
          <w:color w:val="auto"/>
          <w:kern w:val="2"/>
          <w:sz w:val="32"/>
          <w:szCs w:val="32"/>
          <w:highlight w:val="none"/>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5.危大工程实体安全状况</w:t>
      </w:r>
      <w:r>
        <w:rPr>
          <w:rFonts w:hint="eastAsia" w:ascii="楷体_GB2312" w:hAnsi="楷体_GB2312" w:eastAsia="楷体_GB2312" w:cs="楷体_GB2312"/>
          <w:b/>
          <w:bCs/>
          <w:color w:val="auto"/>
          <w:kern w:val="2"/>
          <w:sz w:val="32"/>
          <w:szCs w:val="32"/>
          <w:highlight w:val="none"/>
          <w:lang w:val="en-US" w:eastAsia="zh-CN" w:bidi="ar-SA"/>
        </w:rPr>
        <w:t>。</w:t>
      </w:r>
      <w:r>
        <w:rPr>
          <w:rFonts w:hint="eastAsia" w:ascii="仿宋_GB2312" w:hAnsi="仿宋_GB2312" w:cs="仿宋_GB2312"/>
          <w:color w:val="auto"/>
          <w:sz w:val="32"/>
          <w:szCs w:val="32"/>
          <w:lang w:val="en-US" w:eastAsia="zh-CN"/>
        </w:rPr>
        <w:t>重点检查基坑支护、土方(隧道)开挖、脚手架、模板支撑体系、建筑起重机械等危大工程，以及专项施工方案的编制和实施等内容，落实危大工程隐患排查整治情况。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四、有关要求</w:t>
      </w:r>
    </w:p>
    <w:p>
      <w:pPr>
        <w:pStyle w:val="10"/>
        <w:keepNext w:val="0"/>
        <w:keepLines w:val="0"/>
        <w:pageBreakBefore w:val="0"/>
        <w:widowControl/>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（一）提高政治站位，坚决扛起安全生产政治责任。</w:t>
      </w:r>
      <w:r>
        <w:rPr>
          <w:rFonts w:hint="eastAsia" w:ascii="仿宋_GB2312" w:hAnsi="仿宋_GB2312" w:eastAsia="仿宋_GB2312" w:cs="仿宋_GB2312"/>
          <w:color w:val="auto"/>
          <w:kern w:val="2"/>
          <w:sz w:val="32"/>
          <w:szCs w:val="32"/>
          <w:highlight w:val="none"/>
          <w:lang w:val="en-US" w:eastAsia="zh-CN" w:bidi="ar-SA"/>
        </w:rPr>
        <w:t>各级住房和城乡主建设管部门、有关单位要深入学习贯彻习近平总书记关于安全生产的重要指示批示精神，按照党中央、国务院决策部署，以及国务院安委会关于加强安全生产工作“十五条”硬措施和我省65条具体措施要求，切实提高政治站位，增强红线意识和底线思维，坚持人民至上、生命至上，认真分析研究地区本单位安全生产责任体系和风险管控体系存在的不足，抓紧补齐责任和制度短板，进一步健全安全生产责任体系和安全风险隐患排查整治机制，切实落实各项安全生产措施要求，坚决防范和遏制事故发生，以实际行动迎接党的二十大胜利召开。</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（二）迅速开展“回头看”，坚决消除各类安全隐患。</w:t>
      </w:r>
      <w:r>
        <w:rPr>
          <w:rFonts w:hint="eastAsia" w:ascii="仿宋_GB2312" w:hAnsi="仿宋_GB2312" w:cs="仿宋_GB2312"/>
          <w:color w:val="auto"/>
          <w:sz w:val="32"/>
          <w:szCs w:val="32"/>
          <w:lang w:val="en-US" w:eastAsia="zh-CN"/>
        </w:rPr>
        <w:t>各地住房和城乡建设主管部门、有关单位对照国务院安委会第十一考核巡查组抽查和上半年全省建筑施工安全检查发现的问题，举一反三，迅速开展“回头看”，确保本地区、本单位在建房屋市政工程项目隐患问题全面彻底整改；尚未整改完成的，要立即采取有力措施，确保近期完成整改；已整改完成的，要认真核查，杜绝表面整改、虚假整改，确保及时查处企业隐患整改不闭合等问题行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(三)严格规范文明执法，坚决查处违法违规企业人员。</w:t>
      </w:r>
      <w:r>
        <w:rPr>
          <w:rFonts w:hint="eastAsia" w:ascii="仿宋_GB2312" w:hAnsi="仿宋_GB2312" w:cs="仿宋_GB2312"/>
          <w:color w:val="auto"/>
          <w:sz w:val="32"/>
          <w:szCs w:val="32"/>
          <w:lang w:val="en-US" w:eastAsia="zh-CN"/>
        </w:rPr>
        <w:t>各地住房和城乡建设主管部门要严格执行新《安全生产法》《行政处罚法》，全面落实行政执法公示制度、执法全过程记录制度、重大执法决定法制审核制度，坚持严格规范文明执法，不断提高安全生产行政处罚率，解决检查多、处罚少的问题。对执法检查中发现的各类违法行为，要盯住不放，督促企业彻底整改，严格执法闭环管理，做到有检查、有整改、有落实，防止只检查不跟踪的问题。对本次“回头看”检查中未整改落实的项目、存在较多问题或者存在重大安全隐患的项目，</w:t>
      </w:r>
      <w:r>
        <w:rPr>
          <w:rFonts w:hint="eastAsia" w:ascii="仿宋_GB2312" w:hAnsi="仿宋_GB2312" w:eastAsia="仿宋_GB2312" w:cs="仿宋_GB2312"/>
          <w:color w:val="auto"/>
          <w:kern w:val="2"/>
          <w:sz w:val="32"/>
          <w:szCs w:val="32"/>
          <w:lang w:val="en-US" w:eastAsia="zh-CN" w:bidi="ar-SA"/>
        </w:rPr>
        <w:t>我厅将视检查情况依法</w:t>
      </w:r>
      <w:r>
        <w:rPr>
          <w:rFonts w:hint="eastAsia" w:ascii="仿宋_GB2312" w:hAnsi="仿宋_GB2312" w:cs="仿宋_GB2312"/>
          <w:color w:val="auto"/>
          <w:kern w:val="2"/>
          <w:sz w:val="32"/>
          <w:szCs w:val="32"/>
          <w:lang w:val="en-US" w:eastAsia="zh-CN" w:bidi="ar-SA"/>
        </w:rPr>
        <w:t>从严处理，</w:t>
      </w:r>
      <w:r>
        <w:rPr>
          <w:rFonts w:hint="eastAsia" w:ascii="仿宋_GB2312" w:hAnsi="仿宋_GB2312" w:eastAsia="仿宋_GB2312" w:cs="仿宋_GB2312"/>
          <w:color w:val="auto"/>
          <w:kern w:val="2"/>
          <w:sz w:val="32"/>
          <w:szCs w:val="32"/>
          <w:lang w:val="en-US" w:eastAsia="zh-CN" w:bidi="ar-SA"/>
        </w:rPr>
        <w:t>暂扣或提请发证机关暂扣</w:t>
      </w:r>
      <w:r>
        <w:rPr>
          <w:rFonts w:hint="eastAsia" w:ascii="仿宋_GB2312" w:hAnsi="仿宋_GB2312" w:cs="仿宋_GB2312"/>
          <w:color w:val="auto"/>
          <w:kern w:val="2"/>
          <w:sz w:val="32"/>
          <w:szCs w:val="32"/>
          <w:lang w:val="en-US" w:eastAsia="zh-CN" w:bidi="ar-SA"/>
        </w:rPr>
        <w:t>建筑施工</w:t>
      </w:r>
      <w:r>
        <w:rPr>
          <w:rFonts w:hint="eastAsia" w:ascii="仿宋_GB2312" w:hAnsi="仿宋_GB2312" w:eastAsia="仿宋_GB2312" w:cs="仿宋_GB2312"/>
          <w:color w:val="auto"/>
          <w:kern w:val="2"/>
          <w:sz w:val="32"/>
          <w:szCs w:val="32"/>
          <w:lang w:val="en-US" w:eastAsia="zh-CN" w:bidi="ar-SA"/>
        </w:rPr>
        <w:t>企业安全生产许可证</w:t>
      </w:r>
      <w:r>
        <w:rPr>
          <w:rFonts w:hint="eastAsia" w:ascii="仿宋_GB2312" w:hAnsi="仿宋_GB2312" w:cs="仿宋_GB2312"/>
          <w:color w:val="auto"/>
          <w:kern w:val="2"/>
          <w:sz w:val="32"/>
          <w:szCs w:val="32"/>
          <w:lang w:val="en-US" w:eastAsia="zh-CN" w:bidi="ar-SA"/>
        </w:rPr>
        <w:t>，其他单位和人员将依据有关法律法规进行处理</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请各地级以上市住房和城乡建设主管部门安排1名人员作为“回头看”工作联络员，于8月19日前将联络员姓名、职务和联系电话以电邮或粤政易方式报送省住房城乡建设厅工程质量安全监管处。“回头看”工作情况要</w:t>
      </w:r>
      <w:r>
        <w:rPr>
          <w:rFonts w:hint="eastAsia" w:ascii="仿宋_GB2312" w:hAnsi="仿宋_GB2312" w:eastAsia="仿宋_GB2312" w:cs="仿宋_GB2312"/>
          <w:b w:val="0"/>
          <w:bCs w:val="0"/>
          <w:i w:val="0"/>
          <w:iCs w:val="0"/>
          <w:color w:val="auto"/>
          <w:sz w:val="32"/>
          <w:szCs w:val="32"/>
          <w:highlight w:val="none"/>
          <w:lang w:val="en-US" w:eastAsia="zh-CN" w:bidi="ar-SA"/>
        </w:rPr>
        <w:t>形成书面</w:t>
      </w:r>
      <w:r>
        <w:rPr>
          <w:rFonts w:hint="eastAsia" w:ascii="仿宋_GB2312" w:hAnsi="仿宋_GB2312" w:cs="仿宋_GB2312"/>
          <w:b w:val="0"/>
          <w:bCs w:val="0"/>
          <w:i w:val="0"/>
          <w:iCs w:val="0"/>
          <w:color w:val="auto"/>
          <w:sz w:val="32"/>
          <w:szCs w:val="32"/>
          <w:highlight w:val="none"/>
          <w:lang w:val="en-US" w:eastAsia="zh-CN" w:bidi="ar-SA"/>
        </w:rPr>
        <w:t>总结</w:t>
      </w:r>
      <w:r>
        <w:rPr>
          <w:rFonts w:hint="eastAsia" w:ascii="仿宋_GB2312" w:hAnsi="仿宋_GB2312" w:eastAsia="仿宋_GB2312" w:cs="仿宋_GB2312"/>
          <w:b w:val="0"/>
          <w:bCs w:val="0"/>
          <w:i w:val="0"/>
          <w:iCs w:val="0"/>
          <w:color w:val="auto"/>
          <w:sz w:val="32"/>
          <w:szCs w:val="32"/>
          <w:highlight w:val="none"/>
          <w:lang w:val="en-US" w:eastAsia="zh-CN" w:bidi="ar-SA"/>
        </w:rPr>
        <w:t>材料，</w:t>
      </w:r>
      <w:r>
        <w:rPr>
          <w:rFonts w:hint="eastAsia" w:ascii="仿宋_GB2312" w:hAnsi="仿宋_GB2312" w:cs="仿宋_GB2312"/>
          <w:color w:val="auto"/>
          <w:sz w:val="32"/>
          <w:szCs w:val="32"/>
          <w:lang w:val="en-US" w:eastAsia="zh-CN"/>
        </w:rPr>
        <w:t>于9月底前将报送我厅。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0000FF"/>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Lines="0" w:line="600" w:lineRule="exact"/>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cs="仿宋_GB2312"/>
          <w:color w:val="auto"/>
          <w:sz w:val="32"/>
          <w:szCs w:val="32"/>
          <w:highlight w:val="none"/>
          <w:lang w:val="en-US" w:eastAsia="zh-CN" w:bidi="ar-SA"/>
        </w:rPr>
        <w:t>“回头看”</w:t>
      </w:r>
      <w:r>
        <w:rPr>
          <w:rFonts w:hint="eastAsia" w:ascii="仿宋_GB2312" w:hAnsi="仿宋_GB2312" w:eastAsia="仿宋_GB2312" w:cs="仿宋_GB2312"/>
          <w:color w:val="auto"/>
          <w:sz w:val="32"/>
          <w:szCs w:val="32"/>
          <w:highlight w:val="none"/>
          <w:lang w:val="en-US" w:eastAsia="zh-CN" w:bidi="ar-SA"/>
        </w:rPr>
        <w:t>联络员名单回执</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0"/>
        <w:jc w:val="right"/>
        <w:textAlignment w:val="auto"/>
        <w:outlineLvl w:val="9"/>
        <w:rPr>
          <w:rFonts w:hint="eastAsia" w:ascii="仿宋_GB2312" w:hAnsi="仿宋_GB2312" w:eastAsia="仿宋_GB2312" w:cs="Courier New"/>
          <w:color w:val="auto"/>
          <w:kern w:val="0"/>
          <w:sz w:val="32"/>
          <w:szCs w:val="32"/>
          <w:highlight w:val="none"/>
          <w:lang w:val="en-US" w:eastAsia="zh-CN" w:bidi="ar-SA"/>
        </w:rPr>
      </w:pPr>
    </w:p>
    <w:p>
      <w:pPr>
        <w:pStyle w:val="2"/>
        <w:wordWrap/>
        <w:rPr>
          <w:rFonts w:hint="eastAsia" w:ascii="仿宋_GB2312" w:hAnsi="仿宋_GB2312" w:eastAsia="仿宋_GB2312" w:cs="Courier New"/>
          <w:color w:val="auto"/>
          <w:kern w:val="0"/>
          <w:sz w:val="32"/>
          <w:szCs w:val="32"/>
          <w:highlight w:val="none"/>
          <w:lang w:val="en-US" w:eastAsia="zh-CN" w:bidi="ar-SA"/>
        </w:rPr>
      </w:pPr>
    </w:p>
    <w:p>
      <w:pPr>
        <w:pStyle w:val="3"/>
        <w:rPr>
          <w:rFonts w:hint="eastAsia" w:ascii="仿宋_GB2312" w:hAnsi="仿宋_GB2312" w:eastAsia="仿宋_GB2312" w:cs="Courier New"/>
          <w:color w:val="auto"/>
          <w:kern w:val="0"/>
          <w:sz w:val="32"/>
          <w:szCs w:val="32"/>
          <w:highlight w:val="none"/>
          <w:lang w:val="en-US" w:eastAsia="zh-CN" w:bidi="ar-SA"/>
        </w:rPr>
      </w:pPr>
    </w:p>
    <w:p>
      <w:pPr>
        <w:rPr>
          <w:rFonts w:hint="eastAsia" w:ascii="仿宋_GB2312" w:hAnsi="仿宋_GB2312" w:eastAsia="仿宋_GB2312" w:cs="Courier New"/>
          <w:color w:val="auto"/>
          <w:kern w:val="0"/>
          <w:sz w:val="32"/>
          <w:szCs w:val="32"/>
          <w:highlight w:val="none"/>
          <w:lang w:val="en-US" w:eastAsia="zh-CN" w:bidi="ar-SA"/>
        </w:rPr>
      </w:pPr>
    </w:p>
    <w:p>
      <w:pPr>
        <w:pStyle w:val="2"/>
        <w:rPr>
          <w:rFonts w:hint="eastAsia"/>
          <w:color w:val="auto"/>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0"/>
        <w:jc w:val="right"/>
        <w:textAlignment w:val="auto"/>
        <w:outlineLvl w:val="9"/>
        <w:rPr>
          <w:rFonts w:hint="eastAsia" w:ascii="仿宋_GB2312" w:hAnsi="仿宋_GB2312" w:eastAsia="仿宋_GB2312" w:cs="Courier New"/>
          <w:color w:val="auto"/>
          <w:kern w:val="0"/>
          <w:sz w:val="32"/>
          <w:szCs w:val="32"/>
          <w:highlight w:val="none"/>
          <w:lang w:val="en-US" w:eastAsia="zh-CN" w:bidi="ar-SA"/>
        </w:rPr>
      </w:pPr>
      <w:r>
        <w:rPr>
          <w:rFonts w:hint="eastAsia" w:ascii="仿宋_GB2312" w:hAnsi="仿宋_GB2312" w:eastAsia="仿宋_GB2312" w:cs="Courier New"/>
          <w:color w:val="auto"/>
          <w:kern w:val="0"/>
          <w:sz w:val="32"/>
          <w:szCs w:val="32"/>
          <w:highlight w:val="none"/>
          <w:lang w:val="en-US" w:eastAsia="zh-CN" w:bidi="ar-SA"/>
        </w:rPr>
        <w:t xml:space="preserve">广东省住房和城乡建设厅    </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Courier New"/>
          <w:color w:val="auto"/>
          <w:kern w:val="0"/>
          <w:sz w:val="32"/>
          <w:szCs w:val="32"/>
          <w:highlight w:val="none"/>
          <w:lang w:val="en-US" w:eastAsia="zh-CN" w:bidi="ar-SA"/>
        </w:rPr>
      </w:pPr>
      <w:r>
        <w:rPr>
          <w:rFonts w:hint="eastAsia" w:ascii="仿宋_GB2312" w:hAnsi="仿宋_GB2312" w:eastAsia="仿宋_GB2312" w:cs="Courier New"/>
          <w:color w:val="auto"/>
          <w:kern w:val="0"/>
          <w:sz w:val="32"/>
          <w:szCs w:val="32"/>
          <w:highlight w:val="none"/>
          <w:lang w:val="en-US" w:eastAsia="zh-CN" w:bidi="ar-SA"/>
        </w:rPr>
        <w:t xml:space="preserve">                          2022年</w:t>
      </w:r>
      <w:r>
        <w:rPr>
          <w:rFonts w:hint="eastAsia" w:ascii="仿宋_GB2312" w:hAnsi="仿宋_GB2312" w:cs="Courier New"/>
          <w:color w:val="auto"/>
          <w:kern w:val="0"/>
          <w:sz w:val="32"/>
          <w:szCs w:val="32"/>
          <w:highlight w:val="none"/>
          <w:lang w:val="en-US" w:eastAsia="zh-CN" w:bidi="ar-SA"/>
        </w:rPr>
        <w:t>8</w:t>
      </w:r>
      <w:r>
        <w:rPr>
          <w:rFonts w:hint="eastAsia" w:ascii="仿宋_GB2312" w:hAnsi="仿宋_GB2312" w:eastAsia="仿宋_GB2312" w:cs="Courier New"/>
          <w:color w:val="auto"/>
          <w:kern w:val="0"/>
          <w:sz w:val="32"/>
          <w:szCs w:val="32"/>
          <w:highlight w:val="none"/>
          <w:lang w:val="en-US" w:eastAsia="zh-CN" w:bidi="ar-SA"/>
        </w:rPr>
        <w:t>月</w:t>
      </w:r>
      <w:r>
        <w:rPr>
          <w:rFonts w:hint="eastAsia" w:ascii="仿宋_GB2312" w:hAnsi="仿宋_GB2312" w:cs="Courier New"/>
          <w:color w:val="auto"/>
          <w:kern w:val="0"/>
          <w:sz w:val="32"/>
          <w:szCs w:val="32"/>
          <w:highlight w:val="none"/>
          <w:lang w:val="en-US" w:eastAsia="zh-CN" w:bidi="ar-SA"/>
        </w:rPr>
        <w:t>16</w:t>
      </w:r>
      <w:r>
        <w:rPr>
          <w:rFonts w:hint="eastAsia" w:ascii="仿宋_GB2312" w:hAnsi="仿宋_GB2312" w:eastAsia="仿宋_GB2312" w:cs="Courier New"/>
          <w:color w:val="auto"/>
          <w:kern w:val="0"/>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lang w:val="en-US" w:eastAsia="zh-CN" w:bidi="ar-SA"/>
        </w:rPr>
      </w:pPr>
      <w:r>
        <w:rPr>
          <w:rFonts w:hint="eastAsia" w:ascii="仿宋_GB2312" w:hAnsi="仿宋_GB2312" w:eastAsia="仿宋_GB2312" w:cs="仿宋_GB2312"/>
          <w:b w:val="0"/>
          <w:bCs w:val="0"/>
          <w:i w:val="0"/>
          <w:iCs w:val="0"/>
          <w:color w:val="auto"/>
          <w:sz w:val="32"/>
          <w:szCs w:val="32"/>
          <w:highlight w:val="none"/>
          <w:lang w:val="en-US" w:eastAsia="zh-CN" w:bidi="ar-SA"/>
        </w:rPr>
        <w:t>（联系人：</w:t>
      </w:r>
      <w:r>
        <w:rPr>
          <w:rFonts w:hint="eastAsia" w:ascii="仿宋_GB2312" w:hAnsi="仿宋_GB2312" w:cs="仿宋_GB2312"/>
          <w:b w:val="0"/>
          <w:bCs w:val="0"/>
          <w:i w:val="0"/>
          <w:iCs w:val="0"/>
          <w:color w:val="auto"/>
          <w:sz w:val="32"/>
          <w:szCs w:val="32"/>
          <w:highlight w:val="none"/>
          <w:lang w:val="en-US" w:eastAsia="zh-CN" w:bidi="ar-SA"/>
        </w:rPr>
        <w:t>张瑜</w:t>
      </w:r>
      <w:r>
        <w:rPr>
          <w:rFonts w:hint="eastAsia" w:ascii="仿宋_GB2312" w:hAnsi="仿宋_GB2312" w:eastAsia="仿宋_GB2312" w:cs="仿宋_GB2312"/>
          <w:b w:val="0"/>
          <w:bCs w:val="0"/>
          <w:i w:val="0"/>
          <w:iCs w:val="0"/>
          <w:color w:val="auto"/>
          <w:sz w:val="32"/>
          <w:szCs w:val="32"/>
          <w:highlight w:val="none"/>
          <w:lang w:val="en-US" w:eastAsia="zh-CN" w:bidi="ar-SA"/>
        </w:rPr>
        <w:t>，联系电话：020-83133</w:t>
      </w:r>
      <w:r>
        <w:rPr>
          <w:rFonts w:hint="eastAsia" w:ascii="仿宋_GB2312" w:hAnsi="仿宋_GB2312" w:cs="仿宋_GB2312"/>
          <w:b w:val="0"/>
          <w:bCs w:val="0"/>
          <w:i w:val="0"/>
          <w:iCs w:val="0"/>
          <w:color w:val="auto"/>
          <w:sz w:val="32"/>
          <w:szCs w:val="32"/>
          <w:highlight w:val="none"/>
          <w:lang w:val="en-US" w:eastAsia="zh-CN" w:bidi="ar-SA"/>
        </w:rPr>
        <w:t>711</w:t>
      </w:r>
      <w:r>
        <w:rPr>
          <w:rFonts w:hint="eastAsia" w:ascii="仿宋_GB2312" w:hAnsi="仿宋_GB2312" w:eastAsia="仿宋_GB2312" w:cs="仿宋_GB2312"/>
          <w:b w:val="0"/>
          <w:bCs w:val="0"/>
          <w:i w:val="0"/>
          <w:iCs w:val="0"/>
          <w:color w:val="auto"/>
          <w:sz w:val="32"/>
          <w:szCs w:val="32"/>
          <w:highlight w:val="none"/>
          <w:lang w:val="en-US" w:eastAsia="zh-CN" w:bidi="ar-SA"/>
        </w:rPr>
        <w:t>，电子邮箱：jt_zac@gd.gov.cn</w:t>
      </w:r>
      <w:r>
        <w:rPr>
          <w:rFonts w:hint="eastAsia" w:ascii="仿宋_GB2312" w:hAnsi="仿宋_GB2312" w:eastAsia="仿宋_GB2312" w:cs="仿宋_GB2312"/>
          <w:b w:val="0"/>
          <w:bCs w:val="0"/>
          <w:i w:val="0"/>
          <w:iCs w:val="0"/>
          <w:color w:val="auto"/>
          <w:sz w:val="32"/>
          <w:szCs w:val="32"/>
          <w:highlight w:val="none"/>
          <w:u w:val="none"/>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Courier New"/>
          <w:color w:val="auto"/>
          <w:kern w:val="0"/>
          <w:sz w:val="32"/>
          <w:szCs w:val="32"/>
          <w:highlight w:val="none"/>
          <w:lang w:val="en-US" w:eastAsia="zh-CN" w:bidi="ar-SA"/>
        </w:rPr>
      </w:pPr>
    </w:p>
    <w:p>
      <w:pPr>
        <w:rPr>
          <w:rFonts w:hint="eastAsia"/>
          <w:color w:val="auto"/>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both"/>
        <w:textAlignment w:val="auto"/>
        <w:outlineLvl w:val="9"/>
        <w:rPr>
          <w:rFonts w:hint="eastAsia" w:ascii="黑体" w:hAnsi="黑体" w:eastAsia="黑体" w:cs="Times New Roman"/>
          <w:color w:val="auto"/>
          <w:kern w:val="0"/>
          <w:sz w:val="32"/>
          <w:szCs w:val="32"/>
          <w:highlight w:val="none"/>
          <w:lang w:val="en-US" w:eastAsia="zh-CN" w:bidi="ar-SA"/>
        </w:rPr>
      </w:pPr>
      <w:r>
        <w:rPr>
          <w:rFonts w:hint="eastAsia" w:ascii="黑体" w:hAnsi="黑体" w:eastAsia="黑体" w:cs="Times New Roman"/>
          <w:color w:val="auto"/>
          <w:kern w:val="0"/>
          <w:sz w:val="32"/>
          <w:szCs w:val="32"/>
          <w:highlight w:val="none"/>
          <w:lang w:val="en-US" w:eastAsia="zh-CN" w:bidi="ar-SA"/>
        </w:rPr>
        <w:t>公开方式：主动公开</w:t>
      </w:r>
    </w:p>
    <w:p>
      <w:pPr>
        <w:rPr>
          <w:rFonts w:hint="eastAsia" w:ascii="黑体" w:hAnsi="黑体" w:eastAsia="黑体" w:cs="Times New Roman"/>
          <w:color w:val="auto"/>
          <w:kern w:val="0"/>
          <w:sz w:val="32"/>
          <w:szCs w:val="32"/>
          <w:highlight w:val="none"/>
          <w:lang w:val="en-US" w:eastAsia="zh-CN" w:bidi="ar-SA"/>
        </w:rPr>
      </w:pPr>
      <w:r>
        <w:rPr>
          <w:rFonts w:hint="eastAsia" w:ascii="黑体" w:hAnsi="黑体" w:eastAsia="黑体" w:cs="Times New Roman"/>
          <w:color w:val="auto"/>
          <w:kern w:val="0"/>
          <w:sz w:val="32"/>
          <w:szCs w:val="32"/>
          <w:highlight w:val="none"/>
          <w:lang w:val="en-US" w:eastAsia="zh-CN" w:bidi="ar-SA"/>
        </w:rPr>
        <w:br w:type="page"/>
      </w:r>
    </w:p>
    <w:p>
      <w:pPr>
        <w:pStyle w:val="2"/>
        <w:rPr>
          <w:rFonts w:hint="eastAsia"/>
          <w:color w:val="auto"/>
          <w:lang w:val="en-US" w:eastAsia="zh-CN"/>
        </w:rPr>
      </w:pPr>
    </w:p>
    <w:p>
      <w:pPr>
        <w:spacing w:beforeLines="0" w:afterLines="0" w:line="600" w:lineRule="exact"/>
        <w:jc w:val="left"/>
        <w:rPr>
          <w:rFonts w:hint="eastAsia" w:ascii="方正小标宋简体" w:hAnsi="方正小标宋简体" w:eastAsia="方正小标宋简体" w:cs="方正小标宋简体"/>
          <w:color w:val="auto"/>
          <w:sz w:val="44"/>
          <w:szCs w:val="44"/>
          <w:highlight w:val="none"/>
          <w:lang w:val="en-US" w:eastAsia="zh-CN" w:bidi="ar-SA"/>
        </w:rPr>
      </w:pPr>
      <w:r>
        <w:rPr>
          <w:rFonts w:hint="eastAsia" w:ascii="黑体" w:hAnsi="黑体" w:eastAsia="黑体" w:cs="黑体"/>
          <w:color w:val="auto"/>
          <w:kern w:val="2"/>
          <w:sz w:val="32"/>
          <w:szCs w:val="32"/>
          <w:lang w:val="en-US" w:eastAsia="zh-CN" w:bidi="ar-SA"/>
        </w:rPr>
        <w:t>附</w:t>
      </w:r>
      <w:r>
        <w:rPr>
          <w:rFonts w:hint="eastAsia" w:ascii="黑体" w:hAnsi="黑体" w:eastAsia="黑体" w:cs="黑体"/>
          <w:color w:val="auto"/>
          <w:kern w:val="2"/>
          <w:sz w:val="32"/>
          <w:szCs w:val="32"/>
          <w:lang w:val="en-US" w:eastAsia="zh-CN" w:bidi="ar-SA"/>
        </w:rPr>
        <w:t>件</w:t>
      </w:r>
    </w:p>
    <w:p>
      <w:pPr>
        <w:spacing w:beforeLines="0" w:afterLines="0" w:line="600" w:lineRule="exact"/>
        <w:jc w:val="center"/>
        <w:rPr>
          <w:rFonts w:hint="eastAsia" w:ascii="方正小标宋简体" w:hAnsi="方正小标宋简体" w:eastAsia="方正小标宋简体" w:cs="方正小标宋简体"/>
          <w:b w:val="0"/>
          <w:bCs w:val="0"/>
          <w:color w:val="auto"/>
          <w:sz w:val="44"/>
          <w:szCs w:val="44"/>
          <w:highlight w:val="none"/>
          <w:lang w:eastAsia="zh-CN" w:bidi="ar-SA"/>
        </w:rPr>
      </w:pPr>
      <w:r>
        <w:rPr>
          <w:rFonts w:hint="eastAsia" w:ascii="方正小标宋简体" w:hAnsi="方正小标宋简体" w:eastAsia="方正小标宋简体" w:cs="方正小标宋简体"/>
          <w:color w:val="auto"/>
          <w:sz w:val="44"/>
          <w:szCs w:val="44"/>
          <w:highlight w:val="none"/>
          <w:lang w:val="en-US" w:eastAsia="zh-CN" w:bidi="ar-SA"/>
        </w:rPr>
        <w:t>“回头看”检查</w:t>
      </w:r>
      <w:r>
        <w:rPr>
          <w:rFonts w:hint="eastAsia" w:ascii="方正小标宋简体" w:hAnsi="方正小标宋简体" w:eastAsia="方正小标宋简体" w:cs="方正小标宋简体"/>
          <w:b w:val="0"/>
          <w:bCs w:val="0"/>
          <w:color w:val="auto"/>
          <w:sz w:val="44"/>
          <w:szCs w:val="44"/>
          <w:highlight w:val="none"/>
          <w:lang w:eastAsia="zh-CN" w:bidi="ar-SA"/>
        </w:rPr>
        <w:t>联络员名单回执</w:t>
      </w:r>
    </w:p>
    <w:p>
      <w:pPr>
        <w:spacing w:beforeLines="0" w:afterLines="0" w:line="600" w:lineRule="exact"/>
        <w:jc w:val="both"/>
        <w:rPr>
          <w:rFonts w:hint="eastAsia" w:ascii="宋体" w:hAnsi="宋体" w:cs="宋体"/>
          <w:b w:val="0"/>
          <w:bCs w:val="0"/>
          <w:color w:val="auto"/>
          <w:sz w:val="32"/>
          <w:szCs w:val="32"/>
          <w:highlight w:val="none"/>
          <w:lang w:eastAsia="zh-CN" w:bidi="ar-SA"/>
        </w:rPr>
      </w:pPr>
    </w:p>
    <w:p>
      <w:pPr>
        <w:spacing w:beforeLines="0" w:afterLines="0" w:line="600" w:lineRule="exact"/>
        <w:jc w:val="both"/>
        <w:rPr>
          <w:rFonts w:hint="eastAsia" w:ascii="宋体" w:hAnsi="宋体" w:cs="宋体"/>
          <w:b w:val="0"/>
          <w:bCs w:val="0"/>
          <w:color w:val="auto"/>
          <w:sz w:val="32"/>
          <w:szCs w:val="32"/>
          <w:highlight w:val="none"/>
          <w:u w:val="single"/>
          <w:lang w:val="en-US" w:eastAsia="zh-CN" w:bidi="ar-SA"/>
        </w:rPr>
      </w:pPr>
      <w:r>
        <w:rPr>
          <w:rFonts w:hint="eastAsia" w:ascii="宋体" w:hAnsi="宋体" w:cs="宋体"/>
          <w:b w:val="0"/>
          <w:bCs w:val="0"/>
          <w:color w:val="auto"/>
          <w:sz w:val="32"/>
          <w:szCs w:val="32"/>
          <w:highlight w:val="none"/>
          <w:lang w:eastAsia="zh-CN" w:bidi="ar-SA"/>
        </w:rPr>
        <w:t>填报单位：</w:t>
      </w:r>
      <w:r>
        <w:rPr>
          <w:rFonts w:hint="eastAsia" w:ascii="宋体" w:hAnsi="宋体" w:cs="宋体"/>
          <w:b w:val="0"/>
          <w:bCs w:val="0"/>
          <w:color w:val="auto"/>
          <w:sz w:val="32"/>
          <w:szCs w:val="32"/>
          <w:highlight w:val="none"/>
          <w:u w:val="single"/>
          <w:lang w:val="en-US" w:eastAsia="zh-CN" w:bidi="ar-SA"/>
        </w:rPr>
        <w:t xml:space="preserve">           </w:t>
      </w:r>
    </w:p>
    <w:tbl>
      <w:tblPr>
        <w:tblStyle w:val="14"/>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317"/>
        <w:gridCol w:w="2428"/>
        <w:gridCol w:w="240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r>
              <w:rPr>
                <w:rFonts w:hint="eastAsia" w:ascii="Calibri" w:hAnsi="Calibri" w:cs="Times New Roman"/>
                <w:b/>
                <w:bCs/>
                <w:color w:val="auto"/>
                <w:sz w:val="28"/>
                <w:szCs w:val="28"/>
                <w:highlight w:val="none"/>
                <w:vertAlign w:val="baseline"/>
                <w:lang w:eastAsia="zh-CN" w:bidi="ar-SA"/>
              </w:rPr>
              <w:t>序号</w:t>
            </w:r>
          </w:p>
        </w:tc>
        <w:tc>
          <w:tcPr>
            <w:tcW w:w="2317"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r>
              <w:rPr>
                <w:rFonts w:hint="eastAsia" w:ascii="Calibri" w:hAnsi="Calibri" w:cs="Times New Roman"/>
                <w:b/>
                <w:bCs/>
                <w:color w:val="auto"/>
                <w:sz w:val="28"/>
                <w:szCs w:val="28"/>
                <w:highlight w:val="none"/>
                <w:vertAlign w:val="baseline"/>
                <w:lang w:eastAsia="zh-CN" w:bidi="ar-SA"/>
              </w:rPr>
              <w:t>姓名</w:t>
            </w:r>
          </w:p>
        </w:tc>
        <w:tc>
          <w:tcPr>
            <w:tcW w:w="2428"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r>
              <w:rPr>
                <w:rFonts w:hint="eastAsia" w:ascii="Calibri" w:hAnsi="Calibri" w:cs="Times New Roman"/>
                <w:b/>
                <w:bCs/>
                <w:color w:val="auto"/>
                <w:sz w:val="28"/>
                <w:szCs w:val="28"/>
                <w:highlight w:val="none"/>
                <w:vertAlign w:val="baseline"/>
                <w:lang w:eastAsia="zh-CN" w:bidi="ar-SA"/>
              </w:rPr>
              <w:t>单位及职务</w:t>
            </w:r>
          </w:p>
        </w:tc>
        <w:tc>
          <w:tcPr>
            <w:tcW w:w="2400"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r>
              <w:rPr>
                <w:rFonts w:hint="eastAsia" w:ascii="Calibri" w:hAnsi="Calibri" w:cs="Times New Roman"/>
                <w:b/>
                <w:bCs/>
                <w:color w:val="auto"/>
                <w:sz w:val="28"/>
                <w:szCs w:val="28"/>
                <w:highlight w:val="none"/>
                <w:vertAlign w:val="baseline"/>
                <w:lang w:eastAsia="zh-CN" w:bidi="ar-SA"/>
              </w:rPr>
              <w:t>联系</w:t>
            </w:r>
            <w:r>
              <w:rPr>
                <w:rFonts w:hint="eastAsia" w:ascii="Calibri" w:hAnsi="Calibri" w:cs="Times New Roman"/>
                <w:b/>
                <w:bCs/>
                <w:color w:val="auto"/>
                <w:sz w:val="28"/>
                <w:szCs w:val="28"/>
                <w:highlight w:val="none"/>
                <w:vertAlign w:val="baseline"/>
                <w:lang w:val="en-US" w:eastAsia="zh-CN" w:bidi="ar-SA"/>
              </w:rPr>
              <w:t>电话</w:t>
            </w:r>
          </w:p>
        </w:tc>
        <w:tc>
          <w:tcPr>
            <w:tcW w:w="1850"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r>
              <w:rPr>
                <w:rFonts w:hint="eastAsia" w:ascii="Calibri" w:hAnsi="Calibri" w:cs="Times New Roman"/>
                <w:b/>
                <w:bCs/>
                <w:color w:val="auto"/>
                <w:sz w:val="28"/>
                <w:szCs w:val="28"/>
                <w:highlight w:val="none"/>
                <w:vertAlign w:val="baseline"/>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spacing w:beforeLines="0" w:afterLines="0" w:line="600" w:lineRule="exact"/>
              <w:jc w:val="center"/>
              <w:rPr>
                <w:rFonts w:hint="default" w:ascii="Calibri" w:hAnsi="Calibri" w:cs="Times New Roman"/>
                <w:b/>
                <w:bCs/>
                <w:color w:val="auto"/>
                <w:sz w:val="28"/>
                <w:szCs w:val="28"/>
                <w:highlight w:val="none"/>
                <w:vertAlign w:val="baseline"/>
                <w:lang w:val="en-US" w:eastAsia="zh-CN" w:bidi="ar-SA"/>
              </w:rPr>
            </w:pPr>
          </w:p>
        </w:tc>
        <w:tc>
          <w:tcPr>
            <w:tcW w:w="2317"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p>
        </w:tc>
        <w:tc>
          <w:tcPr>
            <w:tcW w:w="2428"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p>
        </w:tc>
        <w:tc>
          <w:tcPr>
            <w:tcW w:w="2400" w:type="dxa"/>
            <w:noWrap w:val="0"/>
            <w:vAlign w:val="center"/>
          </w:tcPr>
          <w:p>
            <w:pPr>
              <w:spacing w:beforeLines="0" w:afterLines="0" w:line="600" w:lineRule="exact"/>
              <w:jc w:val="center"/>
              <w:rPr>
                <w:rFonts w:hint="default" w:ascii="Calibri" w:hAnsi="Calibri" w:cs="Times New Roman"/>
                <w:b/>
                <w:bCs/>
                <w:color w:val="auto"/>
                <w:sz w:val="28"/>
                <w:szCs w:val="28"/>
                <w:highlight w:val="none"/>
                <w:vertAlign w:val="baseline"/>
                <w:lang w:val="en-US" w:eastAsia="zh-CN" w:bidi="ar-SA"/>
              </w:rPr>
            </w:pPr>
          </w:p>
        </w:tc>
        <w:tc>
          <w:tcPr>
            <w:tcW w:w="1850" w:type="dxa"/>
            <w:noWrap w:val="0"/>
            <w:vAlign w:val="center"/>
          </w:tcPr>
          <w:p>
            <w:pPr>
              <w:spacing w:beforeLines="0" w:afterLines="0" w:line="600" w:lineRule="exact"/>
              <w:jc w:val="center"/>
              <w:rPr>
                <w:rFonts w:hint="eastAsia" w:ascii="Calibri" w:hAnsi="Calibri" w:cs="Times New Roman"/>
                <w:b/>
                <w:bCs/>
                <w:color w:val="auto"/>
                <w:sz w:val="28"/>
                <w:szCs w:val="28"/>
                <w:highlight w:val="none"/>
                <w:vertAlign w:val="baseline"/>
                <w:lang w:eastAsia="zh-CN" w:bidi="ar-SA"/>
              </w:rPr>
            </w:pPr>
          </w:p>
        </w:tc>
      </w:tr>
    </w:tbl>
    <w:p>
      <w:pPr>
        <w:spacing w:beforeLines="0" w:afterLines="0" w:line="600" w:lineRule="exact"/>
        <w:jc w:val="both"/>
        <w:rPr>
          <w:rFonts w:hint="eastAsia" w:ascii="宋体" w:hAnsi="宋体" w:cs="宋体"/>
          <w:b w:val="0"/>
          <w:bCs w:val="0"/>
          <w:color w:val="auto"/>
          <w:sz w:val="28"/>
          <w:szCs w:val="36"/>
          <w:highlight w:val="none"/>
          <w:u w:val="single"/>
          <w:lang w:val="en-US" w:eastAsia="zh-CN" w:bidi="ar-SA"/>
        </w:rPr>
      </w:pPr>
    </w:p>
    <w:p>
      <w:pPr>
        <w:spacing w:beforeLines="0" w:afterLines="0" w:line="600" w:lineRule="exact"/>
        <w:jc w:val="center"/>
        <w:rPr>
          <w:rFonts w:hint="eastAsia" w:ascii="小标宋" w:hAnsi="小标宋" w:eastAsia="小标宋" w:cs="小标宋"/>
          <w:color w:val="auto"/>
          <w:sz w:val="44"/>
          <w:szCs w:val="44"/>
          <w:highlight w:val="none"/>
          <w:lang w:val="en-US" w:eastAsia="zh-CN" w:bidi="ar-SA"/>
        </w:rPr>
      </w:pPr>
    </w:p>
    <w:p>
      <w:pPr>
        <w:rPr>
          <w:rFonts w:hint="default" w:ascii="仿宋_GB2312" w:hAnsi="仿宋_GB2312" w:cs="仿宋_GB2312"/>
          <w:color w:val="auto"/>
          <w:kern w:val="2"/>
          <w:sz w:val="32"/>
          <w:szCs w:val="32"/>
          <w:lang w:val="en-US" w:eastAsia="zh-CN" w:bidi="ar-SA"/>
        </w:rPr>
      </w:pPr>
      <w:bookmarkStart w:id="0" w:name="_GoBack"/>
      <w:bookmarkEnd w:id="0"/>
    </w:p>
    <w:sectPr>
      <w:headerReference r:id="rId3" w:type="default"/>
      <w:footerReference r:id="rId4" w:type="default"/>
      <w:pgSz w:w="11906" w:h="16838"/>
      <w:pgMar w:top="164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E499E"/>
    <w:multiLevelType w:val="singleLevel"/>
    <w:tmpl w:val="D26E49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2IyZDMxODU5Mzc5MTE3ZGFmYzI3ZWMwYzJmZGMifQ=="/>
  </w:docVars>
  <w:rsids>
    <w:rsidRoot w:val="00000000"/>
    <w:rsid w:val="010F5AF2"/>
    <w:rsid w:val="01D55E61"/>
    <w:rsid w:val="02200278"/>
    <w:rsid w:val="03045A22"/>
    <w:rsid w:val="03C758CE"/>
    <w:rsid w:val="04747C75"/>
    <w:rsid w:val="05322502"/>
    <w:rsid w:val="058C553E"/>
    <w:rsid w:val="0594567E"/>
    <w:rsid w:val="05A221EF"/>
    <w:rsid w:val="060E4413"/>
    <w:rsid w:val="064D1609"/>
    <w:rsid w:val="084B123E"/>
    <w:rsid w:val="086361E7"/>
    <w:rsid w:val="08BB1CB7"/>
    <w:rsid w:val="08D12446"/>
    <w:rsid w:val="08D35810"/>
    <w:rsid w:val="097D1795"/>
    <w:rsid w:val="09D03E9D"/>
    <w:rsid w:val="0A231AF0"/>
    <w:rsid w:val="0BA67A50"/>
    <w:rsid w:val="0BC4345C"/>
    <w:rsid w:val="0C144A90"/>
    <w:rsid w:val="0C5923C0"/>
    <w:rsid w:val="0DB21EFF"/>
    <w:rsid w:val="0DD56120"/>
    <w:rsid w:val="10AF7D90"/>
    <w:rsid w:val="10BA6F31"/>
    <w:rsid w:val="10CC4302"/>
    <w:rsid w:val="13986D91"/>
    <w:rsid w:val="13A13669"/>
    <w:rsid w:val="13F91F7B"/>
    <w:rsid w:val="14423BAD"/>
    <w:rsid w:val="14A4262B"/>
    <w:rsid w:val="14AF1479"/>
    <w:rsid w:val="152820A4"/>
    <w:rsid w:val="15DF76FE"/>
    <w:rsid w:val="16817221"/>
    <w:rsid w:val="17A16F90"/>
    <w:rsid w:val="1957689E"/>
    <w:rsid w:val="199E21F5"/>
    <w:rsid w:val="19F8734E"/>
    <w:rsid w:val="1A3137F0"/>
    <w:rsid w:val="1A3146DE"/>
    <w:rsid w:val="1C604563"/>
    <w:rsid w:val="1CBA6C0D"/>
    <w:rsid w:val="1D1A515A"/>
    <w:rsid w:val="1D2E53CE"/>
    <w:rsid w:val="1DDA5495"/>
    <w:rsid w:val="1DF15122"/>
    <w:rsid w:val="1E1F5F8E"/>
    <w:rsid w:val="1E825E7A"/>
    <w:rsid w:val="1F2C09E5"/>
    <w:rsid w:val="1F6B796D"/>
    <w:rsid w:val="208435A0"/>
    <w:rsid w:val="211700D2"/>
    <w:rsid w:val="21800DD1"/>
    <w:rsid w:val="235B55B3"/>
    <w:rsid w:val="25116E08"/>
    <w:rsid w:val="25145D5F"/>
    <w:rsid w:val="25A03E3D"/>
    <w:rsid w:val="26AE6984"/>
    <w:rsid w:val="272F4C80"/>
    <w:rsid w:val="2A2A3694"/>
    <w:rsid w:val="2B5C7A0C"/>
    <w:rsid w:val="2C8A0522"/>
    <w:rsid w:val="2CD929E0"/>
    <w:rsid w:val="2D0D4B37"/>
    <w:rsid w:val="2D3021CE"/>
    <w:rsid w:val="2DAE4653"/>
    <w:rsid w:val="2DE00CFE"/>
    <w:rsid w:val="2DE57862"/>
    <w:rsid w:val="2DE643D6"/>
    <w:rsid w:val="2DFB7085"/>
    <w:rsid w:val="2E704675"/>
    <w:rsid w:val="309711BE"/>
    <w:rsid w:val="30B165FB"/>
    <w:rsid w:val="312973DB"/>
    <w:rsid w:val="31B1609E"/>
    <w:rsid w:val="322B315C"/>
    <w:rsid w:val="32E543DE"/>
    <w:rsid w:val="345F7729"/>
    <w:rsid w:val="349E7C7D"/>
    <w:rsid w:val="357E0CC8"/>
    <w:rsid w:val="35C67314"/>
    <w:rsid w:val="36524105"/>
    <w:rsid w:val="37A44B3C"/>
    <w:rsid w:val="38754BDC"/>
    <w:rsid w:val="39215EFE"/>
    <w:rsid w:val="392C6A92"/>
    <w:rsid w:val="39565AB7"/>
    <w:rsid w:val="398F2DFA"/>
    <w:rsid w:val="3A022263"/>
    <w:rsid w:val="3A914FF9"/>
    <w:rsid w:val="3BEA440E"/>
    <w:rsid w:val="3BF57EC4"/>
    <w:rsid w:val="3C20760F"/>
    <w:rsid w:val="3CA85A74"/>
    <w:rsid w:val="3D835C4B"/>
    <w:rsid w:val="3DB14A96"/>
    <w:rsid w:val="3DCA119A"/>
    <w:rsid w:val="3DEA6B9B"/>
    <w:rsid w:val="3E7BD45A"/>
    <w:rsid w:val="3E8566EF"/>
    <w:rsid w:val="3EAF182F"/>
    <w:rsid w:val="3ECB008D"/>
    <w:rsid w:val="3F4C365D"/>
    <w:rsid w:val="3FBF571E"/>
    <w:rsid w:val="3FF59678"/>
    <w:rsid w:val="4099578D"/>
    <w:rsid w:val="412F2F24"/>
    <w:rsid w:val="41B658A6"/>
    <w:rsid w:val="42415095"/>
    <w:rsid w:val="42C273F3"/>
    <w:rsid w:val="43580333"/>
    <w:rsid w:val="43E0654C"/>
    <w:rsid w:val="45430446"/>
    <w:rsid w:val="46526569"/>
    <w:rsid w:val="46D9135A"/>
    <w:rsid w:val="46E93408"/>
    <w:rsid w:val="47410BD1"/>
    <w:rsid w:val="4754277E"/>
    <w:rsid w:val="47BD6EF3"/>
    <w:rsid w:val="47C75610"/>
    <w:rsid w:val="47CC7F8B"/>
    <w:rsid w:val="481E2D3D"/>
    <w:rsid w:val="490D2FEF"/>
    <w:rsid w:val="49C30F0D"/>
    <w:rsid w:val="4BCB780C"/>
    <w:rsid w:val="4C421119"/>
    <w:rsid w:val="4C632662"/>
    <w:rsid w:val="4DA14012"/>
    <w:rsid w:val="4E93713A"/>
    <w:rsid w:val="4E9F055B"/>
    <w:rsid w:val="4FDA3A03"/>
    <w:rsid w:val="501740FE"/>
    <w:rsid w:val="502740FE"/>
    <w:rsid w:val="521E31BF"/>
    <w:rsid w:val="530D066A"/>
    <w:rsid w:val="535E70B4"/>
    <w:rsid w:val="53E63B9C"/>
    <w:rsid w:val="54462559"/>
    <w:rsid w:val="54B8251C"/>
    <w:rsid w:val="55ED56E3"/>
    <w:rsid w:val="566F6010"/>
    <w:rsid w:val="56A162BD"/>
    <w:rsid w:val="56AC2A00"/>
    <w:rsid w:val="56DD519B"/>
    <w:rsid w:val="57EC7D68"/>
    <w:rsid w:val="58067AE3"/>
    <w:rsid w:val="58FE24C5"/>
    <w:rsid w:val="59CF15B0"/>
    <w:rsid w:val="5A20384C"/>
    <w:rsid w:val="5A334A03"/>
    <w:rsid w:val="5B093F53"/>
    <w:rsid w:val="5DFA7B2C"/>
    <w:rsid w:val="5E0F7E5F"/>
    <w:rsid w:val="5F105C3D"/>
    <w:rsid w:val="5FAD5F1F"/>
    <w:rsid w:val="5FD67DBD"/>
    <w:rsid w:val="603E7E4C"/>
    <w:rsid w:val="62496CAA"/>
    <w:rsid w:val="64F26B3A"/>
    <w:rsid w:val="65531342"/>
    <w:rsid w:val="65A54FCE"/>
    <w:rsid w:val="663F32AC"/>
    <w:rsid w:val="67161140"/>
    <w:rsid w:val="689156ED"/>
    <w:rsid w:val="69DE2051"/>
    <w:rsid w:val="6AF7FE97"/>
    <w:rsid w:val="6BD274A3"/>
    <w:rsid w:val="6C220169"/>
    <w:rsid w:val="6DFDC814"/>
    <w:rsid w:val="6DFF4C2C"/>
    <w:rsid w:val="6E1A25B4"/>
    <w:rsid w:val="6E3F653F"/>
    <w:rsid w:val="6E9E491F"/>
    <w:rsid w:val="6F047A67"/>
    <w:rsid w:val="6F40431D"/>
    <w:rsid w:val="6FCF38F2"/>
    <w:rsid w:val="70950698"/>
    <w:rsid w:val="72091AB6"/>
    <w:rsid w:val="72CE41F4"/>
    <w:rsid w:val="74082F2F"/>
    <w:rsid w:val="74383357"/>
    <w:rsid w:val="743ED040"/>
    <w:rsid w:val="74FF660C"/>
    <w:rsid w:val="754632C7"/>
    <w:rsid w:val="75B462A3"/>
    <w:rsid w:val="7734248D"/>
    <w:rsid w:val="777459F4"/>
    <w:rsid w:val="78843AFF"/>
    <w:rsid w:val="7915245F"/>
    <w:rsid w:val="7A663F54"/>
    <w:rsid w:val="7ADB4F62"/>
    <w:rsid w:val="7B374C00"/>
    <w:rsid w:val="7B967F05"/>
    <w:rsid w:val="7BD1613C"/>
    <w:rsid w:val="7D8304FC"/>
    <w:rsid w:val="7DBE5AB2"/>
    <w:rsid w:val="7EBF623A"/>
    <w:rsid w:val="7EF3FCE2"/>
    <w:rsid w:val="7F755B6B"/>
    <w:rsid w:val="7FFB1A9F"/>
    <w:rsid w:val="AF57BCA6"/>
    <w:rsid w:val="BEFE4002"/>
    <w:rsid w:val="D95F7760"/>
    <w:rsid w:val="FFF5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Times New Roman" w:hAnsi="Times New Roman" w:eastAsia="仿宋_GB2312" w:cs="宋体"/>
      <w:kern w:val="2"/>
      <w:sz w:val="32"/>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ascii="Times New Roman" w:hAnsi="Times New Roman"/>
      <w:szCs w:val="24"/>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next w:val="1"/>
    <w:qFormat/>
    <w:uiPriority w:val="0"/>
    <w:pPr>
      <w:tabs>
        <w:tab w:val="center" w:pos="4153"/>
        <w:tab w:val="right" w:pos="8306"/>
      </w:tabs>
      <w:snapToGrid w:val="0"/>
      <w:jc w:val="left"/>
    </w:pPr>
    <w:rPr>
      <w:sz w:val="18"/>
    </w:rPr>
  </w:style>
  <w:style w:type="paragraph" w:styleId="6">
    <w:name w:val="Normal Indent"/>
    <w:basedOn w:val="1"/>
    <w:next w:val="1"/>
    <w:qFormat/>
    <w:uiPriority w:val="0"/>
    <w:pPr>
      <w:ind w:firstLine="420"/>
    </w:pPr>
    <w:rPr>
      <w:szCs w:val="24"/>
    </w:rPr>
  </w:style>
  <w:style w:type="paragraph" w:styleId="7">
    <w:name w:val="toa heading"/>
    <w:next w:val="1"/>
    <w:qFormat/>
    <w:uiPriority w:val="0"/>
    <w:pPr>
      <w:widowControl w:val="0"/>
      <w:spacing w:before="120" w:line="360" w:lineRule="auto"/>
      <w:ind w:firstLine="960" w:firstLineChars="200"/>
      <w:jc w:val="both"/>
    </w:pPr>
    <w:rPr>
      <w:rFonts w:ascii="Arial" w:hAnsi="Arial" w:eastAsia="仿宋" w:cs="Times New Roman"/>
      <w:color w:val="000000"/>
      <w:kern w:val="2"/>
      <w:sz w:val="30"/>
      <w:szCs w:val="20"/>
      <w:lang w:val="en-US" w:eastAsia="zh-CN"/>
    </w:rPr>
  </w:style>
  <w:style w:type="paragraph" w:styleId="8">
    <w:name w:val="Body Text Indent"/>
    <w:basedOn w:val="1"/>
    <w:next w:val="3"/>
    <w:qFormat/>
    <w:uiPriority w:val="0"/>
    <w:pPr>
      <w:spacing w:after="120"/>
      <w:ind w:left="420" w:leftChars="200"/>
    </w:pPr>
    <w:rPr>
      <w:rFonts w:ascii="Times New Roman" w:hAnsi="Times New Roman" w:eastAsia="宋体" w:cs="Times New Roman"/>
    </w:rPr>
  </w:style>
  <w:style w:type="paragraph" w:styleId="9">
    <w:name w:val="Plain Text"/>
    <w:basedOn w:val="1"/>
    <w:qFormat/>
    <w:uiPriority w:val="0"/>
    <w:rPr>
      <w:rFonts w:ascii="宋体" w:hAnsi="Courier New"/>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qFormat/>
    <w:uiPriority w:val="0"/>
    <w:pPr>
      <w:spacing w:after="0"/>
      <w:ind w:left="0" w:leftChars="0" w:firstLine="420" w:firstLineChars="200"/>
    </w:pPr>
    <w:rPr>
      <w:rFonts w:ascii="仿宋_GB2312" w:hAnsi="Times New Roman" w:eastAsia="宋体" w:cs="宋体"/>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7">
    <w:name w:val="Plain Text"/>
    <w:basedOn w:val="1"/>
    <w:next w:val="18"/>
    <w:qFormat/>
    <w:uiPriority w:val="0"/>
    <w:rPr>
      <w:rFonts w:ascii="宋体" w:hAnsi="Courier New" w:cs="Times New Roman"/>
      <w:sz w:val="30"/>
      <w:szCs w:val="22"/>
    </w:rPr>
  </w:style>
  <w:style w:type="paragraph" w:customStyle="1" w:styleId="18">
    <w:name w:val="index 8"/>
    <w:basedOn w:val="19"/>
    <w:next w:val="19"/>
    <w:qFormat/>
    <w:uiPriority w:val="0"/>
    <w:pPr>
      <w:ind w:left="2940"/>
    </w:pPr>
    <w:rPr>
      <w:rFonts w:ascii="Times New Roman" w:hAnsi="Times New Roman" w:eastAsia="宋体" w:cs="Times New Roman"/>
    </w:rPr>
  </w:style>
  <w:style w:type="paragraph" w:customStyle="1" w:styleId="19">
    <w:name w:val="正文 New New New New New New"/>
    <w:next w:val="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Plain Text1"/>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1229</Words>
  <Characters>1275</Characters>
  <Paragraphs>39</Paragraphs>
  <TotalTime>22</TotalTime>
  <ScaleCrop>false</ScaleCrop>
  <LinksUpToDate>false</LinksUpToDate>
  <CharactersWithSpaces>1277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2021-06-06T02:16:00Z</dcterms:created>
  <dc:creator>陈宇衡</dc:creator>
  <cp:lastModifiedBy>Joker</cp:lastModifiedBy>
  <cp:lastPrinted>2022-08-15T07:03:00Z</cp:lastPrinted>
  <dcterms:modified xsi:type="dcterms:W3CDTF">2022-08-18T03:22:55Z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d43e965abf5d43d99657de38b187c3e2</vt:lpwstr>
  </property>
  <property fmtid="{D5CDD505-2E9C-101B-9397-08002B2CF9AE}" pid="4" name="ribbonExt">
    <vt:lpwstr>{"WPSExtOfficeTab":{"OnGetEnabled":false,"OnGetVisible":false}}</vt:lpwstr>
  </property>
</Properties>
</file>