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sectPr>
      <w:pgSz w:w="11906" w:h="16838"/>
      <w:pgMar w:top="1440" w:right="1080" w:bottom="1440" w:left="1080" w:header="851" w:footer="992" w:gutter="0"/>
      <w:cols w:space="425" w:num="1"/>
      <w:docGrid w:type="lines" w:linePitch="312" w:charSpace="0"/>
    </w:sectPr>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20220723</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关于加强建筑装饰行业低碳发展的建议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曾滔,王传启,刘振,苏俊锋,陈炳强,胡宇舟,袁贵华,梁沪明,曾俊英,魏俊,丁宁,杨瑞</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12</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市住房和建设局(主办),建筑工务署</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一、相关背景及现状：</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2021年通过的“十四五”规划再次重申了“降低碳排放强度，支持有条件的地方率先达到碳排放峰值，制定2030年前碳排放达峰行动方案”，再次将“碳达峰、碳中和”工作提升至国家战略的高度。根据国际能源研究中心2020年度总结报告显示，建筑行业的碳排放高达全球碳排放总量的40%。</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2022年是“十四五”规划的承前启后之年，作为中国建筑装饰的行业发源地和产业聚集地的深圳，更应聚焦“碳达峰、碳中和”目标，推动相关工作目标的落地，加快完善建筑业对碳排放测量的相关法律法规。</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2021年10月13日，住房和城乡建设部正式发布了国家强制性规范《建筑节能与可再生能源利用通用规范》（GB55015-2021），要求建筑项目在可行性研究报告、建设方案和初步设计文件中应包含建筑碳排放分析报告，自2022年4月1日起强制实施。</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二、存在问题及主要原因：</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目前我国现行的关于建筑行业碳排放的国家标准《建筑碳排放计算标准》（GB/T51366-2019）中仅列出了土建类材料的碳排放因子和计算方法，未提及装饰类专用材料和机械的相关参数。使得建筑装饰行业实现碳排放测算的定额工作难以推进，因此急需制定并推行一套适用于建筑装饰行业的碳排放测算标准。</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筑装饰工程不仅包含材料多样，工艺复杂的内装工程，还包含幕墙、门窗、外保温围护结构等外装工程，其直接涉及建筑物的采光采暖性能的特点，也关系到建筑运行阶段的能耗（即碳排放）总量，将对建筑全生命周期的最终碳排放产生重大影响；由于装饰手法的风格多样性，用材可简可繁，碳排放量变化空间大，又是在建造环节的末端，对于建材生产和运输阶段的碳排放量有很大的调整空间。因此建筑装饰工程的碳排放是建筑碳排放的一个重要环节，不容忽视。</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三、具体建议：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建议政府积极建立建筑装饰低碳政策机制。作为国家先行示范区的深圳是我国建筑装饰行业的发源地，也是建筑装饰行业的产业聚集高地，是深圳市的传统优势行业，更应响应国家“十四五”规划中率先制定碳达峰行动方案，积极走低碳化发展的道路，让建筑装饰行业始终成为深圳的一面先进旗帜。</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（二）建议将目前的行业标准《建筑装饰碳排放计算标准》升级为深圳地方标准。2021年12月27日深圳市建筑装饰行业协会发布了全国第一部建筑装饰行业碳排放计算标准《建筑装饰碳排放计算标准》TSZZS 01 001-2021，此标准由四十多家深圳装饰企业和知名高校联合编制，填补了《建筑碳排放计算标准》（GB/T51366-2019）的空白领域，在建设工程中两部标准同时使用计算数据才更加完整、合理。《建筑装饰碳排放计算标准》结合建筑装饰工程的具体特征，对装饰工程全生命周期的各阶段碳排放计算标准进行了规定，并已在数十项示范工程中成功试行，是一部集创新性、全面性、落地性于一体建筑装饰工程碳排放计算标准。</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为保证深圳建筑碳排放计算工作有序、准确、高效地运行，彰显先行示范区特制，建议在政府投资项目中推广使用此标准。碳排放计算还处于起步阶段，各类数据匮乏，通过应用项目进行跟踪，收集数据，可以为后期深圳市碳定额、碳核查等工作提供数据支撑。</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embedRegular r:id="rId1" w:fontKey="{88DBBEFD-17D8-44EC-A45E-D69A32B5BC35}"/>
  </w:font>
  <w:font w:name="华文仿宋">
    <w:altName w:val="仿宋"/>
    <w:panose1 w:val="02010600040101010101"/>
    <w:charset w:val="86"/>
    <w:family w:val="auto"/>
    <w:pitch w:val="default"/>
    <w:sig w:usb0="00000000" w:usb1="0000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135C4AB7"/>
    <w:rsid w:val="2E6B6CDB"/>
    <w:rsid w:val="34D13498"/>
    <w:rsid w:val="5868390D"/>
    <w:rsid w:val="5C3F0ADB"/>
    <w:rsid w:val="5FFA2808"/>
    <w:rsid w:val="6A9261A1"/>
    <w:rsid w:val="70C647B1"/>
    <w:rsid w:val="735D052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2021-08-23T03:24:29Z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10F634061DD5441D9FDF4CD5054DF580</vt:lpwstr>
  </property>
</Properties>
</file>