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240" w:lineRule="auto"/>
        <w:rPr>
          <w:rFonts w:hint="eastAsia" w:ascii="仿宋_GB2312" w:hAnsi="仿宋_GB2312" w:eastAsia="仿宋_GB2312" w:cs="仿宋_GB2312"/>
          <w:b w:val="0"/>
          <w:sz w:val="32"/>
          <w:szCs w:val="32"/>
          <w:lang w:val="en-US" w:eastAsia="zh-CN"/>
        </w:rPr>
      </w:pPr>
      <w:r>
        <w:rPr>
          <w:rFonts w:hint="eastAsia" w:ascii="仿宋_GB2312" w:hAnsi="仿宋_GB2312" w:eastAsia="仿宋_GB2312" w:cs="仿宋_GB2312"/>
          <w:b/>
          <w:bCs/>
          <w:sz w:val="32"/>
          <w:lang w:val="en-US" w:eastAsia="zh-CN"/>
        </w:rPr>
        <w:t>密级：</w:t>
      </w:r>
      <w:r>
        <w:rPr>
          <w:rFonts w:hint="eastAsia" w:ascii="仿宋_GB2312" w:hAnsi="仿宋_GB2312" w:eastAsia="仿宋_GB2312" w:cs="仿宋_GB2312"/>
          <w:b w:val="0"/>
          <w:sz w:val="32"/>
          <w:szCs w:val="32"/>
          <w:lang w:val="en-US" w:eastAsia="zh-CN"/>
        </w:rPr>
        <w:t>公开</w:t>
      </w:r>
    </w:p>
    <w:p>
      <w:pPr>
        <w:spacing w:line="240" w:lineRule="auto"/>
        <w:rPr>
          <w:rFonts w:hint="eastAsia" w:ascii="仿宋_GB2312" w:hAnsi="仿宋_GB2312" w:eastAsia="仿宋_GB2312" w:cs="仿宋_GB2312"/>
          <w:b w:val="0"/>
          <w:sz w:val="32"/>
          <w:lang w:eastAsia="zh-CN"/>
        </w:rPr>
      </w:pPr>
      <w:bookmarkStart w:id="0" w:name="_GoBack"/>
      <w:bookmarkEnd w:id="0"/>
    </w:p>
    <w:p>
      <w:pPr>
        <w:spacing w:line="240" w:lineRule="auto"/>
        <w:rPr>
          <w:rFonts w:hint="eastAsia" w:ascii="仿宋_GB2312" w:hAnsi="仿宋_GB2312" w:eastAsia="仿宋_GB2312" w:cs="仿宋_GB2312"/>
          <w:b w:val="0"/>
          <w:sz w:val="32"/>
          <w:lang w:eastAsia="zh-CN"/>
        </w:rPr>
      </w:pPr>
      <w:r>
        <w:rPr>
          <w:rFonts w:hint="eastAsia" w:ascii="仿宋_GB2312" w:hAnsi="仿宋_GB2312" w:eastAsia="仿宋_GB2312" w:cs="仿宋_GB2312"/>
          <w:b w:val="0"/>
          <w:sz w:val="32"/>
          <w:szCs w:val="32"/>
          <w:lang w:val="en-US" w:eastAsia="zh-CN"/>
        </w:rPr>
        <w:t>建议</w:t>
      </w:r>
      <w:r>
        <w:rPr>
          <w:rFonts w:hint="eastAsia" w:ascii="仿宋_GB2312" w:hAnsi="仿宋_GB2312" w:eastAsia="仿宋_GB2312" w:cs="仿宋_GB2312"/>
          <w:b w:val="0"/>
          <w:sz w:val="32"/>
          <w:lang w:eastAsia="zh-CN"/>
        </w:rPr>
        <w:t>第</w:t>
      </w:r>
      <w:r>
        <w:rPr>
          <w:rFonts w:hint="eastAsia" w:ascii="仿宋_GB2312" w:hAnsi="仿宋_GB2312" w:eastAsia="仿宋_GB2312" w:cs="仿宋_GB2312"/>
          <w:b w:val="0"/>
          <w:sz w:val="28"/>
          <w:lang w:val="en-US" w:eastAsia="zh-CN"/>
        </w:rPr>
        <w:t>20220157</w:t>
      </w:r>
      <w:r>
        <w:rPr>
          <w:rFonts w:hint="eastAsia" w:ascii="仿宋_GB2312" w:hAnsi="仿宋_GB2312" w:eastAsia="仿宋_GB2312" w:cs="仿宋_GB2312"/>
          <w:b w:val="0"/>
          <w:sz w:val="32"/>
          <w:lang w:eastAsia="zh-CN"/>
        </w:rPr>
        <w:t>号</w:t>
      </w:r>
    </w:p>
    <w:p>
      <w:pPr>
        <w:spacing w:line="240" w:lineRule="auto"/>
        <w:ind w:left="1506" w:leftChars="0" w:right="0" w:rightChars="0" w:hanging="1506" w:hangingChars="500"/>
        <w:rPr>
          <w:rFonts w:hint="eastAsia" w:ascii="仿宋_GB2312" w:hAnsi="仿宋_GB2312" w:eastAsia="仿宋_GB2312" w:cs="仿宋_GB2312"/>
          <w:b w:val="0"/>
          <w:sz w:val="30"/>
          <w:szCs w:val="30"/>
          <w:lang w:eastAsia="zh-CN"/>
        </w:rPr>
      </w:pPr>
      <w:r>
        <w:rPr>
          <w:rFonts w:hint="eastAsia" w:ascii="仿宋_GB2312" w:hAnsi="仿宋_GB2312" w:eastAsia="仿宋_GB2312" w:cs="仿宋_GB2312"/>
          <w:b/>
          <w:bCs/>
          <w:sz w:val="30"/>
          <w:szCs w:val="30"/>
          <w:lang w:eastAsia="zh-CN"/>
        </w:rPr>
        <w:t>案    由</w:t>
      </w:r>
      <w:r>
        <w:rPr>
          <w:rFonts w:hint="eastAsia" w:ascii="仿宋_GB2312" w:hAnsi="仿宋_GB2312" w:eastAsia="仿宋_GB2312" w:cs="仿宋_GB2312"/>
          <w:b w:val="0"/>
          <w:sz w:val="30"/>
          <w:szCs w:val="30"/>
          <w:lang w:eastAsia="zh-CN"/>
        </w:rPr>
        <w:t>：</w:t>
      </w:r>
      <w:r>
        <w:rPr>
          <w:rFonts w:hint="eastAsia" w:ascii="仿宋_GB2312" w:hAnsi="仿宋_GB2312" w:eastAsia="仿宋_GB2312" w:cs="仿宋_GB2312"/>
          <w:b w:val="0"/>
          <w:sz w:val="30"/>
          <w:szCs w:val="30"/>
          <w:lang w:val="en-US" w:eastAsia="zh-CN"/>
        </w:rPr>
        <w:t>关于完善电动车综合治理与基础配套设施建设的建议</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提 出 人：</w:t>
      </w:r>
      <w:r>
        <w:rPr>
          <w:rFonts w:hint="eastAsia" w:ascii="仿宋_GB2312" w:hAnsi="仿宋_GB2312" w:eastAsia="仿宋_GB2312" w:cs="仿宋_GB2312"/>
          <w:b w:val="0"/>
          <w:sz w:val="32"/>
          <w:szCs w:val="32"/>
          <w:lang w:val="en-US" w:eastAsia="zh-CN"/>
        </w:rPr>
        <w:t>陈晓云,肖幼美,黄迈,李咏霞,闵齐双,梁真,王国彪,周创彬,王岚,周小荣,刘建琪,梁锐,郭丽英,吴清标,杨乐,陈启远,许少琼,罗江萍,吴刘菊兰,郭娟,张勉,杨瑞,宋涛,刘正</w:t>
      </w:r>
      <w:r>
        <w:rPr>
          <w:rFonts w:hint="eastAsia" w:ascii="仿宋_GB2312" w:hAnsi="仿宋_GB2312" w:eastAsia="仿宋_GB2312" w:cs="仿宋_GB2312"/>
          <w:b w:val="0"/>
          <w:sz w:val="32"/>
          <w:szCs w:val="32"/>
          <w:lang w:val="en-US" w:eastAsia="zh-CN"/>
        </w:rPr>
        <w:t>(共</w:t>
      </w:r>
      <w:r>
        <w:rPr>
          <w:rFonts w:hint="eastAsia" w:ascii="仿宋_GB2312" w:hAnsi="仿宋_GB2312" w:eastAsia="仿宋_GB2312" w:cs="仿宋_GB2312"/>
          <w:b w:val="0"/>
          <w:sz w:val="32"/>
          <w:szCs w:val="32"/>
          <w:lang w:val="en-US" w:eastAsia="zh-CN"/>
        </w:rPr>
        <w:t>24</w:t>
      </w:r>
      <w:r>
        <w:rPr>
          <w:rFonts w:hint="eastAsia" w:ascii="仿宋_GB2312" w:hAnsi="仿宋_GB2312" w:eastAsia="仿宋_GB2312" w:cs="仿宋_GB2312"/>
          <w:b w:val="0"/>
          <w:sz w:val="32"/>
          <w:szCs w:val="32"/>
          <w:lang w:val="en-US" w:eastAsia="zh-CN"/>
        </w:rPr>
        <w:t>名)</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办理类型：</w:t>
      </w:r>
      <w:r>
        <w:rPr>
          <w:rFonts w:hint="eastAsia" w:ascii="仿宋_GB2312" w:hAnsi="仿宋_GB2312" w:eastAsia="仿宋_GB2312" w:cs="仿宋_GB2312"/>
          <w:b w:val="0"/>
          <w:sz w:val="32"/>
          <w:szCs w:val="32"/>
          <w:lang w:val="en-US" w:eastAsia="zh-CN"/>
        </w:rPr>
        <w:t>分办</w:t>
      </w:r>
    </w:p>
    <w:p>
      <w:pPr>
        <w:spacing w:line="240" w:lineRule="auto"/>
        <w:ind w:left="1606" w:leftChars="0" w:right="0" w:rightChars="0" w:hanging="1606" w:hangingChars="50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承办单位：</w:t>
      </w:r>
      <w:r>
        <w:rPr>
          <w:rFonts w:hint="eastAsia" w:ascii="仿宋_GB2312" w:hAnsi="仿宋_GB2312" w:eastAsia="仿宋_GB2312" w:cs="仿宋_GB2312"/>
          <w:b w:val="0"/>
          <w:sz w:val="32"/>
          <w:szCs w:val="32"/>
          <w:lang w:val="en-US" w:eastAsia="zh-CN"/>
        </w:rPr>
        <w:t>市公安局,市住房和建设局,市交通运输局,市市场监督管理局,深圳市消防救援支队</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bCs/>
          <w:sz w:val="32"/>
          <w:szCs w:val="32"/>
          <w:lang w:eastAsia="zh-CN"/>
        </w:rPr>
        <w:t>内    容：</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案由：</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电动自行车作为一种舒适、经济、便捷的现代化交通工具，以其价格合理，骑行易学方便、轻松自如、停放便捷、机动性强、维修简单及费用低廉等诸多优点，迅速成为普及性很高的群众出行代步的重要交通工具。但是，随着我市经济和社会的发展，电动自行车呈快速增长态势，电动自行车的保有量与基础配套设施建设现状不匹配，电动自行车安全使用和管理矛盾也日益突出。近年来因电动车质量良莠不齐、使用和管理不当引发的交通和火灾事故也层出不穷。因此进一步完善电动车综合治理与基础配套设施建设工作迫在眉睫。</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一、保有量大，基础配套设施不匹配。</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我市电动自行车总保有量约450万余辆，现有集中停放场所集中充电场所均存在较大缺口。基础配套设施缺口掣肘电动自行车安全使用和管理矛盾突出。特别是老旧小区公共配套不足，场地有限，原本就没有设计放置电动自行车的位置，现在电动单车越来越多，小区无法满足业主需要，物业又不能占用其他公共场地做为电动自行车充电区域，且物业公司无相应执法权，从安全角度又要求充电区域必须有遮挡阳遮雨的地方，电动自行车越来越多与小区充电场地不足的矛盾日益突显。物业公司选点安装充电桩及停放地点远跟不上电动自行车增加的速度。</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在一些人行道上强行划出了共享自行车、电动自行车的停放区，把人行道挤得更窄，有些路段的人行道本身就窄到只有一米宽，电动自行车、人力自行车及行人混杂在一条道路上行走，对行人的安全造成严重威胁。</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二、风险点多，技防弱化，治理效能低。</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城中村、住宅小区、物流园区、快递配送点等区域电动车出入较为高频，违停、违规充电、车辆改装、电池混用等风险点多。由于缺乏有效的源头防范、阻断技防措施，电动车违规停放、进楼入户、人车同屋、楼道违停、私拉乱接、充电不规范、安全意识不强等原因，电动自行车火灾呈多发、频发趋势，重复发生概率居高不下，陷入“排查-治理-再排查-再治理”的循环，隐患反复“回潮”，影响治理效果。基层执法中，消防、街道、应急、行业主管等相关单位5-10人联合行动；街道社区常态化组织安保、网格等力量，通过集中排查、定期夜查和不定期巡查等形式打“持久战”；耗费大量人力、时间成本。</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三、缺乏严格的管理机制，骑车无门槛，违规处罚力度轻。</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由于没有严格的处罚和监督机制，电动自行车没有实行上牌登记制度、驾驶人没有驾驶证，不利于车管部门的管理，也不利于交警的执法管理。电动自行车行车无门槛，违规成本低，这就导致购买人、驾驶人群中有很大一部分人没有系统地学习过骑行知识和技术、没有系统地学习过道路交通安全法规，对交通安全、法律后果的认识模糊，安全意识、法律意识较差。很多人抱侥幸心理驾驶时不戴头盔、酒后驾驶、逆向行驶、不遵守信号灯、骑车带人、不按非机动车道行驶，特别是城中村、老旧小区的电动车驾驶人，交通安全意识更加淡薄，自我保护意识差，从巷道转弯进入公路时车速快、转向猛，横穿公路时不减速慢行。电动自行车造成的交通事故人员伤亡事故也成倍增长。</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电动自行车驾驶人驾车水平参差不齐，遇到紧急情况处置不当。现在电动自行车已经成为比较常用的代步工具，具有方便快捷，不需要证件等特点。一般情况下，凡是会骑自己行车的都能驾驶，导致驾驶人年龄分布跨度大，甚至未成年人、老年人都在驾驶，驾驶水平严重参差不齐。一般电动自行车驾车人都没有经过培训，很多人不了解电动车自行车机械构造及行车特点。电动自行车动力方式与自行车不同，当电动车自行车驾驶人发生险情时，遇到紧急情况时并未知晓其中最重要的操作程序——松开速度控制把手，最终导致无法停车或停车距离变长，引发事故。调查发现，在众多电动自行车交通事故中，有很大一部分是由于驾驶人操作不当引起的。</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四、非机动车道覆盖不全面，人车混行隐患大。</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现有的非机动车道与行人共用一条人行道，标识不清，人非混行和机非混行的现象频出，电动自行车大多数的行驶速度都不会力求安全低速的，甚至有一些逆行的，尤其是送外卖、送快递的骑行者，他们的经济收入与骑行时间有着直接的关系，他们在骑行的过程中只能是快上加快，存在非常大的安全隐患。</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建议：</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一、补齐短板，完善基础设施。</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规划部门强化统筹，加快推进电动车基础设施建设。将电动车集中停放、充电设施作为必要的配套设施，和新建项目同步规划、设计、建设、验收和使用。政府强化安全监管职能，对公共服务区域、在建或已建成的公共场所，进行补建。引入社会资本，自建自投或合作参建，补齐增强城中村、无物业管理小区充电等设施，方便居民安全使用。对于小区实在没有地方停放、安装充电设施的，建议由区政府统筹规划。</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二、源头防范，科技赋能增效，多元宣传，筑牢群防堤坝。</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推广安装使用电动车禁入监测系统，提高技防权重，化解电动车火灾事故，坚决杜绝“小火亡人”。建议推广使用5G电动自行车身份证芯片植入，做好电动自行车进楼预警，在有条件的社区内划分规定停车区域，四周分布安装5G智能NBIOT感应器,实时检测区域内电动车流动情况,分段超时提醒,大数据分析疑似行为与高危行为电动车信息，标签自带GPS感应，实时监控电动车位置，用低功耗简单实用科技手段，加大智慧防范技能。</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整合住建、应急、基层网格、社区安保等力量，开展电动车安全宣传，提高居民防范意识。广泛推送火灾预防、事故预警知识，指导社区提高充电设施过载、过流等保护装置使用率，重点培训住宅物业服务企业人员、社区义务消防队员，提高应急处置技能。发动电动车销售、维修人员做好义务宣传员，实现“买车即提示”“修车即宣传”，全面增强社会力量发现、消除电动车火灾隐患能力。通过现场执法、“行业禁入”“电动车挂牌”“电池禁入楼”等灵活多样的形式，进一步强化电动自行车使用管理的“抓手”，通过管理严防“破窗效应”引发违规使用现象，倒逼不安全使用行为的减少，同时深入开展电动自行车安全使用宣教。</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三、安全排查，源头监管落实。</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从源头抓起，加强对生产、销售电动自行车及配件行业的产品质量监督，为消费者提供合格产品，规范电动自行车的维修守则。出台电动自行车、充电设施设备的相关安全法规（如：年审制度）和落实措施。同时，要加强电动自行车充电设施安全排查，严防问题隐患恶化为事故。</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四、完善管理机制，设置骑车门槛，提高违规处罚力度</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出台电动自行车的专项管理法规，进一步加强对电动车的管理，加大对电动车违规的处置。建议交警部门无论电动车违规行为是否造成了损害，均应对以上违规行为进行警告并按情节严重程度进行处罚；二是通过电视宣传、发放资料、广场宣传等方式，向电动车车主进行交通安全法规的宣传和教育，建议交警部门将接受交规学习纳入处罚方式；三是严格执行电动车上牌登记制度，切实提高电动车规范使用管理，一旦违章行驶，被无处不在的监控系统捕捉、拍摄到；四是骑行者需通过系统学习和考核，持考取的“驾照”驾驶电动车，骑行人一旦违章，也可因有牌照而倒追骑行人信息。</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五、科学设置非机动车道，机非分离，各行其道。</w:t>
      </w:r>
    </w:p>
    <w:p>
      <w:pPr>
        <w:spacing w:line="240" w:lineRule="auto"/>
        <w:ind w:left="0" w:leftChars="0" w:right="0" w:rightChars="0" w:firstLine="0" w:firstLineChars="0"/>
        <w:rPr>
          <w:rFonts w:hint="eastAsia" w:ascii="仿宋_GB2312" w:hAnsi="仿宋_GB2312" w:eastAsia="仿宋_GB2312" w:cs="仿宋_GB2312"/>
          <w:b w:val="0"/>
          <w:sz w:val="32"/>
          <w:szCs w:val="32"/>
          <w:lang w:eastAsia="zh-CN"/>
        </w:rPr>
      </w:pPr>
      <w:r>
        <w:rPr>
          <w:rFonts w:hint="eastAsia" w:ascii="仿宋_GB2312" w:hAnsi="仿宋_GB2312" w:eastAsia="仿宋_GB2312" w:cs="仿宋_GB2312"/>
          <w:b w:val="0"/>
          <w:sz w:val="32"/>
          <w:szCs w:val="32"/>
          <w:lang w:val="en-US" w:eastAsia="zh-CN"/>
        </w:rPr>
        <w:t xml:space="preserve">    一是在道路规划、设计阶段提前设置非机动车道；二是在道路改造时，通过压缩机动车道和较宽的人行道等方式挖掘道路空间资源，增设一条独立、连续、标识鲜明的非机动车道；三是参照深圳市“机非分离”的非机动车道建设的做法，改变简单的在原步行道上施划非机动车道的做法，对机动车道、人行道、非机动车道进行物理隔离（绿化分隔、护栏分隔），化解人车混行隐患。四是现有机动动车道一侧划出的临时停车位的道路（分为时段性允许停车和24小时可停车两种模式）可改建为专用非机动车道。目前很多道路上临时车位的使用率较低，在比较宽敞的机动车道一侧划分出机动车停车位，形成驾驶机动车的司机的“盲区”。如果有人突然从路边停车位车辆的空隙里闯出来，驾驶员很难及时刹住车的，可优先考虑这部分车位改建为专用非机动车道。</w:t>
      </w:r>
    </w:p>
    <w:p>
      <w:pPr>
        <w:keepNext w:val="0"/>
        <w:keepLines w:val="0"/>
        <w:pageBreakBefore w:val="0"/>
        <w:widowControl w:val="0"/>
        <w:kinsoku/>
        <w:wordWrap/>
        <w:overflowPunct/>
        <w:topLinePunct w:val="0"/>
        <w:autoSpaceDE/>
        <w:autoSpaceDN/>
        <w:bidi w:val="0"/>
        <w:adjustRightInd/>
        <w:snapToGrid/>
        <w:spacing w:line="300" w:lineRule="auto"/>
        <w:ind w:left="0" w:leftChars="0" w:right="0" w:rightChars="0" w:firstLine="0" w:firstLineChars="0"/>
        <w:jc w:val="left"/>
        <w:textAlignment w:val="auto"/>
        <w:outlineLvl w:val="9"/>
        <w:rPr>
          <w:rFonts w:hint="eastAsia" w:ascii="仿宋" w:hAnsi="仿宋" w:eastAsia="仿宋" w:cs="仿宋"/>
          <w:sz w:val="24"/>
          <w:szCs w:val="24"/>
          <w:lang w:val="en-US" w:eastAsia="zh-CN"/>
        </w:rPr>
      </w:pP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
    <w:panose1 w:val="02010609060101010101"/>
    <w:charset w:val="86"/>
    <w:family w:val="auto"/>
    <w:pitch w:val="default"/>
    <w:sig w:usb0="800002BF" w:usb1="38CF7CFA" w:usb2="00000016" w:usb3="00000000" w:csb0="00040001" w:csb1="00000000"/>
  </w:font>
  <w:font w:name="华文仿宋">
    <w:altName w:val="仿宋"/>
    <w:panose1 w:val="02010600040101010101"/>
    <w:charset w:val="86"/>
    <w:family w:val="auto"/>
    <w:pitch w:val="default"/>
    <w:sig w:usb0="00000000" w:usb1="00000000" w:usb2="00000000" w:usb3="00000000" w:csb0="0004009F" w:csb1="DFD70000"/>
  </w:font>
  <w:font w:name="仿宋_GB2312">
    <w:panose1 w:val="02010609030101010101"/>
    <w:charset w:val="86"/>
    <w:family w:val="auto"/>
    <w:pitch w:val="default"/>
    <w:sig w:usb0="00000001" w:usb1="080E0000" w:usb2="00000000" w:usb3="00000000" w:csb0="00040000"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72A27"/>
    <w:rsid w:val="00A26917"/>
    <w:rsid w:val="03FA7913"/>
    <w:rsid w:val="08AD0527"/>
    <w:rsid w:val="0CA81750"/>
    <w:rsid w:val="104457BF"/>
    <w:rsid w:val="142D5EF2"/>
    <w:rsid w:val="1A8370F8"/>
    <w:rsid w:val="1C52129C"/>
    <w:rsid w:val="1D7E45BC"/>
    <w:rsid w:val="1E4C6E49"/>
    <w:rsid w:val="1F7774AB"/>
    <w:rsid w:val="23B47B07"/>
    <w:rsid w:val="28F64EC4"/>
    <w:rsid w:val="2A5B2BC4"/>
    <w:rsid w:val="2AC820BB"/>
    <w:rsid w:val="2DAC5DFC"/>
    <w:rsid w:val="353A69D5"/>
    <w:rsid w:val="35507787"/>
    <w:rsid w:val="36ED4BEC"/>
    <w:rsid w:val="3A1A2BE3"/>
    <w:rsid w:val="49FA03AF"/>
    <w:rsid w:val="4F955F9D"/>
    <w:rsid w:val="526966EA"/>
    <w:rsid w:val="56D80994"/>
    <w:rsid w:val="574C0B47"/>
    <w:rsid w:val="581F309E"/>
    <w:rsid w:val="5F693127"/>
    <w:rsid w:val="66135703"/>
    <w:rsid w:val="6C5816D0"/>
    <w:rsid w:val="6E9C1746"/>
    <w:rsid w:val="70F449E4"/>
    <w:rsid w:val="713C1E52"/>
    <w:rsid w:val="731474DA"/>
    <w:rsid w:val="732C1598"/>
    <w:rsid w:val="73735F79"/>
    <w:rsid w:val="79DA1477"/>
    <w:rsid w:val="7A075E2D"/>
    <w:rsid w:val="7E2F2A5C"/>
    <w:rsid w:val="7F9F3897"/>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3">
    <w:name w:val="Default Paragraph Font"/>
    <w:semiHidden/>
    <w:qFormat/>
    <w:uiPriority w:val="0"/>
  </w:style>
  <w:style w:type="table" w:default="1" w:styleId="2">
    <w:name w:val="Normal Table"/>
    <w:semiHidden/>
    <w:qFormat/>
    <w:uiPriority w:val="0"/>
    <w:tblPr>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5</TotalTime>
  <ScaleCrop>false</ScaleCrop>
  <LinksUpToDate>false</LinksUpToDate>
  <CharactersWithSpaces>0</CharactersWithSpaces>
  <Application>WPS Office_11.1.0.10700_F1E327BC-269C-435d-A152-05C5408002CA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2014-10-29T12:08:00Z</dcterms:created>
  <dc:creator>limjeon</dc:creator>
  <cp:lastModifiedBy>不如吃茶去</cp:lastModifiedBy>
  <dcterms:modified xsi:type="dcterms:W3CDTF">2021-08-23T03:26:00Z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2052-11.1.0.10700</vt:lpwstr>
  </property>
  <property fmtid="{D5CDD505-2E9C-101B-9397-08002B2CF9AE}" pid="3" name="ICV">
    <vt:lpwstr>541166959B6841688F680FB6A261768C</vt:lpwstr>
  </property>
</Properties>
</file>