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A33E" w14:textId="77777777" w:rsidR="00140050" w:rsidRDefault="0014005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="微软雅黑" w:eastAsia="微软雅黑" w:hAnsi="微软雅黑"/>
          <w:bCs/>
          <w:kern w:val="0"/>
          <w:sz w:val="52"/>
          <w:szCs w:val="52"/>
        </w:rPr>
      </w:pPr>
    </w:p>
    <w:p w14:paraId="31A66D1F" w14:textId="77777777" w:rsidR="00140050" w:rsidRDefault="0014005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="微软雅黑" w:eastAsia="微软雅黑" w:hAnsi="微软雅黑"/>
          <w:bCs/>
          <w:kern w:val="0"/>
          <w:sz w:val="52"/>
          <w:szCs w:val="52"/>
        </w:rPr>
      </w:pPr>
    </w:p>
    <w:p w14:paraId="58B511CE" w14:textId="77777777" w:rsidR="00140050" w:rsidRDefault="0000000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52"/>
          <w:szCs w:val="52"/>
        </w:rPr>
        <w:t>绿色专篇（规划阶段）</w:t>
      </w:r>
    </w:p>
    <w:p w14:paraId="3578F9FB" w14:textId="77777777" w:rsidR="00140050" w:rsidRDefault="0000000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52"/>
          <w:szCs w:val="52"/>
        </w:rPr>
        <w:t>（适用于工业建筑）</w:t>
      </w:r>
    </w:p>
    <w:p w14:paraId="7D1AEC78" w14:textId="77777777" w:rsidR="00140050" w:rsidRDefault="0014005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</w:pPr>
    </w:p>
    <w:p w14:paraId="0CEEB314" w14:textId="77777777" w:rsidR="00140050" w:rsidRDefault="0014005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</w:pPr>
    </w:p>
    <w:p w14:paraId="3C58C6EE" w14:textId="77777777" w:rsidR="00140050" w:rsidRDefault="0014005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</w:pPr>
    </w:p>
    <w:p w14:paraId="34D468EF" w14:textId="77777777" w:rsidR="00140050" w:rsidRDefault="00140050">
      <w:pPr>
        <w:autoSpaceDE w:val="0"/>
        <w:autoSpaceDN w:val="0"/>
        <w:adjustRightInd w:val="0"/>
        <w:spacing w:afterLines="100" w:after="312"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</w:pPr>
    </w:p>
    <w:tbl>
      <w:tblPr>
        <w:tblW w:w="8048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6494"/>
      </w:tblGrid>
      <w:tr w:rsidR="00140050" w14:paraId="0CD375C3" w14:textId="77777777">
        <w:trPr>
          <w:trHeight w:val="680"/>
          <w:jc w:val="center"/>
        </w:trPr>
        <w:tc>
          <w:tcPr>
            <w:tcW w:w="1554" w:type="dxa"/>
            <w:tcMar>
              <w:left w:w="0" w:type="dxa"/>
            </w:tcMar>
            <w:vAlign w:val="bottom"/>
          </w:tcPr>
          <w:p w14:paraId="53CA75CF" w14:textId="77777777" w:rsidR="00140050" w:rsidRDefault="00000000">
            <w:pPr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项目名称：</w:t>
            </w:r>
          </w:p>
        </w:tc>
        <w:tc>
          <w:tcPr>
            <w:tcW w:w="6494" w:type="dxa"/>
            <w:vAlign w:val="bottom"/>
          </w:tcPr>
          <w:p w14:paraId="19167000" w14:textId="77777777" w:rsidR="00140050" w:rsidRDefault="00140050">
            <w:pPr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  <w:u w:val="thick"/>
              </w:rPr>
            </w:pPr>
          </w:p>
        </w:tc>
      </w:tr>
      <w:tr w:rsidR="00140050" w14:paraId="164FEE76" w14:textId="77777777">
        <w:trPr>
          <w:trHeight w:val="680"/>
          <w:jc w:val="center"/>
        </w:trPr>
        <w:tc>
          <w:tcPr>
            <w:tcW w:w="1554" w:type="dxa"/>
            <w:tcMar>
              <w:left w:w="0" w:type="dxa"/>
            </w:tcMar>
            <w:vAlign w:val="bottom"/>
          </w:tcPr>
          <w:p w14:paraId="27597170" w14:textId="77777777" w:rsidR="00140050" w:rsidRDefault="00000000">
            <w:pPr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建设单位：</w:t>
            </w:r>
          </w:p>
        </w:tc>
        <w:tc>
          <w:tcPr>
            <w:tcW w:w="6494" w:type="dxa"/>
            <w:vAlign w:val="bottom"/>
          </w:tcPr>
          <w:p w14:paraId="2D61A6FC" w14:textId="77777777" w:rsidR="00140050" w:rsidRDefault="00140050">
            <w:pPr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  <w:u w:val="thick"/>
              </w:rPr>
            </w:pPr>
          </w:p>
        </w:tc>
      </w:tr>
      <w:tr w:rsidR="00140050" w14:paraId="637404D8" w14:textId="77777777">
        <w:trPr>
          <w:trHeight w:val="680"/>
          <w:jc w:val="center"/>
        </w:trPr>
        <w:tc>
          <w:tcPr>
            <w:tcW w:w="1554" w:type="dxa"/>
            <w:tcMar>
              <w:left w:w="0" w:type="dxa"/>
            </w:tcMar>
            <w:vAlign w:val="bottom"/>
          </w:tcPr>
          <w:p w14:paraId="137BE156" w14:textId="77777777" w:rsidR="00140050" w:rsidRDefault="00000000">
            <w:pPr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报告日期：</w:t>
            </w:r>
          </w:p>
        </w:tc>
        <w:tc>
          <w:tcPr>
            <w:tcW w:w="6494" w:type="dxa"/>
            <w:vAlign w:val="bottom"/>
          </w:tcPr>
          <w:p w14:paraId="12806A20" w14:textId="77777777" w:rsidR="00140050" w:rsidRDefault="00140050">
            <w:pPr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  <w:u w:val="thick"/>
              </w:rPr>
            </w:pPr>
          </w:p>
        </w:tc>
      </w:tr>
    </w:tbl>
    <w:p w14:paraId="74EACDA6" w14:textId="77777777" w:rsidR="00140050" w:rsidRDefault="00140050">
      <w:pPr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  <w:sectPr w:rsidR="00140050">
          <w:type w:val="continuous"/>
          <w:pgSz w:w="23757" w:h="16783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EE04AD2" w14:textId="77777777" w:rsidR="00140050" w:rsidRDefault="00140050">
      <w:pPr>
        <w:spacing w:line="360" w:lineRule="auto"/>
        <w:ind w:firstLineChars="200" w:firstLine="480"/>
        <w:rPr>
          <w:bCs/>
          <w:sz w:val="24"/>
          <w:szCs w:val="24"/>
        </w:rPr>
      </w:pPr>
    </w:p>
    <w:p w14:paraId="2DA33B53" w14:textId="77777777" w:rsidR="00140050" w:rsidRDefault="00140050">
      <w:pPr>
        <w:spacing w:line="360" w:lineRule="auto"/>
        <w:ind w:firstLineChars="200" w:firstLine="480"/>
        <w:rPr>
          <w:bCs/>
          <w:sz w:val="24"/>
          <w:szCs w:val="24"/>
        </w:rPr>
      </w:pPr>
    </w:p>
    <w:p w14:paraId="6A279B51" w14:textId="77777777" w:rsidR="00140050" w:rsidRDefault="00140050">
      <w:pPr>
        <w:spacing w:line="360" w:lineRule="auto"/>
        <w:ind w:firstLineChars="200" w:firstLine="480"/>
        <w:rPr>
          <w:bCs/>
          <w:sz w:val="24"/>
          <w:szCs w:val="24"/>
        </w:rPr>
      </w:pPr>
    </w:p>
    <w:p w14:paraId="0C7E6D29" w14:textId="77777777" w:rsidR="00140050" w:rsidRDefault="00140050">
      <w:pPr>
        <w:spacing w:line="360" w:lineRule="auto"/>
        <w:ind w:firstLineChars="200" w:firstLine="480"/>
        <w:rPr>
          <w:bCs/>
          <w:sz w:val="24"/>
          <w:szCs w:val="24"/>
        </w:rPr>
      </w:pPr>
    </w:p>
    <w:p w14:paraId="692E8599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编制说明：</w:t>
      </w:r>
    </w:p>
    <w:p w14:paraId="38C83844" w14:textId="77777777" w:rsidR="00140050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本《绿色专篇》为《可行性研究报告》及项目方案文本中的一个章节。</w:t>
      </w:r>
    </w:p>
    <w:p w14:paraId="742361F1" w14:textId="77777777" w:rsidR="00140050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各条文措施说明应根据项目实际情况填写，不可直接抄写条文要求。</w:t>
      </w:r>
    </w:p>
    <w:p w14:paraId="0C714135" w14:textId="77777777" w:rsidR="00140050" w:rsidRDefault="00000000">
      <w:pPr>
        <w:numPr>
          <w:ilvl w:val="0"/>
          <w:numId w:val="2"/>
        </w:numPr>
        <w:spacing w:beforeLines="100" w:before="312" w:line="360" w:lineRule="auto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基本情况</w:t>
      </w:r>
    </w:p>
    <w:p w14:paraId="6FDF3C08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项目名称：</w:t>
      </w:r>
    </w:p>
    <w:p w14:paraId="620EFE6F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项目地址：</w:t>
      </w:r>
    </w:p>
    <w:p w14:paraId="7443C828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建设单位：</w:t>
      </w:r>
    </w:p>
    <w:p w14:paraId="67628C95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设计单位：</w:t>
      </w:r>
    </w:p>
    <w:p w14:paraId="4AB81941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工业类型：</w:t>
      </w:r>
    </w:p>
    <w:p w14:paraId="13ADA663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项目用地面积：        ㎡</w:t>
      </w:r>
    </w:p>
    <w:p w14:paraId="07D4DA4B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项目建筑面积：        ㎡，其中地上：      ㎡，地下：      ㎡</w:t>
      </w:r>
    </w:p>
    <w:p w14:paraId="0BC716D0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建筑层数：    层，其中地上：    层，高度：    m；地下：    层，深度:    m。</w:t>
      </w:r>
    </w:p>
    <w:p w14:paraId="6FC2D970" w14:textId="77777777" w:rsidR="00140050" w:rsidRDefault="00000000">
      <w:pPr>
        <w:pStyle w:val="a8"/>
        <w:numPr>
          <w:ilvl w:val="0"/>
          <w:numId w:val="3"/>
        </w:numPr>
        <w:spacing w:line="360" w:lineRule="auto"/>
        <w:ind w:firstLineChars="0"/>
        <w:jc w:val="left"/>
        <w:outlineLvl w:val="1"/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绿色工业建筑建设目标：  </w:t>
      </w:r>
      <w:r>
        <w:rPr>
          <w:rFonts w:ascii="宋体" w:hAnsi="宋体" w:cs="宋体" w:hint="eastAsia"/>
          <w:color w:val="000000"/>
          <w:sz w:val="24"/>
          <w:szCs w:val="24"/>
        </w:rPr>
        <w:sym w:font="Wingdings 2" w:char="F0A3"/>
      </w:r>
      <w:r>
        <w:rPr>
          <w:rFonts w:ascii="宋体" w:hAnsi="宋体" w:cs="宋体" w:hint="eastAsia"/>
          <w:color w:val="000000"/>
          <w:sz w:val="24"/>
          <w:szCs w:val="24"/>
        </w:rPr>
        <w:t xml:space="preserve">一星级  </w:t>
      </w:r>
      <w:r>
        <w:rPr>
          <w:rFonts w:ascii="宋体" w:hAnsi="宋体" w:cs="宋体" w:hint="eastAsia"/>
          <w:color w:val="000000"/>
          <w:sz w:val="24"/>
          <w:szCs w:val="24"/>
        </w:rPr>
        <w:sym w:font="Wingdings 2" w:char="F0A3"/>
      </w:r>
      <w:r>
        <w:rPr>
          <w:rFonts w:ascii="宋体" w:hAnsi="宋体" w:cs="宋体" w:hint="eastAsia"/>
          <w:color w:val="000000"/>
          <w:sz w:val="24"/>
          <w:szCs w:val="24"/>
        </w:rPr>
        <w:t xml:space="preserve">二星级  </w:t>
      </w:r>
      <w:r>
        <w:rPr>
          <w:rFonts w:ascii="宋体" w:hAnsi="宋体" w:cs="宋体" w:hint="eastAsia"/>
          <w:color w:val="000000"/>
          <w:sz w:val="24"/>
          <w:szCs w:val="24"/>
        </w:rPr>
        <w:sym w:font="Wingdings 2" w:char="F0A3"/>
      </w:r>
      <w:r>
        <w:rPr>
          <w:rFonts w:ascii="宋体" w:hAnsi="宋体" w:cs="宋体" w:hint="eastAsia"/>
          <w:color w:val="000000"/>
          <w:sz w:val="24"/>
          <w:szCs w:val="24"/>
        </w:rPr>
        <w:t>三星级</w:t>
      </w:r>
    </w:p>
    <w:p w14:paraId="211CA084" w14:textId="77777777" w:rsidR="00140050" w:rsidRDefault="00000000">
      <w:pPr>
        <w:numPr>
          <w:ilvl w:val="0"/>
          <w:numId w:val="2"/>
        </w:numPr>
        <w:spacing w:beforeLines="100" w:before="312" w:line="360" w:lineRule="auto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设计依据</w:t>
      </w:r>
    </w:p>
    <w:p w14:paraId="6246A11F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《深圳经济特区绿色建筑条例》</w:t>
      </w:r>
    </w:p>
    <w:p w14:paraId="4AA012CE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color w:val="000000" w:themeColor="text1"/>
          <w:sz w:val="24"/>
          <w:szCs w:val="24"/>
        </w:rPr>
      </w:pPr>
      <w:r>
        <w:rPr>
          <w:rFonts w:hAnsi="宋体" w:hint="eastAsia"/>
          <w:color w:val="000000" w:themeColor="text1"/>
          <w:sz w:val="24"/>
          <w:szCs w:val="24"/>
        </w:rPr>
        <w:t>《绿色工业建筑评价标准》</w:t>
      </w:r>
      <w:r>
        <w:rPr>
          <w:rFonts w:hAnsi="宋体" w:hint="eastAsia"/>
          <w:color w:val="000000" w:themeColor="text1"/>
          <w:sz w:val="24"/>
          <w:szCs w:val="24"/>
        </w:rPr>
        <w:t>GB/T 50878</w:t>
      </w:r>
    </w:p>
    <w:p w14:paraId="79FE3BEE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color w:val="000000" w:themeColor="text1"/>
          <w:sz w:val="24"/>
          <w:szCs w:val="24"/>
        </w:rPr>
      </w:pPr>
      <w:r>
        <w:rPr>
          <w:rFonts w:hAnsi="宋体" w:hint="eastAsia"/>
          <w:color w:val="000000" w:themeColor="text1"/>
          <w:sz w:val="24"/>
          <w:szCs w:val="24"/>
        </w:rPr>
        <w:t>《绿色工业建筑评价技术细则》</w:t>
      </w:r>
    </w:p>
    <w:p w14:paraId="294E0429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color w:val="000000" w:themeColor="text1"/>
          <w:sz w:val="24"/>
          <w:szCs w:val="24"/>
        </w:rPr>
      </w:pPr>
      <w:r>
        <w:rPr>
          <w:rFonts w:cs="宋体" w:hint="eastAsia"/>
          <w:sz w:val="24"/>
          <w:szCs w:val="24"/>
          <w:lang w:bidi="ar"/>
        </w:rPr>
        <w:t>《城市用地分类与规划建设用地标准》</w:t>
      </w:r>
      <w:r>
        <w:rPr>
          <w:rFonts w:cs="宋体" w:hint="eastAsia"/>
          <w:sz w:val="24"/>
          <w:szCs w:val="24"/>
          <w:lang w:bidi="ar"/>
        </w:rPr>
        <w:t>GB 50137</w:t>
      </w:r>
    </w:p>
    <w:p w14:paraId="3102658C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《深圳市城市规划标准与准则》</w:t>
      </w:r>
    </w:p>
    <w:p w14:paraId="43FE7EBB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《深圳市建筑设计规则》</w:t>
      </w:r>
    </w:p>
    <w:p w14:paraId="1550A1BB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《工业建筑节能设计统一标准》</w:t>
      </w:r>
      <w:r>
        <w:rPr>
          <w:rFonts w:hAnsi="宋体" w:hint="eastAsia"/>
          <w:sz w:val="24"/>
          <w:szCs w:val="24"/>
        </w:rPr>
        <w:t>GB 51245-2017</w:t>
      </w:r>
    </w:p>
    <w:p w14:paraId="51593596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《建筑环境通用规范》</w:t>
      </w:r>
      <w:r>
        <w:rPr>
          <w:rFonts w:hAnsi="宋体" w:hint="eastAsia"/>
          <w:sz w:val="24"/>
          <w:szCs w:val="24"/>
        </w:rPr>
        <w:t>GB 55016</w:t>
      </w:r>
    </w:p>
    <w:p w14:paraId="66698D3D" w14:textId="77777777" w:rsidR="00140050" w:rsidRDefault="00000000">
      <w:pPr>
        <w:numPr>
          <w:ilvl w:val="0"/>
          <w:numId w:val="4"/>
        </w:numPr>
        <w:spacing w:line="360" w:lineRule="auto"/>
        <w:ind w:left="0"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《城市区域环境振动标准》</w:t>
      </w:r>
      <w:r>
        <w:rPr>
          <w:rFonts w:hAnsi="宋体" w:hint="eastAsia"/>
          <w:sz w:val="24"/>
          <w:szCs w:val="24"/>
        </w:rPr>
        <w:t>GB 10070</w:t>
      </w:r>
    </w:p>
    <w:p w14:paraId="7A5C3D84" w14:textId="77777777" w:rsidR="00140050" w:rsidRDefault="00000000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《工业企业厂界噪声排放标准》</w:t>
      </w:r>
      <w:r>
        <w:rPr>
          <w:rFonts w:hint="eastAsia"/>
          <w:sz w:val="24"/>
          <w:szCs w:val="24"/>
        </w:rPr>
        <w:t>GB 12348</w:t>
      </w:r>
    </w:p>
    <w:p w14:paraId="3FB0E16C" w14:textId="77777777" w:rsidR="00140050" w:rsidRDefault="00000000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《电磁辐射防护规定》</w:t>
      </w:r>
      <w:r>
        <w:rPr>
          <w:rFonts w:hint="eastAsia"/>
          <w:sz w:val="24"/>
          <w:szCs w:val="24"/>
        </w:rPr>
        <w:t>GB 8702</w:t>
      </w:r>
    </w:p>
    <w:p w14:paraId="7FC4B86F" w14:textId="77777777" w:rsidR="00140050" w:rsidRDefault="00000000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《节水型企业评价导则》</w:t>
      </w:r>
      <w:r>
        <w:rPr>
          <w:rFonts w:hint="eastAsia"/>
          <w:sz w:val="24"/>
          <w:szCs w:val="24"/>
        </w:rPr>
        <w:t>GB/T 7119</w:t>
      </w:r>
    </w:p>
    <w:p w14:paraId="38E4701D" w14:textId="77777777" w:rsidR="00140050" w:rsidRDefault="00000000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《建筑照明设计标准》</w:t>
      </w:r>
      <w:r>
        <w:rPr>
          <w:rFonts w:hint="eastAsia"/>
          <w:sz w:val="24"/>
          <w:szCs w:val="24"/>
        </w:rPr>
        <w:t>GB 50034</w:t>
      </w:r>
    </w:p>
    <w:p w14:paraId="2EADD0B1" w14:textId="77777777" w:rsidR="00140050" w:rsidRDefault="00000000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《室内空气质量标准》</w:t>
      </w:r>
      <w:r>
        <w:rPr>
          <w:rFonts w:hint="eastAsia"/>
          <w:sz w:val="24"/>
          <w:szCs w:val="24"/>
        </w:rPr>
        <w:t>GB/T 18883</w:t>
      </w:r>
    </w:p>
    <w:p w14:paraId="5D2BED11" w14:textId="238627DF" w:rsidR="00140050" w:rsidRDefault="00000000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《深圳市装配式建筑评分规则》</w:t>
      </w:r>
    </w:p>
    <w:p w14:paraId="6CB45E51" w14:textId="59977AE0" w:rsidR="00EC533C" w:rsidRDefault="00EC533C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 w:rsidRPr="00EC533C">
        <w:rPr>
          <w:rFonts w:hint="eastAsia"/>
          <w:sz w:val="24"/>
          <w:szCs w:val="24"/>
        </w:rPr>
        <w:t>《深圳市关于大力推进分布式光伏发电的若干措施》</w:t>
      </w:r>
    </w:p>
    <w:p w14:paraId="79328C0D" w14:textId="77777777" w:rsidR="00140050" w:rsidRDefault="00000000">
      <w:pPr>
        <w:numPr>
          <w:ilvl w:val="0"/>
          <w:numId w:val="4"/>
        </w:numPr>
        <w:spacing w:line="360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国家、地方现行的有关工程建设法律法规及标准规范等</w:t>
      </w:r>
    </w:p>
    <w:p w14:paraId="2333B7A0" w14:textId="77777777" w:rsidR="00140050" w:rsidRDefault="00000000">
      <w:pPr>
        <w:numPr>
          <w:ilvl w:val="0"/>
          <w:numId w:val="2"/>
        </w:numPr>
        <w:spacing w:beforeLines="100" w:before="312" w:line="360" w:lineRule="auto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建筑节能设计说明</w:t>
      </w:r>
    </w:p>
    <w:p w14:paraId="121833FE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建筑节能率</w:t>
      </w:r>
    </w:p>
    <w:p w14:paraId="458F59F6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依据《建筑节能与可再生能源利用通用规范》</w:t>
      </w:r>
      <w:r>
        <w:rPr>
          <w:bCs/>
          <w:sz w:val="24"/>
          <w:szCs w:val="24"/>
        </w:rPr>
        <w:t>GB55015-2021</w:t>
      </w:r>
      <w:r>
        <w:rPr>
          <w:bCs/>
          <w:sz w:val="24"/>
          <w:szCs w:val="24"/>
        </w:rPr>
        <w:t>规定</w:t>
      </w:r>
      <w:r>
        <w:rPr>
          <w:rFonts w:hint="eastAsia"/>
          <w:bCs/>
          <w:sz w:val="24"/>
          <w:szCs w:val="24"/>
        </w:rPr>
        <w:t>，新建、扩建和改建以及既有建筑节能改造应进行节能设计</w:t>
      </w:r>
      <w:r>
        <w:rPr>
          <w:bCs/>
          <w:sz w:val="24"/>
          <w:szCs w:val="24"/>
        </w:rPr>
        <w:t>。本项目建筑节能率：</w:t>
      </w:r>
      <w:r>
        <w:rPr>
          <w:bCs/>
          <w:sz w:val="24"/>
          <w:szCs w:val="24"/>
          <w:u w:val="single"/>
        </w:rPr>
        <w:t xml:space="preserve">         </w:t>
      </w:r>
    </w:p>
    <w:p w14:paraId="277AFF2C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bCs/>
          <w:sz w:val="24"/>
          <w:szCs w:val="24"/>
          <w:lang w:val="en"/>
        </w:rPr>
        <w:t>.</w:t>
      </w:r>
      <w:r>
        <w:rPr>
          <w:rFonts w:hint="eastAsia"/>
          <w:bCs/>
          <w:sz w:val="24"/>
          <w:szCs w:val="24"/>
        </w:rPr>
        <w:t>建筑保温隔热措施</w:t>
      </w:r>
    </w:p>
    <w:p w14:paraId="349BF56E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</w:rPr>
        <w:t>是否设置建筑保温：</w:t>
      </w:r>
      <w:r>
        <w:rPr>
          <w:sz w:val="24"/>
          <w:szCs w:val="15"/>
        </w:rPr>
        <w:sym w:font="Wingdings 2" w:char="F0A3"/>
      </w:r>
      <w:r>
        <w:rPr>
          <w:bCs/>
          <w:sz w:val="24"/>
          <w:szCs w:val="24"/>
        </w:rPr>
        <w:t>是、</w:t>
      </w:r>
      <w:r>
        <w:rPr>
          <w:bCs/>
          <w:sz w:val="24"/>
          <w:szCs w:val="24"/>
        </w:rPr>
        <w:t></w:t>
      </w:r>
      <w:r>
        <w:rPr>
          <w:sz w:val="24"/>
          <w:szCs w:val="15"/>
        </w:rPr>
        <w:sym w:font="Wingdings 2" w:char="F0A3"/>
      </w:r>
      <w:r>
        <w:rPr>
          <w:bCs/>
          <w:sz w:val="24"/>
          <w:szCs w:val="24"/>
        </w:rPr>
        <w:t>否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保温形式：</w:t>
      </w:r>
      <w:r>
        <w:rPr>
          <w:bCs/>
          <w:sz w:val="24"/>
          <w:szCs w:val="24"/>
          <w:u w:val="single"/>
        </w:rPr>
        <w:t xml:space="preserve">         </w:t>
      </w:r>
    </w:p>
    <w:p w14:paraId="5E234A83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是否设施建筑隔热措施：</w:t>
      </w:r>
      <w:r>
        <w:rPr>
          <w:sz w:val="24"/>
          <w:szCs w:val="15"/>
        </w:rPr>
        <w:sym w:font="Wingdings 2" w:char="F0A3"/>
      </w:r>
      <w:r>
        <w:rPr>
          <w:bCs/>
          <w:sz w:val="24"/>
          <w:szCs w:val="24"/>
        </w:rPr>
        <w:t>是、</w:t>
      </w:r>
      <w:r>
        <w:rPr>
          <w:bCs/>
          <w:sz w:val="24"/>
          <w:szCs w:val="24"/>
        </w:rPr>
        <w:t></w:t>
      </w:r>
      <w:r>
        <w:rPr>
          <w:sz w:val="24"/>
          <w:szCs w:val="15"/>
        </w:rPr>
        <w:sym w:font="Wingdings 2" w:char="F0A3"/>
      </w:r>
      <w:r>
        <w:rPr>
          <w:bCs/>
          <w:sz w:val="24"/>
          <w:szCs w:val="24"/>
        </w:rPr>
        <w:t>否</w:t>
      </w:r>
      <w:r>
        <w:rPr>
          <w:rFonts w:hint="eastAsia"/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隔热措施</w:t>
      </w:r>
      <w:r>
        <w:rPr>
          <w:bCs/>
          <w:sz w:val="24"/>
          <w:szCs w:val="24"/>
        </w:rPr>
        <w:t>：</w:t>
      </w:r>
      <w:r>
        <w:rPr>
          <w:bCs/>
          <w:sz w:val="24"/>
          <w:szCs w:val="24"/>
          <w:u w:val="single"/>
        </w:rPr>
        <w:t xml:space="preserve">         </w:t>
      </w:r>
    </w:p>
    <w:p w14:paraId="0AEE5D5C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外遮阳</w:t>
      </w:r>
    </w:p>
    <w:p w14:paraId="758036C2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是否设置外遮阳</w:t>
      </w:r>
      <w:r>
        <w:rPr>
          <w:rFonts w:hint="eastAsia"/>
          <w:bCs/>
          <w:sz w:val="24"/>
          <w:szCs w:val="24"/>
        </w:rPr>
        <w:t>：</w:t>
      </w:r>
      <w:r>
        <w:rPr>
          <w:bCs/>
          <w:sz w:val="24"/>
          <w:szCs w:val="24"/>
        </w:rPr>
        <w:t></w:t>
      </w:r>
      <w:r>
        <w:rPr>
          <w:sz w:val="24"/>
          <w:szCs w:val="15"/>
        </w:rPr>
        <w:sym w:font="Wingdings 2" w:char="F0A3"/>
      </w:r>
      <w:r>
        <w:rPr>
          <w:bCs/>
          <w:sz w:val="24"/>
          <w:szCs w:val="24"/>
        </w:rPr>
        <w:t>是、</w:t>
      </w:r>
      <w:r>
        <w:rPr>
          <w:bCs/>
          <w:sz w:val="24"/>
          <w:szCs w:val="24"/>
        </w:rPr>
        <w:t></w:t>
      </w:r>
      <w:r>
        <w:rPr>
          <w:sz w:val="24"/>
          <w:szCs w:val="15"/>
        </w:rPr>
        <w:sym w:font="Wingdings 2" w:char="F0A3"/>
      </w:r>
      <w:r>
        <w:rPr>
          <w:bCs/>
          <w:sz w:val="24"/>
          <w:szCs w:val="24"/>
        </w:rPr>
        <w:t>否</w:t>
      </w: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外遮阳设置形式：</w:t>
      </w:r>
      <w:r>
        <w:rPr>
          <w:bCs/>
          <w:sz w:val="24"/>
          <w:szCs w:val="24"/>
          <w:u w:val="single"/>
        </w:rPr>
        <w:t xml:space="preserve">         </w:t>
      </w:r>
    </w:p>
    <w:p w14:paraId="52C1B459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>
        <w:rPr>
          <w:rFonts w:hint="eastAsia"/>
          <w:bCs/>
          <w:sz w:val="24"/>
          <w:szCs w:val="24"/>
        </w:rPr>
        <w:t>电</w:t>
      </w:r>
      <w:r>
        <w:rPr>
          <w:bCs/>
          <w:sz w:val="24"/>
          <w:szCs w:val="24"/>
        </w:rPr>
        <w:t>梯节能运行</w:t>
      </w:r>
    </w:p>
    <w:p w14:paraId="6C30AE8B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电梯采用的节能措施：</w:t>
      </w:r>
      <w:r>
        <w:rPr>
          <w:bCs/>
          <w:sz w:val="24"/>
          <w:szCs w:val="24"/>
          <w:u w:val="single"/>
        </w:rPr>
        <w:t xml:space="preserve">                                                   </w:t>
      </w:r>
    </w:p>
    <w:p w14:paraId="22A50023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</w:rPr>
        <w:t>扶</w:t>
      </w:r>
      <w:r>
        <w:rPr>
          <w:bCs/>
          <w:sz w:val="24"/>
          <w:szCs w:val="24"/>
        </w:rPr>
        <w:t>梯采用的节能措施：</w:t>
      </w:r>
      <w:r>
        <w:rPr>
          <w:bCs/>
          <w:sz w:val="24"/>
          <w:szCs w:val="24"/>
          <w:u w:val="single"/>
        </w:rPr>
        <w:t xml:space="preserve">                                                   </w:t>
      </w:r>
    </w:p>
    <w:p w14:paraId="2F02F916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变压器和照明产品</w:t>
      </w:r>
    </w:p>
    <w:p w14:paraId="201A8794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电力变压器的能效水平能效等级</w:t>
      </w:r>
      <w:r>
        <w:rPr>
          <w:rFonts w:hint="eastAsia"/>
          <w:bCs/>
          <w:sz w:val="24"/>
          <w:szCs w:val="24"/>
        </w:rPr>
        <w:t>：</w:t>
      </w:r>
      <w:r>
        <w:rPr>
          <w:bCs/>
          <w:sz w:val="24"/>
          <w:szCs w:val="24"/>
          <w:u w:val="single"/>
        </w:rPr>
        <w:t xml:space="preserve">                                             </w:t>
      </w:r>
    </w:p>
    <w:p w14:paraId="34CFF04A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照明产品的能效水平能效等级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：</w:t>
      </w:r>
      <w:r>
        <w:rPr>
          <w:bCs/>
          <w:sz w:val="24"/>
          <w:szCs w:val="24"/>
          <w:u w:val="single"/>
        </w:rPr>
        <w:t xml:space="preserve">                                              </w:t>
      </w:r>
    </w:p>
    <w:p w14:paraId="28421137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建筑景观照明</w:t>
      </w:r>
    </w:p>
    <w:p w14:paraId="099B25A7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建筑景观照明控制模式</w:t>
      </w:r>
      <w:r>
        <w:rPr>
          <w:rFonts w:hint="eastAsia"/>
          <w:bCs/>
          <w:sz w:val="24"/>
          <w:szCs w:val="24"/>
        </w:rPr>
        <w:t>：</w:t>
      </w:r>
      <w:r>
        <w:rPr>
          <w:bCs/>
          <w:sz w:val="24"/>
          <w:szCs w:val="24"/>
          <w:u w:val="single"/>
        </w:rPr>
        <w:t xml:space="preserve">                                                      </w:t>
      </w:r>
    </w:p>
    <w:p w14:paraId="200033C3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非传统水源的利用</w:t>
      </w:r>
    </w:p>
    <w:p w14:paraId="42CE8D3E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非传统水源的类型及应用方式：（如雨水、中水等）</w:t>
      </w:r>
      <w:r>
        <w:rPr>
          <w:bCs/>
          <w:sz w:val="24"/>
          <w:szCs w:val="24"/>
          <w:u w:val="single"/>
        </w:rPr>
        <w:t xml:space="preserve">                            </w:t>
      </w:r>
    </w:p>
    <w:p w14:paraId="090D4F5B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给水泵</w:t>
      </w:r>
    </w:p>
    <w:p w14:paraId="5EAA02A4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给水泵能效等级：</w:t>
      </w:r>
      <w:r>
        <w:rPr>
          <w:bCs/>
          <w:sz w:val="24"/>
          <w:szCs w:val="24"/>
          <w:u w:val="single"/>
        </w:rPr>
        <w:t xml:space="preserve">                                                           </w:t>
      </w:r>
    </w:p>
    <w:p w14:paraId="3B342A57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9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景观灌溉</w:t>
      </w:r>
    </w:p>
    <w:p w14:paraId="5B49207F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景观节水灌溉措施：</w:t>
      </w:r>
      <w:r>
        <w:rPr>
          <w:bCs/>
          <w:sz w:val="24"/>
          <w:szCs w:val="24"/>
          <w:u w:val="single"/>
        </w:rPr>
        <w:t xml:space="preserve">                                                         </w:t>
      </w:r>
    </w:p>
    <w:p w14:paraId="1F70A0A0" w14:textId="4793EB87" w:rsidR="00140050" w:rsidRDefault="00000000" w:rsidP="00AC545A">
      <w:pPr>
        <w:spacing w:line="360" w:lineRule="auto"/>
        <w:ind w:rightChars="346" w:right="727" w:firstLineChars="200" w:firstLine="480"/>
        <w:rPr>
          <w:rFonts w:hAnsi="宋体"/>
          <w:b/>
          <w:sz w:val="32"/>
          <w:szCs w:val="32"/>
        </w:rPr>
      </w:pPr>
      <w:r>
        <w:rPr>
          <w:rFonts w:hint="eastAsia"/>
          <w:bCs/>
          <w:sz w:val="24"/>
          <w:szCs w:val="24"/>
        </w:rPr>
        <w:t>10</w:t>
      </w:r>
      <w:r>
        <w:rPr>
          <w:bCs/>
          <w:sz w:val="24"/>
          <w:szCs w:val="24"/>
          <w:lang w:val="en"/>
        </w:rPr>
        <w:t>.</w:t>
      </w:r>
      <w:r>
        <w:rPr>
          <w:bCs/>
          <w:sz w:val="24"/>
          <w:szCs w:val="24"/>
        </w:rPr>
        <w:t>太阳能应用类型及安装容量：（如太阳能光热、光电等</w:t>
      </w:r>
      <w:r w:rsidR="00A84F9F">
        <w:rPr>
          <w:rFonts w:hint="eastAsia"/>
          <w:bCs/>
          <w:sz w:val="24"/>
          <w:szCs w:val="24"/>
        </w:rPr>
        <w:t>，需满足</w:t>
      </w:r>
      <w:r w:rsidR="00A84F9F" w:rsidRPr="00A84F9F">
        <w:rPr>
          <w:rFonts w:hint="eastAsia"/>
          <w:bCs/>
          <w:sz w:val="24"/>
          <w:szCs w:val="24"/>
        </w:rPr>
        <w:t>《深圳市关于大力推进分布式光伏发电的若干措施》</w:t>
      </w:r>
      <w:r w:rsidR="00A84F9F">
        <w:rPr>
          <w:rFonts w:hint="eastAsia"/>
          <w:bCs/>
          <w:sz w:val="24"/>
          <w:szCs w:val="24"/>
        </w:rPr>
        <w:t>的要求</w:t>
      </w:r>
      <w:r>
        <w:rPr>
          <w:bCs/>
          <w:sz w:val="24"/>
          <w:szCs w:val="24"/>
        </w:rPr>
        <w:t>）</w:t>
      </w:r>
      <w:r>
        <w:rPr>
          <w:bCs/>
          <w:sz w:val="24"/>
          <w:szCs w:val="24"/>
          <w:u w:val="single"/>
        </w:rPr>
        <w:t xml:space="preserve">                     </w:t>
      </w:r>
    </w:p>
    <w:p w14:paraId="3ECED099" w14:textId="77777777" w:rsidR="00140050" w:rsidRDefault="00000000">
      <w:pPr>
        <w:numPr>
          <w:ilvl w:val="0"/>
          <w:numId w:val="2"/>
        </w:numPr>
        <w:spacing w:beforeLines="100" w:before="312" w:line="360" w:lineRule="auto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绿色建筑说明</w:t>
      </w:r>
    </w:p>
    <w:p w14:paraId="1F255972" w14:textId="77777777" w:rsidR="00140050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（一）项目情况</w:t>
      </w:r>
    </w:p>
    <w:p w14:paraId="76E53869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项目效果图</w:t>
      </w:r>
    </w:p>
    <w:p w14:paraId="52B217B8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绿色建筑设计目标</w:t>
      </w:r>
    </w:p>
    <w:p w14:paraId="1544C630" w14:textId="77777777" w:rsidR="00140050" w:rsidRDefault="00000000">
      <w:pPr>
        <w:spacing w:line="30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）是否符合或不低于项目所在地的政府对项目的相关规定</w:t>
      </w:r>
    </w:p>
    <w:p w14:paraId="0A73D8D6" w14:textId="77777777" w:rsidR="00140050" w:rsidRDefault="00000000">
      <w:pPr>
        <w:spacing w:line="300" w:lineRule="auto"/>
        <w:ind w:firstLineChars="200" w:firstLine="480"/>
        <w:rPr>
          <w:rFonts w:hAnsi="宋体"/>
          <w:b/>
          <w:sz w:val="32"/>
          <w:szCs w:val="32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）是否符合或不低于项目规划设计任务书的要求</w:t>
      </w:r>
    </w:p>
    <w:p w14:paraId="19524277" w14:textId="77777777" w:rsidR="00140050" w:rsidRDefault="00000000">
      <w:pPr>
        <w:spacing w:line="360" w:lineRule="auto"/>
        <w:rPr>
          <w:b/>
          <w:sz w:val="24"/>
          <w:szCs w:val="24"/>
        </w:rPr>
      </w:pPr>
      <w:bookmarkStart w:id="0" w:name="OLE_LINK1"/>
      <w:r>
        <w:rPr>
          <w:rFonts w:hint="eastAsia"/>
          <w:b/>
          <w:sz w:val="24"/>
          <w:szCs w:val="24"/>
        </w:rPr>
        <w:t>（二）</w:t>
      </w:r>
      <w:bookmarkEnd w:id="0"/>
      <w:r>
        <w:rPr>
          <w:rFonts w:hint="eastAsia"/>
          <w:b/>
          <w:sz w:val="24"/>
          <w:szCs w:val="24"/>
        </w:rPr>
        <w:t>场址现状评估分析</w:t>
      </w:r>
    </w:p>
    <w:p w14:paraId="03CC95F7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项目选址</w:t>
      </w:r>
      <w:r>
        <w:rPr>
          <w:rFonts w:hint="eastAsia"/>
          <w:bCs/>
          <w:sz w:val="24"/>
          <w:szCs w:val="24"/>
        </w:rPr>
        <w:t>（包括项目场地条件分析及区位图）</w:t>
      </w:r>
    </w:p>
    <w:p w14:paraId="5AA1EA30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场地气候条件分析</w:t>
      </w:r>
    </w:p>
    <w:p w14:paraId="10A21BE4" w14:textId="77777777" w:rsidR="00140050" w:rsidRDefault="00000000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）地理位置（深圳市）</w:t>
      </w:r>
    </w:p>
    <w:p w14:paraId="3614B53F" w14:textId="77777777" w:rsidR="00140050" w:rsidRDefault="00000000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）气候特征（项目所处位置的温湿度、降雨量及太阳辐射分析等）</w:t>
      </w:r>
    </w:p>
    <w:p w14:paraId="537A0D4C" w14:textId="77777777" w:rsidR="00140050" w:rsidRDefault="00000000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）气象分析（包括各季及全年风速、风向分析，附风向、风速图）</w:t>
      </w:r>
    </w:p>
    <w:p w14:paraId="0C5D0D88" w14:textId="77777777" w:rsidR="00140050" w:rsidRDefault="00000000">
      <w:pPr>
        <w:spacing w:line="360" w:lineRule="auto"/>
        <w:ind w:firstLineChars="200" w:firstLine="482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场地地形地貌分析</w:t>
      </w:r>
      <w:r>
        <w:rPr>
          <w:rFonts w:hint="eastAsia"/>
          <w:bCs/>
          <w:sz w:val="24"/>
          <w:szCs w:val="24"/>
        </w:rPr>
        <w:t>（项目场地地质勘察结果分析，包括地质构造、设计抗震、场地土类别、建筑场地类别等判定）</w:t>
      </w:r>
    </w:p>
    <w:p w14:paraId="68DCC39D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场地环境属性分析</w:t>
      </w:r>
    </w:p>
    <w:p w14:paraId="78495A7D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（</w:t>
      </w:r>
      <w:r>
        <w:rPr>
          <w:rFonts w:hint="eastAsia"/>
          <w:bCs/>
          <w:sz w:val="24"/>
          <w:szCs w:val="22"/>
        </w:rPr>
        <w:t>1</w:t>
      </w:r>
      <w:r>
        <w:rPr>
          <w:rFonts w:hint="eastAsia"/>
          <w:bCs/>
          <w:sz w:val="24"/>
          <w:szCs w:val="22"/>
        </w:rPr>
        <w:t>）地表水环境质量标准</w:t>
      </w:r>
    </w:p>
    <w:p w14:paraId="3121624D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（</w:t>
      </w:r>
      <w:r>
        <w:rPr>
          <w:rFonts w:hint="eastAsia"/>
          <w:bCs/>
          <w:sz w:val="24"/>
          <w:szCs w:val="22"/>
        </w:rPr>
        <w:t>2</w:t>
      </w:r>
      <w:r>
        <w:rPr>
          <w:rFonts w:hint="eastAsia"/>
          <w:bCs/>
          <w:sz w:val="24"/>
          <w:szCs w:val="22"/>
        </w:rPr>
        <w:t>）环境空气质量标准</w:t>
      </w:r>
    </w:p>
    <w:p w14:paraId="68C4E53C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（</w:t>
      </w:r>
      <w:r>
        <w:rPr>
          <w:rFonts w:hint="eastAsia"/>
          <w:bCs/>
          <w:sz w:val="24"/>
          <w:szCs w:val="22"/>
        </w:rPr>
        <w:t>3</w:t>
      </w:r>
      <w:r>
        <w:rPr>
          <w:rFonts w:hint="eastAsia"/>
          <w:bCs/>
          <w:sz w:val="24"/>
          <w:szCs w:val="22"/>
        </w:rPr>
        <w:t>）声环境质量标准</w:t>
      </w:r>
    </w:p>
    <w:p w14:paraId="649B10A7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（</w:t>
      </w:r>
      <w:r>
        <w:rPr>
          <w:rFonts w:hint="eastAsia"/>
          <w:bCs/>
          <w:sz w:val="24"/>
          <w:szCs w:val="22"/>
        </w:rPr>
        <w:t>4</w:t>
      </w:r>
      <w:r>
        <w:rPr>
          <w:rFonts w:hint="eastAsia"/>
          <w:bCs/>
          <w:sz w:val="24"/>
          <w:szCs w:val="22"/>
        </w:rPr>
        <w:t>）污染物排放标准（水污染、大气污染、地下车库废气、柴油发电机废气、饮食业油烟、室内空气污染控制等要求）</w:t>
      </w:r>
    </w:p>
    <w:p w14:paraId="2BDAB90D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场地生态及周边环境分析</w:t>
      </w:r>
    </w:p>
    <w:p w14:paraId="00F9EE29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场地市政设施分析</w:t>
      </w:r>
    </w:p>
    <w:p w14:paraId="0F32447C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（</w:t>
      </w:r>
      <w:r>
        <w:rPr>
          <w:rFonts w:hint="eastAsia"/>
          <w:bCs/>
          <w:sz w:val="24"/>
          <w:szCs w:val="22"/>
        </w:rPr>
        <w:t>1</w:t>
      </w:r>
      <w:r>
        <w:rPr>
          <w:rFonts w:hint="eastAsia"/>
          <w:bCs/>
          <w:sz w:val="24"/>
          <w:szCs w:val="22"/>
        </w:rPr>
        <w:t>）供水</w:t>
      </w:r>
    </w:p>
    <w:p w14:paraId="1679F542" w14:textId="77777777" w:rsidR="00140050" w:rsidRDefault="00000000">
      <w:pPr>
        <w:spacing w:line="360" w:lineRule="auto"/>
        <w:ind w:firstLineChars="200" w:firstLine="48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（</w:t>
      </w:r>
      <w:r>
        <w:rPr>
          <w:rFonts w:hint="eastAsia"/>
          <w:bCs/>
          <w:sz w:val="24"/>
          <w:szCs w:val="22"/>
        </w:rPr>
        <w:t>2</w:t>
      </w:r>
      <w:r>
        <w:rPr>
          <w:rFonts w:hint="eastAsia"/>
          <w:bCs/>
          <w:sz w:val="24"/>
          <w:szCs w:val="22"/>
        </w:rPr>
        <w:t>）供电</w:t>
      </w:r>
    </w:p>
    <w:p w14:paraId="5FC2AA65" w14:textId="77777777" w:rsidR="00140050" w:rsidRDefault="00000000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Cs/>
          <w:sz w:val="24"/>
          <w:szCs w:val="22"/>
        </w:rPr>
        <w:t>（</w:t>
      </w:r>
      <w:r>
        <w:rPr>
          <w:rFonts w:hint="eastAsia"/>
          <w:bCs/>
          <w:sz w:val="24"/>
          <w:szCs w:val="22"/>
        </w:rPr>
        <w:t>3</w:t>
      </w:r>
      <w:r>
        <w:rPr>
          <w:rFonts w:hint="eastAsia"/>
          <w:bCs/>
          <w:sz w:val="24"/>
          <w:szCs w:val="22"/>
        </w:rPr>
        <w:t>）通讯</w:t>
      </w:r>
    </w:p>
    <w:p w14:paraId="4A0FDCD7" w14:textId="77777777" w:rsidR="00140050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（三）绿色建筑技术措施说明</w:t>
      </w:r>
    </w:p>
    <w:p w14:paraId="5D97F4BA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节地与可持续发展场地</w:t>
      </w:r>
      <w:r>
        <w:rPr>
          <w:rFonts w:hint="eastAsia"/>
          <w:bCs/>
          <w:sz w:val="24"/>
          <w:szCs w:val="24"/>
        </w:rPr>
        <w:t>（包括总体规划与厂址选择、节地、物流与交通运输、场地资源保护与再生等措施）</w:t>
      </w:r>
    </w:p>
    <w:p w14:paraId="29946E7F" w14:textId="77777777" w:rsidR="00140050" w:rsidRDefault="00000000">
      <w:pPr>
        <w:spacing w:line="360" w:lineRule="auto"/>
        <w:ind w:firstLineChars="200" w:firstLine="482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节能与能源利用</w:t>
      </w:r>
      <w:r>
        <w:rPr>
          <w:rFonts w:hint="eastAsia"/>
          <w:bCs/>
          <w:sz w:val="24"/>
          <w:szCs w:val="24"/>
        </w:rPr>
        <w:t>（包括能源利用指标、能量回收、可再生能源利用等节能措施）</w:t>
      </w:r>
    </w:p>
    <w:p w14:paraId="3E5FB955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节水与水资源利用</w:t>
      </w:r>
      <w:r>
        <w:rPr>
          <w:rFonts w:hint="eastAsia"/>
          <w:bCs/>
          <w:sz w:val="24"/>
          <w:szCs w:val="24"/>
        </w:rPr>
        <w:t>（包括水资源规划及利用等节水措施）</w:t>
      </w:r>
    </w:p>
    <w:p w14:paraId="7955B862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节材与材料资源利用</w:t>
      </w:r>
      <w:r>
        <w:rPr>
          <w:rFonts w:hint="eastAsia"/>
          <w:bCs/>
          <w:sz w:val="24"/>
          <w:szCs w:val="24"/>
        </w:rPr>
        <w:t>（包括材料资源综合利用等节材措施）</w:t>
      </w:r>
    </w:p>
    <w:p w14:paraId="688F84E1" w14:textId="77777777" w:rsidR="00140050" w:rsidRDefault="00000000">
      <w:pPr>
        <w:spacing w:line="360" w:lineRule="auto"/>
        <w:ind w:firstLineChars="200" w:firstLine="482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室外环境与污染物控制</w:t>
      </w:r>
      <w:r>
        <w:rPr>
          <w:rFonts w:hint="eastAsia"/>
          <w:bCs/>
          <w:sz w:val="24"/>
          <w:szCs w:val="24"/>
        </w:rPr>
        <w:t>（包括环境分析、水、气、固体污染物控制及室外噪声与振动控制等措施）</w:t>
      </w:r>
    </w:p>
    <w:p w14:paraId="64E9A08D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室内环境与职业健康</w:t>
      </w:r>
      <w:r>
        <w:rPr>
          <w:rFonts w:hint="eastAsia"/>
          <w:bCs/>
          <w:sz w:val="24"/>
          <w:szCs w:val="24"/>
        </w:rPr>
        <w:t>（包括室内环境、职业健康等设计措施）</w:t>
      </w:r>
    </w:p>
    <w:p w14:paraId="71C121E1" w14:textId="77777777" w:rsidR="00140050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（四）绿色建筑增量投资估算及效益分析</w:t>
      </w:r>
    </w:p>
    <w:p w14:paraId="193D9AB8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计算基准</w:t>
      </w:r>
      <w:r>
        <w:rPr>
          <w:rFonts w:hint="eastAsia"/>
          <w:bCs/>
          <w:sz w:val="24"/>
          <w:szCs w:val="24"/>
        </w:rPr>
        <w:t>（项目增量成本计算所依据的标准）</w:t>
      </w:r>
    </w:p>
    <w:p w14:paraId="6B65408F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绿色建筑技术增量投资估算</w:t>
      </w:r>
    </w:p>
    <w:p w14:paraId="266AA53D" w14:textId="77777777" w:rsidR="00140050" w:rsidRDefault="00000000">
      <w:pPr>
        <w:spacing w:line="360" w:lineRule="auto"/>
        <w:ind w:firstLineChars="150" w:firstLine="36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（</w:t>
      </w:r>
      <w:r>
        <w:rPr>
          <w:rFonts w:hAnsi="宋体" w:hint="eastAsia"/>
          <w:bCs/>
          <w:sz w:val="24"/>
          <w:szCs w:val="24"/>
        </w:rPr>
        <w:t>1</w:t>
      </w:r>
      <w:r>
        <w:rPr>
          <w:rFonts w:hAnsi="宋体" w:hint="eastAsia"/>
          <w:bCs/>
          <w:sz w:val="24"/>
          <w:szCs w:val="24"/>
        </w:rPr>
        <w:t>）投资估算</w:t>
      </w:r>
    </w:p>
    <w:tbl>
      <w:tblPr>
        <w:tblStyle w:val="a5"/>
        <w:tblW w:w="10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825"/>
        <w:gridCol w:w="2262"/>
        <w:gridCol w:w="1245"/>
        <w:gridCol w:w="1898"/>
        <w:gridCol w:w="1550"/>
        <w:gridCol w:w="1361"/>
      </w:tblGrid>
      <w:tr w:rsidR="00140050" w14:paraId="551A10A0" w14:textId="77777777">
        <w:trPr>
          <w:trHeight w:val="454"/>
          <w:jc w:val="center"/>
        </w:trPr>
        <w:tc>
          <w:tcPr>
            <w:tcW w:w="10467" w:type="dxa"/>
            <w:gridSpan w:val="7"/>
            <w:tcBorders>
              <w:tl2br w:val="nil"/>
              <w:tr2bl w:val="nil"/>
            </w:tcBorders>
          </w:tcPr>
          <w:p w14:paraId="6451CF3A" w14:textId="77777777" w:rsidR="00140050" w:rsidRDefault="00000000">
            <w:pPr>
              <w:widowControl/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</w:t>
            </w:r>
            <w:r>
              <w:rPr>
                <w:color w:val="000000" w:themeColor="text1"/>
                <w:szCs w:val="21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计容</w:t>
            </w:r>
            <w:r>
              <w:rPr>
                <w:color w:val="000000" w:themeColor="text1"/>
                <w:szCs w:val="21"/>
              </w:rPr>
              <w:t>建筑面积：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㎡</w:t>
            </w:r>
          </w:p>
          <w:p w14:paraId="3187DB82" w14:textId="77777777" w:rsidR="00140050" w:rsidRDefault="00000000">
            <w:pPr>
              <w:widowControl/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2.</w:t>
            </w:r>
            <w:r>
              <w:rPr>
                <w:color w:val="000000" w:themeColor="text1"/>
                <w:szCs w:val="21"/>
              </w:rPr>
              <w:t>为实现绿色</w:t>
            </w:r>
            <w:r>
              <w:rPr>
                <w:rFonts w:hint="eastAsia"/>
                <w:color w:val="000000" w:themeColor="text1"/>
                <w:szCs w:val="21"/>
              </w:rPr>
              <w:t>工业</w:t>
            </w:r>
            <w:r>
              <w:rPr>
                <w:color w:val="000000" w:themeColor="text1"/>
                <w:szCs w:val="21"/>
              </w:rPr>
              <w:t>建筑而增加的初投资成本：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  </w:t>
            </w:r>
            <w:r>
              <w:rPr>
                <w:color w:val="000000" w:themeColor="text1"/>
                <w:szCs w:val="21"/>
              </w:rPr>
              <w:t>万元</w:t>
            </w:r>
          </w:p>
          <w:p w14:paraId="43FCD23C" w14:textId="77777777" w:rsidR="00140050" w:rsidRDefault="00000000">
            <w:pPr>
              <w:widowControl/>
              <w:spacing w:line="360" w:lineRule="auto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3.</w:t>
            </w:r>
            <w:r>
              <w:rPr>
                <w:color w:val="000000" w:themeColor="text1"/>
                <w:szCs w:val="21"/>
              </w:rPr>
              <w:t>单位面积增量成本：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元</w:t>
            </w:r>
            <w:r>
              <w:rPr>
                <w:color w:val="000000" w:themeColor="text1"/>
                <w:szCs w:val="21"/>
              </w:rPr>
              <w:t xml:space="preserve">/ </w:t>
            </w:r>
            <w:r>
              <w:rPr>
                <w:rFonts w:hint="eastAsia"/>
                <w:color w:val="000000" w:themeColor="text1"/>
                <w:szCs w:val="21"/>
              </w:rPr>
              <w:t>㎡</w:t>
            </w:r>
          </w:p>
        </w:tc>
      </w:tr>
      <w:tr w:rsidR="00140050" w14:paraId="489DA374" w14:textId="77777777">
        <w:trPr>
          <w:trHeight w:val="454"/>
          <w:jc w:val="center"/>
        </w:trPr>
        <w:tc>
          <w:tcPr>
            <w:tcW w:w="1326" w:type="dxa"/>
            <w:tcBorders>
              <w:tl2br w:val="nil"/>
              <w:tr2bl w:val="nil"/>
            </w:tcBorders>
          </w:tcPr>
          <w:p w14:paraId="63FCB93E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绿建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达标</w:t>
            </w:r>
            <w:r>
              <w:rPr>
                <w:b/>
                <w:bCs/>
                <w:color w:val="000000" w:themeColor="text1"/>
                <w:szCs w:val="21"/>
              </w:rPr>
              <w:t>的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技术</w:t>
            </w:r>
            <w:r>
              <w:rPr>
                <w:b/>
                <w:bCs/>
                <w:color w:val="000000" w:themeColor="text1"/>
                <w:szCs w:val="21"/>
              </w:rPr>
              <w:t>措施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15B67AC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单价</w:t>
            </w:r>
          </w:p>
        </w:tc>
        <w:tc>
          <w:tcPr>
            <w:tcW w:w="2262" w:type="dxa"/>
            <w:tcBorders>
              <w:tl2br w:val="nil"/>
              <w:tr2bl w:val="nil"/>
            </w:tcBorders>
          </w:tcPr>
          <w:p w14:paraId="5AA51DC1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标准建筑采用的常规技术和产品</w:t>
            </w:r>
          </w:p>
        </w:tc>
        <w:tc>
          <w:tcPr>
            <w:tcW w:w="1245" w:type="dxa"/>
            <w:tcBorders>
              <w:tl2br w:val="nil"/>
              <w:tr2bl w:val="nil"/>
            </w:tcBorders>
          </w:tcPr>
          <w:p w14:paraId="0B736117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单价</w:t>
            </w:r>
          </w:p>
        </w:tc>
        <w:tc>
          <w:tcPr>
            <w:tcW w:w="1898" w:type="dxa"/>
            <w:tcBorders>
              <w:tl2br w:val="nil"/>
              <w:tr2bl w:val="nil"/>
            </w:tcBorders>
          </w:tcPr>
          <w:p w14:paraId="64605904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应用量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或</w:t>
            </w:r>
            <w:r>
              <w:rPr>
                <w:b/>
                <w:bCs/>
                <w:color w:val="000000" w:themeColor="text1"/>
                <w:szCs w:val="21"/>
              </w:rPr>
              <w:t>应用面积（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㎡</w:t>
            </w:r>
            <w:r>
              <w:rPr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1550" w:type="dxa"/>
            <w:tcBorders>
              <w:tl2br w:val="nil"/>
              <w:tr2bl w:val="nil"/>
            </w:tcBorders>
          </w:tcPr>
          <w:p w14:paraId="5F43C7FE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增量成本</w:t>
            </w:r>
          </w:p>
          <w:p w14:paraId="465C376F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（万元）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C78732" w14:textId="77777777" w:rsidR="00140050" w:rsidRDefault="0000000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备注</w:t>
            </w:r>
          </w:p>
          <w:p w14:paraId="339A7C41" w14:textId="77777777" w:rsidR="00140050" w:rsidRDefault="00140050">
            <w:pPr>
              <w:widowControl/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140050" w14:paraId="7A6C7060" w14:textId="77777777">
        <w:trPr>
          <w:trHeight w:val="454"/>
          <w:jc w:val="center"/>
        </w:trPr>
        <w:tc>
          <w:tcPr>
            <w:tcW w:w="1326" w:type="dxa"/>
            <w:tcBorders>
              <w:tl2br w:val="nil"/>
              <w:tr2bl w:val="nil"/>
            </w:tcBorders>
          </w:tcPr>
          <w:p w14:paraId="62946AD0" w14:textId="77777777" w:rsidR="00140050" w:rsidRDefault="0014005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2D286F3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</w:tcPr>
          <w:p w14:paraId="11900CDE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 w14:paraId="5E4A6C66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98" w:type="dxa"/>
            <w:tcBorders>
              <w:tl2br w:val="nil"/>
              <w:tr2bl w:val="nil"/>
            </w:tcBorders>
          </w:tcPr>
          <w:p w14:paraId="682D7765" w14:textId="77777777" w:rsidR="00140050" w:rsidRDefault="00140050">
            <w:pPr>
              <w:spacing w:line="360" w:lineRule="auto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14:paraId="334A3E93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24F61EC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140050" w14:paraId="648E5881" w14:textId="77777777">
        <w:trPr>
          <w:trHeight w:val="368"/>
          <w:jc w:val="center"/>
        </w:trPr>
        <w:tc>
          <w:tcPr>
            <w:tcW w:w="1326" w:type="dxa"/>
            <w:tcBorders>
              <w:tl2br w:val="nil"/>
              <w:tr2bl w:val="nil"/>
            </w:tcBorders>
          </w:tcPr>
          <w:p w14:paraId="2D200451" w14:textId="77777777" w:rsidR="00140050" w:rsidRDefault="0014005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40527191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</w:tcPr>
          <w:p w14:paraId="35DB8EDC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 w14:paraId="430456D4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98" w:type="dxa"/>
            <w:tcBorders>
              <w:tl2br w:val="nil"/>
              <w:tr2bl w:val="nil"/>
            </w:tcBorders>
          </w:tcPr>
          <w:p w14:paraId="1883D2BE" w14:textId="77777777" w:rsidR="00140050" w:rsidRDefault="00140050">
            <w:pPr>
              <w:spacing w:line="360" w:lineRule="auto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14:paraId="143880B1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6ADCC95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140050" w14:paraId="595D30B1" w14:textId="77777777">
        <w:trPr>
          <w:trHeight w:val="454"/>
          <w:jc w:val="center"/>
        </w:trPr>
        <w:tc>
          <w:tcPr>
            <w:tcW w:w="1326" w:type="dxa"/>
            <w:tcBorders>
              <w:tl2br w:val="nil"/>
              <w:tr2bl w:val="nil"/>
            </w:tcBorders>
          </w:tcPr>
          <w:p w14:paraId="43E627AD" w14:textId="77777777" w:rsidR="00140050" w:rsidRDefault="0014005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6F8CF761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</w:tcPr>
          <w:p w14:paraId="0DFB34C9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 w14:paraId="7924AFE6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98" w:type="dxa"/>
            <w:tcBorders>
              <w:tl2br w:val="nil"/>
              <w:tr2bl w:val="nil"/>
            </w:tcBorders>
          </w:tcPr>
          <w:p w14:paraId="0F7D0331" w14:textId="77777777" w:rsidR="00140050" w:rsidRDefault="00140050">
            <w:pPr>
              <w:spacing w:line="360" w:lineRule="auto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</w:tcPr>
          <w:p w14:paraId="49F0335C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EEF31FB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140050" w14:paraId="017E3466" w14:textId="77777777">
        <w:trPr>
          <w:trHeight w:val="454"/>
          <w:jc w:val="center"/>
        </w:trPr>
        <w:tc>
          <w:tcPr>
            <w:tcW w:w="7556" w:type="dxa"/>
            <w:gridSpan w:val="5"/>
            <w:tcBorders>
              <w:tl2br w:val="nil"/>
              <w:tr2bl w:val="nil"/>
            </w:tcBorders>
          </w:tcPr>
          <w:p w14:paraId="6721CD37" w14:textId="77777777" w:rsidR="00140050" w:rsidRDefault="0000000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合计</w:t>
            </w:r>
          </w:p>
        </w:tc>
        <w:tc>
          <w:tcPr>
            <w:tcW w:w="1550" w:type="dxa"/>
            <w:tcBorders>
              <w:tl2br w:val="nil"/>
              <w:tr2bl w:val="nil"/>
            </w:tcBorders>
          </w:tcPr>
          <w:p w14:paraId="16CAABCC" w14:textId="77777777" w:rsidR="00140050" w:rsidRDefault="0000000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bCs/>
                <w:color w:val="000000" w:themeColor="text1"/>
                <w:szCs w:val="21"/>
              </w:rPr>
              <w:t>元</w:t>
            </w:r>
            <w:r>
              <w:rPr>
                <w:rFonts w:hint="eastAsia"/>
                <w:bCs/>
                <w:color w:val="000000" w:themeColor="text1"/>
                <w:szCs w:val="21"/>
              </w:rPr>
              <w:t>/</w:t>
            </w:r>
            <w:r>
              <w:rPr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㎡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82D6B67" w14:textId="77777777" w:rsidR="00140050" w:rsidRDefault="00140050">
            <w:pPr>
              <w:snapToGrid w:val="0"/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140050" w14:paraId="2A9220C7" w14:textId="77777777">
        <w:trPr>
          <w:trHeight w:val="454"/>
          <w:jc w:val="center"/>
        </w:trPr>
        <w:tc>
          <w:tcPr>
            <w:tcW w:w="10467" w:type="dxa"/>
            <w:gridSpan w:val="7"/>
            <w:tcBorders>
              <w:tl2br w:val="nil"/>
              <w:tr2bl w:val="nil"/>
            </w:tcBorders>
          </w:tcPr>
          <w:p w14:paraId="61ACE8C5" w14:textId="77777777" w:rsidR="00140050" w:rsidRDefault="00000000">
            <w:pPr>
              <w:widowControl/>
              <w:spacing w:line="360" w:lineRule="auto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lastRenderedPageBreak/>
              <w:t>注：</w:t>
            </w:r>
            <w:r>
              <w:rPr>
                <w:rFonts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bCs/>
                <w:color w:val="000000" w:themeColor="text1"/>
                <w:szCs w:val="21"/>
              </w:rPr>
              <w:t>1</w:t>
            </w:r>
            <w:r>
              <w:rPr>
                <w:rFonts w:hint="eastAsia"/>
                <w:bCs/>
                <w:color w:val="000000" w:themeColor="text1"/>
                <w:szCs w:val="21"/>
              </w:rPr>
              <w:t>.</w:t>
            </w:r>
            <w:r>
              <w:rPr>
                <w:bCs/>
                <w:color w:val="000000" w:themeColor="text1"/>
                <w:szCs w:val="21"/>
              </w:rPr>
              <w:t>成本增量的基准点是满足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国家</w:t>
            </w:r>
            <w:r>
              <w:rPr>
                <w:bCs/>
                <w:color w:val="000000" w:themeColor="text1"/>
                <w:szCs w:val="21"/>
              </w:rPr>
              <w:t>现行相关标准要求的</w:t>
            </w:r>
            <w:r>
              <w:rPr>
                <w:rFonts w:hint="eastAsia"/>
                <w:bCs/>
                <w:color w:val="000000" w:themeColor="text1"/>
                <w:szCs w:val="21"/>
              </w:rPr>
              <w:t>“</w:t>
            </w:r>
            <w:r>
              <w:rPr>
                <w:bCs/>
                <w:color w:val="000000" w:themeColor="text1"/>
                <w:szCs w:val="21"/>
              </w:rPr>
              <w:t>标准建筑</w:t>
            </w:r>
            <w:r>
              <w:rPr>
                <w:rFonts w:hint="eastAsia"/>
                <w:bCs/>
                <w:color w:val="000000" w:themeColor="text1"/>
                <w:szCs w:val="21"/>
              </w:rPr>
              <w:t>”</w:t>
            </w:r>
            <w:r>
              <w:rPr>
                <w:bCs/>
                <w:color w:val="000000" w:themeColor="text1"/>
                <w:szCs w:val="21"/>
              </w:rPr>
              <w:t>；</w:t>
            </w:r>
          </w:p>
          <w:p w14:paraId="416AC4DB" w14:textId="77777777" w:rsidR="00140050" w:rsidRDefault="00000000">
            <w:pPr>
              <w:widowControl/>
              <w:spacing w:line="360" w:lineRule="auto"/>
              <w:ind w:leftChars="34" w:left="176" w:hangingChars="50" w:hanging="105"/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 xml:space="preserve">    2</w:t>
            </w:r>
            <w:r>
              <w:rPr>
                <w:rFonts w:hint="eastAsia"/>
                <w:bCs/>
                <w:color w:val="000000" w:themeColor="text1"/>
                <w:szCs w:val="21"/>
              </w:rPr>
              <w:t>.</w:t>
            </w:r>
            <w:r>
              <w:rPr>
                <w:bCs/>
                <w:color w:val="000000" w:themeColor="text1"/>
                <w:szCs w:val="21"/>
              </w:rPr>
              <w:t>对于部分减少了初投资的技术应用，其增量成本按负数计；</w:t>
            </w:r>
          </w:p>
          <w:p w14:paraId="380ECB18" w14:textId="77777777" w:rsidR="00140050" w:rsidRDefault="00000000">
            <w:pPr>
              <w:widowControl/>
              <w:spacing w:line="360" w:lineRule="auto"/>
              <w:ind w:leftChars="34" w:left="176" w:hangingChars="50" w:hanging="105"/>
              <w:jc w:val="left"/>
              <w:rPr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 xml:space="preserve">    3</w:t>
            </w:r>
            <w:r>
              <w:rPr>
                <w:rFonts w:hint="eastAsia"/>
                <w:bCs/>
                <w:color w:val="000000" w:themeColor="text1"/>
                <w:szCs w:val="21"/>
              </w:rPr>
              <w:t>.</w:t>
            </w:r>
            <w:r>
              <w:rPr>
                <w:bCs/>
                <w:color w:val="000000" w:themeColor="text1"/>
                <w:szCs w:val="21"/>
              </w:rPr>
              <w:t>备注部分填写是否有政府补贴</w:t>
            </w:r>
            <w:r>
              <w:rPr>
                <w:bCs/>
                <w:color w:val="000000" w:themeColor="text1"/>
                <w:szCs w:val="21"/>
              </w:rPr>
              <w:t>/</w:t>
            </w:r>
            <w:r>
              <w:rPr>
                <w:bCs/>
                <w:color w:val="000000" w:themeColor="text1"/>
                <w:szCs w:val="21"/>
              </w:rPr>
              <w:t>优惠政策及依据。</w:t>
            </w:r>
          </w:p>
        </w:tc>
      </w:tr>
    </w:tbl>
    <w:p w14:paraId="43002997" w14:textId="77777777" w:rsidR="00140050" w:rsidRDefault="00140050">
      <w:pPr>
        <w:spacing w:line="360" w:lineRule="auto"/>
        <w:ind w:firstLineChars="150" w:firstLine="361"/>
        <w:rPr>
          <w:rFonts w:hAnsi="宋体"/>
          <w:b/>
          <w:sz w:val="24"/>
          <w:szCs w:val="24"/>
        </w:rPr>
      </w:pPr>
    </w:p>
    <w:p w14:paraId="784861A4" w14:textId="77777777" w:rsidR="00140050" w:rsidRDefault="00000000">
      <w:pPr>
        <w:numPr>
          <w:ilvl w:val="0"/>
          <w:numId w:val="5"/>
        </w:numPr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综合效益分析</w:t>
      </w:r>
      <w:r>
        <w:rPr>
          <w:rFonts w:hAnsi="宋体" w:hint="eastAsia"/>
          <w:sz w:val="24"/>
          <w:szCs w:val="24"/>
        </w:rPr>
        <w:t>（环境效益、经济效益、社会效益）</w:t>
      </w:r>
    </w:p>
    <w:p w14:paraId="0BD6BDFA" w14:textId="77777777" w:rsidR="00140050" w:rsidRDefault="00140050">
      <w:pPr>
        <w:spacing w:line="360" w:lineRule="auto"/>
        <w:rPr>
          <w:rFonts w:hAnsi="宋体"/>
          <w:sz w:val="24"/>
          <w:szCs w:val="24"/>
        </w:rPr>
      </w:pPr>
    </w:p>
    <w:p w14:paraId="4842DACA" w14:textId="77777777" w:rsidR="00140050" w:rsidRDefault="00140050">
      <w:pPr>
        <w:spacing w:line="360" w:lineRule="auto"/>
        <w:rPr>
          <w:rFonts w:hAnsi="宋体"/>
          <w:sz w:val="24"/>
          <w:szCs w:val="24"/>
        </w:rPr>
      </w:pPr>
    </w:p>
    <w:p w14:paraId="47D04F59" w14:textId="77777777" w:rsidR="00140050" w:rsidRDefault="00140050">
      <w:pPr>
        <w:spacing w:line="360" w:lineRule="auto"/>
        <w:rPr>
          <w:rFonts w:hAnsi="宋体"/>
          <w:sz w:val="24"/>
          <w:szCs w:val="24"/>
        </w:rPr>
      </w:pPr>
    </w:p>
    <w:p w14:paraId="1D80EC9D" w14:textId="77777777" w:rsidR="00140050" w:rsidRDefault="0000000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（五）绿色建筑自查结论</w:t>
      </w:r>
    </w:p>
    <w:p w14:paraId="7602105C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项目承诺书</w:t>
      </w:r>
    </w:p>
    <w:p w14:paraId="483A84A5" w14:textId="77777777" w:rsidR="00140050" w:rsidRDefault="00140050">
      <w:pPr>
        <w:spacing w:line="360" w:lineRule="auto"/>
        <w:jc w:val="center"/>
        <w:rPr>
          <w:b/>
          <w:bCs/>
          <w:sz w:val="32"/>
          <w:szCs w:val="32"/>
        </w:rPr>
      </w:pPr>
    </w:p>
    <w:p w14:paraId="07FF8516" w14:textId="77777777" w:rsidR="00140050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承</w:t>
      </w:r>
      <w:r>
        <w:rPr>
          <w:b/>
          <w:bCs/>
          <w:sz w:val="28"/>
          <w:szCs w:val="28"/>
        </w:rPr>
        <w:t xml:space="preserve">   </w:t>
      </w:r>
      <w:r>
        <w:rPr>
          <w:rFonts w:cs="宋体" w:hint="eastAsia"/>
          <w:b/>
          <w:bCs/>
          <w:sz w:val="28"/>
          <w:szCs w:val="28"/>
        </w:rPr>
        <w:t>诺</w:t>
      </w:r>
    </w:p>
    <w:p w14:paraId="70A159FB" w14:textId="77777777" w:rsidR="00140050" w:rsidRDefault="00000000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本项目的建设单位</w:t>
      </w:r>
      <w:r>
        <w:rPr>
          <w:rFonts w:cs="宋体" w:hint="eastAsia"/>
          <w:b/>
          <w:bCs/>
          <w:sz w:val="24"/>
          <w:szCs w:val="24"/>
          <w:u w:val="single"/>
        </w:rPr>
        <w:t xml:space="preserve">                    </w:t>
      </w:r>
      <w:r>
        <w:rPr>
          <w:rFonts w:cs="宋体" w:hint="eastAsia"/>
          <w:b/>
          <w:bCs/>
          <w:sz w:val="24"/>
          <w:szCs w:val="24"/>
        </w:rPr>
        <w:t>、设计单位</w:t>
      </w:r>
      <w:r>
        <w:rPr>
          <w:rFonts w:cs="宋体" w:hint="eastAsia"/>
          <w:b/>
          <w:bCs/>
          <w:sz w:val="24"/>
          <w:szCs w:val="24"/>
          <w:u w:val="single"/>
        </w:rPr>
        <w:t xml:space="preserve">                    </w:t>
      </w:r>
      <w:r>
        <w:rPr>
          <w:rFonts w:cs="宋体" w:hint="eastAsia"/>
          <w:b/>
          <w:bCs/>
          <w:sz w:val="24"/>
          <w:szCs w:val="24"/>
        </w:rPr>
        <w:t>对项目方案设计中绿色建筑设计内容自查结论的真实性、科学性、合理</w:t>
      </w:r>
      <w:r>
        <w:rPr>
          <w:rFonts w:cs="宋体" w:hint="eastAsia"/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性负责，并愿意承担相应的责任，特此说明。</w:t>
      </w:r>
    </w:p>
    <w:p w14:paraId="7905ECD7" w14:textId="77777777" w:rsidR="00140050" w:rsidRDefault="00140050">
      <w:pPr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14:paraId="735BDB47" w14:textId="77777777" w:rsidR="00140050" w:rsidRDefault="00000000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项目建设单位（盖章）：</w:t>
      </w:r>
      <w:r>
        <w:rPr>
          <w:b/>
          <w:bCs/>
          <w:sz w:val="24"/>
          <w:szCs w:val="24"/>
          <w:u w:val="single"/>
        </w:rPr>
        <w:t xml:space="preserve">  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       </w:t>
      </w:r>
    </w:p>
    <w:p w14:paraId="25F837A5" w14:textId="77777777" w:rsidR="00140050" w:rsidRDefault="00000000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项目方案设计单位（盖章）：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    </w:t>
      </w:r>
    </w:p>
    <w:p w14:paraId="3E7B6A5E" w14:textId="77777777" w:rsidR="00140050" w:rsidRDefault="00000000">
      <w:pPr>
        <w:spacing w:line="360" w:lineRule="auto"/>
        <w:rPr>
          <w:rFonts w:hAnsi="宋体"/>
          <w:b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项目方案设计时间：</w:t>
      </w:r>
      <w:r>
        <w:rPr>
          <w:b/>
          <w:bCs/>
          <w:sz w:val="24"/>
          <w:szCs w:val="24"/>
          <w:u w:val="single"/>
        </w:rPr>
        <w:t xml:space="preserve">         </w:t>
      </w:r>
      <w:r>
        <w:rPr>
          <w:rFonts w:hint="eastAsia"/>
          <w:b/>
          <w:bCs/>
          <w:sz w:val="24"/>
          <w:szCs w:val="24"/>
          <w:u w:val="single"/>
        </w:rPr>
        <w:t xml:space="preserve">                   </w:t>
      </w:r>
    </w:p>
    <w:p w14:paraId="1FAC5F2F" w14:textId="77777777" w:rsidR="00140050" w:rsidRDefault="00140050">
      <w:pPr>
        <w:spacing w:line="300" w:lineRule="auto"/>
        <w:rPr>
          <w:rFonts w:hAnsi="宋体"/>
          <w:b/>
          <w:sz w:val="24"/>
          <w:szCs w:val="24"/>
        </w:rPr>
      </w:pPr>
    </w:p>
    <w:p w14:paraId="32CC490B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bookmarkStart w:id="1" w:name="_Toc377821650"/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  <w:lang w:val="en"/>
        </w:rPr>
        <w:t>.</w:t>
      </w:r>
      <w:r>
        <w:rPr>
          <w:rFonts w:hint="eastAsia"/>
          <w:b/>
          <w:sz w:val="24"/>
          <w:szCs w:val="24"/>
        </w:rPr>
        <w:t>绿色建筑方案设计自评表</w:t>
      </w:r>
      <w:bookmarkEnd w:id="1"/>
    </w:p>
    <w:p w14:paraId="621B02F6" w14:textId="77777777" w:rsidR="00140050" w:rsidRDefault="00000000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（</w:t>
      </w:r>
      <w:r>
        <w:rPr>
          <w:rFonts w:hAnsi="宋体" w:hint="eastAsia"/>
          <w:bCs/>
          <w:sz w:val="24"/>
          <w:szCs w:val="24"/>
        </w:rPr>
        <w:t>1</w:t>
      </w:r>
      <w:r>
        <w:rPr>
          <w:rFonts w:hAnsi="宋体" w:hint="eastAsia"/>
          <w:bCs/>
          <w:sz w:val="24"/>
          <w:szCs w:val="24"/>
        </w:rPr>
        <w:t>）绿色工业建筑设计得分自评表</w:t>
      </w:r>
    </w:p>
    <w:tbl>
      <w:tblPr>
        <w:tblStyle w:val="a5"/>
        <w:tblW w:w="9945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1440"/>
        <w:gridCol w:w="1155"/>
        <w:gridCol w:w="1170"/>
        <w:gridCol w:w="1140"/>
        <w:gridCol w:w="1170"/>
        <w:gridCol w:w="1260"/>
        <w:gridCol w:w="1155"/>
        <w:gridCol w:w="1455"/>
      </w:tblGrid>
      <w:tr w:rsidR="00140050" w14:paraId="445BB775" w14:textId="77777777">
        <w:trPr>
          <w:trHeight w:val="449"/>
        </w:trPr>
        <w:tc>
          <w:tcPr>
            <w:tcW w:w="1440" w:type="dxa"/>
          </w:tcPr>
          <w:p w14:paraId="414D7AA6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55" w:type="dxa"/>
          </w:tcPr>
          <w:p w14:paraId="5466FFA1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节地与可持续发展场地（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1170" w:type="dxa"/>
          </w:tcPr>
          <w:p w14:paraId="0E69AEB7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节能与能源利用（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1140" w:type="dxa"/>
          </w:tcPr>
          <w:p w14:paraId="07605330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节水与水资源利用（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1170" w:type="dxa"/>
          </w:tcPr>
          <w:p w14:paraId="15640E77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节材与材料资源利用（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1260" w:type="dxa"/>
          </w:tcPr>
          <w:p w14:paraId="3A8B9D49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室外环境与污染物控制（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  <w:vertAlign w:val="subscript"/>
              </w:rPr>
              <w:t>5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1155" w:type="dxa"/>
          </w:tcPr>
          <w:p w14:paraId="191DB9E3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室内环境与职业健康（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  <w:vertAlign w:val="subscript"/>
              </w:rPr>
              <w:t>6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1455" w:type="dxa"/>
          </w:tcPr>
          <w:p w14:paraId="2470EE11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技术进步与创新</w:t>
            </w:r>
          </w:p>
          <w:p w14:paraId="1B69C949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加分项（</w:t>
            </w:r>
            <w:r>
              <w:rPr>
                <w:rFonts w:hint="eastAsia"/>
              </w:rPr>
              <w:t>P</w:t>
            </w:r>
            <w:r>
              <w:rPr>
                <w:vertAlign w:val="subscript"/>
              </w:rPr>
              <w:t>A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</w:tr>
      <w:tr w:rsidR="00140050" w14:paraId="41A59731" w14:textId="77777777">
        <w:trPr>
          <w:trHeight w:val="449"/>
        </w:trPr>
        <w:tc>
          <w:tcPr>
            <w:tcW w:w="1440" w:type="dxa"/>
          </w:tcPr>
          <w:p w14:paraId="0D99D75A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总分（</w:t>
            </w:r>
            <w:r>
              <w:rPr>
                <w:rFonts w:hAnsi="宋体" w:hint="eastAsia"/>
                <w:bCs/>
                <w:szCs w:val="21"/>
              </w:rPr>
              <w:t>100</w:t>
            </w:r>
            <w:r>
              <w:rPr>
                <w:rFonts w:hAnsi="宋体" w:hint="eastAsia"/>
                <w:bCs/>
                <w:szCs w:val="21"/>
              </w:rPr>
              <w:t>分）</w:t>
            </w:r>
          </w:p>
        </w:tc>
        <w:tc>
          <w:tcPr>
            <w:tcW w:w="1155" w:type="dxa"/>
          </w:tcPr>
          <w:p w14:paraId="61E754FC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12</w:t>
            </w:r>
          </w:p>
        </w:tc>
        <w:tc>
          <w:tcPr>
            <w:tcW w:w="1170" w:type="dxa"/>
          </w:tcPr>
          <w:p w14:paraId="02B437B8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26</w:t>
            </w:r>
          </w:p>
        </w:tc>
        <w:tc>
          <w:tcPr>
            <w:tcW w:w="1140" w:type="dxa"/>
          </w:tcPr>
          <w:p w14:paraId="56CA3E19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19</w:t>
            </w:r>
          </w:p>
        </w:tc>
        <w:tc>
          <w:tcPr>
            <w:tcW w:w="1170" w:type="dxa"/>
          </w:tcPr>
          <w:p w14:paraId="27BD1E07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10</w:t>
            </w:r>
          </w:p>
        </w:tc>
        <w:tc>
          <w:tcPr>
            <w:tcW w:w="1260" w:type="dxa"/>
          </w:tcPr>
          <w:p w14:paraId="1D35ADF7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12</w:t>
            </w:r>
          </w:p>
        </w:tc>
        <w:tc>
          <w:tcPr>
            <w:tcW w:w="1155" w:type="dxa"/>
          </w:tcPr>
          <w:p w14:paraId="2F5F91C8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11</w:t>
            </w:r>
          </w:p>
        </w:tc>
        <w:tc>
          <w:tcPr>
            <w:tcW w:w="1455" w:type="dxa"/>
          </w:tcPr>
          <w:p w14:paraId="00687037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10</w:t>
            </w:r>
          </w:p>
        </w:tc>
      </w:tr>
      <w:tr w:rsidR="00140050" w14:paraId="43C3E70F" w14:textId="77777777">
        <w:trPr>
          <w:trHeight w:val="449"/>
        </w:trPr>
        <w:tc>
          <w:tcPr>
            <w:tcW w:w="1440" w:type="dxa"/>
          </w:tcPr>
          <w:p w14:paraId="08A608E6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自评得分</w:t>
            </w:r>
          </w:p>
        </w:tc>
        <w:tc>
          <w:tcPr>
            <w:tcW w:w="1155" w:type="dxa"/>
          </w:tcPr>
          <w:p w14:paraId="64B0161A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70" w:type="dxa"/>
          </w:tcPr>
          <w:p w14:paraId="524CC646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40" w:type="dxa"/>
          </w:tcPr>
          <w:p w14:paraId="665F5BAC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70" w:type="dxa"/>
          </w:tcPr>
          <w:p w14:paraId="734CB311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260" w:type="dxa"/>
          </w:tcPr>
          <w:p w14:paraId="607E8E5B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55" w:type="dxa"/>
          </w:tcPr>
          <w:p w14:paraId="72282A92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455" w:type="dxa"/>
          </w:tcPr>
          <w:p w14:paraId="09F62A5D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</w:tr>
      <w:tr w:rsidR="00140050" w14:paraId="1634ADCA" w14:textId="77777777">
        <w:trPr>
          <w:trHeight w:val="449"/>
        </w:trPr>
        <w:tc>
          <w:tcPr>
            <w:tcW w:w="1440" w:type="dxa"/>
          </w:tcPr>
          <w:p w14:paraId="4D8409E8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自评总分（</w:t>
            </w:r>
            <w:r>
              <w:rPr>
                <w:rFonts w:hint="eastAsia"/>
                <w:bCs/>
              </w:rPr>
              <w:t>P</w:t>
            </w:r>
            <w:r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3465" w:type="dxa"/>
            <w:gridSpan w:val="3"/>
          </w:tcPr>
          <w:p w14:paraId="5D7CF2DB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170" w:type="dxa"/>
          </w:tcPr>
          <w:p w14:paraId="1D7D92C7" w14:textId="77777777" w:rsidR="00140050" w:rsidRDefault="0000000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自评等级</w:t>
            </w:r>
          </w:p>
        </w:tc>
        <w:tc>
          <w:tcPr>
            <w:tcW w:w="3870" w:type="dxa"/>
            <w:gridSpan w:val="3"/>
          </w:tcPr>
          <w:p w14:paraId="7574A040" w14:textId="77777777" w:rsidR="00140050" w:rsidRDefault="00140050">
            <w:pPr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</w:p>
        </w:tc>
      </w:tr>
    </w:tbl>
    <w:p w14:paraId="7DFBDFA4" w14:textId="77777777" w:rsidR="00140050" w:rsidRDefault="00000000">
      <w:pPr>
        <w:spacing w:line="300" w:lineRule="auto"/>
        <w:rPr>
          <w:bCs/>
        </w:rPr>
      </w:pPr>
      <w:r>
        <w:rPr>
          <w:rFonts w:hAnsi="宋体" w:hint="eastAsia"/>
          <w:b/>
          <w:sz w:val="24"/>
          <w:szCs w:val="24"/>
        </w:rPr>
        <w:t>注：</w:t>
      </w:r>
      <w:r>
        <w:rPr>
          <w:rFonts w:hAnsi="宋体" w:hint="eastAsia"/>
          <w:bCs/>
          <w:szCs w:val="21"/>
        </w:rPr>
        <w:t>其中，</w:t>
      </w:r>
      <w:r>
        <w:rPr>
          <w:rFonts w:hint="eastAsia"/>
          <w:bCs/>
        </w:rPr>
        <w:t>P</w:t>
      </w:r>
      <w:r>
        <w:rPr>
          <w:bCs/>
        </w:rPr>
        <w:t>=</w:t>
      </w:r>
      <w:r>
        <w:rPr>
          <w:rFonts w:hint="eastAsia"/>
          <w:bCs/>
        </w:rPr>
        <w:t>P</w:t>
      </w:r>
      <w:r>
        <w:rPr>
          <w:bCs/>
          <w:vertAlign w:val="subscript"/>
        </w:rPr>
        <w:t>1</w:t>
      </w:r>
      <w:r>
        <w:rPr>
          <w:bCs/>
        </w:rPr>
        <w:t>+</w:t>
      </w:r>
      <w:r>
        <w:rPr>
          <w:rFonts w:hint="eastAsia"/>
          <w:bCs/>
        </w:rPr>
        <w:t>P</w:t>
      </w:r>
      <w:r>
        <w:rPr>
          <w:bCs/>
          <w:vertAlign w:val="subscript"/>
        </w:rPr>
        <w:t>2</w:t>
      </w:r>
      <w:r>
        <w:rPr>
          <w:bCs/>
        </w:rPr>
        <w:t>+</w:t>
      </w:r>
      <w:r>
        <w:rPr>
          <w:rFonts w:hint="eastAsia"/>
          <w:bCs/>
        </w:rPr>
        <w:t>P</w:t>
      </w:r>
      <w:r>
        <w:rPr>
          <w:bCs/>
          <w:vertAlign w:val="subscript"/>
        </w:rPr>
        <w:t>3</w:t>
      </w:r>
      <w:r>
        <w:rPr>
          <w:bCs/>
        </w:rPr>
        <w:t>+</w:t>
      </w:r>
      <w:r>
        <w:rPr>
          <w:rFonts w:hint="eastAsia"/>
          <w:bCs/>
        </w:rPr>
        <w:t>P</w:t>
      </w:r>
      <w:r>
        <w:rPr>
          <w:bCs/>
          <w:vertAlign w:val="subscript"/>
        </w:rPr>
        <w:t>4</w:t>
      </w:r>
      <w:r>
        <w:rPr>
          <w:bCs/>
        </w:rPr>
        <w:t>+</w:t>
      </w:r>
      <w:r>
        <w:rPr>
          <w:rFonts w:hint="eastAsia"/>
          <w:bCs/>
        </w:rPr>
        <w:t>P</w:t>
      </w:r>
      <w:r>
        <w:rPr>
          <w:bCs/>
          <w:vertAlign w:val="subscript"/>
        </w:rPr>
        <w:t>5</w:t>
      </w:r>
      <w:r>
        <w:rPr>
          <w:bCs/>
        </w:rPr>
        <w:t>+</w:t>
      </w:r>
      <w:r>
        <w:rPr>
          <w:rFonts w:hint="eastAsia"/>
          <w:bCs/>
        </w:rPr>
        <w:t>P</w:t>
      </w:r>
      <w:r>
        <w:rPr>
          <w:bCs/>
          <w:vertAlign w:val="subscript"/>
        </w:rPr>
        <w:t>0</w:t>
      </w:r>
      <w:r>
        <w:rPr>
          <w:rFonts w:hint="eastAsia"/>
          <w:bCs/>
        </w:rPr>
        <w:t>+P</w:t>
      </w:r>
      <w:r>
        <w:rPr>
          <w:bCs/>
          <w:vertAlign w:val="subscript"/>
        </w:rPr>
        <w:t>A</w:t>
      </w:r>
      <w:r>
        <w:rPr>
          <w:rFonts w:hint="eastAsia"/>
          <w:bCs/>
        </w:rPr>
        <w:t>；当总分分别达到</w:t>
      </w:r>
      <w:r>
        <w:rPr>
          <w:rFonts w:hint="eastAsia"/>
          <w:bCs/>
        </w:rPr>
        <w:t>40</w:t>
      </w:r>
      <w:r>
        <w:rPr>
          <w:rFonts w:hint="eastAsia"/>
          <w:bCs/>
        </w:rPr>
        <w:t>≤</w:t>
      </w:r>
      <w:r>
        <w:rPr>
          <w:rFonts w:hint="eastAsia"/>
          <w:bCs/>
        </w:rPr>
        <w:t>P</w:t>
      </w:r>
      <w:r>
        <w:rPr>
          <w:rFonts w:hint="eastAsia"/>
          <w:bCs/>
        </w:rPr>
        <w:t>＜</w:t>
      </w:r>
      <w:r>
        <w:rPr>
          <w:rFonts w:hint="eastAsia"/>
          <w:bCs/>
        </w:rPr>
        <w:t>55</w:t>
      </w:r>
      <w:r>
        <w:rPr>
          <w:rFonts w:hint="eastAsia"/>
          <w:bCs/>
        </w:rPr>
        <w:t>分、</w:t>
      </w:r>
      <w:r>
        <w:rPr>
          <w:rFonts w:hint="eastAsia"/>
          <w:bCs/>
        </w:rPr>
        <w:t>55</w:t>
      </w:r>
      <w:r>
        <w:rPr>
          <w:rFonts w:hint="eastAsia"/>
          <w:bCs/>
        </w:rPr>
        <w:t>≤</w:t>
      </w:r>
      <w:r>
        <w:rPr>
          <w:rFonts w:hint="eastAsia"/>
          <w:bCs/>
        </w:rPr>
        <w:t>P</w:t>
      </w:r>
      <w:r>
        <w:rPr>
          <w:rFonts w:hint="eastAsia"/>
          <w:bCs/>
        </w:rPr>
        <w:t>＜</w:t>
      </w:r>
      <w:r>
        <w:rPr>
          <w:rFonts w:hint="eastAsia"/>
          <w:bCs/>
        </w:rPr>
        <w:t>70</w:t>
      </w:r>
      <w:r>
        <w:rPr>
          <w:rFonts w:hint="eastAsia"/>
          <w:bCs/>
        </w:rPr>
        <w:t>分、</w:t>
      </w:r>
      <w:r>
        <w:rPr>
          <w:rFonts w:hint="eastAsia"/>
          <w:bCs/>
        </w:rPr>
        <w:t>P</w:t>
      </w:r>
      <w:r>
        <w:rPr>
          <w:rFonts w:hint="eastAsia"/>
          <w:bCs/>
        </w:rPr>
        <w:t>≥</w:t>
      </w:r>
      <w:r>
        <w:rPr>
          <w:rFonts w:hint="eastAsia"/>
          <w:bCs/>
        </w:rPr>
        <w:t>70</w:t>
      </w:r>
      <w:r>
        <w:rPr>
          <w:rFonts w:hint="eastAsia"/>
          <w:bCs/>
        </w:rPr>
        <w:t>分且满足</w:t>
      </w:r>
    </w:p>
    <w:p w14:paraId="42BF9ECC" w14:textId="77777777" w:rsidR="00140050" w:rsidRDefault="00000000">
      <w:pPr>
        <w:spacing w:line="300" w:lineRule="auto"/>
        <w:ind w:firstLineChars="200" w:firstLine="420"/>
        <w:rPr>
          <w:bCs/>
        </w:rPr>
      </w:pPr>
      <w:r>
        <w:rPr>
          <w:rFonts w:hint="eastAsia"/>
          <w:bCs/>
        </w:rPr>
        <w:t>必达分≥</w:t>
      </w:r>
      <w:r>
        <w:rPr>
          <w:rFonts w:hint="eastAsia"/>
          <w:bCs/>
        </w:rPr>
        <w:t>11</w:t>
      </w:r>
      <w:r>
        <w:rPr>
          <w:rFonts w:hint="eastAsia"/>
          <w:bCs/>
        </w:rPr>
        <w:t>分时，绿色工业建筑等级分别为一星级、二星级、三星级。</w:t>
      </w:r>
    </w:p>
    <w:p w14:paraId="4C3BDAA4" w14:textId="77777777" w:rsidR="00140050" w:rsidRDefault="00140050">
      <w:pPr>
        <w:spacing w:line="300" w:lineRule="auto"/>
        <w:rPr>
          <w:rFonts w:hAnsi="宋体"/>
          <w:b/>
          <w:sz w:val="24"/>
          <w:szCs w:val="24"/>
        </w:rPr>
      </w:pPr>
    </w:p>
    <w:p w14:paraId="2F3F99F3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（六）</w:t>
      </w:r>
      <w:r>
        <w:rPr>
          <w:b/>
          <w:sz w:val="24"/>
          <w:szCs w:val="24"/>
        </w:rPr>
        <w:t>附件：绿色建筑方案设计相关专项模拟分析报告</w:t>
      </w:r>
    </w:p>
    <w:p w14:paraId="3601C6FC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  <w:lang w:val="en"/>
        </w:rPr>
        <w:t>.</w:t>
      </w:r>
      <w:r>
        <w:rPr>
          <w:b/>
          <w:sz w:val="24"/>
          <w:szCs w:val="24"/>
        </w:rPr>
        <w:t>场地风环境分析</w:t>
      </w:r>
      <w:r>
        <w:rPr>
          <w:bCs/>
          <w:sz w:val="24"/>
          <w:szCs w:val="24"/>
        </w:rPr>
        <w:t>（包括场地风环境分析，必要时需进行建筑方案设计优化分析）</w:t>
      </w:r>
    </w:p>
    <w:p w14:paraId="7D3B84DD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  <w:lang w:val="en"/>
        </w:rPr>
        <w:t>.</w:t>
      </w:r>
      <w:r>
        <w:rPr>
          <w:b/>
          <w:sz w:val="24"/>
          <w:szCs w:val="24"/>
        </w:rPr>
        <w:t>场地声环境分析</w:t>
      </w:r>
      <w:r>
        <w:rPr>
          <w:bCs/>
          <w:sz w:val="24"/>
          <w:szCs w:val="24"/>
        </w:rPr>
        <w:t>（包括场地噪声环境分析，必要时需进行场地优化分析）</w:t>
      </w:r>
    </w:p>
    <w:p w14:paraId="6F6511E3" w14:textId="77777777" w:rsidR="00140050" w:rsidRDefault="00000000">
      <w:pPr>
        <w:spacing w:line="360" w:lineRule="auto"/>
        <w:ind w:firstLineChars="200" w:firstLine="482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  <w:lang w:val="en"/>
        </w:rPr>
        <w:t>.</w:t>
      </w:r>
      <w:r>
        <w:rPr>
          <w:b/>
          <w:sz w:val="24"/>
          <w:szCs w:val="24"/>
        </w:rPr>
        <w:t>场地光环境分析</w:t>
      </w:r>
      <w:r>
        <w:rPr>
          <w:bCs/>
          <w:sz w:val="24"/>
          <w:szCs w:val="24"/>
        </w:rPr>
        <w:t>（包括日照、立面太阳辐射分析</w:t>
      </w:r>
      <w:r>
        <w:rPr>
          <w:bCs/>
          <w:sz w:val="24"/>
          <w:szCs w:val="24"/>
        </w:rPr>
        <w:t>&lt;</w:t>
      </w:r>
      <w:r>
        <w:rPr>
          <w:bCs/>
          <w:sz w:val="24"/>
          <w:szCs w:val="24"/>
        </w:rPr>
        <w:t>幕墙选型或遮阳构建优化等</w:t>
      </w:r>
      <w:r>
        <w:rPr>
          <w:bCs/>
          <w:sz w:val="24"/>
          <w:szCs w:val="24"/>
        </w:rPr>
        <w:t>&gt;</w:t>
      </w:r>
      <w:r>
        <w:rPr>
          <w:bCs/>
          <w:sz w:val="24"/>
          <w:szCs w:val="24"/>
        </w:rPr>
        <w:t>）</w:t>
      </w:r>
    </w:p>
    <w:p w14:paraId="136C1832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  <w:lang w:val="en"/>
        </w:rPr>
        <w:t>.</w:t>
      </w:r>
      <w:r>
        <w:rPr>
          <w:b/>
          <w:sz w:val="24"/>
          <w:szCs w:val="24"/>
        </w:rPr>
        <w:t>场地热湿环境分析</w:t>
      </w:r>
      <w:r>
        <w:rPr>
          <w:bCs/>
          <w:sz w:val="24"/>
          <w:szCs w:val="24"/>
        </w:rPr>
        <w:t>（包括热岛分析等）</w:t>
      </w:r>
    </w:p>
    <w:p w14:paraId="34E8EAD7" w14:textId="77777777" w:rsidR="00140050" w:rsidRDefault="0000000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  <w:lang w:val="en"/>
        </w:rPr>
        <w:t>.</w:t>
      </w:r>
      <w:r>
        <w:rPr>
          <w:b/>
          <w:sz w:val="24"/>
          <w:szCs w:val="24"/>
        </w:rPr>
        <w:t>室内光、风环境分析</w:t>
      </w:r>
      <w:r>
        <w:rPr>
          <w:bCs/>
          <w:sz w:val="24"/>
          <w:szCs w:val="24"/>
        </w:rPr>
        <w:t>（包括室内采光、通风分析等）</w:t>
      </w:r>
    </w:p>
    <w:p w14:paraId="6686082E" w14:textId="77777777" w:rsidR="00140050" w:rsidRDefault="00000000">
      <w:pPr>
        <w:spacing w:beforeLines="100" w:before="312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</w:t>
      </w:r>
      <w:r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装配</w:t>
      </w:r>
      <w:r>
        <w:rPr>
          <w:b/>
          <w:sz w:val="32"/>
          <w:szCs w:val="32"/>
        </w:rPr>
        <w:t>式建筑说明</w:t>
      </w:r>
    </w:p>
    <w:p w14:paraId="3EF4B0E4" w14:textId="77777777" w:rsidR="00140050" w:rsidRDefault="00000000">
      <w:pPr>
        <w:pStyle w:val="CM4"/>
        <w:spacing w:line="360" w:lineRule="auto"/>
        <w:ind w:firstLineChars="200" w:firstLine="482"/>
        <w:rPr>
          <w:rFonts w:ascii="Times New Roman" w:eastAsia="宋体"/>
          <w:b/>
          <w:kern w:val="2"/>
        </w:rPr>
      </w:pPr>
      <w:r>
        <w:rPr>
          <w:rFonts w:ascii="Times New Roman" w:eastAsia="宋体"/>
          <w:b/>
          <w:kern w:val="2"/>
        </w:rPr>
        <w:t>（一）</w:t>
      </w:r>
      <w:r>
        <w:rPr>
          <w:rFonts w:ascii="Times New Roman" w:eastAsia="宋体" w:hint="eastAsia"/>
          <w:b/>
          <w:kern w:val="2"/>
        </w:rPr>
        <w:t>装配式建筑实施要求分析</w:t>
      </w:r>
    </w:p>
    <w:p w14:paraId="4C32EF0C" w14:textId="77777777" w:rsidR="00140050" w:rsidRDefault="00000000">
      <w:pPr>
        <w:spacing w:line="360" w:lineRule="auto"/>
        <w:ind w:leftChars="200" w:left="420"/>
        <w:rPr>
          <w:bCs/>
        </w:rPr>
      </w:pPr>
      <w:r>
        <w:rPr>
          <w:rFonts w:hint="eastAsia"/>
          <w:bCs/>
        </w:rPr>
        <w:t>项目实施装配式建筑部分设计应满足《深圳市装配式建筑评分规则》。其中最低技术指标如下：</w:t>
      </w:r>
    </w:p>
    <w:p w14:paraId="59097F7E" w14:textId="77777777" w:rsidR="00140050" w:rsidRDefault="00000000">
      <w:pPr>
        <w:numPr>
          <w:ilvl w:val="0"/>
          <w:numId w:val="6"/>
        </w:numPr>
        <w:spacing w:line="360" w:lineRule="auto"/>
        <w:ind w:leftChars="200" w:left="420" w:firstLine="0"/>
        <w:rPr>
          <w:bCs/>
        </w:rPr>
      </w:pPr>
      <w:r>
        <w:rPr>
          <w:rFonts w:hint="eastAsia"/>
          <w:bCs/>
        </w:rPr>
        <w:t>标准化构件应用比例不小于</w:t>
      </w:r>
      <w:r>
        <w:rPr>
          <w:rFonts w:hint="eastAsia"/>
          <w:bCs/>
        </w:rPr>
        <w:t>60%</w:t>
      </w:r>
      <w:r>
        <w:rPr>
          <w:rFonts w:hint="eastAsia"/>
          <w:bCs/>
        </w:rPr>
        <w:t>；</w:t>
      </w:r>
    </w:p>
    <w:p w14:paraId="5C6CE056" w14:textId="77777777" w:rsidR="00140050" w:rsidRDefault="00000000">
      <w:pPr>
        <w:numPr>
          <w:ilvl w:val="0"/>
          <w:numId w:val="6"/>
        </w:numPr>
        <w:spacing w:line="360" w:lineRule="auto"/>
        <w:ind w:leftChars="200" w:left="420" w:firstLine="0"/>
        <w:rPr>
          <w:bCs/>
        </w:rPr>
      </w:pPr>
      <w:r>
        <w:rPr>
          <w:rFonts w:hint="eastAsia"/>
          <w:bCs/>
        </w:rPr>
        <w:t>竖向构件和水平构件的比例最低分值不小于</w:t>
      </w:r>
      <w:r>
        <w:rPr>
          <w:rFonts w:hint="eastAsia"/>
          <w:bCs/>
        </w:rPr>
        <w:t>20</w:t>
      </w:r>
      <w:r>
        <w:rPr>
          <w:rFonts w:hint="eastAsia"/>
          <w:bCs/>
        </w:rPr>
        <w:t>分；</w:t>
      </w:r>
    </w:p>
    <w:p w14:paraId="57E71BBB" w14:textId="77777777" w:rsidR="00140050" w:rsidRDefault="00000000">
      <w:pPr>
        <w:numPr>
          <w:ilvl w:val="0"/>
          <w:numId w:val="6"/>
        </w:numPr>
        <w:spacing w:line="360" w:lineRule="auto"/>
        <w:ind w:leftChars="200" w:left="420" w:firstLine="0"/>
        <w:rPr>
          <w:bCs/>
        </w:rPr>
      </w:pPr>
      <w:r>
        <w:rPr>
          <w:rFonts w:hint="eastAsia"/>
          <w:bCs/>
        </w:rPr>
        <w:t>外墙非砌筑、免抹灰的比例不小于</w:t>
      </w:r>
      <w:r>
        <w:rPr>
          <w:rFonts w:hint="eastAsia"/>
          <w:bCs/>
        </w:rPr>
        <w:t>80%</w:t>
      </w:r>
      <w:r>
        <w:rPr>
          <w:rFonts w:hint="eastAsia"/>
          <w:bCs/>
        </w:rPr>
        <w:t>；</w:t>
      </w:r>
    </w:p>
    <w:p w14:paraId="581FC2A1" w14:textId="77777777" w:rsidR="00140050" w:rsidRDefault="00000000">
      <w:pPr>
        <w:numPr>
          <w:ilvl w:val="0"/>
          <w:numId w:val="6"/>
        </w:numPr>
        <w:spacing w:line="360" w:lineRule="auto"/>
        <w:ind w:leftChars="200" w:left="420" w:firstLine="0"/>
        <w:rPr>
          <w:bCs/>
        </w:rPr>
      </w:pPr>
      <w:r>
        <w:rPr>
          <w:rFonts w:hint="eastAsia"/>
          <w:bCs/>
        </w:rPr>
        <w:t>内隔墙非砌筑、免抹灰的比例不小于</w:t>
      </w:r>
      <w:r>
        <w:rPr>
          <w:rFonts w:hint="eastAsia"/>
          <w:bCs/>
        </w:rPr>
        <w:t>70%</w:t>
      </w:r>
      <w:r>
        <w:rPr>
          <w:rFonts w:hint="eastAsia"/>
          <w:bCs/>
        </w:rPr>
        <w:t>；</w:t>
      </w:r>
    </w:p>
    <w:p w14:paraId="557A7154" w14:textId="77777777" w:rsidR="00140050" w:rsidRDefault="00000000">
      <w:pPr>
        <w:numPr>
          <w:ilvl w:val="0"/>
          <w:numId w:val="6"/>
        </w:numPr>
        <w:spacing w:line="360" w:lineRule="auto"/>
        <w:ind w:leftChars="200" w:left="420" w:firstLine="0"/>
        <w:rPr>
          <w:bCs/>
        </w:rPr>
      </w:pPr>
      <w:r>
        <w:rPr>
          <w:rFonts w:hint="eastAsia"/>
          <w:bCs/>
        </w:rPr>
        <w:t>项目建筑功能空间的固定面装修和设备设施安装全部完成，达到建筑使用功能和性能的基本要求，应按装修设计图完成施工、装修交付；</w:t>
      </w:r>
    </w:p>
    <w:p w14:paraId="555A915C" w14:textId="77777777" w:rsidR="00140050" w:rsidRDefault="00000000">
      <w:pPr>
        <w:numPr>
          <w:ilvl w:val="0"/>
          <w:numId w:val="6"/>
        </w:numPr>
        <w:spacing w:line="360" w:lineRule="auto"/>
        <w:ind w:leftChars="200" w:left="420" w:firstLine="0"/>
        <w:rPr>
          <w:bCs/>
        </w:rPr>
      </w:pPr>
      <w:r>
        <w:rPr>
          <w:rFonts w:hint="eastAsia"/>
          <w:bCs/>
        </w:rPr>
        <w:t>项目在设计阶段应用</w:t>
      </w:r>
      <w:r>
        <w:rPr>
          <w:rFonts w:hint="eastAsia"/>
          <w:bCs/>
        </w:rPr>
        <w:t>BIM</w:t>
      </w:r>
      <w:r>
        <w:rPr>
          <w:rFonts w:hint="eastAsia"/>
          <w:bCs/>
        </w:rPr>
        <w:t>进行施工图设计。</w:t>
      </w:r>
    </w:p>
    <w:p w14:paraId="0E875B34" w14:textId="77777777" w:rsidR="00140050" w:rsidRDefault="00000000">
      <w:pPr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>本项目装配式建筑技术自评得分如下：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850"/>
        <w:gridCol w:w="2977"/>
        <w:gridCol w:w="1134"/>
        <w:gridCol w:w="1559"/>
      </w:tblGrid>
      <w:tr w:rsidR="00140050" w14:paraId="78B50943" w14:textId="77777777">
        <w:trPr>
          <w:jc w:val="center"/>
        </w:trPr>
        <w:tc>
          <w:tcPr>
            <w:tcW w:w="10456" w:type="dxa"/>
            <w:gridSpan w:val="6"/>
            <w:vAlign w:val="center"/>
          </w:tcPr>
          <w:p w14:paraId="0244E297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深圳市装配式建筑设计阶段评分表（混凝土结构）</w:t>
            </w:r>
          </w:p>
          <w:p w14:paraId="27B57E25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（此表为装配式混凝土建筑的样例，钢结构根据评分规则参照调整相关技术项）</w:t>
            </w:r>
          </w:p>
        </w:tc>
      </w:tr>
      <w:tr w:rsidR="00140050" w14:paraId="5817D5ED" w14:textId="77777777">
        <w:trPr>
          <w:jc w:val="center"/>
        </w:trPr>
        <w:tc>
          <w:tcPr>
            <w:tcW w:w="959" w:type="dxa"/>
            <w:vAlign w:val="center"/>
          </w:tcPr>
          <w:p w14:paraId="54314C8B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技术项</w:t>
            </w:r>
          </w:p>
        </w:tc>
        <w:tc>
          <w:tcPr>
            <w:tcW w:w="2977" w:type="dxa"/>
            <w:vAlign w:val="center"/>
          </w:tcPr>
          <w:p w14:paraId="02525E6C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技术要求</w:t>
            </w:r>
          </w:p>
        </w:tc>
        <w:tc>
          <w:tcPr>
            <w:tcW w:w="850" w:type="dxa"/>
            <w:vAlign w:val="center"/>
          </w:tcPr>
          <w:p w14:paraId="2CFCF442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最低得分</w:t>
            </w:r>
          </w:p>
        </w:tc>
        <w:tc>
          <w:tcPr>
            <w:tcW w:w="2977" w:type="dxa"/>
            <w:vAlign w:val="center"/>
          </w:tcPr>
          <w:p w14:paraId="7F334318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自评说明</w:t>
            </w:r>
          </w:p>
        </w:tc>
        <w:tc>
          <w:tcPr>
            <w:tcW w:w="1134" w:type="dxa"/>
            <w:vAlign w:val="center"/>
          </w:tcPr>
          <w:p w14:paraId="6CA1EC9F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自评得分</w:t>
            </w:r>
          </w:p>
        </w:tc>
        <w:tc>
          <w:tcPr>
            <w:tcW w:w="1559" w:type="dxa"/>
            <w:vAlign w:val="center"/>
          </w:tcPr>
          <w:p w14:paraId="1AFF882D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</w:tr>
      <w:tr w:rsidR="00140050" w14:paraId="53B4729A" w14:textId="77777777">
        <w:trPr>
          <w:jc w:val="center"/>
        </w:trPr>
        <w:tc>
          <w:tcPr>
            <w:tcW w:w="959" w:type="dxa"/>
            <w:vAlign w:val="center"/>
          </w:tcPr>
          <w:p w14:paraId="2576CC0D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*</w:t>
            </w:r>
            <w:r>
              <w:rPr>
                <w:rFonts w:hint="eastAsia"/>
                <w:bCs/>
              </w:rPr>
              <w:t>户型标</w:t>
            </w:r>
            <w:r>
              <w:rPr>
                <w:rFonts w:hint="eastAsia"/>
                <w:bCs/>
              </w:rPr>
              <w:lastRenderedPageBreak/>
              <w:t>准化</w:t>
            </w:r>
          </w:p>
        </w:tc>
        <w:tc>
          <w:tcPr>
            <w:tcW w:w="2977" w:type="dxa"/>
            <w:vAlign w:val="center"/>
          </w:tcPr>
          <w:p w14:paraId="597ED83A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标准化户型应用比例≥</w:t>
            </w:r>
            <w:r>
              <w:rPr>
                <w:rFonts w:hint="eastAsia"/>
                <w:bCs/>
              </w:rPr>
              <w:t>80%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lastRenderedPageBreak/>
              <w:t>或单一户型比例≥</w:t>
            </w:r>
            <w:r>
              <w:rPr>
                <w:rFonts w:hint="eastAsia"/>
                <w:bCs/>
              </w:rPr>
              <w:t>60%</w:t>
            </w:r>
          </w:p>
        </w:tc>
        <w:tc>
          <w:tcPr>
            <w:tcW w:w="850" w:type="dxa"/>
            <w:vAlign w:val="center"/>
          </w:tcPr>
          <w:p w14:paraId="723A0A2D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37A549C6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标准化户型应用比例</w:t>
            </w:r>
            <w:r>
              <w:rPr>
                <w:rFonts w:hint="eastAsia"/>
                <w:bCs/>
              </w:rPr>
              <w:lastRenderedPageBreak/>
              <w:t>为：</w:t>
            </w:r>
            <w:r>
              <w:rPr>
                <w:rFonts w:hint="eastAsia"/>
                <w:bCs/>
              </w:rPr>
              <w:t xml:space="preserve">     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或单一户型比例：</w:t>
            </w:r>
            <w:r>
              <w:rPr>
                <w:rFonts w:hint="eastAsia"/>
                <w:bCs/>
              </w:rPr>
              <w:t xml:space="preserve">      %</w:t>
            </w:r>
          </w:p>
        </w:tc>
        <w:tc>
          <w:tcPr>
            <w:tcW w:w="1134" w:type="dxa"/>
            <w:vAlign w:val="center"/>
          </w:tcPr>
          <w:p w14:paraId="5B0BFA48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758D95B0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5ACC966E" w14:textId="77777777">
        <w:trPr>
          <w:jc w:val="center"/>
        </w:trPr>
        <w:tc>
          <w:tcPr>
            <w:tcW w:w="959" w:type="dxa"/>
            <w:vAlign w:val="center"/>
          </w:tcPr>
          <w:p w14:paraId="4C9D6CEA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构件标准化</w:t>
            </w:r>
          </w:p>
        </w:tc>
        <w:tc>
          <w:tcPr>
            <w:tcW w:w="2977" w:type="dxa"/>
            <w:vAlign w:val="center"/>
          </w:tcPr>
          <w:p w14:paraId="4E682739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60%</w:t>
            </w:r>
            <w:r>
              <w:rPr>
                <w:rFonts w:hint="eastAsia"/>
                <w:bCs/>
              </w:rPr>
              <w:t>≤标准化构件应用比例≤</w:t>
            </w:r>
            <w:r>
              <w:rPr>
                <w:rFonts w:hint="eastAsia"/>
                <w:bCs/>
              </w:rPr>
              <w:t>80%</w:t>
            </w:r>
          </w:p>
        </w:tc>
        <w:tc>
          <w:tcPr>
            <w:tcW w:w="850" w:type="dxa"/>
            <w:vAlign w:val="center"/>
          </w:tcPr>
          <w:p w14:paraId="0CB583DC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14:paraId="2A9053B5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标准化构件应用比例为：</w:t>
            </w:r>
            <w:r>
              <w:rPr>
                <w:rFonts w:hint="eastAsia"/>
                <w:bCs/>
              </w:rPr>
              <w:t xml:space="preserve">     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插值法计算得分：</w:t>
            </w:r>
          </w:p>
        </w:tc>
        <w:tc>
          <w:tcPr>
            <w:tcW w:w="1134" w:type="dxa"/>
            <w:vAlign w:val="center"/>
          </w:tcPr>
          <w:p w14:paraId="7DE816D9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4BC189B4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7D5B8075" w14:textId="77777777">
        <w:trPr>
          <w:jc w:val="center"/>
        </w:trPr>
        <w:tc>
          <w:tcPr>
            <w:tcW w:w="959" w:type="dxa"/>
            <w:vAlign w:val="center"/>
          </w:tcPr>
          <w:p w14:paraId="75B3E435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竖向构件</w:t>
            </w:r>
          </w:p>
        </w:tc>
        <w:tc>
          <w:tcPr>
            <w:tcW w:w="2977" w:type="dxa"/>
            <w:vAlign w:val="center"/>
          </w:tcPr>
          <w:p w14:paraId="1146B4D3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rFonts w:hint="eastAsia"/>
                <w:bCs/>
              </w:rPr>
              <w:t>35%</w:t>
            </w:r>
            <w:r>
              <w:rPr>
                <w:rFonts w:hint="eastAsia"/>
                <w:bCs/>
              </w:rPr>
              <w:t>≤竖向构件比例≤</w:t>
            </w:r>
            <w:r>
              <w:rPr>
                <w:rFonts w:hint="eastAsia"/>
                <w:bCs/>
              </w:rPr>
              <w:t>80%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②</w:t>
            </w:r>
            <w:r>
              <w:rPr>
                <w:rFonts w:hint="eastAsia"/>
                <w:bCs/>
              </w:rPr>
              <w:t>5%</w:t>
            </w:r>
            <w:r>
              <w:rPr>
                <w:rFonts w:hint="eastAsia"/>
                <w:bCs/>
              </w:rPr>
              <w:t>≤竖向构件比例</w:t>
            </w:r>
            <w:r>
              <w:rPr>
                <w:rFonts w:hint="eastAsia"/>
                <w:bCs/>
              </w:rPr>
              <w:t>&lt;35%</w:t>
            </w:r>
            <w:r>
              <w:rPr>
                <w:rFonts w:hint="eastAsia"/>
                <w:bCs/>
              </w:rPr>
              <w:t>，非预制构件部分应采用装配式模板工艺</w:t>
            </w:r>
          </w:p>
        </w:tc>
        <w:tc>
          <w:tcPr>
            <w:tcW w:w="850" w:type="dxa"/>
            <w:vMerge w:val="restart"/>
            <w:vAlign w:val="center"/>
          </w:tcPr>
          <w:p w14:paraId="6093C7F6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2977" w:type="dxa"/>
            <w:vAlign w:val="center"/>
          </w:tcPr>
          <w:p w14:paraId="206B02E2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竖向构件比例为：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%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插值法计算得分：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，非预制构件部分（□是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□否）采用装配式模板工艺</w:t>
            </w:r>
          </w:p>
        </w:tc>
        <w:tc>
          <w:tcPr>
            <w:tcW w:w="1134" w:type="dxa"/>
            <w:vAlign w:val="center"/>
          </w:tcPr>
          <w:p w14:paraId="445A5BC3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597F2280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43C4ACED" w14:textId="77777777">
        <w:trPr>
          <w:jc w:val="center"/>
        </w:trPr>
        <w:tc>
          <w:tcPr>
            <w:tcW w:w="959" w:type="dxa"/>
            <w:vAlign w:val="center"/>
          </w:tcPr>
          <w:p w14:paraId="3A5C014A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水平构件</w:t>
            </w:r>
          </w:p>
        </w:tc>
        <w:tc>
          <w:tcPr>
            <w:tcW w:w="2977" w:type="dxa"/>
            <w:vAlign w:val="center"/>
          </w:tcPr>
          <w:p w14:paraId="76AA463A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rFonts w:hint="eastAsia"/>
                <w:bCs/>
              </w:rPr>
              <w:t>70%</w:t>
            </w:r>
            <w:r>
              <w:rPr>
                <w:rFonts w:hint="eastAsia"/>
                <w:bCs/>
              </w:rPr>
              <w:t>≤水平构件比例≤</w:t>
            </w:r>
            <w:r>
              <w:rPr>
                <w:rFonts w:hint="eastAsia"/>
                <w:bCs/>
              </w:rPr>
              <w:t>80%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②</w:t>
            </w:r>
            <w:r>
              <w:rPr>
                <w:rFonts w:hint="eastAsia"/>
                <w:bCs/>
              </w:rPr>
              <w:t>10%</w:t>
            </w:r>
            <w:r>
              <w:rPr>
                <w:rFonts w:hint="eastAsia"/>
                <w:bCs/>
              </w:rPr>
              <w:t>≤水平构件比例</w:t>
            </w:r>
            <w:r>
              <w:rPr>
                <w:rFonts w:hint="eastAsia"/>
                <w:bCs/>
              </w:rPr>
              <w:t>&lt;70%</w:t>
            </w:r>
            <w:r>
              <w:rPr>
                <w:rFonts w:hint="eastAsia"/>
                <w:bCs/>
              </w:rPr>
              <w:t>，非预制构件部分应采用装配式模板工艺</w:t>
            </w:r>
          </w:p>
        </w:tc>
        <w:tc>
          <w:tcPr>
            <w:tcW w:w="850" w:type="dxa"/>
            <w:vMerge/>
            <w:vAlign w:val="center"/>
          </w:tcPr>
          <w:p w14:paraId="7D5510CF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4372CB36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水平构件比例为：</w:t>
            </w: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>%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插值法计算得分：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非预制构件部分（□是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□否）采用装配式模板工艺</w:t>
            </w:r>
          </w:p>
        </w:tc>
        <w:tc>
          <w:tcPr>
            <w:tcW w:w="1134" w:type="dxa"/>
            <w:vAlign w:val="center"/>
          </w:tcPr>
          <w:p w14:paraId="25EAB3C1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7FEC47C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34AAF218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6B2ADECE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*</w:t>
            </w:r>
            <w:r>
              <w:rPr>
                <w:rFonts w:hint="eastAsia"/>
                <w:bCs/>
              </w:rPr>
              <w:t>装配化施工</w:t>
            </w:r>
          </w:p>
        </w:tc>
        <w:tc>
          <w:tcPr>
            <w:tcW w:w="2977" w:type="dxa"/>
            <w:vMerge w:val="restart"/>
            <w:vAlign w:val="center"/>
          </w:tcPr>
          <w:p w14:paraId="66B27573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bCs/>
              </w:rPr>
              <w:t>3</w:t>
            </w:r>
            <w:r>
              <w:rPr>
                <w:bCs/>
              </w:rPr>
              <w:t>项，按满足项数评分</w:t>
            </w:r>
          </w:p>
        </w:tc>
        <w:tc>
          <w:tcPr>
            <w:tcW w:w="850" w:type="dxa"/>
            <w:vMerge w:val="restart"/>
            <w:vAlign w:val="center"/>
          </w:tcPr>
          <w:p w14:paraId="6750BD47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1F7A3A57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□否）采用工具式脚手架</w:t>
            </w:r>
          </w:p>
        </w:tc>
        <w:tc>
          <w:tcPr>
            <w:tcW w:w="1134" w:type="dxa"/>
            <w:vAlign w:val="center"/>
          </w:tcPr>
          <w:p w14:paraId="2F1CE483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2774551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1247E661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1D164902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7AFB8460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1E124EFD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3F6CF9FB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各层楼板现浇部分采用成品钢筋网比例为：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14:paraId="52BEE341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02122FD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4FAA5A81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6B5DDFFE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0B6709CB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0AEF79CE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20208B23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□否）采用提升式混凝土布料机</w:t>
            </w:r>
          </w:p>
        </w:tc>
        <w:tc>
          <w:tcPr>
            <w:tcW w:w="1134" w:type="dxa"/>
            <w:vAlign w:val="center"/>
          </w:tcPr>
          <w:p w14:paraId="1B867324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FFBF31D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412C35B4" w14:textId="77777777">
        <w:trPr>
          <w:jc w:val="center"/>
        </w:trPr>
        <w:tc>
          <w:tcPr>
            <w:tcW w:w="959" w:type="dxa"/>
            <w:vAlign w:val="center"/>
          </w:tcPr>
          <w:p w14:paraId="555EDED4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外墙非砌筑、免抹灰</w:t>
            </w:r>
          </w:p>
        </w:tc>
        <w:tc>
          <w:tcPr>
            <w:tcW w:w="2977" w:type="dxa"/>
            <w:vAlign w:val="center"/>
          </w:tcPr>
          <w:p w14:paraId="33974E4C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80%</w:t>
            </w:r>
            <w:r>
              <w:rPr>
                <w:rFonts w:hint="eastAsia"/>
                <w:bCs/>
              </w:rPr>
              <w:t>≤外墙非砌筑、免抹灰比例≤</w:t>
            </w:r>
            <w:r>
              <w:rPr>
                <w:rFonts w:hint="eastAsia"/>
                <w:bCs/>
              </w:rPr>
              <w:t>100%</w:t>
            </w:r>
          </w:p>
        </w:tc>
        <w:tc>
          <w:tcPr>
            <w:tcW w:w="850" w:type="dxa"/>
            <w:vAlign w:val="center"/>
          </w:tcPr>
          <w:p w14:paraId="4EA386EF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977" w:type="dxa"/>
            <w:vAlign w:val="center"/>
          </w:tcPr>
          <w:p w14:paraId="727C6A0B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外墙非砌筑、免抹灰比例为：</w:t>
            </w:r>
            <w:r>
              <w:rPr>
                <w:rFonts w:hint="eastAsia"/>
                <w:bCs/>
              </w:rPr>
              <w:t xml:space="preserve">  100   %</w:t>
            </w:r>
            <w:r>
              <w:rPr>
                <w:rFonts w:hint="eastAsia"/>
                <w:bCs/>
              </w:rPr>
              <w:t>，插值法计算得分：</w:t>
            </w:r>
          </w:p>
        </w:tc>
        <w:tc>
          <w:tcPr>
            <w:tcW w:w="1134" w:type="dxa"/>
            <w:vAlign w:val="center"/>
          </w:tcPr>
          <w:p w14:paraId="29FD256E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F91A322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140050" w14:paraId="3228FBE5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58151906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外墙与装饰、保温隔热一体化</w:t>
            </w:r>
          </w:p>
        </w:tc>
        <w:tc>
          <w:tcPr>
            <w:tcW w:w="2977" w:type="dxa"/>
            <w:vMerge w:val="restart"/>
            <w:vAlign w:val="center"/>
          </w:tcPr>
          <w:p w14:paraId="3C6DE4D4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bCs/>
              </w:rPr>
              <w:t>5</w:t>
            </w:r>
            <w:r>
              <w:rPr>
                <w:bCs/>
              </w:rPr>
              <w:t>项，按满足项数评分</w:t>
            </w:r>
          </w:p>
        </w:tc>
        <w:tc>
          <w:tcPr>
            <w:tcW w:w="850" w:type="dxa"/>
            <w:vMerge w:val="restart"/>
            <w:vAlign w:val="center"/>
          </w:tcPr>
          <w:p w14:paraId="5EF07733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4A19C5BB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□否）外墙门窗、阳台栏杆、外装饰、幕墙等与建筑和结构一体化设计，外装饰和幕墙预埋件有详细深化设计</w:t>
            </w:r>
          </w:p>
        </w:tc>
        <w:tc>
          <w:tcPr>
            <w:tcW w:w="1134" w:type="dxa"/>
            <w:vAlign w:val="center"/>
          </w:tcPr>
          <w:p w14:paraId="59C3677B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865BDA4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320CEA68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69544652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611AB897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59285BE9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7C5AD86D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预制外墙门窗（□是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□否）采用预埋窗框或附框</w:t>
            </w:r>
          </w:p>
        </w:tc>
        <w:tc>
          <w:tcPr>
            <w:tcW w:w="1134" w:type="dxa"/>
            <w:vAlign w:val="center"/>
          </w:tcPr>
          <w:p w14:paraId="442DC52F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2AF27205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657FAF19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34896149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15660EA1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074BF98E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08B15F82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预制外墙的瓷砖、石材、涂料等饰面（□是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□否）在工厂生产一并完成</w:t>
            </w:r>
          </w:p>
        </w:tc>
        <w:tc>
          <w:tcPr>
            <w:tcW w:w="1134" w:type="dxa"/>
            <w:vAlign w:val="center"/>
          </w:tcPr>
          <w:p w14:paraId="17A9A411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207EF99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06E2C29E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6E6D4F36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7284B17E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679A17BF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1D8DE6A9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外墙内保温（□是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□否）采用板材类保温材料，工地现场（□是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□否）采用干式工法施工</w:t>
            </w:r>
          </w:p>
        </w:tc>
        <w:tc>
          <w:tcPr>
            <w:tcW w:w="1134" w:type="dxa"/>
            <w:vAlign w:val="center"/>
          </w:tcPr>
          <w:p w14:paraId="67D6A6ED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0CEC184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43563C57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4450DCD3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6D3451AF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0B2E87E9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1320A753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□否）预制外墙的保温层在工厂生产一并完成</w:t>
            </w:r>
          </w:p>
        </w:tc>
        <w:tc>
          <w:tcPr>
            <w:tcW w:w="1134" w:type="dxa"/>
            <w:vAlign w:val="center"/>
          </w:tcPr>
          <w:p w14:paraId="66BFDF09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9DC4BD6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1C2B9D47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5E55A926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174704F4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1A95B892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7CD667CA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□否）采用单元式幕墙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单元式幕墙面积比例为：</w:t>
            </w:r>
            <w:r>
              <w:rPr>
                <w:rFonts w:hint="eastAsia"/>
                <w:bCs/>
              </w:rPr>
              <w:t xml:space="preserve">     %</w:t>
            </w:r>
          </w:p>
        </w:tc>
        <w:tc>
          <w:tcPr>
            <w:tcW w:w="1134" w:type="dxa"/>
            <w:vAlign w:val="center"/>
          </w:tcPr>
          <w:p w14:paraId="4858BDC6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F75257B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56B3F742" w14:textId="77777777">
        <w:trPr>
          <w:jc w:val="center"/>
        </w:trPr>
        <w:tc>
          <w:tcPr>
            <w:tcW w:w="959" w:type="dxa"/>
            <w:vAlign w:val="center"/>
          </w:tcPr>
          <w:p w14:paraId="503D6C1B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内隔墙非砌筑、免抹灰</w:t>
            </w:r>
          </w:p>
        </w:tc>
        <w:tc>
          <w:tcPr>
            <w:tcW w:w="2977" w:type="dxa"/>
            <w:vAlign w:val="center"/>
          </w:tcPr>
          <w:p w14:paraId="5F69344E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70%</w:t>
            </w:r>
            <w:r>
              <w:rPr>
                <w:rFonts w:hint="eastAsia"/>
                <w:bCs/>
              </w:rPr>
              <w:t>≤内隔墙非砌筑、免抹灰比例≤</w:t>
            </w:r>
            <w:r>
              <w:rPr>
                <w:rFonts w:hint="eastAsia"/>
                <w:bCs/>
              </w:rPr>
              <w:t>100%</w:t>
            </w:r>
          </w:p>
        </w:tc>
        <w:tc>
          <w:tcPr>
            <w:tcW w:w="850" w:type="dxa"/>
            <w:vAlign w:val="center"/>
          </w:tcPr>
          <w:p w14:paraId="62086EC6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977" w:type="dxa"/>
            <w:vAlign w:val="center"/>
          </w:tcPr>
          <w:p w14:paraId="788E84FB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内隔墙非砌筑、免抹灰比例为：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    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插值法计算得分：</w:t>
            </w:r>
          </w:p>
        </w:tc>
        <w:tc>
          <w:tcPr>
            <w:tcW w:w="1134" w:type="dxa"/>
            <w:vAlign w:val="center"/>
          </w:tcPr>
          <w:p w14:paraId="0E909656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5BE40C2D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4C939710" w14:textId="77777777">
        <w:trPr>
          <w:jc w:val="center"/>
        </w:trPr>
        <w:tc>
          <w:tcPr>
            <w:tcW w:w="959" w:type="dxa"/>
            <w:vAlign w:val="center"/>
          </w:tcPr>
          <w:p w14:paraId="512181CE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全装修</w:t>
            </w:r>
          </w:p>
        </w:tc>
        <w:tc>
          <w:tcPr>
            <w:tcW w:w="2977" w:type="dxa"/>
            <w:vAlign w:val="center"/>
          </w:tcPr>
          <w:p w14:paraId="0D7DAC15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按满足要求评分</w:t>
            </w:r>
          </w:p>
        </w:tc>
        <w:tc>
          <w:tcPr>
            <w:tcW w:w="850" w:type="dxa"/>
            <w:vAlign w:val="center"/>
          </w:tcPr>
          <w:p w14:paraId="293F58DA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2977" w:type="dxa"/>
            <w:vAlign w:val="center"/>
          </w:tcPr>
          <w:p w14:paraId="7E407803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□否）满足全装修要</w:t>
            </w:r>
            <w:r>
              <w:rPr>
                <w:rFonts w:hint="eastAsia"/>
                <w:bCs/>
              </w:rPr>
              <w:t>求</w:t>
            </w:r>
          </w:p>
        </w:tc>
        <w:tc>
          <w:tcPr>
            <w:tcW w:w="1134" w:type="dxa"/>
            <w:vAlign w:val="center"/>
          </w:tcPr>
          <w:p w14:paraId="0A48FC9C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2D0FA758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6157091E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55170E36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*</w:t>
            </w:r>
            <w:r>
              <w:rPr>
                <w:rFonts w:hint="eastAsia"/>
                <w:bCs/>
              </w:rPr>
              <w:t>集成厨房</w:t>
            </w:r>
          </w:p>
        </w:tc>
        <w:tc>
          <w:tcPr>
            <w:tcW w:w="2977" w:type="dxa"/>
            <w:vMerge w:val="restart"/>
            <w:vAlign w:val="center"/>
          </w:tcPr>
          <w:p w14:paraId="70891FCE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bCs/>
              </w:rPr>
              <w:t>3</w:t>
            </w:r>
            <w:r>
              <w:rPr>
                <w:bCs/>
              </w:rPr>
              <w:t>项，按满足项数评分</w:t>
            </w:r>
          </w:p>
        </w:tc>
        <w:tc>
          <w:tcPr>
            <w:tcW w:w="850" w:type="dxa"/>
            <w:vMerge w:val="restart"/>
            <w:vAlign w:val="center"/>
          </w:tcPr>
          <w:p w14:paraId="57961B25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349C3747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墙面（□是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□否）采用干挂或薄贴工艺</w:t>
            </w:r>
          </w:p>
        </w:tc>
        <w:tc>
          <w:tcPr>
            <w:tcW w:w="1134" w:type="dxa"/>
            <w:vAlign w:val="center"/>
          </w:tcPr>
          <w:p w14:paraId="68017AA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1BCB4D09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591AFC9D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63059C3D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6947AFEB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7E34A974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4555B43C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地面（□是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□否）采用架铺、干铺或薄贴工艺</w:t>
            </w:r>
          </w:p>
        </w:tc>
        <w:tc>
          <w:tcPr>
            <w:tcW w:w="1134" w:type="dxa"/>
            <w:vAlign w:val="center"/>
          </w:tcPr>
          <w:p w14:paraId="03F04D9F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4DE8ED9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77C5DBB9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7B59EE72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441D7C55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3A379887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01E3501C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橱柜、灶具、五金等设备配置（□是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□否）齐全</w:t>
            </w:r>
          </w:p>
        </w:tc>
        <w:tc>
          <w:tcPr>
            <w:tcW w:w="1134" w:type="dxa"/>
            <w:vAlign w:val="center"/>
          </w:tcPr>
          <w:p w14:paraId="0884E63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D808D9E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101E68F9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7C8B4A81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集成卫生间</w:t>
            </w:r>
          </w:p>
        </w:tc>
        <w:tc>
          <w:tcPr>
            <w:tcW w:w="2977" w:type="dxa"/>
            <w:vMerge w:val="restart"/>
            <w:vAlign w:val="center"/>
          </w:tcPr>
          <w:p w14:paraId="06B63246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bCs/>
              </w:rPr>
              <w:t>4</w:t>
            </w:r>
            <w:r>
              <w:rPr>
                <w:bCs/>
              </w:rPr>
              <w:t>项，按满足项数评分</w:t>
            </w:r>
          </w:p>
        </w:tc>
        <w:tc>
          <w:tcPr>
            <w:tcW w:w="850" w:type="dxa"/>
            <w:vMerge w:val="restart"/>
            <w:vAlign w:val="center"/>
          </w:tcPr>
          <w:p w14:paraId="16B36134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7AA4BD16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墙面（□是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□否）采用干挂或薄贴工艺</w:t>
            </w:r>
          </w:p>
        </w:tc>
        <w:tc>
          <w:tcPr>
            <w:tcW w:w="1134" w:type="dxa"/>
            <w:vAlign w:val="center"/>
          </w:tcPr>
          <w:p w14:paraId="1CF6F3D9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48F5933D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251A0913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79ADDBD0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1DD6C615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5379CF7F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031A1A00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地面（□是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□否）采用架铺、干铺或薄贴工艺</w:t>
            </w:r>
          </w:p>
        </w:tc>
        <w:tc>
          <w:tcPr>
            <w:tcW w:w="1134" w:type="dxa"/>
            <w:vAlign w:val="center"/>
          </w:tcPr>
          <w:p w14:paraId="1B6423D4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BBF4DD6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58570D3A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72DADAF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510F375B" w14:textId="77777777" w:rsidR="00140050" w:rsidRDefault="00140050">
            <w:pPr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4FCB8130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4D27F431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洁柜、洁具、五金配置等设备（□是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□否）齐全</w:t>
            </w:r>
          </w:p>
        </w:tc>
        <w:tc>
          <w:tcPr>
            <w:tcW w:w="1134" w:type="dxa"/>
            <w:vAlign w:val="center"/>
          </w:tcPr>
          <w:p w14:paraId="10CFC8E8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E5B1C3D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67893CEF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1EA34556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78A7B0DB" w14:textId="77777777" w:rsidR="00140050" w:rsidRDefault="00140050">
            <w:pPr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5438BFBD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20208B01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整体卫浴应用比例为：</w:t>
            </w:r>
            <w:r>
              <w:rPr>
                <w:rFonts w:hint="eastAsia"/>
                <w:bCs/>
              </w:rPr>
              <w:t xml:space="preserve">     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br/>
            </w:r>
            <w:r>
              <w:rPr>
                <w:rFonts w:hint="eastAsia"/>
                <w:bCs/>
              </w:rPr>
              <w:t>其它卫生间做法（□是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□否）符合墙面和地面采用干式工法，洁柜、洁具、五金等设备配置齐全</w:t>
            </w:r>
          </w:p>
        </w:tc>
        <w:tc>
          <w:tcPr>
            <w:tcW w:w="1134" w:type="dxa"/>
            <w:vAlign w:val="center"/>
          </w:tcPr>
          <w:p w14:paraId="1B817AEF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5155E6EF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762BC9F7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16F37C10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干式工法</w:t>
            </w:r>
          </w:p>
        </w:tc>
        <w:tc>
          <w:tcPr>
            <w:tcW w:w="2977" w:type="dxa"/>
            <w:vMerge w:val="restart"/>
            <w:vAlign w:val="center"/>
          </w:tcPr>
          <w:p w14:paraId="15EB201F" w14:textId="77777777" w:rsidR="00140050" w:rsidRDefault="0000000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bCs/>
              </w:rPr>
              <w:t>4</w:t>
            </w:r>
            <w:r>
              <w:rPr>
                <w:bCs/>
              </w:rPr>
              <w:t>项，按满足项数评分</w:t>
            </w:r>
          </w:p>
        </w:tc>
        <w:tc>
          <w:tcPr>
            <w:tcW w:w="850" w:type="dxa"/>
            <w:vMerge w:val="restart"/>
            <w:vAlign w:val="center"/>
          </w:tcPr>
          <w:p w14:paraId="783C027A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3137EB85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□否）楼面混凝土一次性成型，地面水平度和平整度偏差不大于</w:t>
            </w:r>
            <w:r>
              <w:rPr>
                <w:rFonts w:hint="eastAsia"/>
                <w:bCs/>
              </w:rPr>
              <w:t>4mm/2m</w:t>
            </w:r>
          </w:p>
        </w:tc>
        <w:tc>
          <w:tcPr>
            <w:tcW w:w="1134" w:type="dxa"/>
            <w:vAlign w:val="center"/>
          </w:tcPr>
          <w:p w14:paraId="4953280E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163479A7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72DCD335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08F001D1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7A8276C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7A13B7E9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61835D27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地面（□是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□否）采用架铺、干铺或薄贴工艺</w:t>
            </w:r>
          </w:p>
        </w:tc>
        <w:tc>
          <w:tcPr>
            <w:tcW w:w="1134" w:type="dxa"/>
            <w:vAlign w:val="center"/>
          </w:tcPr>
          <w:p w14:paraId="07999696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2A329DCF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0DA4839B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1C9F7D42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2D95211F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4D247B6D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0B9FE449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公共区域装修墙面（□是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□否）采用干挂或薄贴工艺</w:t>
            </w:r>
          </w:p>
        </w:tc>
        <w:tc>
          <w:tcPr>
            <w:tcW w:w="1134" w:type="dxa"/>
            <w:vAlign w:val="center"/>
          </w:tcPr>
          <w:p w14:paraId="10057646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C972649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757EF540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7B5996EA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36FF8565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03AD4D3C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2A78AC99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公共区域装修地面（□是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□否）采用架铺、干铺或薄贴工艺</w:t>
            </w:r>
          </w:p>
        </w:tc>
        <w:tc>
          <w:tcPr>
            <w:tcW w:w="1134" w:type="dxa"/>
            <w:vAlign w:val="center"/>
          </w:tcPr>
          <w:p w14:paraId="72822D1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708BE73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48C858D9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2293904A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机电装修一体化、管线分离</w:t>
            </w:r>
          </w:p>
        </w:tc>
        <w:tc>
          <w:tcPr>
            <w:tcW w:w="2977" w:type="dxa"/>
            <w:vMerge w:val="restart"/>
            <w:vAlign w:val="center"/>
          </w:tcPr>
          <w:p w14:paraId="12131A10" w14:textId="77777777" w:rsidR="00140050" w:rsidRDefault="0000000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bCs/>
              </w:rPr>
              <w:t>3</w:t>
            </w:r>
            <w:r>
              <w:rPr>
                <w:bCs/>
              </w:rPr>
              <w:t>项，按满足项数评分</w:t>
            </w:r>
          </w:p>
        </w:tc>
        <w:tc>
          <w:tcPr>
            <w:tcW w:w="850" w:type="dxa"/>
            <w:vMerge w:val="restart"/>
            <w:vAlign w:val="center"/>
          </w:tcPr>
          <w:p w14:paraId="01DB8D9D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5ED4838B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□否）建筑、结构、机电与装修一体化设计，实现各专业协调，满足预制构件生产、装配式施工的要求</w:t>
            </w:r>
          </w:p>
        </w:tc>
        <w:tc>
          <w:tcPr>
            <w:tcW w:w="1134" w:type="dxa"/>
            <w:vAlign w:val="center"/>
          </w:tcPr>
          <w:p w14:paraId="19C75E9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10849156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29265FF7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4905570C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6CE93582" w14:textId="77777777" w:rsidR="00140050" w:rsidRDefault="00140050">
            <w:pPr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49B6A760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7F3FDE1F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□否）机电管线在结构和墙体内一次性预埋预留，墙体布置、机电管线预埋预留和定位须与装修要求一致，无现场剔凿</w:t>
            </w:r>
          </w:p>
        </w:tc>
        <w:tc>
          <w:tcPr>
            <w:tcW w:w="1134" w:type="dxa"/>
            <w:vAlign w:val="center"/>
          </w:tcPr>
          <w:p w14:paraId="503939B5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E67A4B4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338154B5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403C40A6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628909CD" w14:textId="77777777" w:rsidR="00140050" w:rsidRDefault="00140050">
            <w:pPr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3E49F416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3625B813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□否）主体结构和管线分离，机电管线应敷设在地面架空层、非承重墙体空腔和吊顶内等位置，无现场剔凿</w:t>
            </w:r>
          </w:p>
        </w:tc>
        <w:tc>
          <w:tcPr>
            <w:tcW w:w="1134" w:type="dxa"/>
            <w:vAlign w:val="center"/>
          </w:tcPr>
          <w:p w14:paraId="601380B3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73D3E06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3FAC9B7C" w14:textId="77777777">
        <w:trPr>
          <w:jc w:val="center"/>
        </w:trPr>
        <w:tc>
          <w:tcPr>
            <w:tcW w:w="959" w:type="dxa"/>
            <w:vAlign w:val="center"/>
          </w:tcPr>
          <w:p w14:paraId="039B6625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*</w:t>
            </w:r>
            <w:r>
              <w:rPr>
                <w:rFonts w:hint="eastAsia"/>
                <w:bCs/>
              </w:rPr>
              <w:t>穿插流水施工</w:t>
            </w:r>
          </w:p>
        </w:tc>
        <w:tc>
          <w:tcPr>
            <w:tcW w:w="2977" w:type="dxa"/>
            <w:vAlign w:val="center"/>
          </w:tcPr>
          <w:p w14:paraId="7BAA4A5E" w14:textId="77777777" w:rsidR="00140050" w:rsidRDefault="0000000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按满足要求评分</w:t>
            </w:r>
          </w:p>
        </w:tc>
        <w:tc>
          <w:tcPr>
            <w:tcW w:w="850" w:type="dxa"/>
            <w:vAlign w:val="center"/>
          </w:tcPr>
          <w:p w14:paraId="4EF3E970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7E4F6019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□否）满足穿插流水施工要求</w:t>
            </w:r>
          </w:p>
        </w:tc>
        <w:tc>
          <w:tcPr>
            <w:tcW w:w="1134" w:type="dxa"/>
            <w:vAlign w:val="center"/>
          </w:tcPr>
          <w:p w14:paraId="4626AD4C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54D30D28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4FB89BD1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5BD5C9B9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bCs/>
              </w:rPr>
              <w:t>BIM</w:t>
            </w:r>
            <w:r>
              <w:rPr>
                <w:bCs/>
              </w:rPr>
              <w:t>应用</w:t>
            </w:r>
          </w:p>
        </w:tc>
        <w:tc>
          <w:tcPr>
            <w:tcW w:w="2977" w:type="dxa"/>
            <w:vMerge w:val="restart"/>
            <w:vAlign w:val="center"/>
          </w:tcPr>
          <w:p w14:paraId="33A8AAB4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按建设各阶段</w:t>
            </w:r>
            <w:r>
              <w:rPr>
                <w:bCs/>
              </w:rPr>
              <w:t>BIM</w:t>
            </w:r>
            <w:r>
              <w:rPr>
                <w:bCs/>
              </w:rPr>
              <w:t>应用情况评分</w:t>
            </w:r>
          </w:p>
        </w:tc>
        <w:tc>
          <w:tcPr>
            <w:tcW w:w="850" w:type="dxa"/>
            <w:vMerge w:val="restart"/>
            <w:vAlign w:val="center"/>
          </w:tcPr>
          <w:p w14:paraId="68A995D4" w14:textId="77777777" w:rsidR="00140050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vAlign w:val="center"/>
          </w:tcPr>
          <w:p w14:paraId="4CE5C912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设计阶段（□是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□否）按要求实施</w:t>
            </w:r>
            <w:r>
              <w:rPr>
                <w:rFonts w:hint="eastAsia"/>
                <w:bCs/>
              </w:rPr>
              <w:t>BIM</w:t>
            </w:r>
            <w:r>
              <w:rPr>
                <w:rFonts w:hint="eastAsia"/>
                <w:bCs/>
              </w:rPr>
              <w:t>应用</w:t>
            </w:r>
          </w:p>
        </w:tc>
        <w:tc>
          <w:tcPr>
            <w:tcW w:w="1134" w:type="dxa"/>
            <w:vAlign w:val="center"/>
          </w:tcPr>
          <w:p w14:paraId="265F9653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C16BF60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4F5077EF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783E87E0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11EF8C3F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2DE407B5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200874C9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施工阶段（□是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□否）按要求实施</w:t>
            </w:r>
            <w:r>
              <w:rPr>
                <w:rFonts w:hint="eastAsia"/>
                <w:bCs/>
              </w:rPr>
              <w:t>BIM</w:t>
            </w:r>
            <w:r>
              <w:rPr>
                <w:rFonts w:hint="eastAsia"/>
                <w:bCs/>
              </w:rPr>
              <w:t>应用</w:t>
            </w:r>
          </w:p>
        </w:tc>
        <w:tc>
          <w:tcPr>
            <w:tcW w:w="1134" w:type="dxa"/>
            <w:vAlign w:val="center"/>
          </w:tcPr>
          <w:p w14:paraId="7F75082D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47C7994A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3F10B279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5D15F3AC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2E32043F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4FD9BAE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6EE41DD6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设计、生产、施工阶段一体化全过程（□是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□否）按要求实施</w:t>
            </w:r>
            <w:r>
              <w:rPr>
                <w:rFonts w:hint="eastAsia"/>
                <w:bCs/>
              </w:rPr>
              <w:t>BIM</w:t>
            </w:r>
            <w:r>
              <w:rPr>
                <w:rFonts w:hint="eastAsia"/>
                <w:bCs/>
              </w:rPr>
              <w:t>应用</w:t>
            </w:r>
          </w:p>
        </w:tc>
        <w:tc>
          <w:tcPr>
            <w:tcW w:w="1134" w:type="dxa"/>
            <w:vAlign w:val="center"/>
          </w:tcPr>
          <w:p w14:paraId="4059867D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45894B0B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01196AA7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7E9B9EC0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信息化管理</w:t>
            </w:r>
          </w:p>
        </w:tc>
        <w:tc>
          <w:tcPr>
            <w:tcW w:w="2977" w:type="dxa"/>
            <w:vMerge w:val="restart"/>
            <w:vAlign w:val="center"/>
          </w:tcPr>
          <w:p w14:paraId="332620F0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按建设各阶段信息化管理情况评分</w:t>
            </w:r>
          </w:p>
        </w:tc>
        <w:tc>
          <w:tcPr>
            <w:tcW w:w="850" w:type="dxa"/>
            <w:vMerge w:val="restart"/>
            <w:vAlign w:val="center"/>
          </w:tcPr>
          <w:p w14:paraId="58CA7452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69DD6586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生产阶段（□是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□否）按要求采用信息化管理</w:t>
            </w:r>
          </w:p>
        </w:tc>
        <w:tc>
          <w:tcPr>
            <w:tcW w:w="1134" w:type="dxa"/>
            <w:vAlign w:val="center"/>
          </w:tcPr>
          <w:p w14:paraId="6D8CA98F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14:paraId="4851B1A9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0126CFBA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471D3C5E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47A1C8BA" w14:textId="77777777" w:rsidR="00140050" w:rsidRDefault="00140050">
            <w:pPr>
              <w:spacing w:line="280" w:lineRule="exact"/>
              <w:jc w:val="left"/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249E6010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6AD80D24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施工阶段（□是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□否）按要求采用信息化管理</w:t>
            </w:r>
          </w:p>
        </w:tc>
        <w:tc>
          <w:tcPr>
            <w:tcW w:w="1134" w:type="dxa"/>
            <w:vAlign w:val="center"/>
          </w:tcPr>
          <w:p w14:paraId="7D7D1B48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438C8713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2C114684" w14:textId="77777777">
        <w:trPr>
          <w:jc w:val="center"/>
        </w:trPr>
        <w:tc>
          <w:tcPr>
            <w:tcW w:w="959" w:type="dxa"/>
            <w:vMerge w:val="restart"/>
            <w:vAlign w:val="center"/>
          </w:tcPr>
          <w:p w14:paraId="48FBD4A8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工程总承包模式</w:t>
            </w:r>
          </w:p>
        </w:tc>
        <w:tc>
          <w:tcPr>
            <w:tcW w:w="2977" w:type="dxa"/>
            <w:vAlign w:val="center"/>
          </w:tcPr>
          <w:p w14:paraId="001A12D1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工程总承包商为一家单位，全面负责建设项目的设计、采购、施工和调试服务工作。</w:t>
            </w:r>
          </w:p>
        </w:tc>
        <w:tc>
          <w:tcPr>
            <w:tcW w:w="850" w:type="dxa"/>
            <w:vAlign w:val="center"/>
          </w:tcPr>
          <w:p w14:paraId="03509C71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468E5D97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工程总承包合同（□是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□否）满足要求</w:t>
            </w:r>
          </w:p>
        </w:tc>
        <w:tc>
          <w:tcPr>
            <w:tcW w:w="1134" w:type="dxa"/>
            <w:vAlign w:val="center"/>
          </w:tcPr>
          <w:p w14:paraId="5EA93718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1CB3780D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19D7FF0E" w14:textId="77777777">
        <w:trPr>
          <w:jc w:val="center"/>
        </w:trPr>
        <w:tc>
          <w:tcPr>
            <w:tcW w:w="959" w:type="dxa"/>
            <w:vMerge/>
            <w:vAlign w:val="center"/>
          </w:tcPr>
          <w:p w14:paraId="2DCB0DD8" w14:textId="77777777" w:rsidR="00140050" w:rsidRDefault="00140050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61DEF3C7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工程总承包商为联合体单位，联合体中有总负责单位，负责统筹建设项目的设计、采购、施工和调试服务工作。</w:t>
            </w:r>
          </w:p>
        </w:tc>
        <w:tc>
          <w:tcPr>
            <w:tcW w:w="850" w:type="dxa"/>
            <w:vAlign w:val="center"/>
          </w:tcPr>
          <w:p w14:paraId="413B111B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</w:t>
            </w:r>
            <w:r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120BFD4C" w14:textId="77777777" w:rsidR="00140050" w:rsidRDefault="00000000">
            <w:pPr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工程总承包合同（□是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□否）满足要求</w:t>
            </w:r>
          </w:p>
        </w:tc>
        <w:tc>
          <w:tcPr>
            <w:tcW w:w="1134" w:type="dxa"/>
            <w:vAlign w:val="center"/>
          </w:tcPr>
          <w:p w14:paraId="710100D5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4E89DC5F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6DA8BA70" w14:textId="77777777">
        <w:trPr>
          <w:jc w:val="center"/>
        </w:trPr>
        <w:tc>
          <w:tcPr>
            <w:tcW w:w="4786" w:type="dxa"/>
            <w:gridSpan w:val="3"/>
            <w:vMerge w:val="restart"/>
            <w:vAlign w:val="center"/>
          </w:tcPr>
          <w:p w14:paraId="0E608E10" w14:textId="77777777" w:rsidR="00140050" w:rsidRDefault="000000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技术总评分</w:t>
            </w:r>
            <w:r>
              <w:rPr>
                <w:bCs/>
              </w:rPr>
              <w:t>=</w:t>
            </w:r>
            <w:r>
              <w:rPr>
                <w:bCs/>
              </w:rPr>
              <w:t>（各技术项实际得分总和）</w:t>
            </w:r>
            <w:r>
              <w:rPr>
                <w:bCs/>
              </w:rPr>
              <w:t>/</w:t>
            </w:r>
            <w:r>
              <w:rPr>
                <w:bCs/>
              </w:rPr>
              <w:t>（</w:t>
            </w:r>
            <w:r>
              <w:rPr>
                <w:bCs/>
              </w:rPr>
              <w:t>100-</w:t>
            </w:r>
            <w:r>
              <w:rPr>
                <w:bCs/>
              </w:rPr>
              <w:t>缺少项分值总和）</w:t>
            </w:r>
            <w:r>
              <w:rPr>
                <w:bCs/>
              </w:rPr>
              <w:t>×100+</w:t>
            </w:r>
            <w:r>
              <w:rPr>
                <w:bCs/>
              </w:rPr>
              <w:t>加分项得分</w:t>
            </w:r>
          </w:p>
        </w:tc>
        <w:tc>
          <w:tcPr>
            <w:tcW w:w="2977" w:type="dxa"/>
            <w:vAlign w:val="center"/>
          </w:tcPr>
          <w:p w14:paraId="2936A45A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各技术项实际得分总和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14:paraId="304BCE70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73B6BF0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70A71D92" w14:textId="77777777">
        <w:trPr>
          <w:jc w:val="center"/>
        </w:trPr>
        <w:tc>
          <w:tcPr>
            <w:tcW w:w="4786" w:type="dxa"/>
            <w:gridSpan w:val="3"/>
            <w:vMerge/>
            <w:vAlign w:val="center"/>
          </w:tcPr>
          <w:p w14:paraId="7D055C3C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51B06C3F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缺少项分值总和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14:paraId="78358FDD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9DD0F77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2DF8A9B0" w14:textId="77777777">
        <w:trPr>
          <w:jc w:val="center"/>
        </w:trPr>
        <w:tc>
          <w:tcPr>
            <w:tcW w:w="4786" w:type="dxa"/>
            <w:gridSpan w:val="3"/>
            <w:vMerge/>
            <w:vAlign w:val="center"/>
          </w:tcPr>
          <w:p w14:paraId="562665F8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1A22C5B8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加分项得分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14:paraId="4307E987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2196B709" w14:textId="77777777" w:rsidR="00140050" w:rsidRDefault="00140050">
            <w:pPr>
              <w:jc w:val="center"/>
              <w:rPr>
                <w:bCs/>
              </w:rPr>
            </w:pPr>
          </w:p>
        </w:tc>
      </w:tr>
      <w:tr w:rsidR="00140050" w14:paraId="4FE84972" w14:textId="77777777">
        <w:trPr>
          <w:jc w:val="center"/>
        </w:trPr>
        <w:tc>
          <w:tcPr>
            <w:tcW w:w="4786" w:type="dxa"/>
            <w:gridSpan w:val="3"/>
            <w:vMerge/>
            <w:vAlign w:val="center"/>
          </w:tcPr>
          <w:p w14:paraId="3792A17A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0F498550" w14:textId="77777777" w:rsidR="00140050" w:rsidRDefault="00000000">
            <w:pPr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技术总评分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14:paraId="128C0630" w14:textId="77777777" w:rsidR="00140050" w:rsidRDefault="001400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20D614CA" w14:textId="77777777" w:rsidR="00140050" w:rsidRDefault="00140050">
            <w:pPr>
              <w:jc w:val="center"/>
              <w:rPr>
                <w:bCs/>
              </w:rPr>
            </w:pPr>
          </w:p>
        </w:tc>
      </w:tr>
    </w:tbl>
    <w:p w14:paraId="1D567FDF" w14:textId="77777777" w:rsidR="00140050" w:rsidRDefault="00140050">
      <w:pPr>
        <w:rPr>
          <w:bCs/>
        </w:rPr>
      </w:pPr>
    </w:p>
    <w:p w14:paraId="1A743F3E" w14:textId="534899CC" w:rsidR="00140050" w:rsidRDefault="00000000">
      <w:pPr>
        <w:pStyle w:val="CM4"/>
        <w:spacing w:line="360" w:lineRule="auto"/>
        <w:ind w:firstLineChars="200" w:firstLine="482"/>
        <w:rPr>
          <w:rFonts w:ascii="Times New Roman" w:eastAsia="宋体"/>
          <w:b/>
          <w:kern w:val="2"/>
        </w:rPr>
      </w:pPr>
      <w:r>
        <w:rPr>
          <w:rFonts w:ascii="Times New Roman" w:eastAsia="宋体" w:hint="eastAsia"/>
          <w:b/>
          <w:kern w:val="2"/>
        </w:rPr>
        <w:t>（二）</w:t>
      </w:r>
      <w:r>
        <w:rPr>
          <w:rFonts w:ascii="Times New Roman" w:eastAsia="宋体"/>
          <w:b/>
          <w:kern w:val="2"/>
        </w:rPr>
        <w:t xml:space="preserve"> </w:t>
      </w:r>
      <w:r>
        <w:rPr>
          <w:rFonts w:ascii="Times New Roman" w:eastAsia="宋体" w:hint="eastAsia"/>
          <w:b/>
          <w:kern w:val="2"/>
        </w:rPr>
        <w:t>结论</w:t>
      </w:r>
    </w:p>
    <w:p w14:paraId="78AAEDF5" w14:textId="77777777" w:rsidR="00140050" w:rsidRDefault="00000000">
      <w:pPr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>项目在满足各项技术最低分值要求的前提下，技术总评分高于</w:t>
      </w:r>
      <w:r>
        <w:rPr>
          <w:rFonts w:hint="eastAsia"/>
          <w:bCs/>
        </w:rPr>
        <w:t>5</w:t>
      </w:r>
      <w:r>
        <w:rPr>
          <w:bCs/>
        </w:rPr>
        <w:t>0</w:t>
      </w:r>
      <w:r>
        <w:rPr>
          <w:rFonts w:hint="eastAsia"/>
          <w:bCs/>
        </w:rPr>
        <w:t>分，满足《深圳市装配式建筑评分规则》要求。</w:t>
      </w:r>
    </w:p>
    <w:p w14:paraId="5077D84C" w14:textId="77777777" w:rsidR="00140050" w:rsidRDefault="00140050">
      <w:pPr>
        <w:spacing w:line="360" w:lineRule="auto"/>
        <w:ind w:firstLineChars="200" w:firstLine="420"/>
        <w:rPr>
          <w:bCs/>
        </w:rPr>
      </w:pPr>
    </w:p>
    <w:p w14:paraId="20B1C509" w14:textId="77777777" w:rsidR="00140050" w:rsidRDefault="00140050">
      <w:pPr>
        <w:spacing w:line="360" w:lineRule="auto"/>
        <w:ind w:firstLineChars="200" w:firstLine="420"/>
        <w:rPr>
          <w:bCs/>
        </w:rPr>
      </w:pPr>
    </w:p>
    <w:p w14:paraId="5EE0B38C" w14:textId="77777777" w:rsidR="00140050" w:rsidRDefault="00140050">
      <w:pPr>
        <w:spacing w:line="360" w:lineRule="auto"/>
        <w:rPr>
          <w:b/>
          <w:sz w:val="24"/>
          <w:szCs w:val="24"/>
        </w:rPr>
      </w:pPr>
    </w:p>
    <w:sectPr w:rsidR="00140050">
      <w:headerReference w:type="default" r:id="rId8"/>
      <w:footerReference w:type="default" r:id="rId9"/>
      <w:type w:val="continuous"/>
      <w:pgSz w:w="23757" w:h="16783" w:orient="landscape"/>
      <w:pgMar w:top="1800" w:right="1440" w:bottom="1800" w:left="1440" w:header="851" w:footer="992" w:gutter="0"/>
      <w:cols w:num="2" w:space="427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1757" w14:textId="77777777" w:rsidR="0017248D" w:rsidRDefault="0017248D">
      <w:r>
        <w:separator/>
      </w:r>
    </w:p>
  </w:endnote>
  <w:endnote w:type="continuationSeparator" w:id="0">
    <w:p w14:paraId="7A632CC4" w14:textId="77777777" w:rsidR="0017248D" w:rsidRDefault="0017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 Sun">
    <w:altName w:val="Yu Gothic"/>
    <w:charset w:val="80"/>
    <w:family w:val="swiss"/>
    <w:pitch w:val="default"/>
    <w:sig w:usb0="00000000" w:usb1="00000000" w:usb2="00000010" w:usb3="00000000" w:csb0="0002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Standard Symbols P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AD6C" w14:textId="77777777" w:rsidR="00140050" w:rsidRDefault="00140050">
    <w:pPr>
      <w:pStyle w:val="a3"/>
      <w:jc w:val="center"/>
      <w:rPr>
        <w:lang w:val="zh-CN"/>
      </w:rPr>
    </w:pPr>
  </w:p>
  <w:p w14:paraId="6D95F062" w14:textId="77777777" w:rsidR="00140050" w:rsidRDefault="0014005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E7E0" w14:textId="77777777" w:rsidR="0017248D" w:rsidRDefault="0017248D">
      <w:r>
        <w:separator/>
      </w:r>
    </w:p>
  </w:footnote>
  <w:footnote w:type="continuationSeparator" w:id="0">
    <w:p w14:paraId="10FF6AAE" w14:textId="77777777" w:rsidR="0017248D" w:rsidRDefault="0017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A3FA" w14:textId="77777777" w:rsidR="00140050" w:rsidRDefault="0014005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8B451"/>
    <w:multiLevelType w:val="singleLevel"/>
    <w:tmpl w:val="9308B451"/>
    <w:lvl w:ilvl="0">
      <w:start w:val="2"/>
      <w:numFmt w:val="decimal"/>
      <w:suff w:val="nothing"/>
      <w:lvlText w:val="（%1）"/>
      <w:lvlJc w:val="left"/>
      <w:pPr>
        <w:ind w:left="480" w:firstLine="0"/>
      </w:pPr>
    </w:lvl>
  </w:abstractNum>
  <w:abstractNum w:abstractNumId="1" w15:restartNumberingAfterBreak="0">
    <w:nsid w:val="93BCDA4F"/>
    <w:multiLevelType w:val="singleLevel"/>
    <w:tmpl w:val="93BCDA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93CE3DB3"/>
    <w:multiLevelType w:val="singleLevel"/>
    <w:tmpl w:val="93CE3D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4B2E8907"/>
    <w:multiLevelType w:val="singleLevel"/>
    <w:tmpl w:val="4B2E89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AED6C7A"/>
    <w:multiLevelType w:val="multilevel"/>
    <w:tmpl w:val="5AED6C7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B934F40"/>
    <w:multiLevelType w:val="multilevel"/>
    <w:tmpl w:val="5B934F40"/>
    <w:lvl w:ilvl="0">
      <w:start w:val="1"/>
      <w:numFmt w:val="decimal"/>
      <w:lvlText w:val="%1."/>
      <w:lvlJc w:val="left"/>
      <w:pPr>
        <w:ind w:left="844" w:hanging="420"/>
      </w:pPr>
    </w:lvl>
    <w:lvl w:ilvl="1">
      <w:start w:val="5"/>
      <w:numFmt w:val="decimal"/>
      <w:lvlText w:val="%2、"/>
      <w:lvlJc w:val="left"/>
      <w:pPr>
        <w:ind w:left="156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 w16cid:durableId="1166163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795092">
    <w:abstractNumId w:val="3"/>
  </w:num>
  <w:num w:numId="3" w16cid:durableId="539585509">
    <w:abstractNumId w:val="5"/>
  </w:num>
  <w:num w:numId="4" w16cid:durableId="39476293">
    <w:abstractNumId w:val="2"/>
  </w:num>
  <w:num w:numId="5" w16cid:durableId="981811353">
    <w:abstractNumId w:val="0"/>
  </w:num>
  <w:num w:numId="6" w16cid:durableId="210174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3YTc0MGY3MmY0M2M4YjhiOWZhNWJhOTdkOTAzNzgifQ=="/>
  </w:docVars>
  <w:rsids>
    <w:rsidRoot w:val="51AC7902"/>
    <w:rsid w:val="BF8FF829"/>
    <w:rsid w:val="EBFFD528"/>
    <w:rsid w:val="FB771876"/>
    <w:rsid w:val="00140050"/>
    <w:rsid w:val="0014636D"/>
    <w:rsid w:val="0017248D"/>
    <w:rsid w:val="002A4757"/>
    <w:rsid w:val="003876D7"/>
    <w:rsid w:val="00442065"/>
    <w:rsid w:val="0059685D"/>
    <w:rsid w:val="005E1882"/>
    <w:rsid w:val="00653237"/>
    <w:rsid w:val="008B52D6"/>
    <w:rsid w:val="00902029"/>
    <w:rsid w:val="009359A0"/>
    <w:rsid w:val="00990E96"/>
    <w:rsid w:val="009970BA"/>
    <w:rsid w:val="009F43E1"/>
    <w:rsid w:val="00A525D8"/>
    <w:rsid w:val="00A84F9F"/>
    <w:rsid w:val="00A913C2"/>
    <w:rsid w:val="00AC545A"/>
    <w:rsid w:val="00AF16D6"/>
    <w:rsid w:val="00C51F45"/>
    <w:rsid w:val="00CC0C8B"/>
    <w:rsid w:val="00EC533C"/>
    <w:rsid w:val="092C785B"/>
    <w:rsid w:val="09B4531F"/>
    <w:rsid w:val="0CB610D3"/>
    <w:rsid w:val="0CDA3129"/>
    <w:rsid w:val="0CED6BDB"/>
    <w:rsid w:val="0E352229"/>
    <w:rsid w:val="125A383F"/>
    <w:rsid w:val="134A0569"/>
    <w:rsid w:val="183008D1"/>
    <w:rsid w:val="19875553"/>
    <w:rsid w:val="19E560EE"/>
    <w:rsid w:val="1BBE74B0"/>
    <w:rsid w:val="22A17DA7"/>
    <w:rsid w:val="23D66731"/>
    <w:rsid w:val="247F5783"/>
    <w:rsid w:val="25706FC8"/>
    <w:rsid w:val="280271BA"/>
    <w:rsid w:val="284773B8"/>
    <w:rsid w:val="2E30125D"/>
    <w:rsid w:val="34134DA4"/>
    <w:rsid w:val="342B7883"/>
    <w:rsid w:val="3D8C32F6"/>
    <w:rsid w:val="3DA815F3"/>
    <w:rsid w:val="3DFD49BA"/>
    <w:rsid w:val="3E615229"/>
    <w:rsid w:val="3F574935"/>
    <w:rsid w:val="4103301C"/>
    <w:rsid w:val="45673C7B"/>
    <w:rsid w:val="47A343FB"/>
    <w:rsid w:val="48405FD1"/>
    <w:rsid w:val="50414613"/>
    <w:rsid w:val="51AC7902"/>
    <w:rsid w:val="550130DC"/>
    <w:rsid w:val="57A559FE"/>
    <w:rsid w:val="58B2385B"/>
    <w:rsid w:val="58EB204D"/>
    <w:rsid w:val="597D5070"/>
    <w:rsid w:val="62E46D8B"/>
    <w:rsid w:val="640228CF"/>
    <w:rsid w:val="641F7EF7"/>
    <w:rsid w:val="666C699A"/>
    <w:rsid w:val="670F5F46"/>
    <w:rsid w:val="679D5AE9"/>
    <w:rsid w:val="68BF6ABD"/>
    <w:rsid w:val="68F9624F"/>
    <w:rsid w:val="69AFCE13"/>
    <w:rsid w:val="6BE96A39"/>
    <w:rsid w:val="6F585B36"/>
    <w:rsid w:val="71B77E79"/>
    <w:rsid w:val="731854FE"/>
    <w:rsid w:val="74A3589C"/>
    <w:rsid w:val="76812014"/>
    <w:rsid w:val="76B4569D"/>
    <w:rsid w:val="783F3517"/>
    <w:rsid w:val="7873384A"/>
    <w:rsid w:val="78E577C8"/>
    <w:rsid w:val="78FE5E93"/>
    <w:rsid w:val="7A7F1506"/>
    <w:rsid w:val="7BEB3BAD"/>
    <w:rsid w:val="7F2F0285"/>
    <w:rsid w:val="9EFFE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73EFB"/>
  <w15:docId w15:val="{F8C82898-17E1-4ECA-BAF8-9123C24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6">
    <w:name w:val="page number"/>
    <w:basedOn w:val="a0"/>
    <w:uiPriority w:val="99"/>
    <w:qFormat/>
  </w:style>
  <w:style w:type="paragraph" w:customStyle="1" w:styleId="a7">
    <w:name w:val="章"/>
    <w:basedOn w:val="a"/>
    <w:qFormat/>
    <w:pPr>
      <w:spacing w:beforeLines="100" w:before="100" w:afterLines="100" w:after="100" w:line="300" w:lineRule="auto"/>
      <w:jc w:val="center"/>
      <w:outlineLvl w:val="0"/>
    </w:pPr>
    <w:rPr>
      <w:b/>
      <w:bCs/>
      <w:sz w:val="28"/>
      <w:szCs w:val="2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CM19">
    <w:name w:val="CM19"/>
    <w:basedOn w:val="Default"/>
    <w:next w:val="Default"/>
    <w:qFormat/>
    <w:pPr>
      <w:spacing w:after="70"/>
    </w:pPr>
    <w:rPr>
      <w:rFonts w:cs="Times New Roman"/>
      <w:color w:val="auto"/>
    </w:rPr>
  </w:style>
  <w:style w:type="paragraph" w:customStyle="1" w:styleId="CM4">
    <w:name w:val="CM4"/>
    <w:basedOn w:val="a"/>
    <w:next w:val="a"/>
    <w:qFormat/>
    <w:pPr>
      <w:autoSpaceDE w:val="0"/>
      <w:autoSpaceDN w:val="0"/>
      <w:adjustRightInd w:val="0"/>
      <w:spacing w:line="313" w:lineRule="atLeast"/>
      <w:jc w:val="left"/>
    </w:pPr>
    <w:rPr>
      <w:rFonts w:ascii="Sim Sun" w:eastAsia="Sim Sun"/>
      <w:kern w:val="0"/>
      <w:sz w:val="24"/>
      <w:szCs w:val="24"/>
    </w:rPr>
  </w:style>
  <w:style w:type="paragraph" w:styleId="a9">
    <w:name w:val="Revision"/>
    <w:hidden/>
    <w:uiPriority w:val="99"/>
    <w:semiHidden/>
    <w:rsid w:val="00EC53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绿色专篇（规划阶段）</dc:title>
  <dc:creator>袁玉华</dc:creator>
  <cp:lastModifiedBy>FENG, isaiah [Alumni]</cp:lastModifiedBy>
  <cp:revision>6</cp:revision>
  <dcterms:created xsi:type="dcterms:W3CDTF">2022-10-26T11:11:00Z</dcterms:created>
  <dcterms:modified xsi:type="dcterms:W3CDTF">2022-12-23T07:50:00Z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C58CA4432D7A44E39E0C8A838F973427</vt:lpwstr>
  </property>
</Properties>
</file>