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sz w:val="36"/>
          <w:szCs w:val="36"/>
        </w:rPr>
      </w:pPr>
      <w:bookmarkStart w:id="2" w:name="_GoBack"/>
      <w:bookmarkEnd w:id="2"/>
    </w:p>
    <w:p>
      <w:pPr>
        <w:widowControl/>
        <w:jc w:val="left"/>
        <w:rPr>
          <w:sz w:val="36"/>
          <w:szCs w:val="36"/>
        </w:rPr>
      </w:pPr>
    </w:p>
    <w:p>
      <w:pPr>
        <w:widowControl/>
        <w:jc w:val="left"/>
        <w:rPr>
          <w:sz w:val="36"/>
          <w:szCs w:val="36"/>
        </w:rPr>
      </w:pPr>
    </w:p>
    <w:p>
      <w:pPr>
        <w:widowControl/>
        <w:jc w:val="left"/>
        <w:rPr>
          <w:sz w:val="36"/>
          <w:szCs w:val="36"/>
        </w:rPr>
      </w:pPr>
    </w:p>
    <w:p>
      <w:pPr>
        <w:widowControl/>
        <w:jc w:val="left"/>
        <w:rPr>
          <w:sz w:val="36"/>
          <w:szCs w:val="36"/>
        </w:rPr>
      </w:pPr>
    </w:p>
    <w:p>
      <w:pPr>
        <w:widowControl/>
        <w:jc w:val="center"/>
        <w:rPr>
          <w:b/>
          <w:bCs/>
          <w:sz w:val="56"/>
          <w:szCs w:val="56"/>
        </w:rPr>
      </w:pPr>
      <w:r>
        <w:rPr>
          <w:rFonts w:hint="eastAsia"/>
          <w:b/>
          <w:bCs/>
          <w:sz w:val="56"/>
          <w:szCs w:val="56"/>
        </w:rPr>
        <w:t>绿色建筑专项验收报告</w:t>
      </w:r>
    </w:p>
    <w:p>
      <w:pPr>
        <w:widowControl/>
        <w:jc w:val="center"/>
        <w:rPr>
          <w:b/>
          <w:bCs/>
          <w:sz w:val="28"/>
          <w:szCs w:val="28"/>
        </w:rPr>
      </w:pPr>
      <w:r>
        <w:rPr>
          <w:rFonts w:hint="eastAsia"/>
          <w:b/>
          <w:bCs/>
          <w:sz w:val="28"/>
          <w:szCs w:val="28"/>
        </w:rPr>
        <w:t>适用于《绿色建筑评价标准》（GB/T50378-2019）</w:t>
      </w:r>
    </w:p>
    <w:p>
      <w:pPr>
        <w:widowControl/>
        <w:jc w:val="center"/>
        <w:rPr>
          <w:b/>
          <w:bCs/>
          <w:sz w:val="56"/>
          <w:szCs w:val="56"/>
        </w:rPr>
      </w:pPr>
    </w:p>
    <w:p>
      <w:pPr>
        <w:widowControl/>
        <w:jc w:val="left"/>
        <w:rPr>
          <w:sz w:val="36"/>
          <w:szCs w:val="36"/>
        </w:rPr>
      </w:pPr>
    </w:p>
    <w:p>
      <w:pPr>
        <w:widowControl/>
        <w:jc w:val="left"/>
        <w:rPr>
          <w:sz w:val="36"/>
          <w:szCs w:val="36"/>
        </w:rPr>
      </w:pPr>
    </w:p>
    <w:p>
      <w:pPr>
        <w:widowControl/>
        <w:jc w:val="left"/>
        <w:rPr>
          <w:sz w:val="36"/>
          <w:szCs w:val="36"/>
        </w:rPr>
      </w:pPr>
    </w:p>
    <w:p>
      <w:pPr>
        <w:widowControl/>
        <w:jc w:val="left"/>
        <w:rPr>
          <w:sz w:val="36"/>
          <w:szCs w:val="36"/>
        </w:rPr>
      </w:pPr>
    </w:p>
    <w:p>
      <w:pPr>
        <w:widowControl/>
        <w:jc w:val="center"/>
        <w:rPr>
          <w:rFonts w:hint="eastAsia"/>
          <w:sz w:val="32"/>
          <w:szCs w:val="32"/>
        </w:rPr>
      </w:pPr>
      <w:bookmarkStart w:id="0" w:name="_Hlk113550313"/>
    </w:p>
    <w:p>
      <w:pPr>
        <w:widowControl/>
        <w:jc w:val="center"/>
        <w:rPr>
          <w:rFonts w:hint="eastAsia"/>
          <w:sz w:val="32"/>
          <w:szCs w:val="32"/>
        </w:rPr>
      </w:pPr>
    </w:p>
    <w:p>
      <w:pPr>
        <w:widowControl/>
        <w:jc w:val="center"/>
        <w:rPr>
          <w:rFonts w:hint="eastAsia"/>
          <w:sz w:val="32"/>
          <w:szCs w:val="32"/>
        </w:rPr>
      </w:pPr>
    </w:p>
    <w:p>
      <w:pPr>
        <w:widowControl/>
        <w:jc w:val="center"/>
        <w:rPr>
          <w:rFonts w:hint="eastAsia"/>
          <w:sz w:val="32"/>
          <w:szCs w:val="32"/>
        </w:rPr>
      </w:pPr>
    </w:p>
    <w:p>
      <w:pPr>
        <w:widowControl/>
        <w:jc w:val="center"/>
        <w:rPr>
          <w:rFonts w:hint="eastAsia"/>
          <w:sz w:val="32"/>
          <w:szCs w:val="32"/>
        </w:rPr>
      </w:pPr>
    </w:p>
    <w:p>
      <w:pPr>
        <w:widowControl/>
        <w:jc w:val="center"/>
        <w:rPr>
          <w:rFonts w:hint="eastAsia"/>
          <w:sz w:val="32"/>
          <w:szCs w:val="32"/>
        </w:rPr>
      </w:pPr>
    </w:p>
    <w:p>
      <w:pPr>
        <w:widowControl/>
        <w:jc w:val="center"/>
        <w:rPr>
          <w:rFonts w:hint="eastAsia"/>
          <w:sz w:val="32"/>
          <w:szCs w:val="32"/>
        </w:rPr>
      </w:pPr>
    </w:p>
    <w:p>
      <w:pPr>
        <w:widowControl/>
        <w:jc w:val="center"/>
        <w:rPr>
          <w:sz w:val="32"/>
          <w:szCs w:val="32"/>
        </w:rPr>
      </w:pPr>
      <w:r>
        <w:rPr>
          <w:rFonts w:hint="eastAsia"/>
          <w:sz w:val="32"/>
          <w:szCs w:val="32"/>
        </w:rPr>
        <w:t xml:space="preserve"> </w:t>
      </w:r>
      <w:r>
        <w:rPr>
          <w:sz w:val="32"/>
          <w:szCs w:val="32"/>
        </w:rPr>
        <w:t xml:space="preserve">   </w:t>
      </w:r>
      <w:bookmarkEnd w:id="0"/>
      <w:r>
        <w:rPr>
          <w:rFonts w:hint="eastAsia"/>
          <w:sz w:val="32"/>
          <w:szCs w:val="32"/>
        </w:rPr>
        <w:t>年    月    日</w:t>
      </w:r>
    </w:p>
    <w:p>
      <w:pPr>
        <w:widowControl/>
        <w:jc w:val="left"/>
      </w:pPr>
    </w:p>
    <w:p>
      <w:pPr>
        <w:adjustRightInd w:val="0"/>
        <w:snapToGrid w:val="0"/>
        <w:jc w:val="center"/>
        <w:rPr>
          <w:rFonts w:eastAsia="黑体"/>
          <w:b/>
          <w:color w:val="000000"/>
          <w:sz w:val="32"/>
          <w:szCs w:val="32"/>
          <w:u w:val="single"/>
        </w:rPr>
        <w:sectPr>
          <w:pgSz w:w="11906" w:h="16838"/>
          <w:pgMar w:top="1440" w:right="1800" w:bottom="1440" w:left="1800" w:header="851" w:footer="992" w:gutter="0"/>
          <w:cols w:space="720" w:num="1"/>
          <w:docGrid w:type="lines" w:linePitch="312" w:charSpace="0"/>
        </w:sectPr>
      </w:pPr>
    </w:p>
    <w:p>
      <w:pPr>
        <w:widowControl/>
        <w:jc w:val="center"/>
        <w:rPr>
          <w:rFonts w:ascii="仿宋_GB2312" w:eastAsia="仿宋_GB2312"/>
          <w:bCs/>
          <w:color w:val="000000"/>
          <w:kern w:val="0"/>
          <w:sz w:val="32"/>
          <w:szCs w:val="32"/>
        </w:rPr>
      </w:pPr>
      <w:r>
        <w:rPr>
          <w:rFonts w:hint="eastAsia" w:ascii="仿宋_GB2312" w:eastAsia="仿宋_GB2312"/>
          <w:bCs/>
          <w:color w:val="000000"/>
          <w:kern w:val="0"/>
          <w:sz w:val="32"/>
          <w:szCs w:val="32"/>
        </w:rPr>
        <w:t>填表说明</w:t>
      </w:r>
    </w:p>
    <w:p>
      <w:pPr>
        <w:widowControl/>
        <w:jc w:val="left"/>
        <w:rPr>
          <w:rFonts w:ascii="仿宋_GB2312" w:eastAsia="仿宋_GB2312"/>
          <w:bCs/>
          <w:color w:val="000000"/>
          <w:kern w:val="0"/>
          <w:sz w:val="24"/>
          <w:szCs w:val="24"/>
        </w:rPr>
      </w:pP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1、专项验收报告一律采用A4规格，一式一份；</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2、报告封面的“项目名称”应与规划许可证、施工许可证等审批文件的“工程名称”一致，在尽量一致的情况下，项目名称中最好包含地域、楼号等信息，例如“深圳市XXX住宅1～3号楼”；</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3、报告封面的各单位名称应与批复文件的名称一致，如有其他联合单位，请在此处一并列出，以顿号隔开；</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4、核查结论填写“通过”或“不通过”，如无需进行现场核查，仅做材料核查的，在备注中注明“核验批复文件通过”或“核验检测报告通过”等；</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5、涉及到运营内容的条文得分以预估情况填写；</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6、严格按照填写说明的要求如实填写。</w:t>
      </w:r>
    </w:p>
    <w:p>
      <w:pPr>
        <w:widowControl/>
        <w:jc w:val="left"/>
        <w:rPr>
          <w:rFonts w:ascii="仿宋_GB2312" w:eastAsia="仿宋_GB2312"/>
          <w:bCs/>
          <w:color w:val="000000"/>
          <w:kern w:val="0"/>
          <w:sz w:val="24"/>
          <w:szCs w:val="24"/>
        </w:rPr>
      </w:pPr>
      <w:r>
        <w:rPr>
          <w:rFonts w:ascii="仿宋_GB2312" w:eastAsia="仿宋_GB2312"/>
          <w:bCs/>
          <w:color w:val="000000"/>
          <w:kern w:val="0"/>
          <w:sz w:val="24"/>
          <w:szCs w:val="24"/>
        </w:rPr>
        <w:br w:type="page"/>
      </w:r>
    </w:p>
    <w:p>
      <w:pPr>
        <w:spacing w:line="480" w:lineRule="auto"/>
        <w:ind w:left="651" w:leftChars="310"/>
        <w:rPr>
          <w:rFonts w:ascii="仿宋_GB2312" w:eastAsia="仿宋_GB2312"/>
          <w:bCs/>
          <w:color w:val="000000"/>
          <w:kern w:val="0"/>
          <w:sz w:val="24"/>
          <w:szCs w:val="24"/>
        </w:rPr>
      </w:pPr>
    </w:p>
    <w:tbl>
      <w:tblPr>
        <w:tblStyle w:val="2"/>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2"/>
        <w:gridCol w:w="70"/>
        <w:gridCol w:w="214"/>
        <w:gridCol w:w="826"/>
        <w:gridCol w:w="450"/>
        <w:gridCol w:w="660"/>
        <w:gridCol w:w="47"/>
        <w:gridCol w:w="569"/>
        <w:gridCol w:w="495"/>
        <w:gridCol w:w="781"/>
        <w:gridCol w:w="329"/>
        <w:gridCol w:w="23"/>
        <w:gridCol w:w="924"/>
        <w:gridCol w:w="163"/>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shd w:val="clear" w:color="auto" w:fill="FFFFFF"/>
            <w:noWrap w:val="0"/>
            <w:vAlign w:val="center"/>
          </w:tcPr>
          <w:p>
            <w:pPr>
              <w:widowControl/>
              <w:jc w:val="center"/>
              <w:rPr>
                <w:rFonts w:ascii="仿宋_GB2312" w:hAnsi="宋体" w:eastAsia="仿宋_GB2312" w:cs="宋体"/>
                <w:color w:val="000000"/>
                <w:kern w:val="0"/>
                <w:sz w:val="22"/>
              </w:rPr>
            </w:pPr>
            <w:bookmarkStart w:id="1" w:name="_Hlk108455422"/>
            <w:r>
              <w:rPr>
                <w:rFonts w:hint="eastAsia" w:ascii="仿宋_GB2312" w:hAnsi="宋体" w:eastAsia="仿宋_GB2312" w:cs="宋体"/>
                <w:color w:val="000000"/>
                <w:kern w:val="0"/>
                <w:sz w:val="22"/>
              </w:rPr>
              <w:t>评价指标</w:t>
            </w:r>
          </w:p>
        </w:tc>
        <w:tc>
          <w:tcPr>
            <w:tcW w:w="992" w:type="dxa"/>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控制项基础分值</w:t>
            </w:r>
          </w:p>
        </w:tc>
        <w:tc>
          <w:tcPr>
            <w:tcW w:w="1110" w:type="dxa"/>
            <w:gridSpan w:val="3"/>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安全耐久</w:t>
            </w:r>
          </w:p>
        </w:tc>
        <w:tc>
          <w:tcPr>
            <w:tcW w:w="1110" w:type="dxa"/>
            <w:gridSpan w:val="2"/>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健康舒适</w:t>
            </w:r>
          </w:p>
        </w:tc>
        <w:tc>
          <w:tcPr>
            <w:tcW w:w="1111" w:type="dxa"/>
            <w:gridSpan w:val="3"/>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生活便利</w:t>
            </w:r>
          </w:p>
        </w:tc>
        <w:tc>
          <w:tcPr>
            <w:tcW w:w="1110" w:type="dxa"/>
            <w:gridSpan w:val="2"/>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资源节约</w:t>
            </w:r>
          </w:p>
        </w:tc>
        <w:tc>
          <w:tcPr>
            <w:tcW w:w="1110" w:type="dxa"/>
            <w:gridSpan w:val="3"/>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环境宜居</w:t>
            </w:r>
          </w:p>
        </w:tc>
        <w:tc>
          <w:tcPr>
            <w:tcW w:w="1112" w:type="dxa"/>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tcBorders>
              <w:bottom w:val="single" w:color="auto" w:sz="4" w:space="0"/>
            </w:tcBorders>
            <w:shd w:val="clear" w:color="auto" w:fill="FFFFFF"/>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评价分值</w:t>
            </w:r>
          </w:p>
        </w:tc>
        <w:tc>
          <w:tcPr>
            <w:tcW w:w="992" w:type="dxa"/>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400</w:t>
            </w:r>
          </w:p>
        </w:tc>
        <w:tc>
          <w:tcPr>
            <w:tcW w:w="1110" w:type="dxa"/>
            <w:gridSpan w:val="3"/>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100</w:t>
            </w:r>
          </w:p>
        </w:tc>
        <w:tc>
          <w:tcPr>
            <w:tcW w:w="1110" w:type="dxa"/>
            <w:gridSpan w:val="2"/>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100</w:t>
            </w:r>
          </w:p>
        </w:tc>
        <w:tc>
          <w:tcPr>
            <w:tcW w:w="1111" w:type="dxa"/>
            <w:gridSpan w:val="3"/>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70</w:t>
            </w:r>
          </w:p>
        </w:tc>
        <w:tc>
          <w:tcPr>
            <w:tcW w:w="1110" w:type="dxa"/>
            <w:gridSpan w:val="2"/>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200</w:t>
            </w:r>
          </w:p>
        </w:tc>
        <w:tc>
          <w:tcPr>
            <w:tcW w:w="1110" w:type="dxa"/>
            <w:gridSpan w:val="3"/>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100</w:t>
            </w:r>
          </w:p>
        </w:tc>
        <w:tc>
          <w:tcPr>
            <w:tcW w:w="1112" w:type="dxa"/>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100</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自评得分</w:t>
            </w: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1110"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1110"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1111"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1110"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1110"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1112" w:type="dxa"/>
            <w:shd w:val="clear" w:color="auto" w:fill="FFFFFF"/>
            <w:noWrap w:val="0"/>
            <w:vAlign w:val="top"/>
          </w:tcPr>
          <w:p>
            <w:pPr>
              <w:widowControl/>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标准要求</w:t>
            </w:r>
          </w:p>
        </w:tc>
        <w:tc>
          <w:tcPr>
            <w:tcW w:w="7655" w:type="dxa"/>
            <w:gridSpan w:val="15"/>
            <w:shd w:val="clear" w:color="auto" w:fill="FFFFFF"/>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b/>
                <w:bCs/>
                <w:color w:val="A5A5A5"/>
                <w:kern w:val="0"/>
                <w:sz w:val="22"/>
                <w:u w:val="single"/>
              </w:rPr>
              <w:t xml:space="preserve"> </w:t>
            </w:r>
            <w:r>
              <w:rPr>
                <w:rFonts w:ascii="仿宋_GB2312" w:hAnsi="宋体" w:eastAsia="仿宋_GB2312" w:cs="宋体"/>
                <w:b/>
                <w:bCs/>
                <w:color w:val="A5A5A5"/>
                <w:kern w:val="0"/>
                <w:sz w:val="22"/>
                <w:u w:val="single"/>
              </w:rPr>
              <w:t xml:space="preserve"> </w:t>
            </w:r>
            <w:r>
              <w:rPr>
                <w:rFonts w:hint="eastAsia" w:ascii="仿宋_GB2312" w:hAnsi="宋体" w:eastAsia="仿宋_GB2312" w:cs="宋体"/>
                <w:b/>
                <w:bCs/>
                <w:color w:val="A5A5A5"/>
                <w:kern w:val="0"/>
                <w:sz w:val="22"/>
              </w:rPr>
              <w:t>星级，总分≥</w:t>
            </w:r>
            <w:r>
              <w:rPr>
                <w:rFonts w:ascii="仿宋_GB2312" w:hAnsi="宋体" w:eastAsia="仿宋_GB2312" w:cs="宋体"/>
                <w:b/>
                <w:bCs/>
                <w:color w:val="A5A5A5"/>
                <w:kern w:val="0"/>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自评星级</w:t>
            </w:r>
          </w:p>
        </w:tc>
        <w:tc>
          <w:tcPr>
            <w:tcW w:w="7655" w:type="dxa"/>
            <w:gridSpan w:val="15"/>
            <w:shd w:val="clear" w:color="auto" w:fill="FFFFFF"/>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b/>
                <w:bCs/>
                <w:color w:val="A5A5A5"/>
                <w:kern w:val="0"/>
                <w:sz w:val="22"/>
              </w:rPr>
              <w:t xml:space="preserve">项目自评总得分 </w:t>
            </w:r>
            <w:r>
              <w:rPr>
                <w:rFonts w:ascii="仿宋_GB2312" w:hAnsi="宋体" w:eastAsia="仿宋_GB2312" w:cs="宋体"/>
                <w:b/>
                <w:bCs/>
                <w:color w:val="A5A5A5"/>
                <w:kern w:val="0"/>
                <w:sz w:val="22"/>
              </w:rPr>
              <w:t xml:space="preserve"> </w:t>
            </w:r>
            <w:r>
              <w:rPr>
                <w:rFonts w:hint="eastAsia" w:ascii="仿宋_GB2312" w:hAnsi="宋体" w:eastAsia="仿宋_GB2312" w:cs="宋体"/>
                <w:b/>
                <w:bCs/>
                <w:color w:val="A5A5A5"/>
                <w:kern w:val="0"/>
                <w:sz w:val="22"/>
              </w:rPr>
              <w:t xml:space="preserve">分，满足 </w:t>
            </w:r>
            <w:r>
              <w:rPr>
                <w:rFonts w:ascii="仿宋_GB2312" w:hAnsi="宋体" w:eastAsia="仿宋_GB2312" w:cs="宋体"/>
                <w:b/>
                <w:bCs/>
                <w:color w:val="A5A5A5"/>
                <w:kern w:val="0"/>
                <w:sz w:val="22"/>
              </w:rPr>
              <w:t xml:space="preserve"> </w:t>
            </w:r>
            <w:r>
              <w:rPr>
                <w:rFonts w:hint="eastAsia" w:ascii="仿宋_GB2312" w:hAnsi="宋体" w:eastAsia="仿宋_GB2312" w:cs="宋体"/>
                <w:b/>
                <w:bCs/>
                <w:color w:val="A5A5A5"/>
                <w:kern w:val="0"/>
                <w:sz w:val="22"/>
              </w:rPr>
              <w:t>星级国家绿色建筑的要求。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8789" w:type="dxa"/>
            <w:gridSpan w:val="16"/>
            <w:shd w:val="clear" w:color="auto" w:fill="FFFFFF"/>
            <w:noWrap/>
            <w:vAlign w:val="center"/>
          </w:tcPr>
          <w:p>
            <w:pPr>
              <w:widowControl/>
              <w:spacing w:line="480" w:lineRule="auto"/>
              <w:rPr>
                <w:rFonts w:ascii="仿宋_GB2312" w:eastAsia="仿宋_GB2312"/>
                <w:b/>
                <w:color w:val="000000"/>
                <w:kern w:val="0"/>
                <w:sz w:val="24"/>
                <w:szCs w:val="24"/>
              </w:rPr>
            </w:pPr>
            <w:r>
              <w:rPr>
                <w:rFonts w:hint="eastAsia" w:ascii="仿宋_GB2312" w:eastAsia="仿宋_GB2312"/>
                <w:b/>
                <w:color w:val="000000"/>
                <w:kern w:val="0"/>
                <w:sz w:val="24"/>
                <w:szCs w:val="24"/>
              </w:rPr>
              <w:t>绿色建筑核查结论：</w:t>
            </w:r>
          </w:p>
          <w:p>
            <w:pPr>
              <w:spacing w:line="480" w:lineRule="auto"/>
              <w:ind w:left="651" w:leftChars="310"/>
              <w:rPr>
                <w:rFonts w:ascii="仿宋_GB2312" w:eastAsia="仿宋_GB2312"/>
                <w:bCs/>
                <w:color w:val="000000"/>
                <w:kern w:val="0"/>
                <w:sz w:val="24"/>
                <w:szCs w:val="24"/>
              </w:rPr>
            </w:pPr>
            <w:r>
              <w:rPr>
                <w:rFonts w:hint="eastAsia" w:ascii="仿宋_GB2312" w:eastAsia="仿宋_GB2312"/>
                <w:bCs/>
                <w:color w:val="000000"/>
                <w:kern w:val="0"/>
                <w:sz w:val="24"/>
                <w:szCs w:val="24"/>
              </w:rPr>
              <w:t>经对项目竣工验收资料复核绿色建筑相关得分，</w:t>
            </w:r>
            <w:r>
              <w:rPr>
                <w:rFonts w:ascii="仿宋_GB2312" w:eastAsia="仿宋_GB2312"/>
                <w:bCs/>
                <w:color w:val="000000"/>
                <w:kern w:val="0"/>
                <w:sz w:val="24"/>
                <w:szCs w:val="24"/>
                <w:u w:val="single"/>
              </w:rPr>
              <w:t xml:space="preserve">               </w:t>
            </w:r>
            <w:r>
              <w:rPr>
                <w:rFonts w:hint="eastAsia" w:ascii="仿宋_GB2312" w:eastAsia="仿宋_GB2312"/>
                <w:bCs/>
                <w:color w:val="000000"/>
                <w:kern w:val="0"/>
                <w:sz w:val="24"/>
                <w:szCs w:val="24"/>
              </w:rPr>
              <w:t>项目</w:t>
            </w:r>
            <w:r>
              <w:rPr>
                <w:rFonts w:ascii="仿宋_GB2312" w:eastAsia="仿宋_GB2312"/>
                <w:bCs/>
                <w:color w:val="000000"/>
                <w:kern w:val="0"/>
                <w:sz w:val="24"/>
                <w:szCs w:val="24"/>
              </w:rPr>
              <w:t xml:space="preserve"> </w:t>
            </w:r>
            <w:r>
              <w:rPr>
                <w:rFonts w:ascii="仿宋_GB2312" w:eastAsia="仿宋_GB2312"/>
                <w:bCs/>
                <w:color w:val="000000"/>
                <w:kern w:val="0"/>
                <w:sz w:val="24"/>
                <w:szCs w:val="24"/>
              </w:rPr>
              <w:br w:type="textWrapping"/>
            </w:r>
            <w:r>
              <w:rPr>
                <w:rFonts w:ascii="仿宋_GB2312" w:eastAsia="仿宋_GB2312"/>
                <w:bCs/>
                <w:color w:val="000000"/>
                <w:kern w:val="0"/>
                <w:sz w:val="24"/>
                <w:szCs w:val="24"/>
              </w:rPr>
              <w:t>□满足  □不满足</w:t>
            </w:r>
            <w:r>
              <w:rPr>
                <w:rFonts w:hint="eastAsia" w:ascii="仿宋_GB2312" w:eastAsia="仿宋_GB2312"/>
                <w:bCs/>
                <w:color w:val="000000"/>
                <w:kern w:val="0"/>
                <w:sz w:val="24"/>
                <w:szCs w:val="24"/>
              </w:rPr>
              <w:t xml:space="preserve"> </w:t>
            </w:r>
            <w:r>
              <w:rPr>
                <w:rFonts w:ascii="仿宋_GB2312" w:eastAsia="仿宋_GB2312"/>
                <w:bCs/>
                <w:color w:val="000000"/>
                <w:kern w:val="0"/>
                <w:sz w:val="24"/>
                <w:szCs w:val="24"/>
              </w:rPr>
              <w:t xml:space="preserve"> </w:t>
            </w:r>
            <w:r>
              <w:rPr>
                <w:rFonts w:hint="eastAsia" w:ascii="仿宋_GB2312" w:eastAsia="仿宋_GB2312"/>
                <w:bCs/>
                <w:color w:val="000000"/>
                <w:kern w:val="0"/>
                <w:sz w:val="24"/>
                <w:szCs w:val="24"/>
              </w:rPr>
              <w:t>国家</w:t>
            </w:r>
            <w:r>
              <w:rPr>
                <w:rFonts w:ascii="仿宋_GB2312" w:eastAsia="仿宋_GB2312"/>
                <w:bCs/>
                <w:color w:val="000000"/>
                <w:kern w:val="0"/>
                <w:sz w:val="24"/>
                <w:szCs w:val="24"/>
                <w:u w:val="single"/>
              </w:rPr>
              <w:t xml:space="preserve">  </w:t>
            </w:r>
            <w:r>
              <w:rPr>
                <w:rFonts w:hint="eastAsia" w:ascii="仿宋_GB2312" w:eastAsia="仿宋_GB2312"/>
                <w:bCs/>
                <w:color w:val="000000"/>
                <w:kern w:val="0"/>
                <w:sz w:val="24"/>
                <w:szCs w:val="24"/>
              </w:rPr>
              <w:t>星级绿色建筑</w:t>
            </w:r>
            <w:r>
              <w:rPr>
                <w:rFonts w:ascii="仿宋_GB2312" w:eastAsia="仿宋_GB2312"/>
                <w:bCs/>
                <w:color w:val="000000"/>
                <w:kern w:val="0"/>
                <w:sz w:val="24"/>
                <w:szCs w:val="24"/>
              </w:rPr>
              <w:t>要求</w:t>
            </w:r>
            <w:r>
              <w:rPr>
                <w:rFonts w:hint="eastAsia" w:ascii="仿宋_GB2312" w:eastAsia="仿宋_GB2312"/>
                <w:bCs/>
                <w:color w:val="000000"/>
                <w:kern w:val="0"/>
                <w:sz w:val="24"/>
                <w:szCs w:val="24"/>
              </w:rPr>
              <w:t>。</w:t>
            </w:r>
          </w:p>
          <w:p>
            <w:pPr>
              <w:widowControl/>
              <w:spacing w:line="480" w:lineRule="auto"/>
              <w:rPr>
                <w:rFonts w:ascii="仿宋_GB2312" w:eastAsia="仿宋_GB2312"/>
                <w:b/>
                <w:color w:val="000000"/>
                <w:kern w:val="0"/>
                <w:sz w:val="24"/>
                <w:szCs w:val="24"/>
              </w:rPr>
            </w:pPr>
            <w:r>
              <w:rPr>
                <w:rFonts w:hint="eastAsia" w:ascii="仿宋_GB2312" w:eastAsia="仿宋_GB2312"/>
                <w:b/>
                <w:color w:val="000000"/>
                <w:kern w:val="0"/>
                <w:sz w:val="24"/>
                <w:szCs w:val="24"/>
              </w:rPr>
              <w:t>建筑节能核查结论：</w:t>
            </w:r>
          </w:p>
          <w:p>
            <w:pPr>
              <w:spacing w:line="480" w:lineRule="auto"/>
              <w:ind w:firstLine="720" w:firstLineChars="300"/>
              <w:rPr>
                <w:rFonts w:ascii="仿宋_GB2312" w:eastAsia="仿宋_GB2312"/>
                <w:bCs/>
                <w:color w:val="000000"/>
                <w:kern w:val="0"/>
                <w:sz w:val="24"/>
                <w:szCs w:val="24"/>
              </w:rPr>
            </w:pPr>
            <w:r>
              <w:rPr>
                <w:rFonts w:hint="eastAsia" w:ascii="仿宋_GB2312" w:eastAsia="仿宋_GB2312"/>
                <w:bCs/>
                <w:color w:val="000000"/>
                <w:kern w:val="0"/>
                <w:sz w:val="24"/>
                <w:szCs w:val="24"/>
              </w:rPr>
              <w:t>经对项目竣工验收资料复核建筑节能相关内容，本项目按照</w:t>
            </w:r>
          </w:p>
          <w:p>
            <w:pPr>
              <w:spacing w:line="480" w:lineRule="auto"/>
              <w:ind w:firstLine="720" w:firstLineChars="300"/>
              <w:rPr>
                <w:rFonts w:ascii="仿宋_GB2312" w:hAnsi="宋体" w:eastAsia="仿宋_GB2312" w:cs="宋体"/>
                <w:color w:val="000000"/>
                <w:kern w:val="0"/>
                <w:sz w:val="22"/>
              </w:rPr>
            </w:pPr>
            <w:r>
              <w:rPr>
                <w:rFonts w:ascii="仿宋_GB2312" w:eastAsia="仿宋_GB2312"/>
                <w:bCs/>
                <w:color w:val="000000"/>
                <w:kern w:val="0"/>
                <w:sz w:val="24"/>
                <w:szCs w:val="24"/>
              </w:rPr>
              <w:t>□</w:t>
            </w:r>
            <w:r>
              <w:rPr>
                <w:rFonts w:hint="eastAsia" w:ascii="仿宋_GB2312" w:eastAsia="仿宋_GB2312"/>
                <w:bCs/>
                <w:color w:val="000000"/>
                <w:kern w:val="0"/>
                <w:sz w:val="24"/>
                <w:szCs w:val="24"/>
              </w:rPr>
              <w:t>规定性指标 □权衡判断，满足</w:t>
            </w:r>
            <w:r>
              <w:rPr>
                <w:rFonts w:hint="eastAsia" w:ascii="仿宋_GB2312" w:eastAsia="仿宋_GB2312"/>
                <w:bCs/>
                <w:color w:val="A5A5A5"/>
                <w:kern w:val="0"/>
                <w:sz w:val="22"/>
                <w:u w:val="single"/>
              </w:rPr>
              <w:t>（项目所采用节能标准）</w:t>
            </w:r>
            <w:r>
              <w:rPr>
                <w:rFonts w:hint="eastAsia" w:ascii="仿宋_GB2312" w:eastAsia="仿宋_GB2312"/>
                <w:bCs/>
                <w:color w:val="000000"/>
                <w:kern w:val="0"/>
                <w:sz w:val="24"/>
                <w:szCs w:val="24"/>
              </w:rPr>
              <w:t xml:space="preserve">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34" w:type="dxa"/>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装配式评分项</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标准化</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设计</w:t>
            </w:r>
          </w:p>
        </w:tc>
        <w:tc>
          <w:tcPr>
            <w:tcW w:w="1276" w:type="dxa"/>
            <w:gridSpan w:val="2"/>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主体结构</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工程</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围护墙和</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内隔墙</w:t>
            </w:r>
          </w:p>
        </w:tc>
        <w:tc>
          <w:tcPr>
            <w:tcW w:w="1276" w:type="dxa"/>
            <w:gridSpan w:val="2"/>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装修和</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机电</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信息化</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应用</w:t>
            </w:r>
          </w:p>
        </w:tc>
        <w:tc>
          <w:tcPr>
            <w:tcW w:w="1275" w:type="dxa"/>
            <w:gridSpan w:val="2"/>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4" w:type="dxa"/>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设计阶段评分</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2"/>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2"/>
            <w:shd w:val="clear" w:color="auto" w:fill="FFFFFF"/>
            <w:noWrap/>
            <w:vAlign w:val="center"/>
          </w:tcPr>
          <w:p>
            <w:pPr>
              <w:widowControl/>
              <w:spacing w:line="480" w:lineRule="auto"/>
              <w:jc w:val="right"/>
              <w:rPr>
                <w:rFonts w:ascii="仿宋_GB2312" w:eastAsia="仿宋_GB2312"/>
                <w:bCs/>
                <w:color w:val="000000"/>
                <w:kern w:val="0"/>
                <w:sz w:val="24"/>
                <w:szCs w:val="24"/>
              </w:rPr>
            </w:pPr>
          </w:p>
        </w:tc>
        <w:tc>
          <w:tcPr>
            <w:tcW w:w="1276" w:type="dxa"/>
            <w:gridSpan w:val="3"/>
            <w:shd w:val="clear" w:color="auto" w:fill="FFFFFF"/>
            <w:noWrap/>
            <w:vAlign w:val="center"/>
          </w:tcPr>
          <w:p>
            <w:pPr>
              <w:widowControl/>
              <w:spacing w:line="480" w:lineRule="auto"/>
              <w:jc w:val="right"/>
              <w:rPr>
                <w:rFonts w:ascii="仿宋_GB2312" w:eastAsia="仿宋_GB2312"/>
                <w:bCs/>
                <w:color w:val="000000"/>
                <w:kern w:val="0"/>
                <w:sz w:val="24"/>
                <w:szCs w:val="24"/>
              </w:rPr>
            </w:pPr>
          </w:p>
        </w:tc>
        <w:tc>
          <w:tcPr>
            <w:tcW w:w="1275" w:type="dxa"/>
            <w:gridSpan w:val="2"/>
            <w:shd w:val="clear" w:color="auto" w:fill="FFFFFF"/>
            <w:noWrap/>
            <w:vAlign w:val="center"/>
          </w:tcPr>
          <w:p>
            <w:pPr>
              <w:widowControl/>
              <w:spacing w:line="480" w:lineRule="auto"/>
              <w:jc w:val="right"/>
              <w:rPr>
                <w:rFonts w:ascii="仿宋_GB2312" w:eastAsia="仿宋_GB2312"/>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4" w:type="dxa"/>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复核</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得分</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2"/>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2"/>
            <w:shd w:val="clear" w:color="auto" w:fill="FFFFFF"/>
            <w:noWrap/>
            <w:vAlign w:val="center"/>
          </w:tcPr>
          <w:p>
            <w:pPr>
              <w:widowControl/>
              <w:spacing w:line="480" w:lineRule="auto"/>
              <w:jc w:val="right"/>
              <w:rPr>
                <w:rFonts w:ascii="仿宋_GB2312" w:eastAsia="仿宋_GB2312"/>
                <w:bCs/>
                <w:color w:val="000000"/>
                <w:kern w:val="0"/>
                <w:sz w:val="24"/>
                <w:szCs w:val="24"/>
              </w:rPr>
            </w:pPr>
          </w:p>
        </w:tc>
        <w:tc>
          <w:tcPr>
            <w:tcW w:w="1276" w:type="dxa"/>
            <w:gridSpan w:val="3"/>
            <w:shd w:val="clear" w:color="auto" w:fill="FFFFFF"/>
            <w:noWrap/>
            <w:vAlign w:val="center"/>
          </w:tcPr>
          <w:p>
            <w:pPr>
              <w:widowControl/>
              <w:spacing w:line="480" w:lineRule="auto"/>
              <w:jc w:val="right"/>
              <w:rPr>
                <w:rFonts w:ascii="仿宋_GB2312" w:eastAsia="仿宋_GB2312"/>
                <w:bCs/>
                <w:color w:val="000000"/>
                <w:kern w:val="0"/>
                <w:sz w:val="24"/>
                <w:szCs w:val="24"/>
              </w:rPr>
            </w:pPr>
          </w:p>
        </w:tc>
        <w:tc>
          <w:tcPr>
            <w:tcW w:w="1275" w:type="dxa"/>
            <w:gridSpan w:val="2"/>
            <w:shd w:val="clear" w:color="auto" w:fill="FFFFFF"/>
            <w:noWrap/>
            <w:vAlign w:val="center"/>
          </w:tcPr>
          <w:p>
            <w:pPr>
              <w:widowControl/>
              <w:spacing w:line="480" w:lineRule="auto"/>
              <w:jc w:val="right"/>
              <w:rPr>
                <w:rFonts w:ascii="仿宋_GB2312" w:eastAsia="仿宋_GB2312"/>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8789" w:type="dxa"/>
            <w:gridSpan w:val="16"/>
            <w:shd w:val="clear" w:color="auto" w:fill="FFFFFF"/>
            <w:noWrap/>
            <w:vAlign w:val="center"/>
          </w:tcPr>
          <w:p>
            <w:pPr>
              <w:widowControl/>
              <w:spacing w:line="480" w:lineRule="auto"/>
              <w:rPr>
                <w:rFonts w:ascii="仿宋_GB2312" w:eastAsia="仿宋_GB2312"/>
                <w:b/>
                <w:color w:val="000000"/>
                <w:kern w:val="0"/>
                <w:sz w:val="24"/>
                <w:szCs w:val="24"/>
              </w:rPr>
            </w:pPr>
            <w:r>
              <w:rPr>
                <w:rFonts w:hint="eastAsia" w:ascii="仿宋_GB2312" w:eastAsia="仿宋_GB2312"/>
                <w:b/>
                <w:color w:val="000000"/>
                <w:kern w:val="0"/>
                <w:sz w:val="24"/>
                <w:szCs w:val="24"/>
              </w:rPr>
              <w:t>装配式建筑核查结论：</w:t>
            </w:r>
          </w:p>
          <w:p>
            <w:pPr>
              <w:spacing w:line="480" w:lineRule="auto"/>
              <w:ind w:firstLine="720" w:firstLineChars="300"/>
              <w:rPr>
                <w:rFonts w:ascii="仿宋_GB2312" w:eastAsia="仿宋_GB2312"/>
                <w:bCs/>
                <w:color w:val="000000"/>
                <w:kern w:val="0"/>
                <w:sz w:val="24"/>
                <w:szCs w:val="24"/>
              </w:rPr>
            </w:pPr>
            <w:r>
              <w:rPr>
                <w:rFonts w:hint="eastAsia" w:ascii="仿宋_GB2312" w:eastAsia="仿宋_GB2312"/>
                <w:bCs/>
                <w:color w:val="000000"/>
                <w:kern w:val="0"/>
                <w:sz w:val="24"/>
                <w:szCs w:val="24"/>
              </w:rPr>
              <w:t>经对项目竣工验收资料复核装配式建筑相关内容，本项目</w:t>
            </w:r>
          </w:p>
          <w:p>
            <w:pPr>
              <w:spacing w:line="480" w:lineRule="auto"/>
              <w:ind w:firstLine="720" w:firstLineChars="300"/>
              <w:rPr>
                <w:rFonts w:ascii="仿宋_GB2312" w:eastAsia="仿宋_GB2312"/>
                <w:bCs/>
                <w:color w:val="000000"/>
                <w:kern w:val="0"/>
                <w:sz w:val="24"/>
                <w:szCs w:val="24"/>
              </w:rPr>
            </w:pPr>
            <w:r>
              <w:rPr>
                <w:rFonts w:hint="eastAsia" w:ascii="仿宋_GB2312" w:eastAsia="仿宋_GB2312"/>
                <w:bCs/>
                <w:color w:val="000000"/>
                <w:kern w:val="0"/>
                <w:sz w:val="24"/>
                <w:szCs w:val="24"/>
              </w:rPr>
              <w:t>□满足  □不满足《深圳市装配式建筑评分规则》要求。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2196" w:type="dxa"/>
            <w:gridSpan w:val="3"/>
            <w:shd w:val="clear" w:color="auto" w:fill="FFFFFF"/>
            <w:noWrap/>
            <w:vAlign w:val="center"/>
          </w:tcPr>
          <w:p>
            <w:pPr>
              <w:spacing w:line="360" w:lineRule="auto"/>
              <w:jc w:val="left"/>
              <w:rPr>
                <w:rFonts w:ascii="仿宋_GB2312" w:eastAsia="仿宋_GB2312"/>
                <w:sz w:val="24"/>
                <w:szCs w:val="24"/>
              </w:rPr>
            </w:pPr>
            <w:r>
              <w:rPr>
                <w:rFonts w:hint="eastAsia" w:ascii="仿宋_GB2312" w:eastAsia="仿宋_GB2312"/>
                <w:sz w:val="24"/>
                <w:szCs w:val="24"/>
              </w:rPr>
              <w:t>建设单位</w:t>
            </w:r>
            <w:r>
              <w:rPr>
                <w:rFonts w:hint="eastAsia" w:ascii="仿宋_GB2312" w:eastAsia="仿宋_GB2312"/>
                <w:color w:val="A5A5A5"/>
                <w:sz w:val="24"/>
                <w:szCs w:val="24"/>
              </w:rPr>
              <w:t>（盖章）</w:t>
            </w:r>
          </w:p>
          <w:p>
            <w:pPr>
              <w:spacing w:line="360" w:lineRule="auto"/>
              <w:jc w:val="left"/>
              <w:rPr>
                <w:rFonts w:ascii="仿宋_GB2312" w:eastAsia="仿宋_GB2312"/>
                <w:sz w:val="24"/>
                <w:szCs w:val="24"/>
              </w:rPr>
            </w:pPr>
          </w:p>
          <w:p>
            <w:pPr>
              <w:spacing w:line="360" w:lineRule="auto"/>
              <w:jc w:val="left"/>
              <w:rPr>
                <w:rFonts w:ascii="仿宋_GB2312" w:eastAsia="仿宋_GB2312"/>
                <w:sz w:val="24"/>
                <w:szCs w:val="24"/>
              </w:rPr>
            </w:pPr>
            <w:r>
              <w:rPr>
                <w:rFonts w:hint="eastAsia" w:ascii="仿宋_GB2312" w:eastAsia="仿宋_GB2312"/>
                <w:sz w:val="24"/>
                <w:szCs w:val="24"/>
              </w:rPr>
              <w:t>项目负责:</w:t>
            </w:r>
          </w:p>
          <w:p>
            <w:pPr>
              <w:widowControl/>
              <w:spacing w:line="360" w:lineRule="auto"/>
              <w:jc w:val="right"/>
              <w:rPr>
                <w:rFonts w:ascii="仿宋_GB2312" w:hAnsi="宋体" w:eastAsia="仿宋_GB2312" w:cs="宋体"/>
                <w:color w:val="000000"/>
                <w:kern w:val="0"/>
                <w:sz w:val="22"/>
              </w:rPr>
            </w:pPr>
            <w:r>
              <w:rPr>
                <w:rFonts w:hint="eastAsia" w:ascii="仿宋_GB2312" w:eastAsia="仿宋_GB2312"/>
                <w:sz w:val="24"/>
                <w:szCs w:val="24"/>
              </w:rPr>
              <w:t xml:space="preserve">    年</w:t>
            </w:r>
            <w:r>
              <w:rPr>
                <w:rFonts w:ascii="仿宋_GB2312" w:eastAsia="仿宋_GB2312"/>
                <w:sz w:val="24"/>
                <w:szCs w:val="24"/>
              </w:rPr>
              <w:t xml:space="preserve">  </w:t>
            </w:r>
            <w:r>
              <w:rPr>
                <w:rFonts w:hint="eastAsia" w:ascii="仿宋_GB2312" w:eastAsia="仿宋_GB2312"/>
                <w:sz w:val="24"/>
                <w:szCs w:val="24"/>
              </w:rPr>
              <w:t>月  日</w:t>
            </w:r>
          </w:p>
        </w:tc>
        <w:tc>
          <w:tcPr>
            <w:tcW w:w="2197" w:type="dxa"/>
            <w:gridSpan w:val="5"/>
            <w:shd w:val="clear" w:color="auto" w:fill="FFFFFF"/>
            <w:noWrap w:val="0"/>
            <w:vAlign w:val="center"/>
          </w:tcPr>
          <w:p>
            <w:pPr>
              <w:spacing w:line="360" w:lineRule="auto"/>
              <w:jc w:val="left"/>
              <w:rPr>
                <w:rFonts w:ascii="仿宋_GB2312" w:eastAsia="仿宋_GB2312"/>
                <w:sz w:val="24"/>
                <w:szCs w:val="24"/>
              </w:rPr>
            </w:pPr>
            <w:r>
              <w:rPr>
                <w:rFonts w:hint="eastAsia" w:ascii="仿宋_GB2312" w:eastAsia="仿宋_GB2312"/>
                <w:sz w:val="24"/>
                <w:szCs w:val="24"/>
              </w:rPr>
              <w:t>监理单位</w:t>
            </w:r>
            <w:r>
              <w:rPr>
                <w:rFonts w:hint="eastAsia" w:ascii="仿宋_GB2312" w:eastAsia="仿宋_GB2312"/>
                <w:color w:val="A5A5A5"/>
                <w:sz w:val="24"/>
                <w:szCs w:val="24"/>
              </w:rPr>
              <w:t>（盖章）</w:t>
            </w:r>
          </w:p>
          <w:p>
            <w:pPr>
              <w:spacing w:line="360" w:lineRule="auto"/>
              <w:jc w:val="left"/>
              <w:rPr>
                <w:rFonts w:ascii="仿宋_GB2312" w:eastAsia="仿宋_GB2312"/>
                <w:sz w:val="24"/>
                <w:szCs w:val="24"/>
              </w:rPr>
            </w:pPr>
          </w:p>
          <w:p>
            <w:pPr>
              <w:spacing w:line="360" w:lineRule="auto"/>
              <w:jc w:val="left"/>
              <w:rPr>
                <w:rFonts w:ascii="仿宋_GB2312" w:eastAsia="仿宋_GB2312"/>
                <w:sz w:val="24"/>
                <w:szCs w:val="24"/>
              </w:rPr>
            </w:pPr>
            <w:r>
              <w:rPr>
                <w:rFonts w:hint="eastAsia" w:ascii="仿宋_GB2312" w:eastAsia="仿宋_GB2312"/>
                <w:sz w:val="24"/>
                <w:szCs w:val="24"/>
              </w:rPr>
              <w:t>项目负责:</w:t>
            </w:r>
          </w:p>
          <w:p>
            <w:pPr>
              <w:widowControl/>
              <w:spacing w:line="360" w:lineRule="auto"/>
              <w:jc w:val="right"/>
              <w:rPr>
                <w:rFonts w:ascii="仿宋_GB2312" w:hAnsi="宋体" w:eastAsia="仿宋_GB2312" w:cs="宋体"/>
                <w:color w:val="000000"/>
                <w:kern w:val="0"/>
                <w:sz w:val="22"/>
              </w:rPr>
            </w:pPr>
            <w:r>
              <w:rPr>
                <w:rFonts w:hint="eastAsia" w:ascii="仿宋_GB2312" w:eastAsia="仿宋_GB2312"/>
                <w:sz w:val="24"/>
                <w:szCs w:val="24"/>
              </w:rPr>
              <w:t xml:space="preserve">    年</w:t>
            </w:r>
            <w:r>
              <w:rPr>
                <w:rFonts w:ascii="仿宋_GB2312" w:eastAsia="仿宋_GB2312"/>
                <w:sz w:val="24"/>
                <w:szCs w:val="24"/>
              </w:rPr>
              <w:t xml:space="preserve">  </w:t>
            </w:r>
            <w:r>
              <w:rPr>
                <w:rFonts w:hint="eastAsia" w:ascii="仿宋_GB2312" w:eastAsia="仿宋_GB2312"/>
                <w:sz w:val="24"/>
                <w:szCs w:val="24"/>
              </w:rPr>
              <w:t>月  日</w:t>
            </w:r>
          </w:p>
        </w:tc>
        <w:tc>
          <w:tcPr>
            <w:tcW w:w="2197" w:type="dxa"/>
            <w:gridSpan w:val="5"/>
            <w:shd w:val="clear" w:color="auto" w:fill="FFFFFF"/>
            <w:noWrap w:val="0"/>
            <w:vAlign w:val="center"/>
          </w:tcPr>
          <w:p>
            <w:pPr>
              <w:spacing w:line="360" w:lineRule="auto"/>
              <w:jc w:val="left"/>
              <w:rPr>
                <w:rFonts w:ascii="仿宋_GB2312" w:eastAsia="仿宋_GB2312"/>
                <w:sz w:val="24"/>
                <w:szCs w:val="24"/>
              </w:rPr>
            </w:pPr>
            <w:r>
              <w:rPr>
                <w:rFonts w:hint="eastAsia" w:ascii="仿宋_GB2312" w:eastAsia="仿宋_GB2312"/>
                <w:sz w:val="24"/>
                <w:szCs w:val="24"/>
              </w:rPr>
              <w:t>施工单位</w:t>
            </w:r>
            <w:r>
              <w:rPr>
                <w:rFonts w:hint="eastAsia" w:ascii="仿宋_GB2312" w:eastAsia="仿宋_GB2312"/>
                <w:color w:val="A5A5A5"/>
                <w:sz w:val="24"/>
                <w:szCs w:val="24"/>
              </w:rPr>
              <w:t>（盖章）</w:t>
            </w:r>
          </w:p>
          <w:p>
            <w:pPr>
              <w:spacing w:line="360" w:lineRule="auto"/>
              <w:jc w:val="left"/>
              <w:rPr>
                <w:rFonts w:ascii="仿宋_GB2312" w:eastAsia="仿宋_GB2312"/>
                <w:sz w:val="24"/>
                <w:szCs w:val="24"/>
              </w:rPr>
            </w:pPr>
          </w:p>
          <w:p>
            <w:pPr>
              <w:spacing w:line="360" w:lineRule="auto"/>
              <w:jc w:val="left"/>
              <w:rPr>
                <w:rFonts w:ascii="仿宋_GB2312" w:eastAsia="仿宋_GB2312"/>
                <w:sz w:val="24"/>
                <w:szCs w:val="24"/>
              </w:rPr>
            </w:pPr>
            <w:r>
              <w:rPr>
                <w:rFonts w:hint="eastAsia" w:ascii="仿宋_GB2312" w:eastAsia="仿宋_GB2312"/>
                <w:sz w:val="24"/>
                <w:szCs w:val="24"/>
              </w:rPr>
              <w:t>项目负责:</w:t>
            </w:r>
          </w:p>
          <w:p>
            <w:pPr>
              <w:widowControl/>
              <w:spacing w:line="360" w:lineRule="auto"/>
              <w:jc w:val="right"/>
              <w:rPr>
                <w:rFonts w:ascii="仿宋_GB2312" w:hAnsi="宋体" w:eastAsia="仿宋_GB2312" w:cs="宋体"/>
                <w:color w:val="000000"/>
                <w:kern w:val="0"/>
                <w:sz w:val="22"/>
              </w:rPr>
            </w:pPr>
            <w:r>
              <w:rPr>
                <w:rFonts w:hint="eastAsia" w:ascii="仿宋_GB2312" w:eastAsia="仿宋_GB2312"/>
                <w:sz w:val="24"/>
                <w:szCs w:val="24"/>
              </w:rPr>
              <w:t xml:space="preserve">    年</w:t>
            </w:r>
            <w:r>
              <w:rPr>
                <w:rFonts w:ascii="仿宋_GB2312" w:eastAsia="仿宋_GB2312"/>
                <w:sz w:val="24"/>
                <w:szCs w:val="24"/>
              </w:rPr>
              <w:t xml:space="preserve">  </w:t>
            </w:r>
            <w:r>
              <w:rPr>
                <w:rFonts w:hint="eastAsia" w:ascii="仿宋_GB2312" w:eastAsia="仿宋_GB2312"/>
                <w:sz w:val="24"/>
                <w:szCs w:val="24"/>
              </w:rPr>
              <w:t>月  日</w:t>
            </w:r>
          </w:p>
        </w:tc>
        <w:tc>
          <w:tcPr>
            <w:tcW w:w="2199" w:type="dxa"/>
            <w:gridSpan w:val="3"/>
            <w:shd w:val="clear" w:color="auto" w:fill="FFFFFF"/>
            <w:noWrap w:val="0"/>
            <w:vAlign w:val="center"/>
          </w:tcPr>
          <w:p>
            <w:pPr>
              <w:spacing w:line="360" w:lineRule="auto"/>
              <w:jc w:val="left"/>
              <w:rPr>
                <w:rFonts w:ascii="仿宋_GB2312" w:eastAsia="仿宋_GB2312"/>
                <w:sz w:val="24"/>
                <w:szCs w:val="24"/>
              </w:rPr>
            </w:pPr>
            <w:r>
              <w:rPr>
                <w:rFonts w:hint="eastAsia" w:ascii="仿宋_GB2312" w:eastAsia="仿宋_GB2312"/>
                <w:sz w:val="24"/>
                <w:szCs w:val="24"/>
              </w:rPr>
              <w:t>设计单位</w:t>
            </w:r>
            <w:r>
              <w:rPr>
                <w:rFonts w:hint="eastAsia" w:ascii="仿宋_GB2312" w:eastAsia="仿宋_GB2312"/>
                <w:color w:val="A5A5A5"/>
                <w:sz w:val="24"/>
                <w:szCs w:val="24"/>
              </w:rPr>
              <w:t>（盖章）</w:t>
            </w:r>
          </w:p>
          <w:p>
            <w:pPr>
              <w:spacing w:line="360" w:lineRule="auto"/>
              <w:jc w:val="left"/>
              <w:rPr>
                <w:rFonts w:ascii="仿宋_GB2312" w:eastAsia="仿宋_GB2312"/>
                <w:sz w:val="24"/>
                <w:szCs w:val="24"/>
              </w:rPr>
            </w:pPr>
          </w:p>
          <w:p>
            <w:pPr>
              <w:spacing w:line="360" w:lineRule="auto"/>
              <w:jc w:val="left"/>
              <w:rPr>
                <w:rFonts w:ascii="仿宋_GB2312" w:eastAsia="仿宋_GB2312"/>
                <w:sz w:val="24"/>
                <w:szCs w:val="24"/>
              </w:rPr>
            </w:pPr>
            <w:r>
              <w:rPr>
                <w:rFonts w:hint="eastAsia" w:ascii="仿宋_GB2312" w:eastAsia="仿宋_GB2312"/>
                <w:sz w:val="24"/>
                <w:szCs w:val="24"/>
              </w:rPr>
              <w:t>项目负责:</w:t>
            </w:r>
          </w:p>
          <w:p>
            <w:pPr>
              <w:widowControl/>
              <w:spacing w:line="360" w:lineRule="auto"/>
              <w:jc w:val="right"/>
              <w:rPr>
                <w:rFonts w:ascii="仿宋_GB2312" w:hAnsi="宋体" w:eastAsia="仿宋_GB2312" w:cs="宋体"/>
                <w:color w:val="000000"/>
                <w:kern w:val="0"/>
                <w:sz w:val="22"/>
              </w:rPr>
            </w:pPr>
            <w:r>
              <w:rPr>
                <w:rFonts w:hint="eastAsia" w:ascii="仿宋_GB2312" w:eastAsia="仿宋_GB2312"/>
                <w:sz w:val="24"/>
                <w:szCs w:val="24"/>
              </w:rPr>
              <w:t xml:space="preserve">    年</w:t>
            </w:r>
            <w:r>
              <w:rPr>
                <w:rFonts w:ascii="仿宋_GB2312" w:eastAsia="仿宋_GB2312"/>
                <w:sz w:val="24"/>
                <w:szCs w:val="24"/>
              </w:rPr>
              <w:t xml:space="preserve">  </w:t>
            </w:r>
            <w:r>
              <w:rPr>
                <w:rFonts w:hint="eastAsia" w:ascii="仿宋_GB2312" w:eastAsia="仿宋_GB2312"/>
                <w:sz w:val="24"/>
                <w:szCs w:val="24"/>
              </w:rPr>
              <w:t>月</w:t>
            </w:r>
            <w:r>
              <w:rPr>
                <w:rFonts w:ascii="仿宋_GB2312" w:eastAsia="仿宋_GB2312"/>
                <w:sz w:val="24"/>
                <w:szCs w:val="24"/>
              </w:rPr>
              <w:t xml:space="preserve">  </w:t>
            </w:r>
            <w:r>
              <w:rPr>
                <w:rFonts w:hint="eastAsia" w:ascii="仿宋_GB2312" w:eastAsia="仿宋_GB2312"/>
                <w:sz w:val="24"/>
                <w:szCs w:val="24"/>
              </w:rPr>
              <w:t>日</w:t>
            </w:r>
          </w:p>
        </w:tc>
      </w:tr>
    </w:tbl>
    <w:p>
      <w:pPr>
        <w:widowControl/>
        <w:jc w:val="left"/>
        <w:rPr>
          <w:sz w:val="18"/>
          <w:szCs w:val="20"/>
        </w:rPr>
        <w:sectPr>
          <w:pgSz w:w="11906" w:h="16838"/>
          <w:pgMar w:top="1440" w:right="1800" w:bottom="1440" w:left="1800" w:header="851" w:footer="992" w:gutter="0"/>
          <w:cols w:space="720" w:num="1"/>
          <w:docGrid w:type="lines" w:linePitch="312" w:charSpace="0"/>
        </w:sectPr>
      </w:pPr>
    </w:p>
    <w:p>
      <w:pPr>
        <w:adjustRightInd w:val="0"/>
        <w:snapToGrid w:val="0"/>
        <w:jc w:val="center"/>
        <w:rPr>
          <w:rFonts w:eastAsia="黑体"/>
          <w:b/>
          <w:color w:val="000000"/>
          <w:sz w:val="40"/>
          <w:szCs w:val="40"/>
        </w:rPr>
      </w:pPr>
      <w:r>
        <w:rPr>
          <w:rFonts w:hint="eastAsia" w:eastAsia="黑体"/>
          <w:b/>
          <w:color w:val="000000"/>
          <w:sz w:val="40"/>
          <w:szCs w:val="40"/>
        </w:rPr>
        <w:t>绿色建筑核查表</w:t>
      </w:r>
    </w:p>
    <w:tbl>
      <w:tblPr>
        <w:tblStyle w:val="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29"/>
        <w:gridCol w:w="4593"/>
        <w:gridCol w:w="4394"/>
        <w:gridCol w:w="683"/>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shd w:val="clear" w:color="auto" w:fill="D8D8D8"/>
            <w:noWrap w:val="0"/>
            <w:vAlign w:val="top"/>
          </w:tcPr>
          <w:p>
            <w:pPr>
              <w:jc w:val="center"/>
              <w:rPr>
                <w:b/>
                <w:bCs/>
                <w:sz w:val="22"/>
                <w:szCs w:val="24"/>
              </w:rPr>
            </w:pPr>
            <w:r>
              <w:rPr>
                <w:rFonts w:hint="eastAsia"/>
                <w:b/>
                <w:bCs/>
                <w:sz w:val="22"/>
                <w:szCs w:val="24"/>
              </w:rPr>
              <w:t>条文类型</w:t>
            </w:r>
          </w:p>
        </w:tc>
        <w:tc>
          <w:tcPr>
            <w:tcW w:w="1429" w:type="dxa"/>
            <w:shd w:val="clear" w:color="auto" w:fill="D8D8D8"/>
            <w:noWrap w:val="0"/>
            <w:vAlign w:val="center"/>
          </w:tcPr>
          <w:p>
            <w:pPr>
              <w:jc w:val="center"/>
              <w:rPr>
                <w:b/>
                <w:bCs/>
                <w:sz w:val="22"/>
                <w:szCs w:val="24"/>
              </w:rPr>
            </w:pPr>
            <w:r>
              <w:rPr>
                <w:rFonts w:hint="eastAsia"/>
                <w:b/>
                <w:bCs/>
                <w:sz w:val="22"/>
                <w:szCs w:val="24"/>
              </w:rPr>
              <w:t>条文编号</w:t>
            </w:r>
          </w:p>
        </w:tc>
        <w:tc>
          <w:tcPr>
            <w:tcW w:w="4593" w:type="dxa"/>
            <w:shd w:val="clear" w:color="auto" w:fill="D8D8D8"/>
            <w:noWrap w:val="0"/>
            <w:vAlign w:val="center"/>
          </w:tcPr>
          <w:p>
            <w:pPr>
              <w:jc w:val="center"/>
              <w:rPr>
                <w:b/>
                <w:bCs/>
                <w:sz w:val="22"/>
                <w:szCs w:val="24"/>
              </w:rPr>
            </w:pPr>
            <w:r>
              <w:rPr>
                <w:rFonts w:hint="eastAsia"/>
                <w:b/>
                <w:bCs/>
                <w:sz w:val="22"/>
                <w:szCs w:val="24"/>
              </w:rPr>
              <w:t>条文内容</w:t>
            </w:r>
          </w:p>
        </w:tc>
        <w:tc>
          <w:tcPr>
            <w:tcW w:w="4394" w:type="dxa"/>
            <w:shd w:val="clear" w:color="auto" w:fill="D8D8D8"/>
            <w:noWrap w:val="0"/>
            <w:vAlign w:val="center"/>
          </w:tcPr>
          <w:p>
            <w:pPr>
              <w:jc w:val="center"/>
              <w:rPr>
                <w:b/>
                <w:bCs/>
                <w:sz w:val="22"/>
                <w:szCs w:val="24"/>
              </w:rPr>
            </w:pPr>
            <w:r>
              <w:rPr>
                <w:rFonts w:hint="eastAsia"/>
                <w:b/>
                <w:bCs/>
                <w:sz w:val="22"/>
                <w:szCs w:val="24"/>
              </w:rPr>
              <w:t>项目实施内容</w:t>
            </w:r>
          </w:p>
        </w:tc>
        <w:tc>
          <w:tcPr>
            <w:tcW w:w="683" w:type="dxa"/>
            <w:shd w:val="clear" w:color="auto" w:fill="D8D8D8"/>
            <w:noWrap w:val="0"/>
            <w:vAlign w:val="center"/>
          </w:tcPr>
          <w:p>
            <w:pPr>
              <w:jc w:val="center"/>
              <w:rPr>
                <w:b/>
                <w:bCs/>
                <w:sz w:val="22"/>
                <w:szCs w:val="24"/>
              </w:rPr>
            </w:pPr>
            <w:r>
              <w:rPr>
                <w:rFonts w:hint="eastAsia"/>
                <w:b/>
                <w:bCs/>
                <w:sz w:val="22"/>
                <w:szCs w:val="24"/>
              </w:rPr>
              <w:t>核查结论</w:t>
            </w:r>
          </w:p>
        </w:tc>
        <w:tc>
          <w:tcPr>
            <w:tcW w:w="2145" w:type="dxa"/>
            <w:shd w:val="clear" w:color="auto" w:fill="D8D8D8"/>
            <w:noWrap w:val="0"/>
            <w:vAlign w:val="center"/>
          </w:tcPr>
          <w:p>
            <w:pPr>
              <w:jc w:val="center"/>
              <w:rPr>
                <w:b/>
                <w:bCs/>
                <w:sz w:val="22"/>
                <w:szCs w:val="24"/>
              </w:rPr>
            </w:pPr>
            <w:r>
              <w:rPr>
                <w:rFonts w:hint="eastAsia"/>
                <w:b/>
                <w:bCs/>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pPr>
              <w:jc w:val="center"/>
            </w:pPr>
            <w:r>
              <w:rPr>
                <w:rFonts w:hint="eastAsia"/>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kern w:val="0"/>
                <w:szCs w:val="21"/>
              </w:rPr>
            </w:pPr>
            <w:r>
              <w:rPr>
                <w:rFonts w:hint="eastAsia"/>
                <w:color w:val="000000"/>
                <w:kern w:val="0"/>
                <w:szCs w:val="21"/>
              </w:rPr>
              <w:t>控制项</w:t>
            </w:r>
          </w:p>
        </w:tc>
        <w:tc>
          <w:tcPr>
            <w:tcW w:w="1429" w:type="dxa"/>
            <w:noWrap w:val="0"/>
            <w:vAlign w:val="center"/>
          </w:tcPr>
          <w:p>
            <w:r>
              <w:rPr>
                <w:color w:val="000000"/>
                <w:kern w:val="0"/>
                <w:szCs w:val="21"/>
              </w:rPr>
              <w:t>4.1.1</w:t>
            </w:r>
          </w:p>
        </w:tc>
        <w:tc>
          <w:tcPr>
            <w:tcW w:w="4593" w:type="dxa"/>
            <w:noWrap w:val="0"/>
            <w:vAlign w:val="center"/>
          </w:tcPr>
          <w:p>
            <w:r>
              <w:rPr>
                <w:rFonts w:hint="eastAsia" w:ascii="宋体" w:hAnsi="宋体" w:cs="宋体"/>
                <w:color w:val="000000"/>
                <w:kern w:val="0"/>
                <w:szCs w:val="21"/>
              </w:rPr>
              <w:t>场地应避开滑坡、泥石流等地质危险地段，易发生洪涝地区应有可靠的防洪涝基础设施；场地应无危险化学品、易燃易爆危险源的威胁，应无电磁辐射、含氡土壤的危害。</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4.1.2</w:t>
            </w:r>
          </w:p>
        </w:tc>
        <w:tc>
          <w:tcPr>
            <w:tcW w:w="4593" w:type="dxa"/>
            <w:noWrap w:val="0"/>
            <w:vAlign w:val="center"/>
          </w:tcPr>
          <w:p>
            <w:r>
              <w:rPr>
                <w:rFonts w:hint="eastAsia" w:ascii="宋体" w:hAnsi="宋体" w:cs="宋体"/>
                <w:color w:val="000000"/>
                <w:kern w:val="0"/>
                <w:szCs w:val="21"/>
              </w:rPr>
              <w:t>建筑结构应满足承载力和建筑使用功能要求。建筑外墙、屋面、门窗、幕墙及外保温等围护结构应满足安全、耐久和防护的要求。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4.1.3</w:t>
            </w:r>
          </w:p>
        </w:tc>
        <w:tc>
          <w:tcPr>
            <w:tcW w:w="4593" w:type="dxa"/>
            <w:noWrap w:val="0"/>
            <w:vAlign w:val="center"/>
          </w:tcPr>
          <w:p>
            <w:r>
              <w:rPr>
                <w:rFonts w:hint="eastAsia" w:ascii="宋体" w:hAnsi="宋体" w:cs="宋体"/>
                <w:color w:val="000000"/>
                <w:kern w:val="0"/>
                <w:szCs w:val="21"/>
              </w:rPr>
              <w:t>外遮阳、太阳能设施、空调室外机位、外墙花池等外部设施应与建筑主体结构统一设计、施工，并应具备安装、检修与维护条件。</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4.1.4</w:t>
            </w:r>
          </w:p>
        </w:tc>
        <w:tc>
          <w:tcPr>
            <w:tcW w:w="4593" w:type="dxa"/>
            <w:noWrap w:val="0"/>
            <w:vAlign w:val="center"/>
          </w:tcPr>
          <w:p>
            <w:r>
              <w:rPr>
                <w:rFonts w:hint="eastAsia" w:ascii="宋体" w:hAnsi="宋体" w:cs="宋体"/>
                <w:color w:val="000000"/>
                <w:kern w:val="0"/>
                <w:szCs w:val="21"/>
              </w:rPr>
              <w:t>建筑内部的非结构件、设备及附属设施等应连接牢固并能适应主体结构变形。</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4.1.5</w:t>
            </w:r>
          </w:p>
        </w:tc>
        <w:tc>
          <w:tcPr>
            <w:tcW w:w="4593" w:type="dxa"/>
            <w:noWrap w:val="0"/>
            <w:vAlign w:val="center"/>
          </w:tcPr>
          <w:p>
            <w:r>
              <w:rPr>
                <w:rFonts w:hint="eastAsia" w:ascii="宋体" w:hAnsi="宋体" w:cs="宋体"/>
                <w:color w:val="000000"/>
                <w:kern w:val="0"/>
                <w:szCs w:val="21"/>
              </w:rPr>
              <w:t>建筑外门窗必须安装牢固，其抗风压性能和水密性能应符合国家现行有关标准的规定。</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4.1.6</w:t>
            </w:r>
          </w:p>
        </w:tc>
        <w:tc>
          <w:tcPr>
            <w:tcW w:w="4593" w:type="dxa"/>
            <w:noWrap w:val="0"/>
            <w:vAlign w:val="center"/>
          </w:tcPr>
          <w:p>
            <w:r>
              <w:rPr>
                <w:rFonts w:hint="eastAsia" w:ascii="宋体" w:hAnsi="宋体" w:cs="宋体"/>
                <w:color w:val="000000"/>
                <w:kern w:val="0"/>
                <w:szCs w:val="21"/>
              </w:rPr>
              <w:t>卫生间、浴室的地面应设置防水层，墙面、顶棚应设置防潮层。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4.1.7</w:t>
            </w:r>
          </w:p>
        </w:tc>
        <w:tc>
          <w:tcPr>
            <w:tcW w:w="4593" w:type="dxa"/>
            <w:noWrap w:val="0"/>
            <w:vAlign w:val="center"/>
          </w:tcPr>
          <w:p>
            <w:r>
              <w:rPr>
                <w:rFonts w:hint="eastAsia" w:ascii="宋体" w:hAnsi="宋体" w:cs="宋体"/>
                <w:color w:val="000000"/>
                <w:kern w:val="0"/>
                <w:szCs w:val="21"/>
              </w:rPr>
              <w:t>走廊、疏散通道等通行空间应满足紧急疏散、应急救护等要求，且应保持畅通。</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4.1.8</w:t>
            </w:r>
          </w:p>
        </w:tc>
        <w:tc>
          <w:tcPr>
            <w:tcW w:w="4593" w:type="dxa"/>
            <w:noWrap w:val="0"/>
            <w:vAlign w:val="center"/>
          </w:tcPr>
          <w:p>
            <w:r>
              <w:rPr>
                <w:rFonts w:hint="eastAsia" w:ascii="宋体" w:hAnsi="宋体" w:cs="宋体"/>
                <w:color w:val="000000"/>
                <w:kern w:val="0"/>
                <w:szCs w:val="21"/>
              </w:rPr>
              <w:t>应具有安全防护的警示和引导标识相统。</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kern w:val="0"/>
                <w:szCs w:val="21"/>
              </w:rPr>
            </w:pPr>
            <w:r>
              <w:rPr>
                <w:rFonts w:hint="eastAsia"/>
                <w:color w:val="000000"/>
                <w:kern w:val="0"/>
                <w:szCs w:val="21"/>
              </w:rPr>
              <w:t>评分项</w:t>
            </w:r>
          </w:p>
        </w:tc>
        <w:tc>
          <w:tcPr>
            <w:tcW w:w="1429" w:type="dxa"/>
            <w:noWrap w:val="0"/>
            <w:vAlign w:val="center"/>
          </w:tcPr>
          <w:p>
            <w:r>
              <w:rPr>
                <w:color w:val="000000"/>
                <w:kern w:val="0"/>
                <w:szCs w:val="21"/>
              </w:rPr>
              <w:t>4.2.1</w:t>
            </w:r>
          </w:p>
        </w:tc>
        <w:tc>
          <w:tcPr>
            <w:tcW w:w="4593" w:type="dxa"/>
            <w:noWrap w:val="0"/>
            <w:vAlign w:val="center"/>
          </w:tcPr>
          <w:p>
            <w:r>
              <w:rPr>
                <w:rFonts w:hint="eastAsia" w:ascii="宋体" w:hAnsi="宋体" w:cs="宋体"/>
                <w:color w:val="000000"/>
                <w:kern w:val="0"/>
                <w:szCs w:val="21"/>
              </w:rPr>
              <w:t>采用基于性能的抗震设计并合理提高建筑的抗震性能。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4.2.2</w:t>
            </w:r>
          </w:p>
        </w:tc>
        <w:tc>
          <w:tcPr>
            <w:tcW w:w="4593" w:type="dxa"/>
            <w:noWrap w:val="0"/>
            <w:vAlign w:val="center"/>
          </w:tcPr>
          <w:p>
            <w:r>
              <w:rPr>
                <w:rFonts w:hint="eastAsia" w:ascii="宋体" w:hAnsi="宋体" w:cs="宋体"/>
                <w:color w:val="000000"/>
                <w:kern w:val="0"/>
                <w:szCs w:val="21"/>
              </w:rPr>
              <w:t>采取保障人员安全的防护措施。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4.2.3</w:t>
            </w:r>
          </w:p>
        </w:tc>
        <w:tc>
          <w:tcPr>
            <w:tcW w:w="4593" w:type="dxa"/>
            <w:noWrap w:val="0"/>
            <w:vAlign w:val="center"/>
          </w:tcPr>
          <w:p>
            <w:r>
              <w:rPr>
                <w:rFonts w:hint="eastAsia" w:ascii="宋体" w:hAnsi="宋体" w:cs="宋体"/>
                <w:color w:val="000000"/>
                <w:kern w:val="0"/>
                <w:szCs w:val="21"/>
              </w:rPr>
              <w:t>采用具有安全防护功能的产品或配件。</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4.2.4</w:t>
            </w:r>
          </w:p>
        </w:tc>
        <w:tc>
          <w:tcPr>
            <w:tcW w:w="4593" w:type="dxa"/>
            <w:noWrap w:val="0"/>
            <w:vAlign w:val="center"/>
          </w:tcPr>
          <w:p>
            <w:r>
              <w:rPr>
                <w:rFonts w:hint="eastAsia" w:ascii="宋体" w:hAnsi="宋体" w:cs="宋体"/>
                <w:color w:val="000000"/>
                <w:kern w:val="0"/>
                <w:szCs w:val="21"/>
              </w:rPr>
              <w:t>室内外地面或路面设置防滑措施。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4.2.5</w:t>
            </w:r>
          </w:p>
        </w:tc>
        <w:tc>
          <w:tcPr>
            <w:tcW w:w="4593" w:type="dxa"/>
            <w:noWrap w:val="0"/>
            <w:vAlign w:val="center"/>
          </w:tcPr>
          <w:p>
            <w:r>
              <w:rPr>
                <w:rFonts w:hint="eastAsia" w:ascii="宋体" w:hAnsi="宋体" w:cs="宋体"/>
                <w:color w:val="000000"/>
                <w:kern w:val="0"/>
                <w:szCs w:val="21"/>
              </w:rPr>
              <w:t>采取人车分流措施，且步行和自行车交通系统有充足照明。</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4.2.6</w:t>
            </w:r>
          </w:p>
        </w:tc>
        <w:tc>
          <w:tcPr>
            <w:tcW w:w="4593" w:type="dxa"/>
            <w:noWrap w:val="0"/>
            <w:vAlign w:val="center"/>
          </w:tcPr>
          <w:p>
            <w:r>
              <w:rPr>
                <w:rFonts w:hint="eastAsia" w:ascii="宋体" w:hAnsi="宋体" w:cs="宋体"/>
                <w:color w:val="000000"/>
                <w:kern w:val="0"/>
                <w:szCs w:val="21"/>
              </w:rPr>
              <w:t>采取提升建筑适变性的措施。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4.2.7</w:t>
            </w:r>
          </w:p>
        </w:tc>
        <w:tc>
          <w:tcPr>
            <w:tcW w:w="4593" w:type="dxa"/>
            <w:noWrap w:val="0"/>
            <w:vAlign w:val="center"/>
          </w:tcPr>
          <w:p>
            <w:r>
              <w:rPr>
                <w:rFonts w:hint="eastAsia" w:ascii="宋体" w:hAnsi="宋体" w:cs="宋体"/>
                <w:color w:val="000000"/>
                <w:kern w:val="0"/>
                <w:szCs w:val="21"/>
              </w:rPr>
              <w:t>采取提升建筑部品部件耐久性的措施。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4.2.8</w:t>
            </w:r>
          </w:p>
        </w:tc>
        <w:tc>
          <w:tcPr>
            <w:tcW w:w="4593" w:type="dxa"/>
            <w:noWrap w:val="0"/>
            <w:vAlign w:val="center"/>
          </w:tcPr>
          <w:p>
            <w:r>
              <w:rPr>
                <w:rFonts w:hint="eastAsia" w:ascii="宋体" w:hAnsi="宋体" w:cs="宋体"/>
                <w:color w:val="000000"/>
                <w:kern w:val="0"/>
                <w:szCs w:val="21"/>
              </w:rPr>
              <w:t>提高建筑结构材料的耐久性。</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4.2.9</w:t>
            </w:r>
          </w:p>
        </w:tc>
        <w:tc>
          <w:tcPr>
            <w:tcW w:w="4593" w:type="dxa"/>
            <w:noWrap w:val="0"/>
            <w:vAlign w:val="center"/>
          </w:tcPr>
          <w:p>
            <w:r>
              <w:rPr>
                <w:rFonts w:hint="eastAsia" w:ascii="宋体" w:hAnsi="宋体" w:cs="宋体"/>
                <w:color w:val="000000"/>
                <w:kern w:val="0"/>
                <w:szCs w:val="21"/>
              </w:rPr>
              <w:t>合理采用耐久性好、易维护的装饰装修建筑材料。</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48" w:type="dxa"/>
            <w:gridSpan w:val="6"/>
            <w:noWrap w:val="0"/>
            <w:vAlign w:val="top"/>
          </w:tcPr>
          <w:p>
            <w:pPr>
              <w:jc w:val="center"/>
            </w:pPr>
            <w:r>
              <w:rPr>
                <w:rFonts w:hint="eastAsia"/>
              </w:rPr>
              <w:t>健康舒适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kern w:val="0"/>
                <w:szCs w:val="21"/>
              </w:rPr>
            </w:pPr>
            <w:r>
              <w:rPr>
                <w:rFonts w:hint="eastAsia"/>
                <w:color w:val="000000"/>
                <w:kern w:val="0"/>
                <w:szCs w:val="21"/>
              </w:rPr>
              <w:t>控制项</w:t>
            </w:r>
          </w:p>
        </w:tc>
        <w:tc>
          <w:tcPr>
            <w:tcW w:w="1429" w:type="dxa"/>
            <w:noWrap w:val="0"/>
            <w:vAlign w:val="center"/>
          </w:tcPr>
          <w:p>
            <w:r>
              <w:rPr>
                <w:color w:val="000000"/>
                <w:kern w:val="0"/>
                <w:szCs w:val="21"/>
              </w:rPr>
              <w:t>5.1.1</w:t>
            </w:r>
          </w:p>
        </w:tc>
        <w:tc>
          <w:tcPr>
            <w:tcW w:w="4593" w:type="dxa"/>
            <w:noWrap w:val="0"/>
            <w:vAlign w:val="center"/>
          </w:tcPr>
          <w:p>
            <w:r>
              <w:rPr>
                <w:rFonts w:hint="eastAsia" w:ascii="宋体" w:hAnsi="宋体" w:cs="宋体"/>
                <w:color w:val="000000"/>
                <w:kern w:val="0"/>
                <w:szCs w:val="21"/>
              </w:rPr>
              <w:t>室内空气中的氨、甲醛、苯、总挥发性有机物、氡等污染物浓度应符合现行国家标准《室内空气质量标准》GB/T</w:t>
            </w:r>
            <w:r>
              <w:rPr>
                <w:rFonts w:ascii="宋体" w:hAnsi="宋体" w:cs="宋体"/>
                <w:color w:val="000000"/>
                <w:kern w:val="0"/>
                <w:szCs w:val="21"/>
              </w:rPr>
              <w:t xml:space="preserve"> </w:t>
            </w:r>
            <w:r>
              <w:rPr>
                <w:rFonts w:hint="eastAsia" w:ascii="宋体" w:hAnsi="宋体" w:cs="宋体"/>
                <w:color w:val="000000"/>
                <w:kern w:val="0"/>
                <w:szCs w:val="21"/>
              </w:rPr>
              <w:t>18883的有关规定。建筑室内和建筑主出入口处应禁止吸烟，并应在醒目位置设置禁烟标志。</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5.1.2</w:t>
            </w:r>
          </w:p>
        </w:tc>
        <w:tc>
          <w:tcPr>
            <w:tcW w:w="4593" w:type="dxa"/>
            <w:noWrap w:val="0"/>
            <w:vAlign w:val="center"/>
          </w:tcPr>
          <w:p>
            <w:r>
              <w:rPr>
                <w:rFonts w:hint="eastAsia" w:ascii="宋体" w:hAnsi="宋体" w:cs="宋体"/>
                <w:color w:val="000000"/>
                <w:kern w:val="0"/>
                <w:szCs w:val="21"/>
              </w:rPr>
              <w:t>应采取措施避免厨房、餐厅、打印复印室、卫生间、地下车库等区域的空气和污染物串通到其他空间；应防止厨房、卫生间的排气倒灌。</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5.1.3</w:t>
            </w:r>
          </w:p>
        </w:tc>
        <w:tc>
          <w:tcPr>
            <w:tcW w:w="4593" w:type="dxa"/>
            <w:noWrap w:val="0"/>
            <w:vAlign w:val="center"/>
          </w:tcPr>
          <w:p>
            <w:r>
              <w:rPr>
                <w:rFonts w:hint="eastAsia" w:ascii="宋体" w:hAnsi="宋体" w:cs="宋体"/>
                <w:color w:val="000000"/>
                <w:kern w:val="0"/>
                <w:szCs w:val="21"/>
              </w:rPr>
              <w:t>给水排水系统的设置应符合下列规定：1 生活饮用水水质应满足现行国家标准《生活饮用水卫生标准》GB</w:t>
            </w:r>
            <w:r>
              <w:rPr>
                <w:rFonts w:ascii="宋体" w:hAnsi="宋体" w:cs="宋体"/>
                <w:color w:val="000000"/>
                <w:kern w:val="0"/>
                <w:szCs w:val="21"/>
              </w:rPr>
              <w:t xml:space="preserve"> </w:t>
            </w:r>
            <w:r>
              <w:rPr>
                <w:rFonts w:hint="eastAsia" w:ascii="宋体" w:hAnsi="宋体" w:cs="宋体"/>
                <w:color w:val="000000"/>
                <w:kern w:val="0"/>
                <w:szCs w:val="21"/>
              </w:rPr>
              <w:t>5749的要求；2 应制定水池、水箱等储水设施定期清洗消毒计划并实施，且生活饮用水储水设施每半年清洗消毒不应少于</w:t>
            </w:r>
            <w:r>
              <w:rPr>
                <w:rFonts w:ascii="宋体" w:hAnsi="宋体" w:cs="宋体"/>
                <w:color w:val="000000"/>
                <w:kern w:val="0"/>
                <w:szCs w:val="21"/>
              </w:rPr>
              <w:t>1</w:t>
            </w:r>
            <w:r>
              <w:rPr>
                <w:rFonts w:hint="eastAsia" w:ascii="宋体" w:hAnsi="宋体" w:cs="宋体"/>
                <w:color w:val="000000"/>
                <w:kern w:val="0"/>
                <w:szCs w:val="21"/>
              </w:rPr>
              <w:t>次；3 应使用构造内自带水封的便器，且其水封深度不应小于50mm;4 非传统水源管道和设备应设置明确、清晰的永久性标识。</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5.1.4</w:t>
            </w:r>
          </w:p>
        </w:tc>
        <w:tc>
          <w:tcPr>
            <w:tcW w:w="4593" w:type="dxa"/>
            <w:noWrap w:val="0"/>
            <w:vAlign w:val="center"/>
          </w:tcPr>
          <w:p>
            <w:r>
              <w:rPr>
                <w:rFonts w:hint="eastAsia" w:ascii="宋体" w:hAnsi="宋体" w:cs="宋体"/>
                <w:color w:val="000000"/>
                <w:kern w:val="0"/>
                <w:szCs w:val="21"/>
              </w:rPr>
              <w:t>主要功能房间的室内噪声级和隔声性能应符合下列规定：1 室内噪声级应满足现行国家标准《民用建筑隔声设计规范》GB 50118中的低限要求；2 外墙、隔墙、楼板和门窗的隔声性能应满足现行国家标准《民用建筑隔声设计规范》GB</w:t>
            </w:r>
            <w:r>
              <w:rPr>
                <w:rFonts w:ascii="宋体" w:hAnsi="宋体" w:cs="宋体"/>
                <w:color w:val="000000"/>
                <w:kern w:val="0"/>
                <w:szCs w:val="21"/>
              </w:rPr>
              <w:t xml:space="preserve"> </w:t>
            </w:r>
            <w:r>
              <w:rPr>
                <w:rFonts w:hint="eastAsia" w:ascii="宋体" w:hAnsi="宋体" w:cs="宋体"/>
                <w:color w:val="000000"/>
                <w:kern w:val="0"/>
                <w:szCs w:val="21"/>
              </w:rPr>
              <w:t xml:space="preserve"> 50118中的低限要求。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5.1.5</w:t>
            </w:r>
          </w:p>
        </w:tc>
        <w:tc>
          <w:tcPr>
            <w:tcW w:w="4593" w:type="dxa"/>
            <w:noWrap w:val="0"/>
            <w:vAlign w:val="center"/>
          </w:tcPr>
          <w:p>
            <w:r>
              <w:rPr>
                <w:rFonts w:hint="eastAsia" w:ascii="宋体" w:hAnsi="宋体" w:cs="宋体"/>
                <w:color w:val="000000"/>
                <w:kern w:val="0"/>
                <w:szCs w:val="21"/>
              </w:rPr>
              <w:t>建筑照明应符合下列规定：1 照明数量和质量应符合现行国家标准《建筑照明设计标准》GB 50034的规定；2 人员长期停留的场所应采用符合现行国家标准《灯和灯系统的光生物安全性》 GB/T 20145规定的无危险类照明产品；3 选用 LED照明产品的光输出波形的波动深度应满足现行国家标准《LED室内照明应用技术要求》GB/T 31831的规定。</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5.1.6</w:t>
            </w:r>
          </w:p>
        </w:tc>
        <w:tc>
          <w:tcPr>
            <w:tcW w:w="4593" w:type="dxa"/>
            <w:noWrap w:val="0"/>
            <w:vAlign w:val="center"/>
          </w:tcPr>
          <w:p>
            <w:r>
              <w:rPr>
                <w:rFonts w:hint="eastAsia" w:ascii="宋体" w:hAnsi="宋体" w:cs="宋体"/>
                <w:color w:val="000000"/>
                <w:kern w:val="0"/>
                <w:szCs w:val="21"/>
              </w:rPr>
              <w:t>应采取措施保障室内热环境。采用集中供暖空调系统的建筑，房间内的温度、湿度、新风量等设计参数应符合现行国家标准《民用建筑供暖通风与空气调节设计规范》GB 50736的有关规定；采用非集中供暖空调系统的建筑，应具有保障室内热环境的措施或预留条件。</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5.1.7</w:t>
            </w:r>
          </w:p>
        </w:tc>
        <w:tc>
          <w:tcPr>
            <w:tcW w:w="4593" w:type="dxa"/>
            <w:noWrap w:val="0"/>
            <w:vAlign w:val="center"/>
          </w:tcPr>
          <w:p>
            <w:r>
              <w:rPr>
                <w:rFonts w:hint="eastAsia" w:ascii="宋体" w:hAnsi="宋体" w:cs="宋体"/>
                <w:color w:val="000000"/>
                <w:kern w:val="0"/>
                <w:szCs w:val="21"/>
              </w:rPr>
              <w:t>围护结构热工性能应符合下列规定：1 在室内设计温度、湿度条件下，建筑非透光围护结构内表面不得结露；2 供暖建筑的屋面、外墙内部不应产生冷凝；3 屋顶和外墙隔热性能应满足现行国家标准《民用建筑热工设计规范》GB</w:t>
            </w:r>
            <w:r>
              <w:rPr>
                <w:rFonts w:ascii="宋体" w:hAnsi="宋体" w:cs="宋体"/>
                <w:color w:val="000000"/>
                <w:kern w:val="0"/>
                <w:szCs w:val="21"/>
              </w:rPr>
              <w:t xml:space="preserve"> </w:t>
            </w:r>
            <w:r>
              <w:rPr>
                <w:rFonts w:hint="eastAsia" w:ascii="宋体" w:hAnsi="宋体" w:cs="宋体"/>
                <w:color w:val="000000"/>
                <w:kern w:val="0"/>
                <w:szCs w:val="21"/>
              </w:rPr>
              <w:t>50176的要求。。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5.1.8</w:t>
            </w:r>
          </w:p>
        </w:tc>
        <w:tc>
          <w:tcPr>
            <w:tcW w:w="4593" w:type="dxa"/>
            <w:noWrap w:val="0"/>
            <w:vAlign w:val="center"/>
          </w:tcPr>
          <w:p>
            <w:r>
              <w:rPr>
                <w:rFonts w:hint="eastAsia" w:ascii="宋体" w:hAnsi="宋体" w:cs="宋体"/>
                <w:color w:val="000000"/>
                <w:kern w:val="0"/>
                <w:szCs w:val="21"/>
              </w:rPr>
              <w:t>主要功能房间应具有现场独立控制的热环境调节装置。</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5.1.9</w:t>
            </w:r>
          </w:p>
        </w:tc>
        <w:tc>
          <w:tcPr>
            <w:tcW w:w="4593" w:type="dxa"/>
            <w:noWrap w:val="0"/>
            <w:vAlign w:val="center"/>
          </w:tcPr>
          <w:p>
            <w:r>
              <w:rPr>
                <w:rFonts w:hint="eastAsia" w:ascii="宋体" w:hAnsi="宋体" w:cs="宋体"/>
                <w:color w:val="000000"/>
                <w:kern w:val="0"/>
                <w:szCs w:val="21"/>
              </w:rPr>
              <w:t>地下车库应设置与排风设备联动的一氧化碳浓度监测装置。</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kern w:val="0"/>
                <w:szCs w:val="21"/>
              </w:rPr>
            </w:pPr>
            <w:r>
              <w:rPr>
                <w:rFonts w:hint="eastAsia"/>
                <w:color w:val="000000"/>
                <w:kern w:val="0"/>
                <w:szCs w:val="21"/>
              </w:rPr>
              <w:t>评分项</w:t>
            </w:r>
          </w:p>
        </w:tc>
        <w:tc>
          <w:tcPr>
            <w:tcW w:w="1429" w:type="dxa"/>
            <w:noWrap w:val="0"/>
            <w:vAlign w:val="center"/>
          </w:tcPr>
          <w:p>
            <w:r>
              <w:rPr>
                <w:color w:val="000000"/>
                <w:kern w:val="0"/>
                <w:szCs w:val="21"/>
              </w:rPr>
              <w:t>5.2.1</w:t>
            </w:r>
          </w:p>
        </w:tc>
        <w:tc>
          <w:tcPr>
            <w:tcW w:w="4593" w:type="dxa"/>
            <w:noWrap w:val="0"/>
            <w:vAlign w:val="center"/>
          </w:tcPr>
          <w:p>
            <w:r>
              <w:rPr>
                <w:rFonts w:hint="eastAsia" w:ascii="宋体" w:hAnsi="宋体" w:cs="宋体"/>
                <w:color w:val="000000"/>
                <w:kern w:val="0"/>
                <w:szCs w:val="21"/>
              </w:rPr>
              <w:t>控制室内主要空气污染物的浓度。</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5.2.2</w:t>
            </w:r>
          </w:p>
        </w:tc>
        <w:tc>
          <w:tcPr>
            <w:tcW w:w="4593" w:type="dxa"/>
            <w:noWrap w:val="0"/>
            <w:vAlign w:val="center"/>
          </w:tcPr>
          <w:p>
            <w:r>
              <w:rPr>
                <w:rFonts w:hint="eastAsia" w:ascii="宋体" w:hAnsi="宋体" w:cs="宋体"/>
                <w:color w:val="000000"/>
                <w:kern w:val="0"/>
                <w:szCs w:val="21"/>
              </w:rPr>
              <w:t>选用的装饰装修材料满足国家现行绿色产品评价标准中对有害物质限量的要求。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5.2.3</w:t>
            </w:r>
          </w:p>
        </w:tc>
        <w:tc>
          <w:tcPr>
            <w:tcW w:w="4593" w:type="dxa"/>
            <w:noWrap w:val="0"/>
            <w:vAlign w:val="center"/>
          </w:tcPr>
          <w:p>
            <w:r>
              <w:rPr>
                <w:rFonts w:hint="eastAsia" w:ascii="宋体" w:hAnsi="宋体" w:cs="宋体"/>
                <w:color w:val="000000"/>
                <w:kern w:val="0"/>
                <w:szCs w:val="21"/>
              </w:rPr>
              <w:t>直饮水、集中生活热水、游泳池水、采暖空调系统用水、景观水体等的水质满足国家现行有关标准的要求。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5.2.4</w:t>
            </w:r>
          </w:p>
        </w:tc>
        <w:tc>
          <w:tcPr>
            <w:tcW w:w="4593" w:type="dxa"/>
            <w:noWrap w:val="0"/>
            <w:vAlign w:val="center"/>
          </w:tcPr>
          <w:p>
            <w:r>
              <w:rPr>
                <w:rFonts w:hint="eastAsia" w:ascii="宋体" w:hAnsi="宋体" w:cs="宋体"/>
                <w:color w:val="000000"/>
                <w:kern w:val="0"/>
                <w:szCs w:val="21"/>
              </w:rPr>
              <w:t>生活饮用水水池、水箱等储水设施采取措施满足卫生要求。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5.2.5</w:t>
            </w:r>
          </w:p>
        </w:tc>
        <w:tc>
          <w:tcPr>
            <w:tcW w:w="4593" w:type="dxa"/>
            <w:noWrap w:val="0"/>
            <w:vAlign w:val="center"/>
          </w:tcPr>
          <w:p>
            <w:r>
              <w:rPr>
                <w:rFonts w:hint="eastAsia" w:ascii="宋体" w:hAnsi="宋体" w:cs="宋体"/>
                <w:color w:val="000000"/>
                <w:kern w:val="0"/>
                <w:szCs w:val="21"/>
              </w:rPr>
              <w:t>所有给水排水管道、设备、设施设置明确、清晰的永久性标识。</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5.2.6</w:t>
            </w:r>
          </w:p>
        </w:tc>
        <w:tc>
          <w:tcPr>
            <w:tcW w:w="4593" w:type="dxa"/>
            <w:noWrap w:val="0"/>
            <w:vAlign w:val="center"/>
          </w:tcPr>
          <w:p>
            <w:r>
              <w:rPr>
                <w:rFonts w:hint="eastAsia" w:ascii="宋体" w:hAnsi="宋体" w:cs="宋体"/>
                <w:color w:val="000000"/>
                <w:kern w:val="0"/>
                <w:szCs w:val="21"/>
              </w:rPr>
              <w:t>采取措施优化主要功能房间的室内声环境。</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5.2.7</w:t>
            </w:r>
          </w:p>
        </w:tc>
        <w:tc>
          <w:tcPr>
            <w:tcW w:w="4593" w:type="dxa"/>
            <w:noWrap w:val="0"/>
            <w:vAlign w:val="center"/>
          </w:tcPr>
          <w:p>
            <w:r>
              <w:rPr>
                <w:rFonts w:hint="eastAsia" w:ascii="宋体" w:hAnsi="宋体" w:cs="宋体"/>
                <w:color w:val="000000"/>
                <w:kern w:val="0"/>
                <w:szCs w:val="21"/>
              </w:rPr>
              <w:t>主要功能房间的隔声性能良好。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5.2.8</w:t>
            </w:r>
          </w:p>
        </w:tc>
        <w:tc>
          <w:tcPr>
            <w:tcW w:w="4593" w:type="dxa"/>
            <w:noWrap w:val="0"/>
            <w:vAlign w:val="center"/>
          </w:tcPr>
          <w:p>
            <w:r>
              <w:rPr>
                <w:rFonts w:hint="eastAsia" w:ascii="宋体" w:hAnsi="宋体" w:cs="宋体"/>
                <w:color w:val="000000"/>
                <w:kern w:val="0"/>
                <w:szCs w:val="21"/>
              </w:rPr>
              <w:t>充分利用天然光。</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5.2.9</w:t>
            </w:r>
          </w:p>
        </w:tc>
        <w:tc>
          <w:tcPr>
            <w:tcW w:w="4593" w:type="dxa"/>
            <w:noWrap w:val="0"/>
            <w:vAlign w:val="center"/>
          </w:tcPr>
          <w:p>
            <w:r>
              <w:rPr>
                <w:rFonts w:hint="eastAsia" w:ascii="宋体" w:hAnsi="宋体" w:cs="宋体"/>
                <w:color w:val="000000"/>
                <w:kern w:val="0"/>
                <w:szCs w:val="21"/>
              </w:rPr>
              <w:t>具有良好的室内热湿环境。</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5.2.10</w:t>
            </w:r>
          </w:p>
        </w:tc>
        <w:tc>
          <w:tcPr>
            <w:tcW w:w="4593" w:type="dxa"/>
            <w:noWrap w:val="0"/>
            <w:vAlign w:val="center"/>
          </w:tcPr>
          <w:p>
            <w:r>
              <w:rPr>
                <w:rFonts w:hint="eastAsia" w:ascii="宋体" w:hAnsi="宋体" w:cs="宋体"/>
                <w:color w:val="000000"/>
                <w:kern w:val="0"/>
                <w:szCs w:val="21"/>
              </w:rPr>
              <w:t>优化建筑空间和平面布局，改善自然通风效果。</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5.2.11</w:t>
            </w:r>
          </w:p>
        </w:tc>
        <w:tc>
          <w:tcPr>
            <w:tcW w:w="4593" w:type="dxa"/>
            <w:noWrap w:val="0"/>
            <w:vAlign w:val="center"/>
          </w:tcPr>
          <w:p>
            <w:r>
              <w:rPr>
                <w:rFonts w:hint="eastAsia" w:ascii="宋体" w:hAnsi="宋体" w:cs="宋体"/>
                <w:color w:val="000000"/>
                <w:kern w:val="0"/>
                <w:szCs w:val="21"/>
              </w:rPr>
              <w:t>设置可调节遮阳设施，改善室内热舒适。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pPr>
              <w:jc w:val="center"/>
            </w:pPr>
            <w:r>
              <w:rPr>
                <w:rFonts w:hint="eastAsia"/>
              </w:rPr>
              <w:t>生活便利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kern w:val="0"/>
                <w:szCs w:val="21"/>
              </w:rPr>
            </w:pPr>
            <w:r>
              <w:rPr>
                <w:rFonts w:hint="eastAsia"/>
                <w:color w:val="000000"/>
                <w:kern w:val="0"/>
                <w:szCs w:val="21"/>
              </w:rPr>
              <w:t>控制项</w:t>
            </w:r>
          </w:p>
        </w:tc>
        <w:tc>
          <w:tcPr>
            <w:tcW w:w="1429" w:type="dxa"/>
            <w:noWrap w:val="0"/>
            <w:vAlign w:val="center"/>
          </w:tcPr>
          <w:p>
            <w:r>
              <w:rPr>
                <w:color w:val="000000"/>
                <w:kern w:val="0"/>
                <w:szCs w:val="21"/>
              </w:rPr>
              <w:t>6.1.1</w:t>
            </w:r>
          </w:p>
        </w:tc>
        <w:tc>
          <w:tcPr>
            <w:tcW w:w="4593" w:type="dxa"/>
            <w:noWrap w:val="0"/>
            <w:vAlign w:val="center"/>
          </w:tcPr>
          <w:p>
            <w:r>
              <w:rPr>
                <w:rFonts w:hint="eastAsia" w:ascii="宋体" w:hAnsi="宋体" w:cs="宋体"/>
                <w:color w:val="000000"/>
                <w:kern w:val="0"/>
                <w:szCs w:val="21"/>
              </w:rPr>
              <w:t>建筑、室外场地、公共绿地、城市道路相互之间应设置连贯的无障碍步行系统。</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6.1.2</w:t>
            </w:r>
          </w:p>
        </w:tc>
        <w:tc>
          <w:tcPr>
            <w:tcW w:w="4593" w:type="dxa"/>
            <w:noWrap w:val="0"/>
            <w:vAlign w:val="center"/>
          </w:tcPr>
          <w:p>
            <w:r>
              <w:rPr>
                <w:rFonts w:hint="eastAsia" w:ascii="宋体" w:hAnsi="宋体" w:cs="宋体"/>
                <w:color w:val="000000"/>
                <w:kern w:val="0"/>
                <w:szCs w:val="21"/>
              </w:rPr>
              <w:t>场地人行出入口500m内应设有公共交通站点或配备联系公共交通站点的专用接驳车。</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6.1.3</w:t>
            </w:r>
          </w:p>
        </w:tc>
        <w:tc>
          <w:tcPr>
            <w:tcW w:w="4593" w:type="dxa"/>
            <w:noWrap w:val="0"/>
            <w:vAlign w:val="center"/>
          </w:tcPr>
          <w:p>
            <w:r>
              <w:rPr>
                <w:rFonts w:hint="eastAsia" w:ascii="宋体" w:hAnsi="宋体" w:cs="宋体"/>
                <w:color w:val="000000"/>
                <w:kern w:val="0"/>
                <w:szCs w:val="21"/>
              </w:rPr>
              <w:t>停车场应具有电动汽车充电设施或具备充电设施的安装条件，并应合理设置电动汽车和无障碍汽车停车位。</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6.1.4</w:t>
            </w:r>
          </w:p>
        </w:tc>
        <w:tc>
          <w:tcPr>
            <w:tcW w:w="4593" w:type="dxa"/>
            <w:noWrap w:val="0"/>
            <w:vAlign w:val="center"/>
          </w:tcPr>
          <w:p>
            <w:r>
              <w:rPr>
                <w:rFonts w:hint="eastAsia" w:ascii="宋体" w:hAnsi="宋体" w:cs="宋体"/>
                <w:color w:val="000000"/>
                <w:kern w:val="0"/>
                <w:szCs w:val="21"/>
              </w:rPr>
              <w:t>自行车停车场所应位置合理、方便出入。</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6.1.5</w:t>
            </w:r>
          </w:p>
        </w:tc>
        <w:tc>
          <w:tcPr>
            <w:tcW w:w="4593" w:type="dxa"/>
            <w:noWrap w:val="0"/>
            <w:vAlign w:val="center"/>
          </w:tcPr>
          <w:p>
            <w:r>
              <w:rPr>
                <w:rFonts w:hint="eastAsia" w:ascii="宋体" w:hAnsi="宋体" w:cs="宋体"/>
                <w:color w:val="000000"/>
                <w:kern w:val="0"/>
                <w:szCs w:val="21"/>
              </w:rPr>
              <w:t>建筑设备管理系统应具有自动监控管理功能。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6.1.6</w:t>
            </w:r>
          </w:p>
        </w:tc>
        <w:tc>
          <w:tcPr>
            <w:tcW w:w="4593" w:type="dxa"/>
            <w:noWrap w:val="0"/>
            <w:vAlign w:val="center"/>
          </w:tcPr>
          <w:p>
            <w:r>
              <w:rPr>
                <w:rFonts w:hint="eastAsia" w:ascii="宋体" w:hAnsi="宋体" w:cs="宋体"/>
                <w:color w:val="000000"/>
                <w:kern w:val="0"/>
                <w:szCs w:val="21"/>
              </w:rPr>
              <w:t>建筑应设置信息网络系统。</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restart"/>
            <w:noWrap w:val="0"/>
            <w:vAlign w:val="center"/>
          </w:tcPr>
          <w:p>
            <w:pPr>
              <w:jc w:val="center"/>
              <w:rPr>
                <w:color w:val="000000"/>
                <w:kern w:val="0"/>
                <w:szCs w:val="21"/>
              </w:rPr>
            </w:pPr>
            <w:r>
              <w:rPr>
                <w:rFonts w:hint="eastAsia"/>
                <w:color w:val="000000"/>
                <w:kern w:val="0"/>
                <w:szCs w:val="21"/>
              </w:rPr>
              <w:t>评分项</w:t>
            </w:r>
          </w:p>
        </w:tc>
        <w:tc>
          <w:tcPr>
            <w:tcW w:w="1429" w:type="dxa"/>
            <w:noWrap w:val="0"/>
            <w:vAlign w:val="center"/>
          </w:tcPr>
          <w:p>
            <w:r>
              <w:rPr>
                <w:color w:val="000000"/>
                <w:kern w:val="0"/>
                <w:szCs w:val="21"/>
              </w:rPr>
              <w:t>6.2.1</w:t>
            </w:r>
          </w:p>
        </w:tc>
        <w:tc>
          <w:tcPr>
            <w:tcW w:w="4593" w:type="dxa"/>
            <w:noWrap w:val="0"/>
            <w:vAlign w:val="center"/>
          </w:tcPr>
          <w:p>
            <w:r>
              <w:rPr>
                <w:rFonts w:hint="eastAsia" w:ascii="宋体" w:hAnsi="宋体" w:cs="宋体"/>
                <w:color w:val="000000"/>
                <w:kern w:val="0"/>
                <w:szCs w:val="21"/>
              </w:rPr>
              <w:t>场地与公共交通站点联系便捷。</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6.2.2</w:t>
            </w:r>
          </w:p>
        </w:tc>
        <w:tc>
          <w:tcPr>
            <w:tcW w:w="4593" w:type="dxa"/>
            <w:noWrap w:val="0"/>
            <w:vAlign w:val="center"/>
          </w:tcPr>
          <w:p>
            <w:r>
              <w:rPr>
                <w:rFonts w:hint="eastAsia" w:ascii="宋体" w:hAnsi="宋体" w:cs="宋体"/>
                <w:color w:val="000000"/>
                <w:kern w:val="0"/>
                <w:szCs w:val="21"/>
              </w:rPr>
              <w:t>建筑室内外公共区域满足全龄化设计要求。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6.2.3</w:t>
            </w:r>
          </w:p>
        </w:tc>
        <w:tc>
          <w:tcPr>
            <w:tcW w:w="4593" w:type="dxa"/>
            <w:noWrap w:val="0"/>
            <w:vAlign w:val="center"/>
          </w:tcPr>
          <w:p>
            <w:r>
              <w:rPr>
                <w:rFonts w:hint="eastAsia" w:ascii="宋体" w:hAnsi="宋体" w:cs="宋体"/>
                <w:color w:val="000000"/>
                <w:kern w:val="0"/>
                <w:szCs w:val="21"/>
              </w:rPr>
              <w:t>提供便利的公共服务。</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6.2.4</w:t>
            </w:r>
          </w:p>
        </w:tc>
        <w:tc>
          <w:tcPr>
            <w:tcW w:w="4593" w:type="dxa"/>
            <w:noWrap w:val="0"/>
            <w:vAlign w:val="center"/>
          </w:tcPr>
          <w:p>
            <w:r>
              <w:rPr>
                <w:rFonts w:hint="eastAsia" w:ascii="宋体" w:hAnsi="宋体" w:cs="宋体"/>
                <w:color w:val="000000"/>
                <w:kern w:val="0"/>
                <w:szCs w:val="21"/>
              </w:rPr>
              <w:t>城市绿地、广场及公共运动场地等开敞空间，步行可达。</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6.2.5</w:t>
            </w:r>
          </w:p>
        </w:tc>
        <w:tc>
          <w:tcPr>
            <w:tcW w:w="4593" w:type="dxa"/>
            <w:noWrap w:val="0"/>
            <w:vAlign w:val="center"/>
          </w:tcPr>
          <w:p>
            <w:r>
              <w:rPr>
                <w:rFonts w:hint="eastAsia" w:ascii="宋体" w:hAnsi="宋体" w:cs="宋体"/>
                <w:color w:val="000000"/>
                <w:kern w:val="0"/>
                <w:szCs w:val="21"/>
              </w:rPr>
              <w:t>合理设置健身场地和空间。</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6.2.6</w:t>
            </w:r>
          </w:p>
        </w:tc>
        <w:tc>
          <w:tcPr>
            <w:tcW w:w="4593" w:type="dxa"/>
            <w:noWrap w:val="0"/>
            <w:vAlign w:val="center"/>
          </w:tcPr>
          <w:p>
            <w:r>
              <w:rPr>
                <w:rFonts w:hint="eastAsia" w:ascii="宋体" w:hAnsi="宋体" w:cs="宋体"/>
                <w:color w:val="000000"/>
                <w:kern w:val="0"/>
                <w:szCs w:val="21"/>
              </w:rPr>
              <w:t>设置分类、分级用能自动远传计量系统，且设置能源管理系统实现对建筑能耗的监测、数据分析和管理。</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6.2.7</w:t>
            </w:r>
          </w:p>
        </w:tc>
        <w:tc>
          <w:tcPr>
            <w:tcW w:w="4593" w:type="dxa"/>
            <w:noWrap w:val="0"/>
            <w:vAlign w:val="center"/>
          </w:tcPr>
          <w:p>
            <w:r>
              <w:rPr>
                <w:rFonts w:hint="eastAsia" w:ascii="宋体" w:hAnsi="宋体" w:cs="宋体"/>
                <w:color w:val="000000"/>
                <w:kern w:val="0"/>
                <w:szCs w:val="21"/>
              </w:rPr>
              <w:t>设置PM</w:t>
            </w:r>
            <w:r>
              <w:rPr>
                <w:rFonts w:hint="eastAsia" w:ascii="宋体" w:hAnsi="宋体" w:cs="宋体"/>
                <w:color w:val="000000"/>
                <w:kern w:val="0"/>
                <w:szCs w:val="21"/>
                <w:vertAlign w:val="subscript"/>
              </w:rPr>
              <w:t>10</w:t>
            </w:r>
            <w:r>
              <w:rPr>
                <w:rFonts w:hint="eastAsia" w:ascii="宋体" w:hAnsi="宋体" w:cs="宋体"/>
                <w:color w:val="000000"/>
                <w:kern w:val="0"/>
                <w:szCs w:val="21"/>
              </w:rPr>
              <w:t>、PM</w:t>
            </w:r>
            <w:r>
              <w:rPr>
                <w:rFonts w:hint="eastAsia" w:ascii="宋体" w:hAnsi="宋体" w:cs="宋体"/>
                <w:color w:val="000000"/>
                <w:kern w:val="0"/>
                <w:szCs w:val="21"/>
                <w:vertAlign w:val="subscript"/>
              </w:rPr>
              <w:t>2.5</w:t>
            </w:r>
            <w:r>
              <w:rPr>
                <w:rFonts w:hint="eastAsia" w:ascii="宋体" w:hAnsi="宋体" w:cs="宋体"/>
                <w:color w:val="000000"/>
                <w:kern w:val="0"/>
                <w:szCs w:val="21"/>
              </w:rPr>
              <w:t>、CO</w:t>
            </w:r>
            <w:r>
              <w:rPr>
                <w:rFonts w:hint="eastAsia" w:ascii="宋体" w:hAnsi="宋体" w:cs="宋体"/>
                <w:color w:val="000000"/>
                <w:kern w:val="0"/>
                <w:szCs w:val="21"/>
                <w:vertAlign w:val="subscript"/>
              </w:rPr>
              <w:t>2</w:t>
            </w:r>
            <w:r>
              <w:rPr>
                <w:rFonts w:hint="eastAsia" w:ascii="宋体" w:hAnsi="宋体" w:cs="宋体"/>
                <w:color w:val="000000"/>
                <w:kern w:val="0"/>
                <w:szCs w:val="21"/>
              </w:rPr>
              <w:t>浓度的空气质量监测系统，且具有存储至少一年的监测数据和实时显示等功能。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6.2.8</w:t>
            </w:r>
          </w:p>
        </w:tc>
        <w:tc>
          <w:tcPr>
            <w:tcW w:w="4593" w:type="dxa"/>
            <w:noWrap w:val="0"/>
            <w:vAlign w:val="center"/>
          </w:tcPr>
          <w:p>
            <w:r>
              <w:rPr>
                <w:rFonts w:hint="eastAsia" w:ascii="宋体" w:hAnsi="宋体" w:cs="宋体"/>
                <w:color w:val="000000"/>
                <w:kern w:val="0"/>
                <w:szCs w:val="21"/>
              </w:rPr>
              <w:t>设置用水远传计量系统、水质在线监测系统。</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6.2.9</w:t>
            </w:r>
          </w:p>
        </w:tc>
        <w:tc>
          <w:tcPr>
            <w:tcW w:w="4593" w:type="dxa"/>
            <w:noWrap w:val="0"/>
            <w:vAlign w:val="center"/>
          </w:tcPr>
          <w:p>
            <w:r>
              <w:rPr>
                <w:rFonts w:hint="eastAsia" w:ascii="宋体" w:hAnsi="宋体" w:cs="宋体"/>
                <w:color w:val="000000"/>
                <w:kern w:val="0"/>
                <w:szCs w:val="21"/>
              </w:rPr>
              <w:t>具有智能化服务系统。</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6.2.10</w:t>
            </w:r>
          </w:p>
        </w:tc>
        <w:tc>
          <w:tcPr>
            <w:tcW w:w="4593" w:type="dxa"/>
            <w:noWrap w:val="0"/>
            <w:vAlign w:val="center"/>
          </w:tcPr>
          <w:p>
            <w:r>
              <w:rPr>
                <w:rFonts w:hint="eastAsia" w:ascii="宋体" w:hAnsi="宋体" w:cs="宋体"/>
                <w:color w:val="000000"/>
                <w:kern w:val="0"/>
                <w:szCs w:val="21"/>
              </w:rPr>
              <w:t>制定完善的节能、节水、节材、绿化的操作规程、应急预案，实施能源资源管理激励机制，且有效实施。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6.2.11</w:t>
            </w:r>
          </w:p>
        </w:tc>
        <w:tc>
          <w:tcPr>
            <w:tcW w:w="4593" w:type="dxa"/>
            <w:noWrap w:val="0"/>
            <w:vAlign w:val="center"/>
          </w:tcPr>
          <w:p>
            <w:r>
              <w:rPr>
                <w:rFonts w:hint="eastAsia" w:ascii="宋体" w:hAnsi="宋体" w:cs="宋体"/>
                <w:color w:val="000000"/>
                <w:kern w:val="0"/>
                <w:szCs w:val="21"/>
              </w:rPr>
              <w:t>建筑平均日用水量满足现行国家标准《民用建筑节水设计标准》GB</w:t>
            </w:r>
            <w:r>
              <w:rPr>
                <w:rFonts w:ascii="宋体" w:hAnsi="宋体" w:cs="宋体"/>
                <w:color w:val="000000"/>
                <w:kern w:val="0"/>
                <w:szCs w:val="21"/>
              </w:rPr>
              <w:t xml:space="preserve"> </w:t>
            </w:r>
            <w:r>
              <w:rPr>
                <w:rFonts w:hint="eastAsia" w:ascii="宋体" w:hAnsi="宋体" w:cs="宋体"/>
                <w:color w:val="000000"/>
                <w:kern w:val="0"/>
                <w:szCs w:val="21"/>
              </w:rPr>
              <w:t>50555中节水用水定额的要求。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6.2.12</w:t>
            </w:r>
          </w:p>
        </w:tc>
        <w:tc>
          <w:tcPr>
            <w:tcW w:w="4593" w:type="dxa"/>
            <w:noWrap w:val="0"/>
            <w:vAlign w:val="center"/>
          </w:tcPr>
          <w:p>
            <w:r>
              <w:rPr>
                <w:rFonts w:hint="eastAsia" w:ascii="宋体" w:hAnsi="宋体" w:cs="宋体"/>
                <w:color w:val="000000"/>
                <w:kern w:val="0"/>
                <w:szCs w:val="21"/>
              </w:rPr>
              <w:t>定期对建筑运营效果进行评估，并根据结果进行运行优化。</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6.2.13</w:t>
            </w:r>
          </w:p>
        </w:tc>
        <w:tc>
          <w:tcPr>
            <w:tcW w:w="4593" w:type="dxa"/>
            <w:noWrap w:val="0"/>
            <w:vAlign w:val="center"/>
          </w:tcPr>
          <w:p>
            <w:r>
              <w:rPr>
                <w:rFonts w:hint="eastAsia" w:ascii="宋体" w:hAnsi="宋体" w:cs="宋体"/>
                <w:color w:val="000000"/>
                <w:kern w:val="0"/>
                <w:szCs w:val="21"/>
              </w:rPr>
              <w:t>建立绿色教育宣传和实践机制，编制绿色设施使用手册，形成良好的绿色氛围，并定期开展使用者满意度调查。</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pPr>
              <w:jc w:val="center"/>
            </w:pPr>
            <w:r>
              <w:rPr>
                <w:rFonts w:hint="eastAsia"/>
              </w:rPr>
              <w:t>资源节约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kern w:val="0"/>
                <w:szCs w:val="21"/>
              </w:rPr>
            </w:pPr>
            <w:r>
              <w:rPr>
                <w:rFonts w:hint="eastAsia"/>
                <w:color w:val="000000"/>
                <w:kern w:val="0"/>
                <w:szCs w:val="21"/>
              </w:rPr>
              <w:t>控制项</w:t>
            </w:r>
          </w:p>
        </w:tc>
        <w:tc>
          <w:tcPr>
            <w:tcW w:w="1429" w:type="dxa"/>
            <w:noWrap w:val="0"/>
            <w:vAlign w:val="center"/>
          </w:tcPr>
          <w:p>
            <w:r>
              <w:rPr>
                <w:color w:val="000000"/>
                <w:kern w:val="0"/>
                <w:szCs w:val="21"/>
              </w:rPr>
              <w:t>7.1.1</w:t>
            </w:r>
          </w:p>
        </w:tc>
        <w:tc>
          <w:tcPr>
            <w:tcW w:w="4593" w:type="dxa"/>
            <w:noWrap w:val="0"/>
            <w:vAlign w:val="center"/>
          </w:tcPr>
          <w:p>
            <w:r>
              <w:rPr>
                <w:rFonts w:hint="eastAsia" w:ascii="宋体" w:hAnsi="宋体" w:cs="宋体"/>
                <w:color w:val="000000"/>
                <w:kern w:val="0"/>
                <w:szCs w:val="21"/>
              </w:rPr>
              <w:t>应结合场地自然条件和建筑功能需求，对建筑的体形、平面布局、空间尺度、围护结构等进行节能设计，且应符合国家有关节能设计的要求。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7.1.2</w:t>
            </w:r>
          </w:p>
        </w:tc>
        <w:tc>
          <w:tcPr>
            <w:tcW w:w="4593" w:type="dxa"/>
            <w:noWrap w:val="0"/>
            <w:vAlign w:val="center"/>
          </w:tcPr>
          <w:p>
            <w:r>
              <w:rPr>
                <w:rFonts w:hint="eastAsia" w:ascii="宋体" w:hAnsi="宋体" w:cs="宋体"/>
                <w:color w:val="000000"/>
                <w:kern w:val="0"/>
                <w:szCs w:val="21"/>
              </w:rPr>
              <w:t>应采取措施降低部分负荷、部分空间使用下的供暖、空调系统能耗，并应符合下列规定：</w:t>
            </w:r>
            <w:r>
              <w:rPr>
                <w:rFonts w:hint="eastAsia" w:ascii="宋体" w:hAnsi="宋体" w:cs="宋体"/>
                <w:color w:val="000000"/>
                <w:kern w:val="0"/>
                <w:szCs w:val="21"/>
              </w:rPr>
              <w:br w:type="textWrapping"/>
            </w:r>
            <w:r>
              <w:rPr>
                <w:rFonts w:hint="eastAsia" w:ascii="宋体" w:hAnsi="宋体" w:cs="宋体"/>
                <w:color w:val="000000"/>
                <w:kern w:val="0"/>
                <w:szCs w:val="21"/>
              </w:rPr>
              <w:t>1 应区分房间的朝向细分供暖、空调区域，并应对系统进行分区控制；2 空调冷源的部分负荷性能系数(IPLV)、电冷源综合制冷性能系数 (SCOP)应符合现行国家标准《公共建筑节能设计标准》GB 50189的规定。</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7.1.3</w:t>
            </w:r>
          </w:p>
        </w:tc>
        <w:tc>
          <w:tcPr>
            <w:tcW w:w="4593" w:type="dxa"/>
            <w:noWrap w:val="0"/>
            <w:vAlign w:val="center"/>
          </w:tcPr>
          <w:p>
            <w:r>
              <w:rPr>
                <w:rFonts w:hint="eastAsia" w:ascii="宋体" w:hAnsi="宋体" w:cs="宋体"/>
                <w:color w:val="000000"/>
                <w:kern w:val="0"/>
                <w:szCs w:val="21"/>
              </w:rPr>
              <w:t>应根据建筑空间功能设置分区温度，合理降低室内过渡区空间的温度设定标准。</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7.1.4</w:t>
            </w:r>
          </w:p>
        </w:tc>
        <w:tc>
          <w:tcPr>
            <w:tcW w:w="4593" w:type="dxa"/>
            <w:noWrap w:val="0"/>
            <w:vAlign w:val="center"/>
          </w:tcPr>
          <w:p>
            <w:r>
              <w:rPr>
                <w:rFonts w:hint="eastAsia" w:ascii="宋体" w:hAnsi="宋体" w:cs="宋体"/>
                <w:color w:val="000000"/>
                <w:kern w:val="0"/>
                <w:szCs w:val="21"/>
              </w:rPr>
              <w:t>主要功能房间的照明功率密度值不应高于现行国家标准《建筑照明设计标准》GB 50034规定的现行值；公共区域的照明系统应采用分区、定时、感应等节能控制；采光区域的照明控制应独立于其他区域的照明控制。</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7.1.5</w:t>
            </w:r>
          </w:p>
        </w:tc>
        <w:tc>
          <w:tcPr>
            <w:tcW w:w="4593" w:type="dxa"/>
            <w:noWrap w:val="0"/>
            <w:vAlign w:val="center"/>
          </w:tcPr>
          <w:p>
            <w:r>
              <w:rPr>
                <w:rFonts w:hint="eastAsia" w:ascii="宋体" w:hAnsi="宋体" w:cs="宋体"/>
                <w:color w:val="000000"/>
                <w:kern w:val="0"/>
                <w:szCs w:val="21"/>
              </w:rPr>
              <w:t>冷热源、输配系统和照明等各部分能耗应进行独立分项计量。</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7.1.6</w:t>
            </w:r>
          </w:p>
        </w:tc>
        <w:tc>
          <w:tcPr>
            <w:tcW w:w="4593" w:type="dxa"/>
            <w:noWrap w:val="0"/>
            <w:vAlign w:val="center"/>
          </w:tcPr>
          <w:p>
            <w:r>
              <w:rPr>
                <w:rFonts w:hint="eastAsia" w:ascii="宋体" w:hAnsi="宋体" w:cs="宋体"/>
                <w:color w:val="000000"/>
                <w:kern w:val="0"/>
                <w:szCs w:val="21"/>
              </w:rPr>
              <w:t>垂直电梯应采取群控、变频调速或能量反馈等节能措施；自动扶梯应采用变频感应启动等节能控制措施。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7.1.7</w:t>
            </w:r>
          </w:p>
        </w:tc>
        <w:tc>
          <w:tcPr>
            <w:tcW w:w="4593" w:type="dxa"/>
            <w:noWrap w:val="0"/>
            <w:vAlign w:val="center"/>
          </w:tcPr>
          <w:p>
            <w:r>
              <w:rPr>
                <w:rFonts w:hint="eastAsia" w:ascii="宋体" w:hAnsi="宋体" w:cs="宋体"/>
                <w:color w:val="000000"/>
                <w:kern w:val="0"/>
                <w:szCs w:val="21"/>
              </w:rPr>
              <w:t>应制定水资源利用方案，统筹利用各种水资源，并应符合下列规定：</w:t>
            </w:r>
            <w:r>
              <w:rPr>
                <w:rFonts w:hint="eastAsia" w:ascii="宋体" w:hAnsi="宋体" w:cs="宋体"/>
                <w:color w:val="000000"/>
                <w:kern w:val="0"/>
                <w:szCs w:val="21"/>
              </w:rPr>
              <w:br w:type="textWrapping"/>
            </w:r>
            <w:r>
              <w:rPr>
                <w:rFonts w:hint="eastAsia" w:ascii="宋体" w:hAnsi="宋体" w:cs="宋体"/>
                <w:color w:val="000000"/>
                <w:kern w:val="0"/>
                <w:szCs w:val="21"/>
              </w:rPr>
              <w:t>1 应按使用用途、付费或管理单元，分别设置用水计量装置；2 用水点处水压大于</w:t>
            </w:r>
            <w:r>
              <w:rPr>
                <w:rFonts w:ascii="宋体" w:hAnsi="宋体" w:cs="宋体"/>
                <w:color w:val="000000"/>
                <w:kern w:val="0"/>
                <w:szCs w:val="21"/>
              </w:rPr>
              <w:t>0.</w:t>
            </w:r>
            <w:r>
              <w:rPr>
                <w:rFonts w:hint="eastAsia" w:ascii="宋体" w:hAnsi="宋体" w:cs="宋体"/>
                <w:color w:val="000000"/>
                <w:kern w:val="0"/>
                <w:szCs w:val="21"/>
              </w:rPr>
              <w:t>2MPa的配水支管应设置减压设施，并应满足给水配件最低工作压力的要求；3 用水器具和设备应满足节水产品的要求。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7.1.8</w:t>
            </w:r>
          </w:p>
        </w:tc>
        <w:tc>
          <w:tcPr>
            <w:tcW w:w="4593" w:type="dxa"/>
            <w:noWrap w:val="0"/>
            <w:vAlign w:val="center"/>
          </w:tcPr>
          <w:p>
            <w:r>
              <w:rPr>
                <w:rFonts w:hint="eastAsia" w:ascii="宋体" w:hAnsi="宋体" w:cs="宋体"/>
                <w:color w:val="000000"/>
                <w:kern w:val="0"/>
                <w:szCs w:val="21"/>
              </w:rPr>
              <w:t>不应采用建筑形体和布置严重不规则的建筑结构。</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7.1.9</w:t>
            </w:r>
          </w:p>
        </w:tc>
        <w:tc>
          <w:tcPr>
            <w:tcW w:w="4593" w:type="dxa"/>
            <w:noWrap w:val="0"/>
            <w:vAlign w:val="center"/>
          </w:tcPr>
          <w:p>
            <w:r>
              <w:rPr>
                <w:rFonts w:hint="eastAsia" w:ascii="宋体" w:hAnsi="宋体" w:cs="宋体"/>
                <w:color w:val="000000"/>
                <w:kern w:val="0"/>
                <w:szCs w:val="21"/>
              </w:rPr>
              <w:t>建筑造型要素应简约，应无大量装饰性构件，并应符合下列规定：</w:t>
            </w:r>
            <w:r>
              <w:rPr>
                <w:rFonts w:hint="eastAsia" w:ascii="宋体" w:hAnsi="宋体" w:cs="宋体"/>
                <w:color w:val="000000"/>
                <w:kern w:val="0"/>
                <w:szCs w:val="21"/>
              </w:rPr>
              <w:br w:type="textWrapping"/>
            </w:r>
            <w:r>
              <w:rPr>
                <w:rFonts w:hint="eastAsia" w:ascii="宋体" w:hAnsi="宋体" w:cs="宋体"/>
                <w:color w:val="000000"/>
                <w:kern w:val="0"/>
                <w:szCs w:val="21"/>
              </w:rPr>
              <w:t>1 住宅建筑的装饰性构件造价占建筑总造价的比例不应大于2%；2 公共建筑的装饰性构件造价占建筑总造价的比例不应大于1%。</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7.1.10</w:t>
            </w:r>
          </w:p>
        </w:tc>
        <w:tc>
          <w:tcPr>
            <w:tcW w:w="4593" w:type="dxa"/>
            <w:noWrap w:val="0"/>
            <w:vAlign w:val="center"/>
          </w:tcPr>
          <w:p>
            <w:r>
              <w:rPr>
                <w:rFonts w:hint="eastAsia" w:ascii="宋体" w:hAnsi="宋体" w:cs="宋体"/>
                <w:color w:val="000000"/>
                <w:kern w:val="0"/>
                <w:szCs w:val="21"/>
              </w:rPr>
              <w:t>选用的建筑材料应符合下列规定：</w:t>
            </w:r>
            <w:r>
              <w:rPr>
                <w:rFonts w:hint="eastAsia" w:ascii="宋体" w:hAnsi="宋体" w:cs="宋体"/>
                <w:color w:val="000000"/>
                <w:kern w:val="0"/>
                <w:szCs w:val="21"/>
              </w:rPr>
              <w:br w:type="textWrapping"/>
            </w:r>
            <w:r>
              <w:rPr>
                <w:rFonts w:hint="eastAsia" w:ascii="宋体" w:hAnsi="宋体" w:cs="宋体"/>
                <w:color w:val="000000"/>
                <w:kern w:val="0"/>
                <w:szCs w:val="21"/>
              </w:rPr>
              <w:t>1 500km以内生产的建筑材料重量占建筑材料总重量的比例应大于60%；2 现浇混凝土应采用预拌混凝土，建筑砂浆应采用预拌砂浆。</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restart"/>
            <w:noWrap w:val="0"/>
            <w:vAlign w:val="center"/>
          </w:tcPr>
          <w:p>
            <w:pPr>
              <w:jc w:val="center"/>
              <w:rPr>
                <w:color w:val="000000"/>
                <w:kern w:val="0"/>
                <w:szCs w:val="21"/>
              </w:rPr>
            </w:pPr>
            <w:r>
              <w:rPr>
                <w:rFonts w:hint="eastAsia"/>
                <w:color w:val="000000"/>
                <w:kern w:val="0"/>
                <w:szCs w:val="21"/>
              </w:rPr>
              <w:t>评分项</w:t>
            </w:r>
          </w:p>
        </w:tc>
        <w:tc>
          <w:tcPr>
            <w:tcW w:w="1429" w:type="dxa"/>
            <w:noWrap w:val="0"/>
            <w:vAlign w:val="center"/>
          </w:tcPr>
          <w:p>
            <w:r>
              <w:rPr>
                <w:color w:val="000000"/>
                <w:kern w:val="0"/>
                <w:szCs w:val="21"/>
              </w:rPr>
              <w:t>7.2.1</w:t>
            </w:r>
          </w:p>
        </w:tc>
        <w:tc>
          <w:tcPr>
            <w:tcW w:w="4593" w:type="dxa"/>
            <w:noWrap w:val="0"/>
            <w:vAlign w:val="center"/>
          </w:tcPr>
          <w:p>
            <w:r>
              <w:rPr>
                <w:rFonts w:hint="eastAsia" w:ascii="宋体" w:hAnsi="宋体" w:cs="宋体"/>
                <w:color w:val="000000"/>
                <w:kern w:val="0"/>
                <w:szCs w:val="21"/>
              </w:rPr>
              <w:t>节约集约利用土地。</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7.2.2</w:t>
            </w:r>
          </w:p>
        </w:tc>
        <w:tc>
          <w:tcPr>
            <w:tcW w:w="4593" w:type="dxa"/>
            <w:noWrap w:val="0"/>
            <w:vAlign w:val="center"/>
          </w:tcPr>
          <w:p>
            <w:r>
              <w:rPr>
                <w:rFonts w:hint="eastAsia" w:ascii="宋体" w:hAnsi="宋体" w:cs="宋体"/>
                <w:color w:val="000000"/>
                <w:kern w:val="0"/>
                <w:szCs w:val="21"/>
              </w:rPr>
              <w:t>合理开发利用地下空间。</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7.2.3</w:t>
            </w:r>
          </w:p>
        </w:tc>
        <w:tc>
          <w:tcPr>
            <w:tcW w:w="4593" w:type="dxa"/>
            <w:noWrap w:val="0"/>
            <w:vAlign w:val="center"/>
          </w:tcPr>
          <w:p>
            <w:r>
              <w:rPr>
                <w:rFonts w:hint="eastAsia" w:ascii="宋体" w:hAnsi="宋体" w:cs="宋体"/>
                <w:color w:val="000000"/>
                <w:kern w:val="0"/>
                <w:szCs w:val="21"/>
              </w:rPr>
              <w:t>采用机械式停车设施、地下停车库或地面停车楼等方式。</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7.2.4</w:t>
            </w:r>
          </w:p>
        </w:tc>
        <w:tc>
          <w:tcPr>
            <w:tcW w:w="4593" w:type="dxa"/>
            <w:noWrap w:val="0"/>
            <w:vAlign w:val="center"/>
          </w:tcPr>
          <w:p>
            <w:r>
              <w:rPr>
                <w:rFonts w:hint="eastAsia" w:ascii="宋体" w:hAnsi="宋体" w:cs="宋体"/>
                <w:color w:val="000000"/>
                <w:kern w:val="0"/>
                <w:szCs w:val="21"/>
              </w:rPr>
              <w:t>优化建筑围护结构的热工性能。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7.2.5</w:t>
            </w:r>
          </w:p>
        </w:tc>
        <w:tc>
          <w:tcPr>
            <w:tcW w:w="4593" w:type="dxa"/>
            <w:noWrap w:val="0"/>
            <w:vAlign w:val="center"/>
          </w:tcPr>
          <w:p>
            <w:r>
              <w:rPr>
                <w:rFonts w:hint="eastAsia" w:ascii="宋体" w:hAnsi="宋体" w:cs="宋体"/>
                <w:color w:val="000000"/>
                <w:kern w:val="0"/>
                <w:szCs w:val="21"/>
              </w:rPr>
              <w:t>供暖空调系统的冷、热源机组能效均优于现行国家标准《公共建筑节能设计标准》GB 50189的规定以及现行有关国家标准能效限定值的要求。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7.2.6</w:t>
            </w:r>
          </w:p>
        </w:tc>
        <w:tc>
          <w:tcPr>
            <w:tcW w:w="4593" w:type="dxa"/>
            <w:noWrap w:val="0"/>
            <w:vAlign w:val="center"/>
          </w:tcPr>
          <w:p>
            <w:r>
              <w:rPr>
                <w:rFonts w:hint="eastAsia" w:ascii="宋体" w:hAnsi="宋体" w:cs="宋体"/>
                <w:color w:val="000000"/>
                <w:kern w:val="0"/>
                <w:szCs w:val="21"/>
              </w:rPr>
              <w:t>采取有效措施降低供暖空调系统的末端系统及输配系统的能耗。</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7.2.7</w:t>
            </w:r>
          </w:p>
        </w:tc>
        <w:tc>
          <w:tcPr>
            <w:tcW w:w="4593" w:type="dxa"/>
            <w:noWrap w:val="0"/>
            <w:vAlign w:val="center"/>
          </w:tcPr>
          <w:p>
            <w:r>
              <w:rPr>
                <w:rFonts w:hint="eastAsia" w:ascii="宋体" w:hAnsi="宋体" w:cs="宋体"/>
                <w:color w:val="000000"/>
                <w:kern w:val="0"/>
                <w:szCs w:val="21"/>
              </w:rPr>
              <w:t>采用节能型电气设备及节能控制措施。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7.2.8</w:t>
            </w:r>
          </w:p>
        </w:tc>
        <w:tc>
          <w:tcPr>
            <w:tcW w:w="4593" w:type="dxa"/>
            <w:noWrap w:val="0"/>
            <w:vAlign w:val="center"/>
          </w:tcPr>
          <w:p>
            <w:r>
              <w:rPr>
                <w:rFonts w:hint="eastAsia" w:ascii="宋体" w:hAnsi="宋体" w:cs="宋体"/>
                <w:color w:val="000000"/>
                <w:kern w:val="0"/>
                <w:szCs w:val="21"/>
              </w:rPr>
              <w:t>采取措施降低建筑能耗。</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7.2.9</w:t>
            </w:r>
          </w:p>
        </w:tc>
        <w:tc>
          <w:tcPr>
            <w:tcW w:w="4593" w:type="dxa"/>
            <w:noWrap w:val="0"/>
            <w:vAlign w:val="center"/>
          </w:tcPr>
          <w:p>
            <w:r>
              <w:rPr>
                <w:rFonts w:hint="eastAsia" w:ascii="宋体" w:hAnsi="宋体" w:cs="宋体"/>
                <w:color w:val="000000"/>
                <w:kern w:val="0"/>
                <w:szCs w:val="21"/>
              </w:rPr>
              <w:t>结合当地气候和自然资源条件合理利用可再生能源。</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7.2.10</w:t>
            </w:r>
          </w:p>
        </w:tc>
        <w:tc>
          <w:tcPr>
            <w:tcW w:w="4593" w:type="dxa"/>
            <w:noWrap w:val="0"/>
            <w:vAlign w:val="center"/>
          </w:tcPr>
          <w:p>
            <w:r>
              <w:rPr>
                <w:rFonts w:hint="eastAsia" w:ascii="宋体" w:hAnsi="宋体" w:cs="宋体"/>
                <w:color w:val="000000"/>
                <w:kern w:val="0"/>
                <w:szCs w:val="21"/>
              </w:rPr>
              <w:t>使用较高用水效率等级的卫生器具。</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tabs>
                <w:tab w:val="left" w:pos="462"/>
              </w:tabs>
              <w:rPr>
                <w:color w:val="000000"/>
                <w:kern w:val="0"/>
                <w:szCs w:val="21"/>
              </w:rPr>
            </w:pPr>
          </w:p>
        </w:tc>
        <w:tc>
          <w:tcPr>
            <w:tcW w:w="1429" w:type="dxa"/>
            <w:noWrap w:val="0"/>
            <w:vAlign w:val="center"/>
          </w:tcPr>
          <w:p>
            <w:pPr>
              <w:tabs>
                <w:tab w:val="left" w:pos="462"/>
              </w:tabs>
            </w:pPr>
            <w:r>
              <w:rPr>
                <w:color w:val="000000"/>
                <w:kern w:val="0"/>
                <w:szCs w:val="21"/>
              </w:rPr>
              <w:t>7.2.11</w:t>
            </w:r>
          </w:p>
        </w:tc>
        <w:tc>
          <w:tcPr>
            <w:tcW w:w="4593" w:type="dxa"/>
            <w:noWrap w:val="0"/>
            <w:vAlign w:val="center"/>
          </w:tcPr>
          <w:p>
            <w:r>
              <w:rPr>
                <w:rFonts w:hint="eastAsia" w:ascii="宋体" w:hAnsi="宋体" w:cs="宋体"/>
                <w:color w:val="000000"/>
                <w:kern w:val="0"/>
                <w:szCs w:val="21"/>
              </w:rPr>
              <w:t>绿化灌溉及空调冷却水系统采用节水设备或技术。</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7.2.12</w:t>
            </w:r>
          </w:p>
        </w:tc>
        <w:tc>
          <w:tcPr>
            <w:tcW w:w="4593" w:type="dxa"/>
            <w:noWrap w:val="0"/>
            <w:vAlign w:val="center"/>
          </w:tcPr>
          <w:p>
            <w:r>
              <w:rPr>
                <w:rFonts w:hint="eastAsia" w:ascii="宋体" w:hAnsi="宋体" w:cs="宋体"/>
                <w:color w:val="000000"/>
                <w:kern w:val="0"/>
                <w:szCs w:val="21"/>
              </w:rPr>
              <w:t>结合雨水综合利用设施营造室外景观水体，室外景观水体利用雨水的补水量大于水体蒸发量的 60%，且采用保障水体水质的生态水处理技术。</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7.2.13</w:t>
            </w:r>
          </w:p>
        </w:tc>
        <w:tc>
          <w:tcPr>
            <w:tcW w:w="4593" w:type="dxa"/>
            <w:noWrap w:val="0"/>
            <w:vAlign w:val="center"/>
          </w:tcPr>
          <w:p>
            <w:r>
              <w:rPr>
                <w:rFonts w:hint="eastAsia" w:ascii="宋体" w:hAnsi="宋体" w:cs="宋体"/>
                <w:color w:val="000000"/>
                <w:kern w:val="0"/>
                <w:szCs w:val="21"/>
              </w:rPr>
              <w:t>使用非传统水源。</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7.2.14</w:t>
            </w:r>
          </w:p>
        </w:tc>
        <w:tc>
          <w:tcPr>
            <w:tcW w:w="4593" w:type="dxa"/>
            <w:noWrap w:val="0"/>
            <w:vAlign w:val="center"/>
          </w:tcPr>
          <w:p>
            <w:r>
              <w:rPr>
                <w:rFonts w:hint="eastAsia" w:ascii="宋体" w:hAnsi="宋体" w:cs="宋体"/>
                <w:color w:val="000000"/>
                <w:kern w:val="0"/>
                <w:szCs w:val="21"/>
              </w:rPr>
              <w:t>建筑所有区域实施土建工程与装修工程一体化设计及施工。</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7.2.15</w:t>
            </w:r>
          </w:p>
        </w:tc>
        <w:tc>
          <w:tcPr>
            <w:tcW w:w="4593" w:type="dxa"/>
            <w:noWrap w:val="0"/>
            <w:vAlign w:val="center"/>
          </w:tcPr>
          <w:p>
            <w:r>
              <w:rPr>
                <w:rFonts w:hint="eastAsia" w:ascii="宋体" w:hAnsi="宋体" w:cs="宋体"/>
                <w:color w:val="000000"/>
                <w:kern w:val="0"/>
                <w:szCs w:val="21"/>
              </w:rPr>
              <w:t>合理选用建筑结构材料与构件。</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7.2.16</w:t>
            </w:r>
          </w:p>
        </w:tc>
        <w:tc>
          <w:tcPr>
            <w:tcW w:w="4593" w:type="dxa"/>
            <w:noWrap w:val="0"/>
            <w:vAlign w:val="center"/>
          </w:tcPr>
          <w:p>
            <w:r>
              <w:rPr>
                <w:rFonts w:hint="eastAsia" w:ascii="宋体" w:hAnsi="宋体" w:cs="宋体"/>
                <w:color w:val="000000"/>
                <w:kern w:val="0"/>
                <w:szCs w:val="21"/>
              </w:rPr>
              <w:t>建筑装修选用工业化内装部品。</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7.2.17</w:t>
            </w:r>
          </w:p>
        </w:tc>
        <w:tc>
          <w:tcPr>
            <w:tcW w:w="4593" w:type="dxa"/>
            <w:noWrap w:val="0"/>
            <w:vAlign w:val="center"/>
          </w:tcPr>
          <w:p>
            <w:r>
              <w:rPr>
                <w:rFonts w:hint="eastAsia" w:ascii="宋体" w:hAnsi="宋体" w:cs="宋体"/>
                <w:color w:val="000000"/>
                <w:kern w:val="0"/>
                <w:szCs w:val="21"/>
              </w:rPr>
              <w:t>选用可再循环材料、可再利用材料及利废建材。</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7.2.18</w:t>
            </w:r>
          </w:p>
        </w:tc>
        <w:tc>
          <w:tcPr>
            <w:tcW w:w="4593" w:type="dxa"/>
            <w:noWrap w:val="0"/>
            <w:vAlign w:val="center"/>
          </w:tcPr>
          <w:p>
            <w:r>
              <w:rPr>
                <w:rFonts w:hint="eastAsia" w:ascii="宋体" w:hAnsi="宋体" w:cs="宋体"/>
                <w:color w:val="000000"/>
                <w:kern w:val="0"/>
                <w:szCs w:val="21"/>
              </w:rPr>
              <w:t>选用绿色建材。</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pPr>
              <w:jc w:val="center"/>
            </w:pPr>
            <w:r>
              <w:rPr>
                <w:rFonts w:hint="eastAsia"/>
              </w:rPr>
              <w:t>环境宜居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kern w:val="0"/>
                <w:szCs w:val="21"/>
              </w:rPr>
            </w:pPr>
            <w:r>
              <w:rPr>
                <w:rFonts w:hint="eastAsia"/>
                <w:kern w:val="0"/>
                <w:szCs w:val="21"/>
              </w:rPr>
              <w:t>控制项</w:t>
            </w:r>
          </w:p>
        </w:tc>
        <w:tc>
          <w:tcPr>
            <w:tcW w:w="1429" w:type="dxa"/>
            <w:noWrap w:val="0"/>
            <w:vAlign w:val="center"/>
          </w:tcPr>
          <w:p>
            <w:r>
              <w:rPr>
                <w:kern w:val="0"/>
                <w:szCs w:val="21"/>
              </w:rPr>
              <w:t>8.1.1</w:t>
            </w:r>
          </w:p>
        </w:tc>
        <w:tc>
          <w:tcPr>
            <w:tcW w:w="4593" w:type="dxa"/>
            <w:noWrap w:val="0"/>
            <w:vAlign w:val="center"/>
          </w:tcPr>
          <w:p>
            <w:r>
              <w:rPr>
                <w:rFonts w:hint="eastAsia" w:ascii="宋体" w:hAnsi="宋体" w:cs="宋体"/>
                <w:kern w:val="0"/>
                <w:szCs w:val="21"/>
              </w:rPr>
              <w:t>建筑规划布局应满足日照标准，且不得降低周边建筑的日照标准。</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8.1.2</w:t>
            </w:r>
          </w:p>
        </w:tc>
        <w:tc>
          <w:tcPr>
            <w:tcW w:w="4593" w:type="dxa"/>
            <w:noWrap w:val="0"/>
            <w:vAlign w:val="center"/>
          </w:tcPr>
          <w:p>
            <w:r>
              <w:rPr>
                <w:rFonts w:hint="eastAsia" w:ascii="宋体" w:hAnsi="宋体" w:cs="宋体"/>
                <w:color w:val="000000"/>
                <w:kern w:val="0"/>
                <w:szCs w:val="21"/>
              </w:rPr>
              <w:t>室外热环境应满足国家现行有关标准的要求。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8.1.3</w:t>
            </w:r>
          </w:p>
        </w:tc>
        <w:tc>
          <w:tcPr>
            <w:tcW w:w="4593" w:type="dxa"/>
            <w:noWrap w:val="0"/>
            <w:vAlign w:val="center"/>
          </w:tcPr>
          <w:p>
            <w:r>
              <w:rPr>
                <w:rFonts w:hint="eastAsia" w:ascii="宋体" w:hAnsi="宋体" w:cs="宋体"/>
                <w:color w:val="000000"/>
                <w:kern w:val="0"/>
                <w:szCs w:val="21"/>
              </w:rPr>
              <w:t>配建的绿地应符合所在地城乡规划的要求，应合理选择绿化方式，植物种植应适应当地气候和土壤，且应无毒、易维护，种植区域覆土深度和排水能力应满足植物生长需求，并应采用复层绿化方式。</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8.1.4</w:t>
            </w:r>
          </w:p>
        </w:tc>
        <w:tc>
          <w:tcPr>
            <w:tcW w:w="4593" w:type="dxa"/>
            <w:noWrap w:val="0"/>
            <w:vAlign w:val="center"/>
          </w:tcPr>
          <w:p>
            <w:pPr>
              <w:rPr>
                <w:rFonts w:ascii="宋体" w:hAnsi="宋体" w:cs="宋体"/>
                <w:color w:val="000000"/>
                <w:kern w:val="0"/>
                <w:szCs w:val="21"/>
              </w:rPr>
            </w:pPr>
            <w:r>
              <w:rPr>
                <w:rFonts w:hint="eastAsia" w:ascii="宋体" w:hAnsi="宋体" w:cs="宋体"/>
                <w:color w:val="000000"/>
                <w:kern w:val="0"/>
                <w:szCs w:val="21"/>
              </w:rPr>
              <w:t>场地的竖向设计应有利于雨水的收集或排放，应有效组织雨水的下渗、滞蓄或再利用；对大于 10hm</w:t>
            </w:r>
            <w:r>
              <w:rPr>
                <w:rFonts w:ascii="宋体" w:hAnsi="宋体" w:cs="宋体"/>
                <w:color w:val="000000"/>
                <w:kern w:val="0"/>
                <w:szCs w:val="21"/>
                <w:vertAlign w:val="superscript"/>
              </w:rPr>
              <w:t>2</w:t>
            </w:r>
            <w:r>
              <w:rPr>
                <w:rFonts w:hint="eastAsia" w:ascii="宋体" w:hAnsi="宋体" w:cs="宋体"/>
                <w:color w:val="000000"/>
                <w:kern w:val="0"/>
                <w:szCs w:val="21"/>
              </w:rPr>
              <w:t>的场地应进行雨水控制利用专项设计。</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8.1.5</w:t>
            </w:r>
          </w:p>
        </w:tc>
        <w:tc>
          <w:tcPr>
            <w:tcW w:w="4593" w:type="dxa"/>
            <w:noWrap w:val="0"/>
            <w:vAlign w:val="center"/>
          </w:tcPr>
          <w:p>
            <w:r>
              <w:rPr>
                <w:rFonts w:hint="eastAsia" w:ascii="宋体" w:hAnsi="宋体" w:cs="宋体"/>
                <w:color w:val="000000"/>
                <w:kern w:val="0"/>
                <w:szCs w:val="21"/>
              </w:rPr>
              <w:t>建筑内外均应设置便于识别和使用的标识系统。</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8.1.6</w:t>
            </w:r>
          </w:p>
        </w:tc>
        <w:tc>
          <w:tcPr>
            <w:tcW w:w="4593" w:type="dxa"/>
            <w:noWrap w:val="0"/>
            <w:vAlign w:val="center"/>
          </w:tcPr>
          <w:p>
            <w:r>
              <w:rPr>
                <w:rFonts w:hint="eastAsia" w:ascii="宋体" w:hAnsi="宋体" w:cs="宋体"/>
                <w:color w:val="000000"/>
                <w:kern w:val="0"/>
                <w:szCs w:val="21"/>
              </w:rPr>
              <w:t>场地内不应有排放超标的污染源。</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8.1.7</w:t>
            </w:r>
          </w:p>
        </w:tc>
        <w:tc>
          <w:tcPr>
            <w:tcW w:w="4593" w:type="dxa"/>
            <w:noWrap w:val="0"/>
            <w:vAlign w:val="center"/>
          </w:tcPr>
          <w:p>
            <w:r>
              <w:rPr>
                <w:rFonts w:hint="eastAsia" w:ascii="宋体" w:hAnsi="宋体" w:cs="宋体"/>
                <w:color w:val="000000"/>
                <w:kern w:val="0"/>
                <w:szCs w:val="21"/>
              </w:rPr>
              <w:t>生活垃圾应分类收集，垃圾容器和收集点的设置应合理并应与周围景观协调。</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kern w:val="0"/>
                <w:szCs w:val="21"/>
              </w:rPr>
            </w:pPr>
            <w:r>
              <w:rPr>
                <w:rFonts w:hint="eastAsia"/>
                <w:color w:val="000000"/>
                <w:kern w:val="0"/>
                <w:szCs w:val="21"/>
              </w:rPr>
              <w:t>评分项</w:t>
            </w:r>
          </w:p>
        </w:tc>
        <w:tc>
          <w:tcPr>
            <w:tcW w:w="1429" w:type="dxa"/>
            <w:noWrap w:val="0"/>
            <w:vAlign w:val="center"/>
          </w:tcPr>
          <w:p>
            <w:r>
              <w:rPr>
                <w:color w:val="000000"/>
                <w:kern w:val="0"/>
                <w:szCs w:val="21"/>
              </w:rPr>
              <w:t>8.2.1</w:t>
            </w:r>
          </w:p>
        </w:tc>
        <w:tc>
          <w:tcPr>
            <w:tcW w:w="4593" w:type="dxa"/>
            <w:noWrap w:val="0"/>
            <w:vAlign w:val="center"/>
          </w:tcPr>
          <w:p>
            <w:r>
              <w:rPr>
                <w:rFonts w:hint="eastAsia" w:ascii="宋体" w:hAnsi="宋体" w:cs="宋体"/>
                <w:color w:val="000000"/>
                <w:kern w:val="0"/>
                <w:szCs w:val="21"/>
              </w:rPr>
              <w:t>充分保护或修复场地生态环境，合理布局建筑及景观。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8.2.2</w:t>
            </w:r>
          </w:p>
        </w:tc>
        <w:tc>
          <w:tcPr>
            <w:tcW w:w="4593" w:type="dxa"/>
            <w:noWrap w:val="0"/>
            <w:vAlign w:val="center"/>
          </w:tcPr>
          <w:p>
            <w:r>
              <w:rPr>
                <w:rFonts w:hint="eastAsia" w:ascii="宋体" w:hAnsi="宋体" w:cs="宋体"/>
                <w:color w:val="000000"/>
                <w:kern w:val="0"/>
                <w:szCs w:val="21"/>
              </w:rPr>
              <w:t>规划场地地表和屋面雨水径流，对场地雨水实施外排总量控制。</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8.2.3</w:t>
            </w:r>
          </w:p>
        </w:tc>
        <w:tc>
          <w:tcPr>
            <w:tcW w:w="4593" w:type="dxa"/>
            <w:noWrap w:val="0"/>
            <w:vAlign w:val="center"/>
          </w:tcPr>
          <w:p>
            <w:r>
              <w:rPr>
                <w:rFonts w:hint="eastAsia" w:ascii="宋体" w:hAnsi="宋体" w:cs="宋体"/>
                <w:color w:val="000000"/>
                <w:kern w:val="0"/>
                <w:szCs w:val="21"/>
              </w:rPr>
              <w:t>充分利用场地空间设置绿化用地。</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8.2.4</w:t>
            </w:r>
          </w:p>
        </w:tc>
        <w:tc>
          <w:tcPr>
            <w:tcW w:w="4593" w:type="dxa"/>
            <w:noWrap w:val="0"/>
            <w:vAlign w:val="center"/>
          </w:tcPr>
          <w:p>
            <w:r>
              <w:rPr>
                <w:rFonts w:hint="eastAsia" w:ascii="宋体" w:hAnsi="宋体" w:cs="宋体"/>
                <w:color w:val="000000"/>
                <w:kern w:val="0"/>
                <w:szCs w:val="21"/>
              </w:rPr>
              <w:t>室外吸烟区位置布局合理。</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8.2.5</w:t>
            </w:r>
          </w:p>
        </w:tc>
        <w:tc>
          <w:tcPr>
            <w:tcW w:w="4593" w:type="dxa"/>
            <w:noWrap w:val="0"/>
            <w:vAlign w:val="center"/>
          </w:tcPr>
          <w:p>
            <w:r>
              <w:rPr>
                <w:rFonts w:hint="eastAsia" w:ascii="宋体" w:hAnsi="宋体" w:cs="宋体"/>
                <w:color w:val="000000"/>
                <w:kern w:val="0"/>
                <w:szCs w:val="21"/>
              </w:rPr>
              <w:t>利用场地空间设置绿色雨水基础设施。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8.2.6</w:t>
            </w:r>
          </w:p>
        </w:tc>
        <w:tc>
          <w:tcPr>
            <w:tcW w:w="4593" w:type="dxa"/>
            <w:noWrap w:val="0"/>
            <w:vAlign w:val="center"/>
          </w:tcPr>
          <w:p>
            <w:r>
              <w:rPr>
                <w:rFonts w:hint="eastAsia" w:ascii="宋体" w:hAnsi="宋体" w:cs="宋体"/>
                <w:color w:val="000000"/>
                <w:kern w:val="0"/>
                <w:szCs w:val="21"/>
              </w:rPr>
              <w:t>场地内的环境噪声优于现行国家标准《声环境质量标准》GB 3096的要求。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8.2.7</w:t>
            </w:r>
          </w:p>
        </w:tc>
        <w:tc>
          <w:tcPr>
            <w:tcW w:w="4593" w:type="dxa"/>
            <w:noWrap w:val="0"/>
            <w:vAlign w:val="center"/>
          </w:tcPr>
          <w:p>
            <w:r>
              <w:rPr>
                <w:rFonts w:hint="eastAsia" w:ascii="宋体" w:hAnsi="宋体" w:cs="宋体"/>
                <w:color w:val="000000"/>
                <w:kern w:val="0"/>
                <w:szCs w:val="21"/>
              </w:rPr>
              <w:t>建筑及照明设计避免产生光污染。</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8.2.8</w:t>
            </w:r>
          </w:p>
        </w:tc>
        <w:tc>
          <w:tcPr>
            <w:tcW w:w="4593" w:type="dxa"/>
            <w:noWrap w:val="0"/>
            <w:vAlign w:val="center"/>
          </w:tcPr>
          <w:p>
            <w:r>
              <w:rPr>
                <w:rFonts w:hint="eastAsia" w:ascii="宋体" w:hAnsi="宋体" w:cs="宋体"/>
                <w:color w:val="000000"/>
                <w:kern w:val="0"/>
                <w:szCs w:val="21"/>
              </w:rPr>
              <w:t>场地内风环境有利于室外行走、活动舒适和建筑的自然通风。</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8.2.9</w:t>
            </w:r>
          </w:p>
        </w:tc>
        <w:tc>
          <w:tcPr>
            <w:tcW w:w="4593" w:type="dxa"/>
            <w:noWrap w:val="0"/>
            <w:vAlign w:val="center"/>
          </w:tcPr>
          <w:p>
            <w:r>
              <w:rPr>
                <w:rFonts w:hint="eastAsia" w:ascii="宋体" w:hAnsi="宋体" w:cs="宋体"/>
                <w:color w:val="000000"/>
                <w:kern w:val="0"/>
                <w:szCs w:val="21"/>
              </w:rPr>
              <w:t>采取措施降低热岛强度。</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pPr>
              <w:jc w:val="center"/>
            </w:pPr>
            <w:r>
              <w:rPr>
                <w:rFonts w:hint="eastAsia"/>
              </w:rPr>
              <w:t>提高与创新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restart"/>
            <w:noWrap w:val="0"/>
            <w:vAlign w:val="center"/>
          </w:tcPr>
          <w:p>
            <w:pPr>
              <w:jc w:val="center"/>
              <w:rPr>
                <w:color w:val="000000"/>
                <w:kern w:val="0"/>
                <w:szCs w:val="21"/>
              </w:rPr>
            </w:pPr>
            <w:r>
              <w:rPr>
                <w:rFonts w:hint="eastAsia"/>
                <w:color w:val="000000"/>
                <w:kern w:val="0"/>
                <w:szCs w:val="21"/>
              </w:rPr>
              <w:t>加分项</w:t>
            </w:r>
          </w:p>
        </w:tc>
        <w:tc>
          <w:tcPr>
            <w:tcW w:w="1429" w:type="dxa"/>
            <w:noWrap w:val="0"/>
            <w:vAlign w:val="center"/>
          </w:tcPr>
          <w:p>
            <w:pPr>
              <w:rPr>
                <w:color w:val="000000"/>
                <w:kern w:val="0"/>
                <w:szCs w:val="21"/>
              </w:rPr>
            </w:pPr>
            <w:r>
              <w:rPr>
                <w:color w:val="000000"/>
                <w:kern w:val="0"/>
                <w:szCs w:val="21"/>
              </w:rPr>
              <w:t>9.1.1</w:t>
            </w:r>
          </w:p>
        </w:tc>
        <w:tc>
          <w:tcPr>
            <w:tcW w:w="4593" w:type="dxa"/>
            <w:noWrap w:val="0"/>
            <w:vAlign w:val="center"/>
          </w:tcPr>
          <w:p>
            <w:pPr>
              <w:rPr>
                <w:color w:val="000000"/>
                <w:kern w:val="0"/>
                <w:szCs w:val="21"/>
              </w:rPr>
            </w:pPr>
            <w:r>
              <w:rPr>
                <w:rFonts w:hint="eastAsia"/>
                <w:color w:val="000000"/>
                <w:kern w:val="0"/>
                <w:szCs w:val="21"/>
              </w:rPr>
              <w:t>绿色建筑评价时，应按本章规定对提高与创新项进行评价。</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9.1.2</w:t>
            </w:r>
          </w:p>
        </w:tc>
        <w:tc>
          <w:tcPr>
            <w:tcW w:w="4593" w:type="dxa"/>
            <w:noWrap w:val="0"/>
            <w:vAlign w:val="center"/>
          </w:tcPr>
          <w:p>
            <w:pPr>
              <w:rPr>
                <w:color w:val="000000"/>
                <w:kern w:val="0"/>
                <w:szCs w:val="21"/>
              </w:rPr>
            </w:pPr>
            <w:r>
              <w:rPr>
                <w:rFonts w:hint="eastAsia"/>
                <w:color w:val="000000"/>
                <w:kern w:val="0"/>
                <w:szCs w:val="21"/>
              </w:rPr>
              <w:t>提高与创新项得分为加分项得分之和，当得分大于100分时，应取为100分。</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9.2.1</w:t>
            </w:r>
          </w:p>
        </w:tc>
        <w:tc>
          <w:tcPr>
            <w:tcW w:w="4593" w:type="dxa"/>
            <w:noWrap w:val="0"/>
            <w:vAlign w:val="center"/>
          </w:tcPr>
          <w:p>
            <w:pPr>
              <w:rPr>
                <w:color w:val="000000"/>
                <w:kern w:val="0"/>
                <w:szCs w:val="21"/>
              </w:rPr>
            </w:pPr>
            <w:r>
              <w:rPr>
                <w:rFonts w:hint="eastAsia"/>
                <w:color w:val="000000"/>
                <w:kern w:val="0"/>
                <w:szCs w:val="21"/>
              </w:rPr>
              <w:t>采取措施进一步降低建筑供暖空调系统的能耗。</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9.2.2</w:t>
            </w:r>
          </w:p>
        </w:tc>
        <w:tc>
          <w:tcPr>
            <w:tcW w:w="4593" w:type="dxa"/>
            <w:noWrap w:val="0"/>
            <w:vAlign w:val="center"/>
          </w:tcPr>
          <w:p>
            <w:pPr>
              <w:rPr>
                <w:color w:val="000000"/>
                <w:kern w:val="0"/>
                <w:szCs w:val="21"/>
              </w:rPr>
            </w:pPr>
            <w:r>
              <w:rPr>
                <w:rFonts w:hint="eastAsia"/>
                <w:color w:val="000000"/>
                <w:kern w:val="0"/>
                <w:szCs w:val="21"/>
              </w:rPr>
              <w:t>采用适宜地区特色的建筑风貌设计，因地制宜传承地域建筑文化。</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9.2.3</w:t>
            </w:r>
          </w:p>
        </w:tc>
        <w:tc>
          <w:tcPr>
            <w:tcW w:w="4593" w:type="dxa"/>
            <w:noWrap w:val="0"/>
            <w:vAlign w:val="center"/>
          </w:tcPr>
          <w:p>
            <w:pPr>
              <w:rPr>
                <w:color w:val="000000"/>
                <w:kern w:val="0"/>
                <w:szCs w:val="21"/>
              </w:rPr>
            </w:pPr>
            <w:r>
              <w:rPr>
                <w:rFonts w:hint="eastAsia"/>
                <w:color w:val="000000"/>
                <w:kern w:val="0"/>
                <w:szCs w:val="21"/>
              </w:rPr>
              <w:t>合理选用废弃场地进行建设，或充分利用尚可使用的旧建筑。</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9.2.4</w:t>
            </w:r>
          </w:p>
        </w:tc>
        <w:tc>
          <w:tcPr>
            <w:tcW w:w="4593" w:type="dxa"/>
            <w:noWrap w:val="0"/>
            <w:vAlign w:val="center"/>
          </w:tcPr>
          <w:p>
            <w:pPr>
              <w:rPr>
                <w:color w:val="000000"/>
                <w:kern w:val="0"/>
                <w:szCs w:val="21"/>
              </w:rPr>
            </w:pPr>
            <w:r>
              <w:rPr>
                <w:rFonts w:hint="eastAsia"/>
                <w:color w:val="000000"/>
                <w:kern w:val="0"/>
                <w:szCs w:val="21"/>
              </w:rPr>
              <w:t>场地绿容率不低于3.0。</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9.2.5</w:t>
            </w:r>
          </w:p>
        </w:tc>
        <w:tc>
          <w:tcPr>
            <w:tcW w:w="4593" w:type="dxa"/>
            <w:noWrap w:val="0"/>
            <w:vAlign w:val="center"/>
          </w:tcPr>
          <w:p>
            <w:pPr>
              <w:rPr>
                <w:color w:val="000000"/>
                <w:kern w:val="0"/>
                <w:szCs w:val="21"/>
              </w:rPr>
            </w:pPr>
            <w:r>
              <w:rPr>
                <w:rFonts w:hint="eastAsia"/>
                <w:color w:val="000000"/>
                <w:kern w:val="0"/>
                <w:szCs w:val="21"/>
              </w:rPr>
              <w:t>采用符合工业化建造要求的结构体系与建筑构件。</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9.2.6</w:t>
            </w:r>
          </w:p>
        </w:tc>
        <w:tc>
          <w:tcPr>
            <w:tcW w:w="4593" w:type="dxa"/>
            <w:noWrap w:val="0"/>
            <w:vAlign w:val="center"/>
          </w:tcPr>
          <w:p>
            <w:pPr>
              <w:rPr>
                <w:color w:val="000000"/>
                <w:kern w:val="0"/>
                <w:szCs w:val="21"/>
              </w:rPr>
            </w:pPr>
            <w:r>
              <w:rPr>
                <w:rFonts w:hint="eastAsia"/>
                <w:color w:val="000000"/>
                <w:kern w:val="0"/>
                <w:szCs w:val="21"/>
              </w:rPr>
              <w:t>应用建筑信息模型（BIM）技术。</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9.2.7</w:t>
            </w:r>
          </w:p>
        </w:tc>
        <w:tc>
          <w:tcPr>
            <w:tcW w:w="4593" w:type="dxa"/>
            <w:noWrap w:val="0"/>
            <w:vAlign w:val="center"/>
          </w:tcPr>
          <w:p>
            <w:pPr>
              <w:rPr>
                <w:color w:val="000000"/>
                <w:kern w:val="0"/>
                <w:szCs w:val="21"/>
              </w:rPr>
            </w:pPr>
            <w:r>
              <w:rPr>
                <w:rFonts w:hint="eastAsia"/>
                <w:color w:val="000000"/>
                <w:kern w:val="0"/>
                <w:szCs w:val="21"/>
              </w:rPr>
              <w:t>进行建筑碳排放计算分析，采取措施降低单位建筑面积碳排放强度。</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9.2.8</w:t>
            </w:r>
          </w:p>
        </w:tc>
        <w:tc>
          <w:tcPr>
            <w:tcW w:w="4593" w:type="dxa"/>
            <w:noWrap w:val="0"/>
            <w:vAlign w:val="center"/>
          </w:tcPr>
          <w:p>
            <w:pPr>
              <w:rPr>
                <w:color w:val="000000"/>
                <w:kern w:val="0"/>
                <w:szCs w:val="21"/>
              </w:rPr>
            </w:pPr>
            <w:r>
              <w:rPr>
                <w:rFonts w:hint="eastAsia"/>
                <w:color w:val="000000"/>
                <w:kern w:val="0"/>
                <w:szCs w:val="21"/>
              </w:rPr>
              <w:t>按照绿色施工的要求进行施工和管理。</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9.2.9</w:t>
            </w:r>
          </w:p>
        </w:tc>
        <w:tc>
          <w:tcPr>
            <w:tcW w:w="4593" w:type="dxa"/>
            <w:noWrap w:val="0"/>
            <w:vAlign w:val="center"/>
          </w:tcPr>
          <w:p>
            <w:pPr>
              <w:rPr>
                <w:color w:val="000000"/>
                <w:kern w:val="0"/>
                <w:szCs w:val="21"/>
              </w:rPr>
            </w:pPr>
            <w:r>
              <w:rPr>
                <w:rFonts w:hint="eastAsia"/>
                <w:color w:val="000000"/>
                <w:kern w:val="0"/>
                <w:szCs w:val="21"/>
              </w:rPr>
              <w:t>采用建设工程质量潜在缺陷保险产品。</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9.2.10</w:t>
            </w:r>
          </w:p>
        </w:tc>
        <w:tc>
          <w:tcPr>
            <w:tcW w:w="4593" w:type="dxa"/>
            <w:noWrap w:val="0"/>
            <w:vAlign w:val="center"/>
          </w:tcPr>
          <w:p>
            <w:pPr>
              <w:rPr>
                <w:color w:val="000000"/>
                <w:kern w:val="0"/>
                <w:szCs w:val="21"/>
              </w:rPr>
            </w:pPr>
            <w:r>
              <w:rPr>
                <w:rFonts w:hint="eastAsia"/>
                <w:color w:val="000000"/>
                <w:kern w:val="0"/>
                <w:szCs w:val="21"/>
              </w:rPr>
              <w:t>采取节约资源、保护生态环境、保障安全健康、智慧友好运行、传承历史文化等其他创新，并有明显效益.</w:t>
            </w:r>
          </w:p>
        </w:tc>
        <w:tc>
          <w:tcPr>
            <w:tcW w:w="4394" w:type="dxa"/>
            <w:noWrap w:val="0"/>
            <w:vAlign w:val="top"/>
          </w:tcPr>
          <w:p/>
        </w:tc>
        <w:tc>
          <w:tcPr>
            <w:tcW w:w="683" w:type="dxa"/>
            <w:noWrap w:val="0"/>
            <w:vAlign w:val="top"/>
          </w:tcPr>
          <w:p/>
        </w:tc>
        <w:tc>
          <w:tcPr>
            <w:tcW w:w="2145" w:type="dxa"/>
            <w:noWrap w:val="0"/>
            <w:vAlign w:val="top"/>
          </w:tcPr>
          <w:p/>
        </w:tc>
      </w:tr>
    </w:tbl>
    <w:p/>
    <w:p>
      <w:pPr>
        <w:widowControl/>
        <w:jc w:val="left"/>
      </w:pPr>
      <w:r>
        <w:br w:type="page"/>
      </w:r>
    </w:p>
    <w:p>
      <w:pPr>
        <w:adjustRightInd w:val="0"/>
        <w:snapToGrid w:val="0"/>
        <w:jc w:val="center"/>
        <w:rPr>
          <w:rFonts w:eastAsia="黑体"/>
          <w:b/>
          <w:color w:val="000000"/>
          <w:sz w:val="40"/>
          <w:szCs w:val="40"/>
        </w:rPr>
      </w:pPr>
      <w:r>
        <w:rPr>
          <w:rFonts w:hint="eastAsia" w:eastAsia="黑体"/>
          <w:b/>
          <w:color w:val="000000"/>
          <w:sz w:val="40"/>
          <w:szCs w:val="40"/>
        </w:rPr>
        <w:t>建筑节能核查表（居住建筑）</w:t>
      </w:r>
    </w:p>
    <w:tbl>
      <w:tblPr>
        <w:tblStyle w:val="3"/>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05"/>
        <w:gridCol w:w="720"/>
        <w:gridCol w:w="11"/>
        <w:gridCol w:w="675"/>
        <w:gridCol w:w="1295"/>
        <w:gridCol w:w="2216"/>
        <w:gridCol w:w="2638"/>
        <w:gridCol w:w="2279"/>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trPr>
        <w:tc>
          <w:tcPr>
            <w:tcW w:w="709" w:type="dxa"/>
            <w:shd w:val="clear" w:color="auto" w:fill="D8D8D8"/>
            <w:noWrap w:val="0"/>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序号</w:t>
            </w:r>
          </w:p>
        </w:tc>
        <w:tc>
          <w:tcPr>
            <w:tcW w:w="4006" w:type="dxa"/>
            <w:gridSpan w:val="5"/>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审查内容</w:t>
            </w:r>
          </w:p>
        </w:tc>
        <w:tc>
          <w:tcPr>
            <w:tcW w:w="2216"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设计指标</w:t>
            </w:r>
          </w:p>
        </w:tc>
        <w:tc>
          <w:tcPr>
            <w:tcW w:w="2638"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节能现场措施说明</w:t>
            </w:r>
          </w:p>
        </w:tc>
        <w:tc>
          <w:tcPr>
            <w:tcW w:w="2279"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核查结论</w:t>
            </w:r>
          </w:p>
        </w:tc>
        <w:tc>
          <w:tcPr>
            <w:tcW w:w="2279"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1</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外墙</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太阳辐射吸收系数ρ</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热惰性指标D</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2</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窗墙面积比</w:t>
            </w:r>
          </w:p>
        </w:tc>
        <w:tc>
          <w:tcPr>
            <w:tcW w:w="720" w:type="dxa"/>
            <w:vMerge w:val="restart"/>
            <w:noWrap w:val="0"/>
            <w:vAlign w:val="top"/>
          </w:tcPr>
          <w:p>
            <w:pPr>
              <w:jc w:val="center"/>
              <w:rPr>
                <w:rFonts w:ascii="宋体" w:hAnsi="宋体"/>
                <w:color w:val="000000"/>
                <w:sz w:val="18"/>
              </w:rPr>
            </w:pPr>
            <w:r>
              <w:rPr>
                <w:rFonts w:hint="eastAsia" w:ascii="宋体" w:hAnsi="宋体"/>
                <w:color w:val="000000"/>
                <w:spacing w:val="8"/>
                <w:sz w:val="18"/>
              </w:rPr>
              <w:t>各朝向窗墙面积比</w:t>
            </w:r>
          </w:p>
        </w:tc>
        <w:tc>
          <w:tcPr>
            <w:tcW w:w="1981" w:type="dxa"/>
            <w:gridSpan w:val="3"/>
            <w:noWrap w:val="0"/>
            <w:vAlign w:val="top"/>
          </w:tcPr>
          <w:p>
            <w:pPr>
              <w:jc w:val="center"/>
              <w:rPr>
                <w:rFonts w:ascii="宋体" w:hAnsi="宋体"/>
                <w:color w:val="000000"/>
                <w:sz w:val="18"/>
              </w:rPr>
            </w:pPr>
            <w:r>
              <w:rPr>
                <w:rFonts w:hint="eastAsia" w:ascii="宋体" w:hAnsi="宋体"/>
                <w:color w:val="000000"/>
                <w:sz w:val="18"/>
              </w:rPr>
              <w:t>北向</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20" w:type="dxa"/>
            <w:vMerge w:val="continue"/>
            <w:noWrap w:val="0"/>
            <w:vAlign w:val="top"/>
          </w:tcPr>
          <w:p>
            <w:pPr>
              <w:jc w:val="center"/>
              <w:rPr>
                <w:rFonts w:ascii="宋体" w:hAnsi="宋体"/>
                <w:color w:val="000000"/>
                <w:sz w:val="18"/>
              </w:rPr>
            </w:pPr>
          </w:p>
        </w:tc>
        <w:tc>
          <w:tcPr>
            <w:tcW w:w="1981" w:type="dxa"/>
            <w:gridSpan w:val="3"/>
            <w:noWrap w:val="0"/>
            <w:vAlign w:val="top"/>
          </w:tcPr>
          <w:p>
            <w:pPr>
              <w:jc w:val="center"/>
              <w:rPr>
                <w:rFonts w:ascii="宋体" w:hAnsi="宋体"/>
                <w:color w:val="000000"/>
                <w:sz w:val="18"/>
              </w:rPr>
            </w:pPr>
            <w:r>
              <w:rPr>
                <w:rFonts w:hint="eastAsia" w:ascii="宋体" w:hAnsi="宋体"/>
                <w:color w:val="000000"/>
                <w:sz w:val="18"/>
              </w:rPr>
              <w:t>东向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20" w:type="dxa"/>
            <w:vMerge w:val="continue"/>
            <w:noWrap w:val="0"/>
            <w:vAlign w:val="top"/>
          </w:tcPr>
          <w:p>
            <w:pPr>
              <w:jc w:val="center"/>
              <w:rPr>
                <w:rFonts w:ascii="宋体" w:hAnsi="宋体"/>
                <w:color w:val="000000"/>
                <w:sz w:val="18"/>
              </w:rPr>
            </w:pPr>
          </w:p>
        </w:tc>
        <w:tc>
          <w:tcPr>
            <w:tcW w:w="1981" w:type="dxa"/>
            <w:gridSpan w:val="3"/>
            <w:noWrap w:val="0"/>
            <w:vAlign w:val="top"/>
          </w:tcPr>
          <w:p>
            <w:pPr>
              <w:jc w:val="center"/>
              <w:rPr>
                <w:rFonts w:ascii="宋体" w:hAnsi="宋体"/>
                <w:color w:val="000000"/>
                <w:sz w:val="18"/>
              </w:rPr>
            </w:pPr>
            <w:r>
              <w:rPr>
                <w:rFonts w:hint="eastAsia" w:ascii="宋体" w:hAnsi="宋体"/>
                <w:color w:val="000000"/>
                <w:sz w:val="18"/>
              </w:rPr>
              <w:t>西向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20" w:type="dxa"/>
            <w:vMerge w:val="continue"/>
            <w:noWrap w:val="0"/>
            <w:vAlign w:val="top"/>
          </w:tcPr>
          <w:p>
            <w:pPr>
              <w:jc w:val="center"/>
              <w:rPr>
                <w:rFonts w:ascii="宋体" w:hAnsi="宋体"/>
                <w:color w:val="000000"/>
                <w:sz w:val="18"/>
              </w:rPr>
            </w:pPr>
          </w:p>
        </w:tc>
        <w:tc>
          <w:tcPr>
            <w:tcW w:w="1981" w:type="dxa"/>
            <w:gridSpan w:val="3"/>
            <w:noWrap w:val="0"/>
            <w:vAlign w:val="top"/>
          </w:tcPr>
          <w:p>
            <w:pPr>
              <w:jc w:val="center"/>
              <w:rPr>
                <w:rFonts w:ascii="宋体" w:hAnsi="宋体"/>
                <w:color w:val="000000"/>
                <w:sz w:val="18"/>
              </w:rPr>
            </w:pPr>
            <w:r>
              <w:rPr>
                <w:rFonts w:hint="eastAsia" w:ascii="宋体" w:hAnsi="宋体"/>
                <w:color w:val="000000"/>
                <w:sz w:val="18"/>
              </w:rPr>
              <w:t>南向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平均窗墙面积比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3</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外窗（含阳台门透明部分）</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ind w:firstLine="360" w:firstLineChars="200"/>
              <w:rPr>
                <w:rFonts w:ascii="宋体" w:hAnsi="宋体"/>
                <w:color w:val="000000"/>
                <w:sz w:val="18"/>
              </w:rPr>
            </w:pPr>
            <w:r>
              <w:rPr>
                <w:rFonts w:hint="eastAsia" w:ascii="宋体" w:hAnsi="宋体"/>
                <w:color w:val="000000"/>
                <w:sz w:val="18"/>
              </w:rPr>
              <w:t>可见光透射比Tv</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restart"/>
            <w:noWrap w:val="0"/>
            <w:vAlign w:val="top"/>
          </w:tcPr>
          <w:p>
            <w:pPr>
              <w:jc w:val="center"/>
              <w:rPr>
                <w:rFonts w:ascii="宋体" w:hAnsi="宋体"/>
                <w:color w:val="000000"/>
                <w:sz w:val="18"/>
              </w:rPr>
            </w:pPr>
            <w:r>
              <w:rPr>
                <w:rFonts w:hint="eastAsia" w:ascii="宋体" w:hAnsi="宋体"/>
                <w:color w:val="000000"/>
                <w:sz w:val="18"/>
              </w:rPr>
              <w:t>得热系数</w:t>
            </w:r>
          </w:p>
          <w:p>
            <w:pPr>
              <w:jc w:val="center"/>
              <w:rPr>
                <w:rFonts w:ascii="宋体" w:hAnsi="宋体"/>
                <w:color w:val="000000"/>
                <w:sz w:val="18"/>
              </w:rPr>
            </w:pPr>
            <w:r>
              <w:rPr>
                <w:rFonts w:hint="eastAsia" w:ascii="宋体" w:hAnsi="宋体"/>
                <w:color w:val="000000"/>
                <w:sz w:val="18"/>
              </w:rPr>
              <w:t>SHGC</w:t>
            </w: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平均窗墙面积比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Cm≤0.25</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0.25＜Cm≤0.3</w:t>
            </w:r>
            <w:r>
              <w:rPr>
                <w:rFonts w:ascii="宋体" w:hAnsi="宋体"/>
                <w:color w:val="000000"/>
                <w:sz w:val="18"/>
              </w:rPr>
              <w:t>5</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textDirection w:val="tbRlV"/>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0.35＜Cm≤0.4</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restart"/>
            <w:noWrap w:val="0"/>
            <w:vAlign w:val="top"/>
          </w:tcPr>
          <w:p>
            <w:pPr>
              <w:jc w:val="center"/>
              <w:rPr>
                <w:rFonts w:ascii="宋体" w:hAnsi="宋体"/>
                <w:color w:val="000000"/>
                <w:sz w:val="18"/>
              </w:rPr>
            </w:pPr>
            <w:r>
              <w:rPr>
                <w:rFonts w:hint="eastAsia" w:ascii="宋体" w:hAnsi="宋体"/>
                <w:color w:val="000000"/>
                <w:sz w:val="18"/>
              </w:rPr>
              <w:t>传热系数K （W/㎡·K）</w:t>
            </w: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平均窗墙面积比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Cm≤0.25</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0.25＜Cm≤0.3</w:t>
            </w:r>
            <w:r>
              <w:rPr>
                <w:rFonts w:ascii="宋体" w:hAnsi="宋体"/>
                <w:color w:val="000000"/>
                <w:sz w:val="18"/>
              </w:rPr>
              <w:t>5</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textDirection w:val="tbRlV"/>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0.35＜Cm≤0.4</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可开启面积</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窗地面积比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1406" w:type="dxa"/>
            <w:gridSpan w:val="3"/>
            <w:vMerge w:val="restart"/>
            <w:noWrap w:val="0"/>
            <w:vAlign w:val="top"/>
          </w:tcPr>
          <w:p>
            <w:pPr>
              <w:rPr>
                <w:rFonts w:ascii="宋体" w:hAnsi="宋体"/>
                <w:color w:val="000000"/>
                <w:sz w:val="18"/>
              </w:rPr>
            </w:pPr>
            <w:r>
              <w:rPr>
                <w:rFonts w:hint="eastAsia" w:ascii="宋体" w:hAnsi="宋体"/>
                <w:color w:val="000000"/>
                <w:sz w:val="18"/>
              </w:rPr>
              <w:t>气密性q。</w:t>
            </w:r>
          </w:p>
          <w:p>
            <w:pPr>
              <w:rPr>
                <w:rFonts w:ascii="宋体" w:hAnsi="宋体"/>
                <w:color w:val="000000"/>
                <w:sz w:val="18"/>
              </w:rPr>
            </w:pPr>
            <w:r>
              <w:rPr>
                <w:rFonts w:hint="eastAsia" w:ascii="宋体" w:hAnsi="宋体"/>
                <w:color w:val="000000"/>
                <w:sz w:val="18"/>
              </w:rPr>
              <w:t>（M³/M·h）</w:t>
            </w:r>
          </w:p>
        </w:tc>
        <w:tc>
          <w:tcPr>
            <w:tcW w:w="1295" w:type="dxa"/>
            <w:noWrap w:val="0"/>
            <w:vAlign w:val="top"/>
          </w:tcPr>
          <w:p>
            <w:pPr>
              <w:jc w:val="center"/>
              <w:rPr>
                <w:rFonts w:ascii="宋体" w:hAnsi="宋体"/>
                <w:color w:val="000000"/>
                <w:sz w:val="18"/>
              </w:rPr>
            </w:pPr>
            <w:r>
              <w:rPr>
                <w:rFonts w:hint="eastAsia" w:ascii="宋体" w:hAnsi="宋体"/>
                <w:color w:val="000000"/>
                <w:sz w:val="18"/>
              </w:rPr>
              <w:t>1～6层</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1406" w:type="dxa"/>
            <w:gridSpan w:val="3"/>
            <w:vMerge w:val="continue"/>
            <w:noWrap w:val="0"/>
            <w:vAlign w:val="top"/>
          </w:tcPr>
          <w:p>
            <w:pPr>
              <w:jc w:val="center"/>
              <w:rPr>
                <w:rFonts w:ascii="宋体" w:hAnsi="宋体"/>
                <w:color w:val="000000"/>
                <w:sz w:val="18"/>
              </w:rPr>
            </w:pPr>
          </w:p>
        </w:tc>
        <w:tc>
          <w:tcPr>
            <w:tcW w:w="1295" w:type="dxa"/>
            <w:noWrap w:val="0"/>
            <w:vAlign w:val="top"/>
          </w:tcPr>
          <w:p>
            <w:pPr>
              <w:jc w:val="center"/>
              <w:rPr>
                <w:rFonts w:ascii="宋体" w:hAnsi="宋体"/>
                <w:color w:val="000000"/>
                <w:sz w:val="18"/>
              </w:rPr>
            </w:pPr>
            <w:r>
              <w:rPr>
                <w:rFonts w:hint="eastAsia" w:ascii="宋体" w:hAnsi="宋体"/>
                <w:color w:val="000000"/>
                <w:sz w:val="18"/>
              </w:rPr>
              <w:t>≥7层</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4</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天窗</w:t>
            </w:r>
          </w:p>
        </w:tc>
        <w:tc>
          <w:tcPr>
            <w:tcW w:w="2701" w:type="dxa"/>
            <w:gridSpan w:val="4"/>
            <w:noWrap w:val="0"/>
            <w:vAlign w:val="top"/>
          </w:tcPr>
          <w:p>
            <w:pPr>
              <w:ind w:firstLine="21" w:firstLineChars="12"/>
              <w:jc w:val="center"/>
              <w:rPr>
                <w:rFonts w:ascii="宋体" w:hAnsi="宋体"/>
                <w:color w:val="000000"/>
                <w:sz w:val="18"/>
              </w:rPr>
            </w:pPr>
            <w:r>
              <w:rPr>
                <w:rFonts w:hint="eastAsia" w:ascii="宋体" w:hAnsi="宋体"/>
                <w:color w:val="000000"/>
                <w:sz w:val="18"/>
              </w:rPr>
              <w:t>天窗面积/屋顶面积</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传热系数K（W/㎡·K）</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得热系数SHGC</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5</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屋顶</w:t>
            </w:r>
          </w:p>
        </w:tc>
        <w:tc>
          <w:tcPr>
            <w:tcW w:w="2701" w:type="dxa"/>
            <w:gridSpan w:val="4"/>
            <w:noWrap w:val="0"/>
            <w:vAlign w:val="top"/>
          </w:tcPr>
          <w:p>
            <w:pPr>
              <w:ind w:left="360" w:hanging="360" w:hangingChars="200"/>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tabs>
                <w:tab w:val="center" w:pos="1079"/>
              </w:tabs>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太阳辐射吸收系数ρ</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6</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建筑节能设</w:t>
            </w:r>
          </w:p>
          <w:p>
            <w:pPr>
              <w:jc w:val="center"/>
              <w:rPr>
                <w:rFonts w:ascii="宋体" w:hAnsi="宋体"/>
                <w:color w:val="000000"/>
                <w:sz w:val="18"/>
              </w:rPr>
            </w:pPr>
            <w:r>
              <w:rPr>
                <w:rFonts w:hint="eastAsia" w:ascii="宋体" w:hAnsi="宋体"/>
                <w:color w:val="000000"/>
                <w:sz w:val="18"/>
              </w:rPr>
              <w:t>计综合评价</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⑴空调年耗电指数</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或⑵空调年耗电量</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7</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空调设备</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分散式空调设备（性能系数COP）</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集中式空调设备（性能系数COP）</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其他空调形式</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8</w:t>
            </w:r>
          </w:p>
        </w:tc>
        <w:tc>
          <w:tcPr>
            <w:tcW w:w="1305" w:type="dxa"/>
            <w:vMerge w:val="restart"/>
            <w:noWrap w:val="0"/>
            <w:vAlign w:val="center"/>
          </w:tcPr>
          <w:p>
            <w:pPr>
              <w:jc w:val="center"/>
              <w:rPr>
                <w:rFonts w:ascii="宋体" w:hAnsi="宋体"/>
                <w:color w:val="000000"/>
                <w:sz w:val="18"/>
              </w:rPr>
            </w:pPr>
            <w:r>
              <w:rPr>
                <w:rFonts w:hAnsi="宋体"/>
                <w:color w:val="000000"/>
                <w:sz w:val="18"/>
                <w:szCs w:val="18"/>
              </w:rPr>
              <w:t>照明设备</w:t>
            </w:r>
          </w:p>
        </w:tc>
        <w:tc>
          <w:tcPr>
            <w:tcW w:w="2701" w:type="dxa"/>
            <w:gridSpan w:val="4"/>
            <w:noWrap w:val="0"/>
            <w:vAlign w:val="top"/>
          </w:tcPr>
          <w:p>
            <w:pPr>
              <w:rPr>
                <w:rFonts w:ascii="宋体" w:hAnsi="宋体"/>
                <w:sz w:val="18"/>
              </w:rPr>
            </w:pPr>
            <w:r>
              <w:rPr>
                <w:rFonts w:hint="eastAsia" w:ascii="宋体" w:hAnsi="宋体"/>
                <w:sz w:val="18"/>
              </w:rPr>
              <w:t>居住建筑每户照明功率密度LPD（W/㎡）、对应照度值（Lx）及显色指数要求</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rPr>
                <w:rFonts w:ascii="宋体" w:hAnsi="宋体"/>
                <w:sz w:val="18"/>
              </w:rPr>
            </w:pPr>
            <w:r>
              <w:rPr>
                <w:rFonts w:hint="eastAsia" w:ascii="宋体" w:hAnsi="宋体"/>
                <w:sz w:val="18"/>
              </w:rPr>
              <w:t>照明光源及镇流器</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rPr>
                <w:rFonts w:ascii="宋体" w:hAnsi="宋体"/>
                <w:sz w:val="18"/>
              </w:rPr>
            </w:pPr>
            <w:r>
              <w:rPr>
                <w:rFonts w:hint="eastAsia" w:ascii="宋体" w:hAnsi="宋体"/>
                <w:sz w:val="18"/>
              </w:rPr>
              <w:t>照明控制</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9" w:type="dxa"/>
            <w:noWrap w:val="0"/>
            <w:vAlign w:val="center"/>
          </w:tcPr>
          <w:p>
            <w:pPr>
              <w:jc w:val="center"/>
              <w:rPr>
                <w:rFonts w:ascii="宋体" w:hAnsi="宋体"/>
                <w:color w:val="000000"/>
                <w:sz w:val="18"/>
              </w:rPr>
            </w:pPr>
            <w:r>
              <w:rPr>
                <w:rFonts w:hint="eastAsia" w:ascii="宋体" w:hAnsi="宋体"/>
                <w:color w:val="000000"/>
                <w:sz w:val="18"/>
              </w:rPr>
              <w:t>9</w:t>
            </w:r>
          </w:p>
        </w:tc>
        <w:tc>
          <w:tcPr>
            <w:tcW w:w="1305" w:type="dxa"/>
            <w:noWrap w:val="0"/>
            <w:vAlign w:val="top"/>
          </w:tcPr>
          <w:p>
            <w:pPr>
              <w:jc w:val="center"/>
              <w:rPr>
                <w:color w:val="000000"/>
                <w:sz w:val="18"/>
                <w:szCs w:val="18"/>
              </w:rPr>
            </w:pPr>
            <w:r>
              <w:rPr>
                <w:rFonts w:hint="eastAsia" w:ascii="宋体" w:hAnsi="宋体"/>
                <w:color w:val="000000"/>
                <w:sz w:val="18"/>
              </w:rPr>
              <w:t>电力变压器</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能效等级</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9" w:type="dxa"/>
            <w:noWrap w:val="0"/>
            <w:vAlign w:val="center"/>
          </w:tcPr>
          <w:p>
            <w:pPr>
              <w:jc w:val="center"/>
              <w:rPr>
                <w:rFonts w:ascii="宋体" w:hAnsi="宋体"/>
                <w:color w:val="000000"/>
                <w:sz w:val="18"/>
              </w:rPr>
            </w:pPr>
            <w:r>
              <w:rPr>
                <w:rFonts w:ascii="宋体" w:hAnsi="宋体"/>
                <w:color w:val="000000"/>
                <w:sz w:val="18"/>
              </w:rPr>
              <w:t>10</w:t>
            </w:r>
          </w:p>
        </w:tc>
        <w:tc>
          <w:tcPr>
            <w:tcW w:w="1305" w:type="dxa"/>
            <w:noWrap w:val="0"/>
            <w:vAlign w:val="top"/>
          </w:tcPr>
          <w:p>
            <w:pPr>
              <w:jc w:val="center"/>
              <w:rPr>
                <w:color w:val="000000"/>
                <w:sz w:val="18"/>
                <w:szCs w:val="18"/>
              </w:rPr>
            </w:pPr>
            <w:r>
              <w:rPr>
                <w:rFonts w:hint="eastAsia" w:ascii="宋体" w:hAnsi="宋体"/>
                <w:color w:val="000000"/>
                <w:sz w:val="18"/>
              </w:rPr>
              <w:t>电动机</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能效等级</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9" w:type="dxa"/>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1</w:t>
            </w:r>
          </w:p>
        </w:tc>
        <w:tc>
          <w:tcPr>
            <w:tcW w:w="1305" w:type="dxa"/>
            <w:noWrap w:val="0"/>
            <w:vAlign w:val="top"/>
          </w:tcPr>
          <w:p>
            <w:pPr>
              <w:jc w:val="center"/>
              <w:rPr>
                <w:color w:val="000000"/>
                <w:sz w:val="18"/>
                <w:szCs w:val="18"/>
              </w:rPr>
            </w:pPr>
            <w:r>
              <w:rPr>
                <w:rFonts w:hint="eastAsia" w:ascii="宋体" w:hAnsi="宋体"/>
                <w:color w:val="000000"/>
                <w:sz w:val="18"/>
              </w:rPr>
              <w:t>交流接触器</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能效等级</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2</w:t>
            </w:r>
          </w:p>
        </w:tc>
        <w:tc>
          <w:tcPr>
            <w:tcW w:w="1305" w:type="dxa"/>
            <w:vMerge w:val="restart"/>
            <w:noWrap w:val="0"/>
            <w:vAlign w:val="center"/>
          </w:tcPr>
          <w:p>
            <w:pPr>
              <w:jc w:val="center"/>
              <w:rPr>
                <w:rFonts w:ascii="宋体" w:hAnsi="宋体"/>
                <w:color w:val="000000"/>
                <w:sz w:val="18"/>
              </w:rPr>
            </w:pPr>
            <w:r>
              <w:rPr>
                <w:rFonts w:hint="eastAsia"/>
                <w:color w:val="000000"/>
                <w:sz w:val="18"/>
                <w:szCs w:val="18"/>
              </w:rPr>
              <w:t>可再生能源的利用</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太阳能热水系统/光伏系统</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top"/>
          </w:tcPr>
          <w:p>
            <w:pPr>
              <w:rPr>
                <w:rFonts w:ascii="宋体" w:hAnsi="宋体"/>
                <w:color w:val="000000"/>
                <w:sz w:val="18"/>
              </w:rPr>
            </w:pPr>
          </w:p>
        </w:tc>
        <w:tc>
          <w:tcPr>
            <w:tcW w:w="2701" w:type="dxa"/>
            <w:gridSpan w:val="4"/>
            <w:noWrap w:val="0"/>
            <w:vAlign w:val="top"/>
          </w:tcPr>
          <w:p>
            <w:pPr>
              <w:spacing w:line="280" w:lineRule="exact"/>
              <w:jc w:val="center"/>
              <w:rPr>
                <w:rFonts w:hAnsi="宋体"/>
                <w:color w:val="000000"/>
                <w:sz w:val="18"/>
                <w:szCs w:val="18"/>
              </w:rPr>
            </w:pPr>
            <w:r>
              <w:rPr>
                <w:rFonts w:hint="eastAsia" w:ascii="宋体" w:hAnsi="宋体"/>
                <w:color w:val="000000"/>
                <w:sz w:val="18"/>
              </w:rPr>
              <w:t>其它</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3</w:t>
            </w:r>
          </w:p>
        </w:tc>
        <w:tc>
          <w:tcPr>
            <w:tcW w:w="4006" w:type="dxa"/>
            <w:gridSpan w:val="5"/>
            <w:noWrap w:val="0"/>
            <w:vAlign w:val="top"/>
          </w:tcPr>
          <w:p>
            <w:pPr>
              <w:spacing w:line="280" w:lineRule="exact"/>
              <w:jc w:val="center"/>
              <w:rPr>
                <w:rFonts w:ascii="宋体" w:hAnsi="宋体"/>
                <w:color w:val="000000"/>
                <w:sz w:val="18"/>
              </w:rPr>
            </w:pPr>
            <w:r>
              <w:rPr>
                <w:rFonts w:hint="eastAsia" w:ascii="宋体" w:hAnsi="宋体"/>
                <w:color w:val="000000"/>
                <w:sz w:val="18"/>
              </w:rPr>
              <w:t>规定性指标符合情况</w:t>
            </w:r>
          </w:p>
        </w:tc>
        <w:tc>
          <w:tcPr>
            <w:tcW w:w="9412" w:type="dxa"/>
            <w:gridSpan w:val="4"/>
            <w:noWrap w:val="0"/>
            <w:vAlign w:val="top"/>
          </w:tcPr>
          <w:p>
            <w:pPr>
              <w:spacing w:line="280" w:lineRule="exact"/>
              <w:jc w:val="center"/>
              <w:rPr>
                <w:rFonts w:ascii="宋体" w:hAnsi="宋体"/>
                <w:color w:val="000000"/>
                <w:sz w:val="18"/>
              </w:rPr>
            </w:pPr>
            <w:r>
              <w:rPr>
                <w:rFonts w:ascii="宋体" w:hAnsi="宋体"/>
                <w:color w:val="000000"/>
                <w:sz w:val="18"/>
              </w:rPr>
              <w:sym w:font="Wingdings 2" w:char="F0A3"/>
            </w:r>
            <w:r>
              <w:rPr>
                <w:rFonts w:hint="eastAsia" w:ascii="宋体" w:hAnsi="宋体"/>
                <w:color w:val="000000"/>
                <w:sz w:val="18"/>
              </w:rPr>
              <w:t xml:space="preserve">符合 </w:t>
            </w:r>
            <w:r>
              <w:rPr>
                <w:rFonts w:ascii="宋体" w:hAnsi="宋体"/>
                <w:color w:val="000000"/>
                <w:sz w:val="18"/>
              </w:rPr>
              <w:sym w:font="Wingdings 2" w:char="F0A3"/>
            </w:r>
            <w:r>
              <w:rPr>
                <w:rFonts w:hint="eastAsia" w:ascii="宋体" w:hAnsi="宋体"/>
                <w:color w:val="000000"/>
                <w:sz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4</w:t>
            </w:r>
          </w:p>
        </w:tc>
        <w:tc>
          <w:tcPr>
            <w:tcW w:w="4006" w:type="dxa"/>
            <w:gridSpan w:val="5"/>
            <w:vMerge w:val="restart"/>
            <w:noWrap w:val="0"/>
            <w:vAlign w:val="top"/>
          </w:tcPr>
          <w:p>
            <w:pPr>
              <w:spacing w:line="280" w:lineRule="exact"/>
              <w:jc w:val="center"/>
              <w:rPr>
                <w:rFonts w:ascii="宋体" w:hAnsi="宋体"/>
                <w:color w:val="000000"/>
                <w:sz w:val="18"/>
              </w:rPr>
            </w:pPr>
            <w:r>
              <w:rPr>
                <w:rFonts w:hint="eastAsia" w:ascii="宋体" w:hAnsi="宋体"/>
                <w:color w:val="000000"/>
                <w:sz w:val="18"/>
              </w:rPr>
              <w:t>权衡判断情况(空调采暖年耗电指数)</w:t>
            </w:r>
          </w:p>
        </w:tc>
        <w:tc>
          <w:tcPr>
            <w:tcW w:w="2216" w:type="dxa"/>
            <w:noWrap w:val="0"/>
            <w:vAlign w:val="top"/>
          </w:tcPr>
          <w:p>
            <w:pPr>
              <w:jc w:val="center"/>
              <w:rPr>
                <w:rFonts w:ascii="宋体" w:hAnsi="宋体"/>
                <w:color w:val="000000"/>
                <w:sz w:val="18"/>
              </w:rPr>
            </w:pPr>
            <w:r>
              <w:rPr>
                <w:rFonts w:hint="eastAsia" w:ascii="宋体" w:hAnsi="宋体"/>
                <w:color w:val="000000"/>
                <w:sz w:val="18"/>
              </w:rPr>
              <w:t>参照建筑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sz w:val="18"/>
              </w:rPr>
            </w:pPr>
          </w:p>
        </w:tc>
        <w:tc>
          <w:tcPr>
            <w:tcW w:w="4006" w:type="dxa"/>
            <w:gridSpan w:val="5"/>
            <w:vMerge w:val="continue"/>
            <w:noWrap w:val="0"/>
            <w:vAlign w:val="top"/>
          </w:tcPr>
          <w:p>
            <w:pPr>
              <w:spacing w:line="280" w:lineRule="exact"/>
              <w:jc w:val="center"/>
              <w:rPr>
                <w:rFonts w:ascii="宋体" w:hAnsi="宋体"/>
                <w:color w:val="000000"/>
                <w:sz w:val="18"/>
              </w:rPr>
            </w:pPr>
          </w:p>
        </w:tc>
        <w:tc>
          <w:tcPr>
            <w:tcW w:w="2216" w:type="dxa"/>
            <w:noWrap w:val="0"/>
            <w:vAlign w:val="top"/>
          </w:tcPr>
          <w:p>
            <w:pPr>
              <w:jc w:val="center"/>
              <w:rPr>
                <w:rFonts w:ascii="宋体" w:hAnsi="宋体"/>
                <w:color w:val="000000"/>
                <w:sz w:val="18"/>
              </w:rPr>
            </w:pPr>
            <w:r>
              <w:rPr>
                <w:rFonts w:hint="eastAsia" w:ascii="宋体" w:hAnsi="宋体"/>
                <w:color w:val="000000"/>
                <w:sz w:val="18"/>
              </w:rPr>
              <w:t>本建筑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5</w:t>
            </w:r>
          </w:p>
        </w:tc>
        <w:tc>
          <w:tcPr>
            <w:tcW w:w="4006" w:type="dxa"/>
            <w:gridSpan w:val="5"/>
            <w:vMerge w:val="restart"/>
            <w:noWrap w:val="0"/>
            <w:vAlign w:val="center"/>
          </w:tcPr>
          <w:p>
            <w:pPr>
              <w:spacing w:line="280" w:lineRule="exact"/>
              <w:jc w:val="center"/>
              <w:rPr>
                <w:rFonts w:ascii="宋体" w:hAnsi="宋体"/>
                <w:color w:val="000000"/>
                <w:sz w:val="18"/>
              </w:rPr>
            </w:pPr>
            <w:r>
              <w:rPr>
                <w:rFonts w:hint="eastAsia" w:ascii="宋体" w:hAnsi="宋体"/>
                <w:color w:val="000000"/>
                <w:sz w:val="18"/>
              </w:rPr>
              <w:t>碳排放强度kgCO2/（</w:t>
            </w:r>
            <w:r>
              <w:rPr>
                <w:rFonts w:hint="eastAsia" w:ascii="宋体" w:hAnsi="宋体"/>
                <w:color w:val="000000"/>
                <w:sz w:val="18"/>
                <w:shd w:val="clear" w:color="auto" w:fill="008000"/>
              </w:rPr>
              <w:t>㎡</w:t>
            </w:r>
            <w:r>
              <w:rPr>
                <w:rFonts w:hint="eastAsia" w:ascii="宋体" w:hAnsi="宋体"/>
                <w:color w:val="000000"/>
                <w:sz w:val="18"/>
              </w:rPr>
              <w:t>·a）</w:t>
            </w:r>
          </w:p>
        </w:tc>
        <w:tc>
          <w:tcPr>
            <w:tcW w:w="2216" w:type="dxa"/>
            <w:noWrap w:val="0"/>
            <w:vAlign w:val="top"/>
          </w:tcPr>
          <w:p>
            <w:pPr>
              <w:jc w:val="center"/>
              <w:rPr>
                <w:rFonts w:ascii="宋体" w:hAnsi="宋体"/>
                <w:color w:val="000000"/>
                <w:sz w:val="18"/>
              </w:rPr>
            </w:pPr>
            <w:r>
              <w:rPr>
                <w:rFonts w:hint="eastAsia" w:ascii="宋体" w:hAnsi="宋体"/>
                <w:color w:val="000000"/>
                <w:sz w:val="18"/>
              </w:rPr>
              <w:t>参照建筑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top"/>
          </w:tcPr>
          <w:p>
            <w:pPr>
              <w:jc w:val="center"/>
              <w:rPr>
                <w:rFonts w:ascii="宋体" w:hAnsi="宋体"/>
                <w:color w:val="000000"/>
                <w:sz w:val="18"/>
              </w:rPr>
            </w:pPr>
          </w:p>
        </w:tc>
        <w:tc>
          <w:tcPr>
            <w:tcW w:w="4006" w:type="dxa"/>
            <w:gridSpan w:val="5"/>
            <w:vMerge w:val="continue"/>
            <w:noWrap w:val="0"/>
            <w:vAlign w:val="top"/>
          </w:tcPr>
          <w:p>
            <w:pPr>
              <w:spacing w:line="280" w:lineRule="exact"/>
              <w:jc w:val="center"/>
              <w:rPr>
                <w:rFonts w:ascii="宋体" w:hAnsi="宋体"/>
                <w:color w:val="000000"/>
                <w:sz w:val="18"/>
              </w:rPr>
            </w:pPr>
          </w:p>
        </w:tc>
        <w:tc>
          <w:tcPr>
            <w:tcW w:w="2216" w:type="dxa"/>
            <w:noWrap w:val="0"/>
            <w:vAlign w:val="top"/>
          </w:tcPr>
          <w:p>
            <w:pPr>
              <w:jc w:val="center"/>
              <w:rPr>
                <w:rFonts w:ascii="宋体" w:hAnsi="宋体"/>
                <w:color w:val="000000"/>
                <w:sz w:val="18"/>
              </w:rPr>
            </w:pPr>
            <w:r>
              <w:rPr>
                <w:rFonts w:hint="eastAsia" w:ascii="宋体" w:hAnsi="宋体"/>
                <w:color w:val="000000"/>
                <w:sz w:val="18"/>
              </w:rPr>
              <w:t>本建筑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bl>
    <w:p>
      <w:pPr>
        <w:adjustRightInd w:val="0"/>
        <w:snapToGrid w:val="0"/>
        <w:jc w:val="center"/>
        <w:rPr>
          <w:rFonts w:eastAsia="黑体"/>
          <w:b/>
          <w:color w:val="000000"/>
          <w:sz w:val="40"/>
          <w:szCs w:val="40"/>
        </w:rPr>
      </w:pPr>
    </w:p>
    <w:p>
      <w:pPr>
        <w:widowControl/>
        <w:jc w:val="left"/>
        <w:rPr>
          <w:rFonts w:eastAsia="黑体"/>
          <w:b/>
          <w:color w:val="000000"/>
          <w:sz w:val="40"/>
          <w:szCs w:val="40"/>
        </w:rPr>
      </w:pPr>
      <w:r>
        <w:rPr>
          <w:rFonts w:eastAsia="黑体"/>
          <w:b/>
          <w:color w:val="000000"/>
          <w:sz w:val="40"/>
          <w:szCs w:val="40"/>
        </w:rPr>
        <w:br w:type="page"/>
      </w:r>
    </w:p>
    <w:p>
      <w:pPr>
        <w:adjustRightInd w:val="0"/>
        <w:snapToGrid w:val="0"/>
        <w:jc w:val="center"/>
        <w:rPr>
          <w:rFonts w:eastAsia="黑体"/>
          <w:b/>
          <w:color w:val="000000"/>
          <w:sz w:val="40"/>
          <w:szCs w:val="40"/>
        </w:rPr>
      </w:pPr>
      <w:r>
        <w:rPr>
          <w:rFonts w:hint="eastAsia" w:eastAsia="黑体"/>
          <w:b/>
          <w:color w:val="000000"/>
          <w:sz w:val="40"/>
          <w:szCs w:val="40"/>
        </w:rPr>
        <w:t>建筑节能核查表（公共建筑）</w:t>
      </w:r>
    </w:p>
    <w:tbl>
      <w:tblPr>
        <w:tblStyle w:val="3"/>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05"/>
        <w:gridCol w:w="720"/>
        <w:gridCol w:w="11"/>
        <w:gridCol w:w="675"/>
        <w:gridCol w:w="1295"/>
        <w:gridCol w:w="2216"/>
        <w:gridCol w:w="2638"/>
        <w:gridCol w:w="2279"/>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trPr>
        <w:tc>
          <w:tcPr>
            <w:tcW w:w="709" w:type="dxa"/>
            <w:shd w:val="clear" w:color="auto" w:fill="D8D8D8"/>
            <w:noWrap w:val="0"/>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序号</w:t>
            </w:r>
          </w:p>
        </w:tc>
        <w:tc>
          <w:tcPr>
            <w:tcW w:w="4006" w:type="dxa"/>
            <w:gridSpan w:val="5"/>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审查内容</w:t>
            </w:r>
          </w:p>
        </w:tc>
        <w:tc>
          <w:tcPr>
            <w:tcW w:w="2216"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设计指标</w:t>
            </w:r>
          </w:p>
        </w:tc>
        <w:tc>
          <w:tcPr>
            <w:tcW w:w="2638"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节能现场措施说明</w:t>
            </w:r>
          </w:p>
        </w:tc>
        <w:tc>
          <w:tcPr>
            <w:tcW w:w="2279"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核查结论</w:t>
            </w:r>
          </w:p>
        </w:tc>
        <w:tc>
          <w:tcPr>
            <w:tcW w:w="2279"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1</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外墙</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太阳辐射吸收系数ρ</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热惰性指标D</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2</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窗墙面积比</w:t>
            </w:r>
          </w:p>
        </w:tc>
        <w:tc>
          <w:tcPr>
            <w:tcW w:w="720" w:type="dxa"/>
            <w:vMerge w:val="restart"/>
            <w:noWrap w:val="0"/>
            <w:vAlign w:val="top"/>
          </w:tcPr>
          <w:p>
            <w:pPr>
              <w:jc w:val="center"/>
              <w:rPr>
                <w:rFonts w:ascii="宋体" w:hAnsi="宋体"/>
                <w:color w:val="000000"/>
                <w:sz w:val="18"/>
              </w:rPr>
            </w:pPr>
            <w:r>
              <w:rPr>
                <w:rFonts w:hint="eastAsia" w:ascii="宋体" w:hAnsi="宋体"/>
                <w:color w:val="000000"/>
                <w:spacing w:val="8"/>
                <w:sz w:val="18"/>
              </w:rPr>
              <w:t>各朝向窗墙面积比</w:t>
            </w:r>
          </w:p>
        </w:tc>
        <w:tc>
          <w:tcPr>
            <w:tcW w:w="1981" w:type="dxa"/>
            <w:gridSpan w:val="3"/>
            <w:noWrap w:val="0"/>
            <w:vAlign w:val="top"/>
          </w:tcPr>
          <w:p>
            <w:pPr>
              <w:jc w:val="center"/>
              <w:rPr>
                <w:rFonts w:ascii="宋体" w:hAnsi="宋体"/>
                <w:color w:val="000000"/>
                <w:sz w:val="18"/>
              </w:rPr>
            </w:pPr>
            <w:r>
              <w:rPr>
                <w:rFonts w:hint="eastAsia" w:ascii="宋体" w:hAnsi="宋体"/>
                <w:color w:val="000000"/>
                <w:sz w:val="18"/>
              </w:rPr>
              <w:t>北向</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20" w:type="dxa"/>
            <w:vMerge w:val="continue"/>
            <w:noWrap w:val="0"/>
            <w:vAlign w:val="top"/>
          </w:tcPr>
          <w:p>
            <w:pPr>
              <w:jc w:val="center"/>
              <w:rPr>
                <w:rFonts w:ascii="宋体" w:hAnsi="宋体"/>
                <w:color w:val="000000"/>
                <w:sz w:val="18"/>
              </w:rPr>
            </w:pPr>
          </w:p>
        </w:tc>
        <w:tc>
          <w:tcPr>
            <w:tcW w:w="1981" w:type="dxa"/>
            <w:gridSpan w:val="3"/>
            <w:noWrap w:val="0"/>
            <w:vAlign w:val="top"/>
          </w:tcPr>
          <w:p>
            <w:pPr>
              <w:jc w:val="center"/>
              <w:rPr>
                <w:rFonts w:ascii="宋体" w:hAnsi="宋体"/>
                <w:color w:val="000000"/>
                <w:sz w:val="18"/>
              </w:rPr>
            </w:pPr>
            <w:r>
              <w:rPr>
                <w:rFonts w:hint="eastAsia" w:ascii="宋体" w:hAnsi="宋体"/>
                <w:color w:val="000000"/>
                <w:sz w:val="18"/>
              </w:rPr>
              <w:t>东向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20" w:type="dxa"/>
            <w:vMerge w:val="continue"/>
            <w:noWrap w:val="0"/>
            <w:vAlign w:val="top"/>
          </w:tcPr>
          <w:p>
            <w:pPr>
              <w:jc w:val="center"/>
              <w:rPr>
                <w:rFonts w:ascii="宋体" w:hAnsi="宋体"/>
                <w:color w:val="000000"/>
                <w:sz w:val="18"/>
              </w:rPr>
            </w:pPr>
          </w:p>
        </w:tc>
        <w:tc>
          <w:tcPr>
            <w:tcW w:w="1981" w:type="dxa"/>
            <w:gridSpan w:val="3"/>
            <w:noWrap w:val="0"/>
            <w:vAlign w:val="top"/>
          </w:tcPr>
          <w:p>
            <w:pPr>
              <w:jc w:val="center"/>
              <w:rPr>
                <w:rFonts w:ascii="宋体" w:hAnsi="宋体"/>
                <w:color w:val="000000"/>
                <w:sz w:val="18"/>
              </w:rPr>
            </w:pPr>
            <w:r>
              <w:rPr>
                <w:rFonts w:hint="eastAsia" w:ascii="宋体" w:hAnsi="宋体"/>
                <w:color w:val="000000"/>
                <w:sz w:val="18"/>
              </w:rPr>
              <w:t>西向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20" w:type="dxa"/>
            <w:vMerge w:val="continue"/>
            <w:noWrap w:val="0"/>
            <w:vAlign w:val="top"/>
          </w:tcPr>
          <w:p>
            <w:pPr>
              <w:jc w:val="center"/>
              <w:rPr>
                <w:rFonts w:ascii="宋体" w:hAnsi="宋体"/>
                <w:color w:val="000000"/>
                <w:sz w:val="18"/>
              </w:rPr>
            </w:pPr>
          </w:p>
        </w:tc>
        <w:tc>
          <w:tcPr>
            <w:tcW w:w="1981" w:type="dxa"/>
            <w:gridSpan w:val="3"/>
            <w:noWrap w:val="0"/>
            <w:vAlign w:val="top"/>
          </w:tcPr>
          <w:p>
            <w:pPr>
              <w:jc w:val="center"/>
              <w:rPr>
                <w:rFonts w:ascii="宋体" w:hAnsi="宋体"/>
                <w:color w:val="000000"/>
                <w:sz w:val="18"/>
              </w:rPr>
            </w:pPr>
            <w:r>
              <w:rPr>
                <w:rFonts w:hint="eastAsia" w:ascii="宋体" w:hAnsi="宋体"/>
                <w:color w:val="000000"/>
                <w:sz w:val="18"/>
              </w:rPr>
              <w:t>南向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平均窗墙面积比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3</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外窗（含阳台门透明部分）</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ind w:firstLine="360" w:firstLineChars="200"/>
              <w:rPr>
                <w:rFonts w:ascii="宋体" w:hAnsi="宋体"/>
                <w:color w:val="000000"/>
                <w:sz w:val="18"/>
              </w:rPr>
            </w:pPr>
            <w:r>
              <w:rPr>
                <w:rFonts w:hint="eastAsia" w:ascii="宋体" w:hAnsi="宋体"/>
                <w:color w:val="000000"/>
                <w:sz w:val="18"/>
              </w:rPr>
              <w:t>可见光透射比Tv</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restart"/>
            <w:noWrap w:val="0"/>
            <w:vAlign w:val="top"/>
          </w:tcPr>
          <w:p>
            <w:pPr>
              <w:jc w:val="center"/>
              <w:rPr>
                <w:rFonts w:ascii="宋体" w:hAnsi="宋体"/>
                <w:color w:val="000000"/>
                <w:sz w:val="18"/>
              </w:rPr>
            </w:pPr>
            <w:r>
              <w:rPr>
                <w:rFonts w:hint="eastAsia" w:ascii="宋体" w:hAnsi="宋体"/>
                <w:color w:val="000000"/>
                <w:sz w:val="18"/>
              </w:rPr>
              <w:t>得热系数</w:t>
            </w:r>
          </w:p>
          <w:p>
            <w:pPr>
              <w:jc w:val="center"/>
              <w:rPr>
                <w:rFonts w:ascii="宋体" w:hAnsi="宋体"/>
                <w:color w:val="000000"/>
                <w:sz w:val="18"/>
              </w:rPr>
            </w:pPr>
            <w:r>
              <w:rPr>
                <w:rFonts w:hint="eastAsia" w:ascii="宋体" w:hAnsi="宋体"/>
                <w:color w:val="000000"/>
                <w:sz w:val="18"/>
              </w:rPr>
              <w:t>SHGC</w:t>
            </w: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平均窗墙面积比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Cm≤0.2</w:t>
            </w:r>
            <w:r>
              <w:rPr>
                <w:rFonts w:ascii="宋体" w:hAnsi="宋体"/>
                <w:color w:val="000000"/>
                <w:sz w:val="18"/>
              </w:rPr>
              <w:t>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0.2</w:t>
            </w:r>
            <w:r>
              <w:rPr>
                <w:rFonts w:ascii="宋体" w:hAnsi="宋体"/>
                <w:color w:val="000000"/>
                <w:sz w:val="18"/>
              </w:rPr>
              <w:t>0</w:t>
            </w:r>
            <w:r>
              <w:rPr>
                <w:rFonts w:hint="eastAsia" w:ascii="宋体" w:hAnsi="宋体"/>
                <w:color w:val="000000"/>
                <w:sz w:val="18"/>
              </w:rPr>
              <w:t>＜Cm≤0.3</w:t>
            </w:r>
            <w:r>
              <w:rPr>
                <w:rFonts w:ascii="宋体" w:hAnsi="宋体"/>
                <w:color w:val="000000"/>
                <w:sz w:val="18"/>
              </w:rPr>
              <w:t>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0.3</w:t>
            </w:r>
            <w:r>
              <w:rPr>
                <w:rFonts w:ascii="宋体" w:hAnsi="宋体"/>
                <w:color w:val="000000"/>
                <w:sz w:val="18"/>
              </w:rPr>
              <w:t>0</w:t>
            </w:r>
            <w:r>
              <w:rPr>
                <w:rFonts w:hint="eastAsia" w:ascii="宋体" w:hAnsi="宋体"/>
                <w:color w:val="000000"/>
                <w:sz w:val="18"/>
              </w:rPr>
              <w:t>＜Cm≤0.4</w:t>
            </w:r>
            <w:r>
              <w:rPr>
                <w:rFonts w:ascii="宋体" w:hAnsi="宋体"/>
                <w:color w:val="000000"/>
                <w:sz w:val="18"/>
              </w:rPr>
              <w:t>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40</w:t>
            </w:r>
            <w:r>
              <w:rPr>
                <w:rFonts w:hint="eastAsia" w:ascii="宋体" w:hAnsi="宋体"/>
                <w:color w:val="000000"/>
                <w:sz w:val="18"/>
              </w:rPr>
              <w:t>＜Cm≤</w:t>
            </w:r>
            <w:r>
              <w:rPr>
                <w:rFonts w:ascii="宋体" w:hAnsi="宋体"/>
                <w:color w:val="000000"/>
                <w:sz w:val="18"/>
              </w:rPr>
              <w:t>50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50</w:t>
            </w:r>
            <w:r>
              <w:rPr>
                <w:rFonts w:hint="eastAsia" w:ascii="宋体" w:hAnsi="宋体"/>
                <w:color w:val="000000"/>
                <w:sz w:val="18"/>
              </w:rPr>
              <w:t>＜Cm≤</w:t>
            </w:r>
            <w:r>
              <w:rPr>
                <w:rFonts w:ascii="宋体" w:hAnsi="宋体"/>
                <w:color w:val="000000"/>
                <w:sz w:val="18"/>
              </w:rPr>
              <w:t>60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60</w:t>
            </w:r>
            <w:r>
              <w:rPr>
                <w:rFonts w:hint="eastAsia" w:ascii="宋体" w:hAnsi="宋体"/>
                <w:color w:val="000000"/>
                <w:sz w:val="18"/>
              </w:rPr>
              <w:t>＜Cm≤0.</w:t>
            </w:r>
            <w:r>
              <w:rPr>
                <w:rFonts w:ascii="宋体" w:hAnsi="宋体"/>
                <w:color w:val="000000"/>
                <w:sz w:val="18"/>
              </w:rPr>
              <w:t>70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70</w:t>
            </w:r>
            <w:r>
              <w:rPr>
                <w:rFonts w:hint="eastAsia" w:ascii="宋体" w:hAnsi="宋体"/>
                <w:color w:val="000000"/>
                <w:sz w:val="18"/>
              </w:rPr>
              <w:t>＜Cm≤</w:t>
            </w:r>
            <w:r>
              <w:rPr>
                <w:rFonts w:ascii="宋体" w:hAnsi="宋体"/>
                <w:color w:val="000000"/>
                <w:sz w:val="18"/>
              </w:rPr>
              <w:t>0.80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textDirection w:val="tbRlV"/>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Cm＞</w:t>
            </w:r>
            <w:r>
              <w:rPr>
                <w:rFonts w:ascii="宋体" w:hAnsi="宋体"/>
                <w:color w:val="000000"/>
                <w:sz w:val="18"/>
              </w:rPr>
              <w:t>0</w:t>
            </w:r>
            <w:r>
              <w:rPr>
                <w:rFonts w:hint="eastAsia" w:ascii="宋体" w:hAnsi="宋体"/>
                <w:color w:val="000000"/>
                <w:sz w:val="18"/>
              </w:rPr>
              <w:t>.</w:t>
            </w:r>
            <w:r>
              <w:rPr>
                <w:rFonts w:ascii="宋体" w:hAnsi="宋体"/>
                <w:color w:val="000000"/>
                <w:sz w:val="18"/>
              </w:rPr>
              <w:t>80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restart"/>
            <w:noWrap w:val="0"/>
            <w:vAlign w:val="top"/>
          </w:tcPr>
          <w:p>
            <w:pPr>
              <w:jc w:val="center"/>
              <w:rPr>
                <w:rFonts w:ascii="宋体" w:hAnsi="宋体"/>
                <w:color w:val="000000"/>
                <w:sz w:val="18"/>
              </w:rPr>
            </w:pPr>
            <w:r>
              <w:rPr>
                <w:rFonts w:hint="eastAsia" w:ascii="宋体" w:hAnsi="宋体"/>
                <w:color w:val="000000"/>
                <w:sz w:val="18"/>
              </w:rPr>
              <w:t>传热系数K （W/㎡·K）</w:t>
            </w: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平均窗墙面积比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Cm≤0.2</w:t>
            </w:r>
            <w:r>
              <w:rPr>
                <w:rFonts w:ascii="宋体" w:hAnsi="宋体"/>
                <w:color w:val="000000"/>
                <w:sz w:val="18"/>
              </w:rPr>
              <w:t>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0.2</w:t>
            </w:r>
            <w:r>
              <w:rPr>
                <w:rFonts w:ascii="宋体" w:hAnsi="宋体"/>
                <w:color w:val="000000"/>
                <w:sz w:val="18"/>
              </w:rPr>
              <w:t>0</w:t>
            </w:r>
            <w:r>
              <w:rPr>
                <w:rFonts w:hint="eastAsia" w:ascii="宋体" w:hAnsi="宋体"/>
                <w:color w:val="000000"/>
                <w:sz w:val="18"/>
              </w:rPr>
              <w:t>＜Cm≤0.3</w:t>
            </w:r>
            <w:r>
              <w:rPr>
                <w:rFonts w:ascii="宋体" w:hAnsi="宋体"/>
                <w:color w:val="000000"/>
                <w:sz w:val="18"/>
              </w:rPr>
              <w:t>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0.3</w:t>
            </w:r>
            <w:r>
              <w:rPr>
                <w:rFonts w:ascii="宋体" w:hAnsi="宋体"/>
                <w:color w:val="000000"/>
                <w:sz w:val="18"/>
              </w:rPr>
              <w:t>0</w:t>
            </w:r>
            <w:r>
              <w:rPr>
                <w:rFonts w:hint="eastAsia" w:ascii="宋体" w:hAnsi="宋体"/>
                <w:color w:val="000000"/>
                <w:sz w:val="18"/>
              </w:rPr>
              <w:t>＜Cm≤0.4</w:t>
            </w:r>
            <w:r>
              <w:rPr>
                <w:rFonts w:ascii="宋体" w:hAnsi="宋体"/>
                <w:color w:val="000000"/>
                <w:sz w:val="18"/>
              </w:rPr>
              <w:t>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40</w:t>
            </w:r>
            <w:r>
              <w:rPr>
                <w:rFonts w:hint="eastAsia" w:ascii="宋体" w:hAnsi="宋体"/>
                <w:color w:val="000000"/>
                <w:sz w:val="18"/>
              </w:rPr>
              <w:t>＜Cm≤</w:t>
            </w:r>
            <w:r>
              <w:rPr>
                <w:rFonts w:ascii="宋体" w:hAnsi="宋体"/>
                <w:color w:val="000000"/>
                <w:sz w:val="18"/>
              </w:rPr>
              <w:t>50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50</w:t>
            </w:r>
            <w:r>
              <w:rPr>
                <w:rFonts w:hint="eastAsia" w:ascii="宋体" w:hAnsi="宋体"/>
                <w:color w:val="000000"/>
                <w:sz w:val="18"/>
              </w:rPr>
              <w:t>＜Cm≤</w:t>
            </w:r>
            <w:r>
              <w:rPr>
                <w:rFonts w:ascii="宋体" w:hAnsi="宋体"/>
                <w:color w:val="000000"/>
                <w:sz w:val="18"/>
              </w:rPr>
              <w:t>60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60</w:t>
            </w:r>
            <w:r>
              <w:rPr>
                <w:rFonts w:hint="eastAsia" w:ascii="宋体" w:hAnsi="宋体"/>
                <w:color w:val="000000"/>
                <w:sz w:val="18"/>
              </w:rPr>
              <w:t>＜Cm≤0.</w:t>
            </w:r>
            <w:r>
              <w:rPr>
                <w:rFonts w:ascii="宋体" w:hAnsi="宋体"/>
                <w:color w:val="000000"/>
                <w:sz w:val="18"/>
              </w:rPr>
              <w:t>70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70</w:t>
            </w:r>
            <w:r>
              <w:rPr>
                <w:rFonts w:hint="eastAsia" w:ascii="宋体" w:hAnsi="宋体"/>
                <w:color w:val="000000"/>
                <w:sz w:val="18"/>
              </w:rPr>
              <w:t>＜Cm≤</w:t>
            </w:r>
            <w:r>
              <w:rPr>
                <w:rFonts w:ascii="宋体" w:hAnsi="宋体"/>
                <w:color w:val="000000"/>
                <w:sz w:val="18"/>
              </w:rPr>
              <w:t>0.80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textDirection w:val="tbRlV"/>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Cm＞</w:t>
            </w:r>
            <w:r>
              <w:rPr>
                <w:rFonts w:ascii="宋体" w:hAnsi="宋体"/>
                <w:color w:val="000000"/>
                <w:sz w:val="18"/>
              </w:rPr>
              <w:t>0</w:t>
            </w:r>
            <w:r>
              <w:rPr>
                <w:rFonts w:hint="eastAsia" w:ascii="宋体" w:hAnsi="宋体"/>
                <w:color w:val="000000"/>
                <w:sz w:val="18"/>
              </w:rPr>
              <w:t>.</w:t>
            </w:r>
            <w:r>
              <w:rPr>
                <w:rFonts w:ascii="宋体" w:hAnsi="宋体"/>
                <w:color w:val="000000"/>
                <w:sz w:val="18"/>
              </w:rPr>
              <w:t>80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可开启面积</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1406" w:type="dxa"/>
            <w:gridSpan w:val="3"/>
            <w:vMerge w:val="restart"/>
            <w:noWrap w:val="0"/>
            <w:vAlign w:val="top"/>
          </w:tcPr>
          <w:p>
            <w:pPr>
              <w:rPr>
                <w:rFonts w:ascii="宋体" w:hAnsi="宋体"/>
                <w:color w:val="000000"/>
                <w:sz w:val="18"/>
              </w:rPr>
            </w:pPr>
            <w:r>
              <w:rPr>
                <w:rFonts w:hint="eastAsia" w:ascii="宋体" w:hAnsi="宋体"/>
                <w:color w:val="000000"/>
                <w:sz w:val="18"/>
              </w:rPr>
              <w:t>气密性q。</w:t>
            </w:r>
          </w:p>
          <w:p>
            <w:pPr>
              <w:rPr>
                <w:rFonts w:ascii="宋体" w:hAnsi="宋体"/>
                <w:color w:val="000000"/>
                <w:sz w:val="18"/>
              </w:rPr>
            </w:pPr>
            <w:r>
              <w:rPr>
                <w:rFonts w:hint="eastAsia" w:ascii="宋体" w:hAnsi="宋体"/>
                <w:color w:val="000000"/>
                <w:sz w:val="18"/>
              </w:rPr>
              <w:t>（M³/M·h）</w:t>
            </w:r>
          </w:p>
        </w:tc>
        <w:tc>
          <w:tcPr>
            <w:tcW w:w="1295" w:type="dxa"/>
            <w:noWrap w:val="0"/>
            <w:vAlign w:val="top"/>
          </w:tcPr>
          <w:p>
            <w:pPr>
              <w:jc w:val="center"/>
              <w:rPr>
                <w:rFonts w:ascii="宋体" w:hAnsi="宋体"/>
                <w:color w:val="000000"/>
                <w:sz w:val="18"/>
              </w:rPr>
            </w:pPr>
            <w:r>
              <w:rPr>
                <w:rFonts w:hint="eastAsia" w:ascii="宋体" w:hAnsi="宋体"/>
                <w:color w:val="000000"/>
                <w:sz w:val="18"/>
              </w:rPr>
              <w:t>1～6层</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1406" w:type="dxa"/>
            <w:gridSpan w:val="3"/>
            <w:vMerge w:val="continue"/>
            <w:noWrap w:val="0"/>
            <w:vAlign w:val="top"/>
          </w:tcPr>
          <w:p>
            <w:pPr>
              <w:jc w:val="center"/>
              <w:rPr>
                <w:rFonts w:ascii="宋体" w:hAnsi="宋体"/>
                <w:color w:val="000000"/>
                <w:sz w:val="18"/>
              </w:rPr>
            </w:pPr>
          </w:p>
        </w:tc>
        <w:tc>
          <w:tcPr>
            <w:tcW w:w="1295" w:type="dxa"/>
            <w:noWrap w:val="0"/>
            <w:vAlign w:val="top"/>
          </w:tcPr>
          <w:p>
            <w:pPr>
              <w:jc w:val="center"/>
              <w:rPr>
                <w:rFonts w:ascii="宋体" w:hAnsi="宋体"/>
                <w:color w:val="000000"/>
                <w:sz w:val="18"/>
              </w:rPr>
            </w:pPr>
            <w:r>
              <w:rPr>
                <w:rFonts w:hint="eastAsia" w:ascii="宋体" w:hAnsi="宋体"/>
                <w:color w:val="000000"/>
                <w:sz w:val="18"/>
              </w:rPr>
              <w:t>≥7层</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4</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天窗</w:t>
            </w:r>
          </w:p>
        </w:tc>
        <w:tc>
          <w:tcPr>
            <w:tcW w:w="2701" w:type="dxa"/>
            <w:gridSpan w:val="4"/>
            <w:noWrap w:val="0"/>
            <w:vAlign w:val="top"/>
          </w:tcPr>
          <w:p>
            <w:pPr>
              <w:ind w:firstLine="21" w:firstLineChars="12"/>
              <w:jc w:val="center"/>
              <w:rPr>
                <w:rFonts w:ascii="宋体" w:hAnsi="宋体"/>
                <w:color w:val="000000"/>
                <w:sz w:val="18"/>
              </w:rPr>
            </w:pPr>
            <w:r>
              <w:rPr>
                <w:rFonts w:hint="eastAsia" w:ascii="宋体" w:hAnsi="宋体"/>
                <w:color w:val="000000"/>
                <w:sz w:val="18"/>
              </w:rPr>
              <w:t>天窗面积/屋顶面积</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传热系数K（W/㎡·K）</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得热系数SHGC</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5</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屋顶</w:t>
            </w:r>
          </w:p>
        </w:tc>
        <w:tc>
          <w:tcPr>
            <w:tcW w:w="2701" w:type="dxa"/>
            <w:gridSpan w:val="4"/>
            <w:noWrap w:val="0"/>
            <w:vAlign w:val="top"/>
          </w:tcPr>
          <w:p>
            <w:pPr>
              <w:ind w:left="360" w:hanging="360" w:hangingChars="200"/>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tabs>
                <w:tab w:val="center" w:pos="1079"/>
              </w:tabs>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太阳辐射吸收系数ρ</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6</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建筑节能设</w:t>
            </w:r>
          </w:p>
          <w:p>
            <w:pPr>
              <w:jc w:val="center"/>
              <w:rPr>
                <w:rFonts w:ascii="宋体" w:hAnsi="宋体"/>
                <w:color w:val="000000"/>
                <w:sz w:val="18"/>
              </w:rPr>
            </w:pPr>
            <w:r>
              <w:rPr>
                <w:rFonts w:hint="eastAsia" w:ascii="宋体" w:hAnsi="宋体"/>
                <w:color w:val="000000"/>
                <w:sz w:val="18"/>
              </w:rPr>
              <w:t>计综合评价</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⑴空调年耗电指数</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或⑵空调年耗电量</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7</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空调设备</w:t>
            </w:r>
          </w:p>
        </w:tc>
        <w:tc>
          <w:tcPr>
            <w:tcW w:w="2701" w:type="dxa"/>
            <w:gridSpan w:val="4"/>
            <w:noWrap w:val="0"/>
            <w:vAlign w:val="top"/>
          </w:tcPr>
          <w:p>
            <w:pPr>
              <w:rPr>
                <w:rFonts w:ascii="宋体" w:hAnsi="宋体"/>
                <w:color w:val="000000"/>
                <w:sz w:val="18"/>
              </w:rPr>
            </w:pPr>
            <w:r>
              <w:rPr>
                <w:rFonts w:hint="eastAsia" w:ascii="宋体" w:hAnsi="宋体"/>
                <w:color w:val="000000"/>
                <w:sz w:val="18"/>
              </w:rPr>
              <w:t>分散式空调设备（性能系数COP）</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rPr>
                <w:rFonts w:ascii="宋体" w:hAnsi="宋体"/>
                <w:color w:val="000000"/>
                <w:sz w:val="18"/>
              </w:rPr>
            </w:pPr>
            <w:r>
              <w:rPr>
                <w:rFonts w:hint="eastAsia" w:ascii="宋体" w:hAnsi="宋体"/>
                <w:color w:val="000000"/>
                <w:sz w:val="18"/>
              </w:rPr>
              <w:t>集中式空调设备（性能系数COP）</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其他空调形式</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8</w:t>
            </w:r>
          </w:p>
        </w:tc>
        <w:tc>
          <w:tcPr>
            <w:tcW w:w="1305" w:type="dxa"/>
            <w:vMerge w:val="restart"/>
            <w:noWrap w:val="0"/>
            <w:vAlign w:val="center"/>
          </w:tcPr>
          <w:p>
            <w:pPr>
              <w:jc w:val="center"/>
              <w:rPr>
                <w:rFonts w:ascii="宋体" w:hAnsi="宋体"/>
                <w:color w:val="000000"/>
                <w:sz w:val="18"/>
              </w:rPr>
            </w:pPr>
            <w:r>
              <w:rPr>
                <w:rFonts w:hAnsi="宋体"/>
                <w:color w:val="000000"/>
                <w:sz w:val="18"/>
                <w:szCs w:val="18"/>
              </w:rPr>
              <w:t>照明设备</w:t>
            </w:r>
          </w:p>
        </w:tc>
        <w:tc>
          <w:tcPr>
            <w:tcW w:w="2701" w:type="dxa"/>
            <w:gridSpan w:val="4"/>
            <w:noWrap w:val="0"/>
            <w:vAlign w:val="top"/>
          </w:tcPr>
          <w:p>
            <w:pPr>
              <w:rPr>
                <w:rFonts w:ascii="宋体" w:hAnsi="宋体"/>
                <w:sz w:val="18"/>
              </w:rPr>
            </w:pPr>
            <w:r>
              <w:rPr>
                <w:rFonts w:hint="eastAsia" w:ascii="宋体" w:hAnsi="宋体"/>
                <w:sz w:val="18"/>
              </w:rPr>
              <w:t>公用场所照度标准值（Lx）（别墅无公有场所者可不填）</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rPr>
                <w:rFonts w:ascii="宋体" w:hAnsi="宋体"/>
                <w:sz w:val="18"/>
              </w:rPr>
            </w:pPr>
            <w:r>
              <w:rPr>
                <w:rFonts w:hint="eastAsia" w:ascii="宋体" w:hAnsi="宋体"/>
                <w:sz w:val="18"/>
              </w:rPr>
              <w:t>照明光源及镇流器</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rPr>
                <w:rFonts w:ascii="宋体" w:hAnsi="宋体"/>
                <w:sz w:val="18"/>
              </w:rPr>
            </w:pPr>
            <w:r>
              <w:rPr>
                <w:rFonts w:hint="eastAsia" w:ascii="宋体" w:hAnsi="宋体"/>
                <w:sz w:val="18"/>
              </w:rPr>
              <w:t>照明控制</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noWrap w:val="0"/>
            <w:vAlign w:val="center"/>
          </w:tcPr>
          <w:p>
            <w:pPr>
              <w:jc w:val="center"/>
              <w:rPr>
                <w:rFonts w:ascii="宋体" w:hAnsi="宋体"/>
                <w:color w:val="000000"/>
                <w:sz w:val="18"/>
              </w:rPr>
            </w:pPr>
            <w:r>
              <w:rPr>
                <w:rFonts w:hint="eastAsia" w:ascii="宋体" w:hAnsi="宋体"/>
                <w:color w:val="000000"/>
                <w:sz w:val="18"/>
              </w:rPr>
              <w:t>9</w:t>
            </w:r>
          </w:p>
        </w:tc>
        <w:tc>
          <w:tcPr>
            <w:tcW w:w="1305" w:type="dxa"/>
            <w:noWrap w:val="0"/>
            <w:vAlign w:val="top"/>
          </w:tcPr>
          <w:p>
            <w:pPr>
              <w:jc w:val="center"/>
              <w:rPr>
                <w:rFonts w:ascii="宋体" w:hAnsi="宋体"/>
                <w:color w:val="000000"/>
                <w:sz w:val="18"/>
              </w:rPr>
            </w:pPr>
            <w:r>
              <w:rPr>
                <w:rFonts w:hint="eastAsia" w:ascii="宋体" w:hAnsi="宋体"/>
                <w:color w:val="000000"/>
                <w:sz w:val="18"/>
              </w:rPr>
              <w:t>电力变压器</w:t>
            </w:r>
          </w:p>
        </w:tc>
        <w:tc>
          <w:tcPr>
            <w:tcW w:w="2701" w:type="dxa"/>
            <w:gridSpan w:val="4"/>
            <w:noWrap w:val="0"/>
            <w:vAlign w:val="top"/>
          </w:tcPr>
          <w:p>
            <w:pPr>
              <w:rPr>
                <w:rFonts w:ascii="宋体" w:hAnsi="宋体"/>
                <w:sz w:val="18"/>
              </w:rPr>
            </w:pPr>
            <w:r>
              <w:rPr>
                <w:rFonts w:hint="eastAsia" w:ascii="宋体" w:hAnsi="宋体"/>
                <w:color w:val="000000"/>
                <w:sz w:val="18"/>
              </w:rPr>
              <w:t>能效等级</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0</w:t>
            </w:r>
          </w:p>
        </w:tc>
        <w:tc>
          <w:tcPr>
            <w:tcW w:w="1305" w:type="dxa"/>
            <w:noWrap w:val="0"/>
            <w:vAlign w:val="top"/>
          </w:tcPr>
          <w:p>
            <w:pPr>
              <w:jc w:val="center"/>
              <w:rPr>
                <w:rFonts w:ascii="宋体" w:hAnsi="宋体"/>
                <w:color w:val="000000"/>
                <w:sz w:val="18"/>
              </w:rPr>
            </w:pPr>
            <w:r>
              <w:rPr>
                <w:rFonts w:hint="eastAsia" w:ascii="宋体" w:hAnsi="宋体"/>
                <w:color w:val="000000"/>
                <w:sz w:val="18"/>
              </w:rPr>
              <w:t>电动机</w:t>
            </w:r>
          </w:p>
        </w:tc>
        <w:tc>
          <w:tcPr>
            <w:tcW w:w="2701" w:type="dxa"/>
            <w:gridSpan w:val="4"/>
            <w:noWrap w:val="0"/>
            <w:vAlign w:val="top"/>
          </w:tcPr>
          <w:p>
            <w:pPr>
              <w:rPr>
                <w:rFonts w:ascii="宋体" w:hAnsi="宋体"/>
                <w:sz w:val="18"/>
              </w:rPr>
            </w:pPr>
            <w:r>
              <w:rPr>
                <w:rFonts w:hint="eastAsia" w:ascii="宋体" w:hAnsi="宋体"/>
                <w:color w:val="000000"/>
                <w:sz w:val="18"/>
              </w:rPr>
              <w:t>能效等级</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1</w:t>
            </w:r>
          </w:p>
        </w:tc>
        <w:tc>
          <w:tcPr>
            <w:tcW w:w="1305" w:type="dxa"/>
            <w:noWrap w:val="0"/>
            <w:vAlign w:val="top"/>
          </w:tcPr>
          <w:p>
            <w:pPr>
              <w:jc w:val="center"/>
              <w:rPr>
                <w:rFonts w:ascii="宋体" w:hAnsi="宋体"/>
                <w:color w:val="000000"/>
                <w:sz w:val="18"/>
              </w:rPr>
            </w:pPr>
            <w:r>
              <w:rPr>
                <w:rFonts w:hint="eastAsia" w:ascii="宋体" w:hAnsi="宋体"/>
                <w:color w:val="000000"/>
                <w:sz w:val="18"/>
              </w:rPr>
              <w:t>交流接触器</w:t>
            </w:r>
          </w:p>
        </w:tc>
        <w:tc>
          <w:tcPr>
            <w:tcW w:w="2701" w:type="dxa"/>
            <w:gridSpan w:val="4"/>
            <w:noWrap w:val="0"/>
            <w:vAlign w:val="top"/>
          </w:tcPr>
          <w:p>
            <w:pPr>
              <w:rPr>
                <w:rFonts w:ascii="宋体" w:hAnsi="宋体"/>
                <w:sz w:val="18"/>
              </w:rPr>
            </w:pPr>
            <w:r>
              <w:rPr>
                <w:rFonts w:hint="eastAsia" w:ascii="宋体" w:hAnsi="宋体"/>
                <w:color w:val="000000"/>
                <w:sz w:val="18"/>
              </w:rPr>
              <w:t>能效等级</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2</w:t>
            </w:r>
          </w:p>
        </w:tc>
        <w:tc>
          <w:tcPr>
            <w:tcW w:w="1305" w:type="dxa"/>
            <w:vMerge w:val="restart"/>
            <w:noWrap w:val="0"/>
            <w:vAlign w:val="center"/>
          </w:tcPr>
          <w:p>
            <w:pPr>
              <w:jc w:val="center"/>
              <w:rPr>
                <w:rFonts w:ascii="宋体" w:hAnsi="宋体"/>
                <w:color w:val="000000"/>
                <w:sz w:val="18"/>
              </w:rPr>
            </w:pPr>
            <w:r>
              <w:rPr>
                <w:rFonts w:hint="eastAsia"/>
                <w:color w:val="000000"/>
                <w:sz w:val="18"/>
                <w:szCs w:val="18"/>
              </w:rPr>
              <w:t>可再生能源的利用</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太阳能热水系统/光伏系统</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top"/>
          </w:tcPr>
          <w:p>
            <w:pPr>
              <w:rPr>
                <w:rFonts w:ascii="宋体" w:hAnsi="宋体"/>
                <w:color w:val="000000"/>
                <w:sz w:val="18"/>
              </w:rPr>
            </w:pPr>
          </w:p>
        </w:tc>
        <w:tc>
          <w:tcPr>
            <w:tcW w:w="2701" w:type="dxa"/>
            <w:gridSpan w:val="4"/>
            <w:noWrap w:val="0"/>
            <w:vAlign w:val="top"/>
          </w:tcPr>
          <w:p>
            <w:pPr>
              <w:spacing w:line="280" w:lineRule="exact"/>
              <w:jc w:val="center"/>
              <w:rPr>
                <w:rFonts w:hAnsi="宋体"/>
                <w:color w:val="000000"/>
                <w:sz w:val="18"/>
                <w:szCs w:val="18"/>
              </w:rPr>
            </w:pPr>
            <w:r>
              <w:rPr>
                <w:rFonts w:hint="eastAsia" w:ascii="宋体" w:hAnsi="宋体"/>
                <w:color w:val="000000"/>
                <w:sz w:val="18"/>
              </w:rPr>
              <w:t>其它</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3</w:t>
            </w:r>
          </w:p>
        </w:tc>
        <w:tc>
          <w:tcPr>
            <w:tcW w:w="4006" w:type="dxa"/>
            <w:gridSpan w:val="5"/>
            <w:noWrap w:val="0"/>
            <w:vAlign w:val="top"/>
          </w:tcPr>
          <w:p>
            <w:pPr>
              <w:spacing w:line="280" w:lineRule="exact"/>
              <w:jc w:val="center"/>
              <w:rPr>
                <w:rFonts w:ascii="宋体" w:hAnsi="宋体"/>
                <w:color w:val="000000"/>
                <w:sz w:val="18"/>
              </w:rPr>
            </w:pPr>
            <w:r>
              <w:rPr>
                <w:rFonts w:hint="eastAsia" w:ascii="宋体" w:hAnsi="宋体"/>
                <w:color w:val="000000"/>
                <w:sz w:val="18"/>
              </w:rPr>
              <w:t>是否取得公共建筑能耗上传确认报告</w:t>
            </w:r>
          </w:p>
        </w:tc>
        <w:tc>
          <w:tcPr>
            <w:tcW w:w="9412" w:type="dxa"/>
            <w:gridSpan w:val="4"/>
            <w:noWrap w:val="0"/>
            <w:vAlign w:val="top"/>
          </w:tcPr>
          <w:p>
            <w:pPr>
              <w:spacing w:line="280" w:lineRule="exact"/>
              <w:jc w:val="center"/>
              <w:rPr>
                <w:rFonts w:ascii="宋体" w:hAnsi="宋体"/>
                <w:color w:val="000000"/>
                <w:sz w:val="18"/>
              </w:rPr>
            </w:pPr>
            <w:r>
              <w:rPr>
                <w:rFonts w:ascii="宋体" w:hAnsi="宋体"/>
                <w:color w:val="000000"/>
                <w:sz w:val="18"/>
              </w:rPr>
              <w:sym w:font="Wingdings 2" w:char="F0A3"/>
            </w:r>
            <w:r>
              <w:rPr>
                <w:rFonts w:hint="eastAsia" w:ascii="宋体" w:hAnsi="宋体"/>
                <w:color w:val="000000"/>
                <w:sz w:val="18"/>
              </w:rPr>
              <w:t xml:space="preserve">已取得 </w:t>
            </w:r>
            <w:r>
              <w:rPr>
                <w:rFonts w:ascii="宋体" w:hAnsi="宋体"/>
                <w:color w:val="000000"/>
                <w:sz w:val="18"/>
              </w:rPr>
              <w:sym w:font="Wingdings 2" w:char="F0A3"/>
            </w:r>
            <w:r>
              <w:rPr>
                <w:rFonts w:hint="eastAsia" w:ascii="宋体" w:hAnsi="宋体"/>
                <w:color w:val="000000"/>
                <w:sz w:val="18"/>
              </w:rPr>
              <w:t xml:space="preserve">未取得 </w:t>
            </w:r>
            <w:r>
              <w:rPr>
                <w:rFonts w:ascii="宋体" w:hAnsi="宋体"/>
                <w:color w:val="000000"/>
                <w:sz w:val="18"/>
              </w:rPr>
              <w:sym w:font="Wingdings 2" w:char="F0A3"/>
            </w:r>
            <w:r>
              <w:rPr>
                <w:rFonts w:hint="eastAsia" w:ascii="宋体" w:hAnsi="宋体"/>
                <w:color w:val="000000"/>
                <w:sz w:val="18"/>
              </w:rPr>
              <w:t>无需上传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4</w:t>
            </w:r>
          </w:p>
        </w:tc>
        <w:tc>
          <w:tcPr>
            <w:tcW w:w="4006" w:type="dxa"/>
            <w:gridSpan w:val="5"/>
            <w:noWrap w:val="0"/>
            <w:vAlign w:val="top"/>
          </w:tcPr>
          <w:p>
            <w:pPr>
              <w:spacing w:line="280" w:lineRule="exact"/>
              <w:jc w:val="center"/>
              <w:rPr>
                <w:rFonts w:ascii="宋体" w:hAnsi="宋体"/>
                <w:color w:val="000000"/>
                <w:sz w:val="18"/>
              </w:rPr>
            </w:pPr>
            <w:r>
              <w:rPr>
                <w:rFonts w:hint="eastAsia" w:ascii="宋体" w:hAnsi="宋体"/>
                <w:color w:val="000000"/>
                <w:sz w:val="18"/>
              </w:rPr>
              <w:t>规定性指标符合情况</w:t>
            </w:r>
          </w:p>
        </w:tc>
        <w:tc>
          <w:tcPr>
            <w:tcW w:w="9412" w:type="dxa"/>
            <w:gridSpan w:val="4"/>
            <w:noWrap w:val="0"/>
            <w:vAlign w:val="top"/>
          </w:tcPr>
          <w:p>
            <w:pPr>
              <w:spacing w:line="280" w:lineRule="exact"/>
              <w:jc w:val="center"/>
              <w:rPr>
                <w:rFonts w:ascii="宋体" w:hAnsi="宋体"/>
                <w:color w:val="000000"/>
                <w:sz w:val="18"/>
              </w:rPr>
            </w:pPr>
            <w:r>
              <w:rPr>
                <w:rFonts w:ascii="宋体" w:hAnsi="宋体"/>
                <w:color w:val="000000"/>
                <w:sz w:val="18"/>
              </w:rPr>
              <w:sym w:font="Wingdings 2" w:char="F0A3"/>
            </w:r>
            <w:r>
              <w:rPr>
                <w:rFonts w:hint="eastAsia" w:ascii="宋体" w:hAnsi="宋体"/>
                <w:color w:val="000000"/>
                <w:sz w:val="18"/>
              </w:rPr>
              <w:t xml:space="preserve">符合 </w:t>
            </w:r>
            <w:r>
              <w:rPr>
                <w:rFonts w:ascii="宋体" w:hAnsi="宋体"/>
                <w:color w:val="000000"/>
                <w:sz w:val="18"/>
              </w:rPr>
              <w:sym w:font="Wingdings 2" w:char="F0A3"/>
            </w:r>
            <w:r>
              <w:rPr>
                <w:rFonts w:hint="eastAsia" w:ascii="宋体" w:hAnsi="宋体"/>
                <w:color w:val="000000"/>
                <w:sz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5</w:t>
            </w:r>
          </w:p>
        </w:tc>
        <w:tc>
          <w:tcPr>
            <w:tcW w:w="4006" w:type="dxa"/>
            <w:gridSpan w:val="5"/>
            <w:vMerge w:val="restart"/>
            <w:noWrap w:val="0"/>
            <w:vAlign w:val="top"/>
          </w:tcPr>
          <w:p>
            <w:pPr>
              <w:spacing w:line="280" w:lineRule="exact"/>
              <w:jc w:val="center"/>
              <w:rPr>
                <w:rFonts w:ascii="宋体" w:hAnsi="宋体"/>
                <w:color w:val="000000"/>
                <w:sz w:val="18"/>
              </w:rPr>
            </w:pPr>
            <w:r>
              <w:rPr>
                <w:rFonts w:hint="eastAsia" w:ascii="宋体" w:hAnsi="宋体"/>
                <w:color w:val="000000"/>
                <w:sz w:val="18"/>
              </w:rPr>
              <w:t>权衡判断情况(空调采暖年耗电指数)</w:t>
            </w:r>
          </w:p>
        </w:tc>
        <w:tc>
          <w:tcPr>
            <w:tcW w:w="2216" w:type="dxa"/>
            <w:noWrap w:val="0"/>
            <w:vAlign w:val="top"/>
          </w:tcPr>
          <w:p>
            <w:pPr>
              <w:jc w:val="center"/>
              <w:rPr>
                <w:rFonts w:ascii="宋体" w:hAnsi="宋体"/>
                <w:color w:val="000000"/>
                <w:sz w:val="18"/>
              </w:rPr>
            </w:pPr>
            <w:r>
              <w:rPr>
                <w:rFonts w:hint="eastAsia" w:ascii="宋体" w:hAnsi="宋体"/>
                <w:color w:val="000000"/>
                <w:sz w:val="18"/>
              </w:rPr>
              <w:t>参照建筑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sz w:val="18"/>
              </w:rPr>
            </w:pPr>
          </w:p>
        </w:tc>
        <w:tc>
          <w:tcPr>
            <w:tcW w:w="4006" w:type="dxa"/>
            <w:gridSpan w:val="5"/>
            <w:vMerge w:val="continue"/>
            <w:noWrap w:val="0"/>
            <w:vAlign w:val="top"/>
          </w:tcPr>
          <w:p>
            <w:pPr>
              <w:spacing w:line="280" w:lineRule="exact"/>
              <w:jc w:val="center"/>
              <w:rPr>
                <w:rFonts w:ascii="宋体" w:hAnsi="宋体"/>
                <w:color w:val="000000"/>
                <w:sz w:val="18"/>
              </w:rPr>
            </w:pPr>
          </w:p>
        </w:tc>
        <w:tc>
          <w:tcPr>
            <w:tcW w:w="2216" w:type="dxa"/>
            <w:noWrap w:val="0"/>
            <w:vAlign w:val="top"/>
          </w:tcPr>
          <w:p>
            <w:pPr>
              <w:jc w:val="center"/>
              <w:rPr>
                <w:rFonts w:ascii="宋体" w:hAnsi="宋体"/>
                <w:color w:val="000000"/>
                <w:sz w:val="18"/>
              </w:rPr>
            </w:pPr>
            <w:r>
              <w:rPr>
                <w:rFonts w:hint="eastAsia" w:ascii="宋体" w:hAnsi="宋体"/>
                <w:color w:val="000000"/>
                <w:sz w:val="18"/>
              </w:rPr>
              <w:t>本建筑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6</w:t>
            </w:r>
          </w:p>
        </w:tc>
        <w:tc>
          <w:tcPr>
            <w:tcW w:w="4006" w:type="dxa"/>
            <w:gridSpan w:val="5"/>
            <w:vMerge w:val="restart"/>
            <w:noWrap w:val="0"/>
            <w:vAlign w:val="center"/>
          </w:tcPr>
          <w:p>
            <w:pPr>
              <w:spacing w:line="280" w:lineRule="exact"/>
              <w:jc w:val="center"/>
              <w:rPr>
                <w:rFonts w:ascii="宋体" w:hAnsi="宋体"/>
                <w:color w:val="000000"/>
                <w:sz w:val="18"/>
              </w:rPr>
            </w:pPr>
            <w:r>
              <w:rPr>
                <w:rFonts w:hint="eastAsia" w:ascii="宋体" w:hAnsi="宋体"/>
                <w:color w:val="000000"/>
                <w:sz w:val="18"/>
              </w:rPr>
              <w:t>碳排放强度kgCO2/（㎡·a）</w:t>
            </w:r>
          </w:p>
        </w:tc>
        <w:tc>
          <w:tcPr>
            <w:tcW w:w="2216" w:type="dxa"/>
            <w:noWrap w:val="0"/>
            <w:vAlign w:val="top"/>
          </w:tcPr>
          <w:p>
            <w:pPr>
              <w:jc w:val="center"/>
              <w:rPr>
                <w:rFonts w:ascii="宋体" w:hAnsi="宋体"/>
                <w:color w:val="000000"/>
                <w:sz w:val="18"/>
              </w:rPr>
            </w:pPr>
            <w:r>
              <w:rPr>
                <w:rFonts w:hint="eastAsia" w:ascii="宋体" w:hAnsi="宋体"/>
                <w:color w:val="000000"/>
                <w:sz w:val="18"/>
              </w:rPr>
              <w:t>参照建筑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top"/>
          </w:tcPr>
          <w:p>
            <w:pPr>
              <w:jc w:val="center"/>
              <w:rPr>
                <w:rFonts w:ascii="宋体" w:hAnsi="宋体"/>
                <w:color w:val="000000"/>
                <w:sz w:val="18"/>
              </w:rPr>
            </w:pPr>
          </w:p>
        </w:tc>
        <w:tc>
          <w:tcPr>
            <w:tcW w:w="4006" w:type="dxa"/>
            <w:gridSpan w:val="5"/>
            <w:vMerge w:val="continue"/>
            <w:noWrap w:val="0"/>
            <w:vAlign w:val="top"/>
          </w:tcPr>
          <w:p>
            <w:pPr>
              <w:spacing w:line="280" w:lineRule="exact"/>
              <w:jc w:val="center"/>
              <w:rPr>
                <w:rFonts w:ascii="宋体" w:hAnsi="宋体"/>
                <w:color w:val="000000"/>
                <w:sz w:val="18"/>
              </w:rPr>
            </w:pPr>
          </w:p>
        </w:tc>
        <w:tc>
          <w:tcPr>
            <w:tcW w:w="2216" w:type="dxa"/>
            <w:noWrap w:val="0"/>
            <w:vAlign w:val="top"/>
          </w:tcPr>
          <w:p>
            <w:pPr>
              <w:jc w:val="center"/>
              <w:rPr>
                <w:rFonts w:ascii="宋体" w:hAnsi="宋体"/>
                <w:color w:val="000000"/>
                <w:sz w:val="18"/>
              </w:rPr>
            </w:pPr>
            <w:r>
              <w:rPr>
                <w:rFonts w:hint="eastAsia" w:ascii="宋体" w:hAnsi="宋体"/>
                <w:color w:val="000000"/>
                <w:sz w:val="18"/>
              </w:rPr>
              <w:t>本建筑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bl>
    <w:p/>
    <w:p>
      <w:pPr>
        <w:widowControl/>
        <w:jc w:val="left"/>
      </w:pPr>
      <w:r>
        <w:br w:type="page"/>
      </w:r>
    </w:p>
    <w:p>
      <w:pPr>
        <w:widowControl/>
        <w:jc w:val="center"/>
        <w:rPr>
          <w:rFonts w:eastAsia="黑体"/>
          <w:b/>
          <w:color w:val="000000"/>
          <w:sz w:val="40"/>
          <w:szCs w:val="40"/>
        </w:rPr>
      </w:pPr>
      <w:r>
        <w:rPr>
          <w:rFonts w:hint="eastAsia" w:eastAsia="黑体"/>
          <w:b/>
          <w:color w:val="000000"/>
          <w:sz w:val="40"/>
          <w:szCs w:val="40"/>
        </w:rPr>
        <w:t>装配式建筑核查表</w:t>
      </w:r>
    </w:p>
    <w:p>
      <w:pPr>
        <w:widowControl/>
        <w:jc w:val="center"/>
        <w:rPr>
          <w:rFonts w:eastAsia="黑体"/>
          <w:b/>
          <w:color w:val="000000"/>
          <w:sz w:val="40"/>
          <w:szCs w:val="40"/>
        </w:rPr>
      </w:pPr>
      <w:r>
        <w:rPr>
          <w:rFonts w:hint="eastAsia" w:ascii="宋体" w:hAnsi="宋体"/>
          <w:color w:val="000000"/>
          <w:sz w:val="15"/>
          <w:szCs w:val="15"/>
        </w:rPr>
        <w:t>（此表为装配式混凝土建筑的样例，钢结构根据评分规则参照调整相关技术项）</w:t>
      </w:r>
    </w:p>
    <w:tbl>
      <w:tblPr>
        <w:tblStyle w:val="2"/>
        <w:tblW w:w="13988" w:type="dxa"/>
        <w:tblInd w:w="-5" w:type="dxa"/>
        <w:tblLayout w:type="fixed"/>
        <w:tblCellMar>
          <w:top w:w="0" w:type="dxa"/>
          <w:left w:w="0" w:type="dxa"/>
          <w:bottom w:w="0" w:type="dxa"/>
          <w:right w:w="0" w:type="dxa"/>
        </w:tblCellMar>
      </w:tblPr>
      <w:tblGrid>
        <w:gridCol w:w="607"/>
        <w:gridCol w:w="1617"/>
        <w:gridCol w:w="3849"/>
        <w:gridCol w:w="3374"/>
        <w:gridCol w:w="767"/>
        <w:gridCol w:w="951"/>
        <w:gridCol w:w="1164"/>
        <w:gridCol w:w="1659"/>
      </w:tblGrid>
      <w:tr>
        <w:tblPrEx>
          <w:tblCellMar>
            <w:top w:w="0" w:type="dxa"/>
            <w:left w:w="0" w:type="dxa"/>
            <w:bottom w:w="0" w:type="dxa"/>
            <w:right w:w="0" w:type="dxa"/>
          </w:tblCellMar>
        </w:tblPrEx>
        <w:trPr>
          <w:trHeight w:val="720" w:hRule="atLeast"/>
          <w:tblHeader/>
        </w:trPr>
        <w:tc>
          <w:tcPr>
            <w:tcW w:w="2224" w:type="dxa"/>
            <w:gridSpan w:val="2"/>
            <w:tcBorders>
              <w:top w:val="single" w:color="auto" w:sz="4" w:space="0"/>
              <w:left w:val="single" w:color="auto" w:sz="4" w:space="0"/>
              <w:bottom w:val="single" w:color="auto" w:sz="4" w:space="0"/>
              <w:right w:val="single" w:color="auto" w:sz="4" w:space="0"/>
            </w:tcBorders>
            <w:shd w:val="clear" w:color="auto" w:fill="D8D8D8"/>
            <w:noWrap/>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技术项</w:t>
            </w:r>
          </w:p>
        </w:tc>
        <w:tc>
          <w:tcPr>
            <w:tcW w:w="3849" w:type="dxa"/>
            <w:tcBorders>
              <w:top w:val="single" w:color="auto" w:sz="4" w:space="0"/>
              <w:left w:val="single" w:color="auto" w:sz="4" w:space="0"/>
              <w:bottom w:val="single" w:color="auto" w:sz="4" w:space="0"/>
              <w:right w:val="single" w:color="auto" w:sz="4" w:space="0"/>
            </w:tcBorders>
            <w:shd w:val="clear" w:color="auto" w:fill="D8D8D8"/>
            <w:noWrap/>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技术要求</w:t>
            </w:r>
          </w:p>
        </w:tc>
        <w:tc>
          <w:tcPr>
            <w:tcW w:w="3374"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施工图自评说明</w:t>
            </w:r>
          </w:p>
        </w:tc>
        <w:tc>
          <w:tcPr>
            <w:tcW w:w="767"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设计评审得分</w:t>
            </w:r>
          </w:p>
        </w:tc>
        <w:tc>
          <w:tcPr>
            <w:tcW w:w="951"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现场实施情况</w:t>
            </w:r>
          </w:p>
        </w:tc>
        <w:tc>
          <w:tcPr>
            <w:tcW w:w="1164"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核查</w:t>
            </w:r>
          </w:p>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结论</w:t>
            </w:r>
          </w:p>
        </w:tc>
        <w:tc>
          <w:tcPr>
            <w:tcW w:w="1659"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备注</w:t>
            </w:r>
          </w:p>
        </w:tc>
      </w:tr>
      <w:tr>
        <w:tblPrEx>
          <w:tblCellMar>
            <w:top w:w="0" w:type="dxa"/>
            <w:left w:w="0" w:type="dxa"/>
            <w:bottom w:w="0" w:type="dxa"/>
            <w:right w:w="0" w:type="dxa"/>
          </w:tblCellMar>
        </w:tblPrEx>
        <w:trPr>
          <w:trHeight w:val="801" w:hRule="atLeast"/>
        </w:trPr>
        <w:tc>
          <w:tcPr>
            <w:tcW w:w="607" w:type="dxa"/>
            <w:vMerge w:val="restart"/>
            <w:tcBorders>
              <w:top w:val="single" w:color="auto"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Style w:val="5"/>
                <w:rFonts w:hint="default" w:hAnsi="等线"/>
                <w:sz w:val="18"/>
                <w:szCs w:val="18"/>
                <w:lang w:bidi="ar"/>
              </w:rPr>
              <w:t>标准化</w:t>
            </w:r>
            <w:r>
              <w:rPr>
                <w:rStyle w:val="5"/>
                <w:rFonts w:hint="default" w:hAnsi="等线"/>
                <w:sz w:val="18"/>
                <w:szCs w:val="18"/>
                <w:lang w:bidi="ar"/>
              </w:rPr>
              <w:br w:type="textWrapping"/>
            </w:r>
            <w:r>
              <w:rPr>
                <w:rStyle w:val="5"/>
                <w:rFonts w:hint="default" w:hAnsi="等线"/>
                <w:sz w:val="18"/>
                <w:szCs w:val="18"/>
                <w:lang w:bidi="ar"/>
              </w:rPr>
              <w:t>设计</w:t>
            </w:r>
            <w:r>
              <w:rPr>
                <w:rStyle w:val="5"/>
                <w:rFonts w:hint="default" w:hAnsi="等线"/>
                <w:sz w:val="18"/>
                <w:szCs w:val="18"/>
                <w:lang w:bidi="ar"/>
              </w:rPr>
              <w:br w:type="textWrapping"/>
            </w:r>
            <w:r>
              <w:rPr>
                <w:rStyle w:val="5"/>
                <w:rFonts w:hint="default" w:hAnsi="等线"/>
                <w:sz w:val="18"/>
                <w:szCs w:val="18"/>
                <w:lang w:bidi="ar"/>
              </w:rPr>
              <w:t>（5分）</w:t>
            </w:r>
          </w:p>
        </w:tc>
        <w:tc>
          <w:tcPr>
            <w:tcW w:w="161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*户型标准化</w:t>
            </w:r>
          </w:p>
        </w:tc>
        <w:tc>
          <w:tcPr>
            <w:tcW w:w="384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Style w:val="6"/>
                <w:rFonts w:hint="default" w:hAnsi="等线"/>
                <w:sz w:val="18"/>
                <w:szCs w:val="18"/>
                <w:lang w:bidi="ar"/>
              </w:rPr>
              <w:t>标准化户型应用比例≥80%，</w:t>
            </w:r>
            <w:r>
              <w:rPr>
                <w:rStyle w:val="6"/>
                <w:rFonts w:hint="default" w:hAnsi="等线"/>
                <w:sz w:val="18"/>
                <w:szCs w:val="18"/>
                <w:lang w:bidi="ar"/>
              </w:rPr>
              <w:br w:type="textWrapping"/>
            </w:r>
            <w:r>
              <w:rPr>
                <w:rStyle w:val="6"/>
                <w:rFonts w:hint="default" w:hAnsi="等线"/>
                <w:sz w:val="18"/>
                <w:szCs w:val="18"/>
                <w:lang w:bidi="ar"/>
              </w:rPr>
              <w:t>或单一户型比例≥60%</w:t>
            </w:r>
          </w:p>
        </w:tc>
        <w:tc>
          <w:tcPr>
            <w:tcW w:w="337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标准化户型应用比例为：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或单一户型比例：</w:t>
            </w:r>
            <w:r>
              <w:rPr>
                <w:rStyle w:val="7"/>
                <w:rFonts w:hint="default" w:hAnsi="等线"/>
                <w:sz w:val="18"/>
                <w:szCs w:val="18"/>
                <w:lang w:bidi="ar"/>
              </w:rPr>
              <w:t xml:space="preserve">      </w:t>
            </w:r>
            <w:r>
              <w:rPr>
                <w:rStyle w:val="6"/>
                <w:rFonts w:hint="default" w:hAnsi="等线"/>
                <w:sz w:val="18"/>
                <w:szCs w:val="18"/>
                <w:lang w:bidi="ar"/>
              </w:rPr>
              <w:t>%</w:t>
            </w:r>
          </w:p>
        </w:tc>
        <w:tc>
          <w:tcPr>
            <w:tcW w:w="76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构件标准化</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60%≤标准化构件应用比例≤80%</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标准化构件应用比例为：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419"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主体结构</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工程</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（40分）</w:t>
            </w: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竖向构件</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①35%≤竖向构件比例≤80%</w:t>
            </w:r>
            <w:r>
              <w:rPr>
                <w:rFonts w:hint="eastAsia" w:ascii="仿宋_GB2312" w:hAnsi="等线" w:eastAsia="仿宋_GB2312" w:cs="仿宋_GB2312"/>
                <w:color w:val="000000"/>
                <w:kern w:val="0"/>
                <w:sz w:val="18"/>
                <w:szCs w:val="18"/>
                <w:lang w:bidi="ar"/>
              </w:rPr>
              <w:br w:type="textWrapping"/>
            </w:r>
            <w:r>
              <w:rPr>
                <w:rFonts w:hint="eastAsia" w:ascii="仿宋_GB2312" w:hAnsi="等线" w:eastAsia="仿宋_GB2312" w:cs="仿宋_GB2312"/>
                <w:color w:val="000000"/>
                <w:kern w:val="0"/>
                <w:sz w:val="18"/>
                <w:szCs w:val="18"/>
                <w:lang w:bidi="ar"/>
              </w:rPr>
              <w:t>②5%≤竖向构件比例&lt;35%，非预制构件部分应采用装配式模板工艺</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竖向构件比例为：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r>
              <w:rPr>
                <w:rStyle w:val="6"/>
                <w:rFonts w:hint="default" w:hAnsi="等线"/>
                <w:sz w:val="18"/>
                <w:szCs w:val="18"/>
                <w:lang w:bidi="ar"/>
              </w:rPr>
              <w:br w:type="textWrapping"/>
            </w:r>
            <w:r>
              <w:rPr>
                <w:rStyle w:val="6"/>
                <w:rFonts w:hint="default" w:hAnsi="等线"/>
                <w:sz w:val="18"/>
                <w:szCs w:val="18"/>
                <w:lang w:bidi="ar"/>
              </w:rPr>
              <w:t>非预制构件部分（□是 □否）采用装配式模板工艺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419"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水平构件</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①70%≤水平构件比例≤80%</w:t>
            </w:r>
            <w:r>
              <w:rPr>
                <w:rFonts w:hint="eastAsia" w:ascii="仿宋_GB2312" w:hAnsi="等线" w:eastAsia="仿宋_GB2312" w:cs="仿宋_GB2312"/>
                <w:color w:val="000000"/>
                <w:kern w:val="0"/>
                <w:sz w:val="18"/>
                <w:szCs w:val="18"/>
                <w:lang w:bidi="ar"/>
              </w:rPr>
              <w:br w:type="textWrapping"/>
            </w:r>
            <w:r>
              <w:rPr>
                <w:rFonts w:hint="eastAsia" w:ascii="仿宋_GB2312" w:hAnsi="等线" w:eastAsia="仿宋_GB2312" w:cs="仿宋_GB2312"/>
                <w:color w:val="000000"/>
                <w:kern w:val="0"/>
                <w:sz w:val="18"/>
                <w:szCs w:val="18"/>
                <w:lang w:bidi="ar"/>
              </w:rPr>
              <w:t>②10%≤水平构件比例&lt;70%，非预制构件部分应采用装配式模板工艺</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水平构件比例为：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r>
              <w:rPr>
                <w:rStyle w:val="6"/>
                <w:rFonts w:hint="default" w:hAnsi="等线"/>
                <w:sz w:val="18"/>
                <w:szCs w:val="18"/>
                <w:lang w:bidi="ar"/>
              </w:rPr>
              <w:br w:type="textWrapping"/>
            </w:r>
            <w:r>
              <w:rPr>
                <w:rStyle w:val="6"/>
                <w:rFonts w:hint="default" w:hAnsi="等线"/>
                <w:sz w:val="18"/>
                <w:szCs w:val="18"/>
                <w:lang w:bidi="ar"/>
              </w:rPr>
              <w:t>非预制构件部分（□是 □否）采用装配式模板工艺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5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装配化施工</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共3项，按满足项数评分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□否）采用工具式脚手架</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各层楼板现浇部分采用成品钢筋网比例为：</w:t>
            </w:r>
            <w:r>
              <w:rPr>
                <w:rStyle w:val="7"/>
                <w:rFonts w:hint="default" w:hAnsi="等线"/>
                <w:sz w:val="18"/>
                <w:szCs w:val="18"/>
                <w:lang w:bidi="ar"/>
              </w:rPr>
              <w:t xml:space="preserve">     </w:t>
            </w:r>
            <w:r>
              <w:rPr>
                <w:rStyle w:val="6"/>
                <w:rFonts w:hint="default" w:hAnsi="等线"/>
                <w:sz w:val="18"/>
                <w:szCs w:val="18"/>
                <w:lang w:bidi="ar"/>
              </w:rPr>
              <w:t>%</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86"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□否）采用提升式混凝土布料机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95"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围护墙和内隔墙</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（20分）</w:t>
            </w:r>
          </w:p>
        </w:tc>
        <w:tc>
          <w:tcPr>
            <w:tcW w:w="1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外</w:t>
            </w:r>
            <w:r>
              <w:rPr>
                <w:rStyle w:val="6"/>
                <w:rFonts w:hint="default" w:hAnsi="等线"/>
                <w:sz w:val="18"/>
                <w:szCs w:val="18"/>
                <w:lang w:bidi="ar"/>
              </w:rPr>
              <w:t>墙非砌筑、</w:t>
            </w:r>
            <w:r>
              <w:rPr>
                <w:rStyle w:val="6"/>
                <w:rFonts w:hint="default" w:hAnsi="等线"/>
                <w:sz w:val="18"/>
                <w:szCs w:val="18"/>
                <w:lang w:bidi="ar"/>
              </w:rPr>
              <w:br w:type="textWrapping"/>
            </w:r>
            <w:r>
              <w:rPr>
                <w:rStyle w:val="6"/>
                <w:rFonts w:hint="default" w:hAnsi="等线"/>
                <w:sz w:val="18"/>
                <w:szCs w:val="18"/>
                <w:lang w:bidi="ar"/>
              </w:rPr>
              <w:t>免抹灰</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80%≤外墙非砌筑、免抹灰比例≤100%</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外墙非砌筑、免抹灰比例为：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r>
              <w:rPr>
                <w:rStyle w:val="6"/>
                <w:rFonts w:hint="default" w:hAnsi="等线"/>
                <w:sz w:val="18"/>
                <w:szCs w:val="18"/>
                <w:lang w:bidi="ar"/>
              </w:rPr>
              <w:t xml:space="preserve"> </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244"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外</w:t>
            </w:r>
            <w:r>
              <w:rPr>
                <w:rStyle w:val="6"/>
                <w:rFonts w:hint="default" w:hAnsi="等线"/>
                <w:sz w:val="18"/>
                <w:szCs w:val="18"/>
                <w:lang w:bidi="ar"/>
              </w:rPr>
              <w:t>墙与装饰、保温隔热一体化</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共5项，按满足项数评分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□否）外墙门窗、阳台栏杆、外装饰、幕墙等与建筑和结构一体化设计，外装饰和幕墙预埋件有详细深化设计</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预制外墙门窗（□是 □否）采用预埋窗框或附框</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预制外墙的瓷砖、石材、涂料等饰面（□是 □否）在工厂生产一并完成</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外墙内保温（□是 □否）采用板材类保温材料，工地现场（□是 □否）采用干式工法施工</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□否）预制外墙的保温层在工厂生产一并完成</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□否）采用单元式幕墙</w:t>
            </w:r>
            <w:r>
              <w:rPr>
                <w:rFonts w:hint="eastAsia" w:ascii="仿宋_GB2312" w:hAnsi="等线" w:eastAsia="仿宋_GB2312" w:cs="仿宋_GB2312"/>
                <w:color w:val="000000"/>
                <w:kern w:val="0"/>
                <w:sz w:val="18"/>
                <w:szCs w:val="18"/>
                <w:lang w:bidi="ar"/>
              </w:rPr>
              <w:br w:type="textWrapping"/>
            </w:r>
            <w:r>
              <w:rPr>
                <w:rFonts w:hint="eastAsia" w:ascii="仿宋_GB2312" w:hAnsi="等线" w:eastAsia="仿宋_GB2312" w:cs="仿宋_GB2312"/>
                <w:color w:val="000000"/>
                <w:kern w:val="0"/>
                <w:sz w:val="18"/>
                <w:szCs w:val="18"/>
                <w:lang w:bidi="ar"/>
              </w:rPr>
              <w:t>单元式幕墙面积比例为：</w:t>
            </w:r>
            <w:r>
              <w:rPr>
                <w:rStyle w:val="7"/>
                <w:rFonts w:hint="default" w:hAnsi="等线"/>
                <w:sz w:val="18"/>
                <w:szCs w:val="18"/>
                <w:lang w:bidi="ar"/>
              </w:rPr>
              <w:t xml:space="preserve">     </w:t>
            </w:r>
            <w:r>
              <w:rPr>
                <w:rStyle w:val="6"/>
                <w:rFonts w:hint="default" w:hAnsi="等线"/>
                <w:sz w:val="18"/>
                <w:szCs w:val="18"/>
                <w:lang w:bidi="ar"/>
              </w:rPr>
              <w:t>%</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8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内隔墙非砌筑、免抹灰</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70%≤内隔墙非砌筑、免抹灰比例≤100%</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内隔墙非砌筑、免抹灰比例为：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501"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装修和</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机电</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（30分）</w:t>
            </w: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全装修</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按满足要求评分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□否）满足全装修要求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2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*集成厨房</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共3项，按满足项数评分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墙面（□是 □否）采用干挂或薄贴工艺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地面（□是 □否）采用架铺、干铺或薄贴工艺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橱柜、灶具、五金等设备配置（□是 □否）齐全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70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集成卫生间</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共4项，按满足项数评分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墙面（□是 □否）采用干挂或薄贴工艺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72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地面（□是 □否）采用架铺、干铺或薄贴工艺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洁柜、洁具、五金配置等设备（□是 □否）齐全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419"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整体卫浴应用比例为：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其它卫生间做法（□是 □否）符合墙面和地面采用干式工法，洁柜、洁具、五金等设备配置齐全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干式工法</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共4项，按满足项数评分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□否）楼面混凝土一次性成型，地面水平度和平整度偏差不大于4mm/2m</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地面（□是 □否）采用架铺、干铺或薄贴工艺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公共区域装修墙面（□是 □否）采用干挂或薄贴工艺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92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公共区域装修地面（□是 □否）采用架铺、干铺或薄贴工艺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01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机电装修一体化、管线分离</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共3项，按满足项数评分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□否）建筑、结构、机电与装修一体化设计，实现各专业协调，满足预制构件生产、装配式施工的要求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85"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□否）机电管线在结构和墙体内一次性预埋预留，墙体布置、机电管线预埋预留和定位须与装修要求一致，无现场剔凿</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□否）主体结构和管线分离，机电管线应敷设在地面架空层、非承重墙体空腔和吊顶内等位置，无现场剔凿</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3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*穿插流水施工</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按满足要求评分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□否）满足穿插流水施工要求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40"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信息化</w:t>
            </w:r>
            <w:r>
              <w:rPr>
                <w:rFonts w:hint="eastAsia" w:ascii="仿宋_GB2312" w:hAnsi="等线" w:eastAsia="仿宋_GB2312" w:cs="仿宋_GB2312"/>
                <w:b/>
                <w:color w:val="000000"/>
                <w:kern w:val="0"/>
                <w:sz w:val="18"/>
                <w:szCs w:val="18"/>
                <w:lang w:bidi="ar"/>
              </w:rPr>
              <w:br w:type="textWrapping"/>
            </w:r>
            <w:r>
              <w:rPr>
                <w:rStyle w:val="5"/>
                <w:rFonts w:hint="default" w:hAnsi="等线"/>
                <w:sz w:val="18"/>
                <w:szCs w:val="18"/>
                <w:lang w:bidi="ar"/>
              </w:rPr>
              <w:t>应用</w:t>
            </w:r>
            <w:r>
              <w:rPr>
                <w:rStyle w:val="5"/>
                <w:rFonts w:hint="default" w:hAnsi="等线"/>
                <w:sz w:val="18"/>
                <w:szCs w:val="18"/>
                <w:lang w:bidi="ar"/>
              </w:rPr>
              <w:br w:type="textWrapping"/>
            </w:r>
            <w:r>
              <w:rPr>
                <w:rStyle w:val="5"/>
                <w:rFonts w:hint="default" w:hAnsi="等线"/>
                <w:sz w:val="18"/>
                <w:szCs w:val="18"/>
                <w:lang w:bidi="ar"/>
              </w:rPr>
              <w:t>（5分）</w:t>
            </w: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BIM应用</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按建设各阶段BIM应用情况评分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设计阶段（□是 □否）按要求实施BIM应用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8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施工阶段（□是 □否）按要求实施BIM应用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设计、生产、施工阶段一体化全过程（□是 □否）按要求实施BIM应用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信息化管理</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按建设各阶段信息化管理情况评分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生产阶段（□是 □否）按要求采用信息化管理</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施工阶段（□是 □否）按要求采用信息化管理</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加分项</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（2分）</w:t>
            </w: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工程总承包模式</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工程总承包商为一家单位，全面负责建设项目的设计、采购、施工和调试服务工作。</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工程总承包合同（□是 □否）满足要求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999"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工程总承包商为联合体单位，联合体中有总负责单位，负责统筹建设项目的设计、采购、施工和调试服务工作。</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工程总承包合同（□是 □否）满足要求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bl>
    <w:p>
      <w:pPr>
        <w:rPr>
          <w:sz w:val="18"/>
          <w:szCs w:val="18"/>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等线">
    <w:altName w:val="华文仿宋"/>
    <w:panose1 w:val="02010600030101010101"/>
    <w:charset w:val="00"/>
    <w:family w:val="auto"/>
    <w:pitch w:val="default"/>
    <w:sig w:usb0="00000000" w:usb1="00000000" w:usb2="00000016" w:usb3="00000000" w:csb0="0004000F" w:csb1="00000000"/>
  </w:font>
  <w:font w:name="Wingdings 2">
    <w:altName w:val="Standard Symbols PS"/>
    <w:panose1 w:val="05020102010507070707"/>
    <w:charset w:val="00"/>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E378934"/>
    <w:rsid w:val="FBC626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basedOn w:val="2"/>
    <w:qFormat/>
    <w:uiPriority w:val="59"/>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qFormat/>
    <w:uiPriority w:val="0"/>
    <w:rPr>
      <w:rFonts w:hint="eastAsia" w:ascii="仿宋_GB2312" w:eastAsia="仿宋_GB2312" w:cs="仿宋_GB2312"/>
      <w:b/>
      <w:color w:val="000000"/>
      <w:sz w:val="24"/>
      <w:szCs w:val="24"/>
      <w:u w:val="none"/>
    </w:rPr>
  </w:style>
  <w:style w:type="character" w:customStyle="1" w:styleId="6">
    <w:name w:val="font91"/>
    <w:basedOn w:val="4"/>
    <w:qFormat/>
    <w:uiPriority w:val="0"/>
    <w:rPr>
      <w:rFonts w:hint="eastAsia" w:ascii="仿宋_GB2312" w:eastAsia="仿宋_GB2312" w:cs="仿宋_GB2312"/>
      <w:color w:val="000000"/>
      <w:sz w:val="24"/>
      <w:szCs w:val="24"/>
      <w:u w:val="none"/>
    </w:rPr>
  </w:style>
  <w:style w:type="character" w:customStyle="1" w:styleId="7">
    <w:name w:val="font61"/>
    <w:basedOn w:val="4"/>
    <w:qFormat/>
    <w:uiPriority w:val="0"/>
    <w:rPr>
      <w:rFonts w:hint="eastAsia" w:ascii="仿宋_GB2312" w:eastAsia="仿宋_GB2312" w:cs="仿宋_GB2312"/>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cj_silw</cp:lastModifiedBy>
  <dcterms:modified xsi:type="dcterms:W3CDTF">2022-12-26T17:50:50Z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