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78" w:lineRule="exact"/>
        <w:ind w:firstLine="0" w:firstLineChars="0"/>
        <w:textAlignment w:val="auto"/>
        <w:rPr>
          <w:rFonts w:hint="default" w:ascii="黑体" w:hAnsi="黑体" w:eastAsia="黑体"/>
          <w:color w:val="auto"/>
          <w:sz w:val="32"/>
          <w:szCs w:val="32"/>
          <w:highlight w:val="none"/>
          <w:u w:val="none"/>
          <w:lang w:val="en-US" w:eastAsia="zh-CN"/>
        </w:rPr>
      </w:pPr>
      <w:bookmarkStart w:id="8" w:name="_GoBack"/>
      <w:bookmarkEnd w:id="8"/>
      <w:r>
        <w:rPr>
          <w:rFonts w:hint="eastAsia" w:ascii="黑体" w:hAnsi="黑体" w:eastAsia="黑体"/>
          <w:color w:val="auto"/>
          <w:sz w:val="32"/>
          <w:szCs w:val="32"/>
          <w:highlight w:val="none"/>
          <w:u w:val="none"/>
        </w:rPr>
        <w:t>附件</w:t>
      </w:r>
      <w:r>
        <w:rPr>
          <w:rFonts w:hint="eastAsia" w:ascii="黑体" w:hAnsi="黑体" w:eastAsia="黑体"/>
          <w:color w:val="auto"/>
          <w:sz w:val="32"/>
          <w:szCs w:val="32"/>
          <w:highlight w:val="none"/>
          <w:u w:val="none"/>
          <w:lang w:val="en-US" w:eastAsia="zh-CN"/>
        </w:rPr>
        <w:t>1</w:t>
      </w:r>
    </w:p>
    <w:p>
      <w:pPr>
        <w:pStyle w:val="2"/>
        <w:pageBreakBefore w:val="0"/>
        <w:kinsoku/>
        <w:wordWrap/>
        <w:overflowPunct/>
        <w:topLinePunct w:val="0"/>
        <w:autoSpaceDE/>
        <w:autoSpaceDN/>
        <w:bidi w:val="0"/>
        <w:adjustRightInd/>
        <w:snapToGrid/>
        <w:spacing w:after="0" w:line="578" w:lineRule="exact"/>
        <w:ind w:firstLine="640"/>
        <w:textAlignment w:val="auto"/>
        <w:rPr>
          <w:color w:val="auto"/>
          <w:sz w:val="44"/>
          <w:szCs w:val="44"/>
          <w:u w:val="none"/>
        </w:rPr>
      </w:pPr>
    </w:p>
    <w:p>
      <w:pPr>
        <w:pageBreakBefore w:val="0"/>
        <w:kinsoku/>
        <w:wordWrap/>
        <w:overflowPunct/>
        <w:topLinePunct w:val="0"/>
        <w:autoSpaceDE/>
        <w:autoSpaceDN/>
        <w:bidi w:val="0"/>
        <w:adjustRightInd/>
        <w:snapToGrid/>
        <w:spacing w:line="578" w:lineRule="exact"/>
        <w:ind w:firstLine="0" w:firstLineChars="0"/>
        <w:jc w:val="center"/>
        <w:textAlignment w:val="auto"/>
        <w:rPr>
          <w:rFonts w:ascii="宋体" w:hAnsi="宋体" w:eastAsia="宋体" w:cs="宋体"/>
          <w:b/>
          <w:bCs/>
          <w:color w:val="auto"/>
          <w:sz w:val="44"/>
          <w:szCs w:val="44"/>
          <w:u w:val="none"/>
        </w:rPr>
      </w:pPr>
      <w:r>
        <w:rPr>
          <w:rFonts w:hint="eastAsia" w:ascii="方正小标宋简体" w:hAnsi="方正小标宋简体" w:eastAsia="方正小标宋简体" w:cs="方正小标宋简体"/>
          <w:color w:val="auto"/>
          <w:sz w:val="44"/>
          <w:szCs w:val="44"/>
          <w:u w:val="none"/>
        </w:rPr>
        <w:t>深圳市保障性住房规划建设管理办法</w:t>
      </w:r>
    </w:p>
    <w:p>
      <w:pPr>
        <w:pStyle w:val="2"/>
        <w:pageBreakBefore w:val="0"/>
        <w:kinsoku/>
        <w:wordWrap/>
        <w:overflowPunct/>
        <w:topLinePunct w:val="0"/>
        <w:autoSpaceDE/>
        <w:autoSpaceDN/>
        <w:bidi w:val="0"/>
        <w:adjustRightInd/>
        <w:snapToGrid/>
        <w:spacing w:after="0" w:line="578" w:lineRule="exact"/>
        <w:ind w:firstLine="0" w:firstLineChars="0"/>
        <w:jc w:val="center"/>
        <w:textAlignment w:val="auto"/>
        <w:rPr>
          <w:rFonts w:ascii="楷体_GB2312" w:hAnsi="楷体_GB2312" w:eastAsia="楷体_GB2312" w:cs="楷体_GB2312"/>
          <w:color w:val="auto"/>
          <w:szCs w:val="32"/>
          <w:u w:val="none"/>
        </w:rPr>
      </w:pPr>
      <w:r>
        <w:rPr>
          <w:rFonts w:hint="eastAsia" w:ascii="楷体_GB2312" w:hAnsi="楷体_GB2312" w:eastAsia="楷体_GB2312" w:cs="楷体_GB2312"/>
          <w:color w:val="auto"/>
          <w:szCs w:val="32"/>
          <w:u w:val="none"/>
        </w:rPr>
        <w:t>（</w:t>
      </w:r>
      <w:r>
        <w:rPr>
          <w:rFonts w:hint="default" w:ascii="楷体_GB2312" w:hAnsi="楷体_GB2312" w:eastAsia="楷体_GB2312" w:cs="楷体_GB2312"/>
          <w:color w:val="auto"/>
          <w:szCs w:val="32"/>
          <w:u w:val="none"/>
          <w:lang w:val="en-US" w:eastAsia="zh-CN"/>
        </w:rPr>
        <w:t>征求意见</w:t>
      </w:r>
      <w:r>
        <w:rPr>
          <w:rFonts w:hint="default" w:ascii="楷体_GB2312" w:hAnsi="楷体_GB2312" w:eastAsia="楷体_GB2312" w:cs="楷体_GB2312"/>
          <w:color w:val="auto"/>
          <w:szCs w:val="32"/>
          <w:u w:val="none"/>
          <w:lang w:val="en-US"/>
        </w:rPr>
        <w:t>稿</w:t>
      </w:r>
      <w:r>
        <w:rPr>
          <w:rFonts w:hint="eastAsia" w:ascii="楷体_GB2312" w:hAnsi="楷体_GB2312" w:eastAsia="楷体_GB2312" w:cs="楷体_GB2312"/>
          <w:color w:val="auto"/>
          <w:szCs w:val="32"/>
          <w:u w:val="none"/>
        </w:rPr>
        <w:t>）</w:t>
      </w:r>
    </w:p>
    <w:p>
      <w:pPr>
        <w:pStyle w:val="2"/>
        <w:pageBreakBefore w:val="0"/>
        <w:kinsoku/>
        <w:wordWrap/>
        <w:overflowPunct/>
        <w:topLinePunct w:val="0"/>
        <w:autoSpaceDE/>
        <w:autoSpaceDN/>
        <w:bidi w:val="0"/>
        <w:adjustRightInd/>
        <w:snapToGrid/>
        <w:spacing w:after="0" w:line="578" w:lineRule="exact"/>
        <w:ind w:firstLine="640"/>
        <w:textAlignment w:val="auto"/>
        <w:rPr>
          <w:color w:val="auto"/>
          <w:u w:val="none"/>
        </w:rPr>
      </w:pPr>
    </w:p>
    <w:p>
      <w:pPr>
        <w:pStyle w:val="4"/>
        <w:keepNext w:val="0"/>
        <w:keepLines w:val="0"/>
        <w:pageBreakBefore w:val="0"/>
        <w:widowControl w:val="0"/>
        <w:kinsoku/>
        <w:wordWrap/>
        <w:overflowPunct/>
        <w:topLinePunct w:val="0"/>
        <w:autoSpaceDE/>
        <w:autoSpaceDN/>
        <w:bidi w:val="0"/>
        <w:adjustRightInd/>
        <w:snapToGrid/>
        <w:spacing w:before="0" w:after="0" w:line="578" w:lineRule="exact"/>
        <w:ind w:firstLine="0" w:firstLineChars="0"/>
        <w:textAlignment w:val="auto"/>
        <w:rPr>
          <w:rFonts w:ascii="楷体_GB2312" w:hAnsi="楷体_GB2312" w:eastAsia="楷体_GB2312" w:cs="楷体_GB2312"/>
          <w:color w:val="auto"/>
          <w:szCs w:val="32"/>
          <w:u w:val="none"/>
        </w:rPr>
      </w:pPr>
      <w:r>
        <w:rPr>
          <w:rFonts w:hint="eastAsia" w:ascii="黑体" w:hAnsi="黑体"/>
          <w:b w:val="0"/>
          <w:bCs w:val="0"/>
          <w:color w:val="auto"/>
          <w:u w:val="none"/>
        </w:rPr>
        <w:t>第一章</w:t>
      </w:r>
      <w:r>
        <w:rPr>
          <w:rFonts w:ascii="黑体" w:hAnsi="黑体"/>
          <w:b w:val="0"/>
          <w:bCs w:val="0"/>
          <w:color w:val="auto"/>
          <w:u w:val="none"/>
        </w:rPr>
        <w:t xml:space="preserve"> </w:t>
      </w:r>
      <w:r>
        <w:rPr>
          <w:rFonts w:hint="eastAsia" w:ascii="黑体" w:hAnsi="黑体"/>
          <w:b w:val="0"/>
          <w:bCs w:val="0"/>
          <w:color w:val="auto"/>
          <w:u w:val="none"/>
        </w:rPr>
        <w:t>总则</w:t>
      </w:r>
    </w:p>
    <w:p>
      <w:pPr>
        <w:pStyle w:val="2"/>
        <w:spacing w:line="578" w:lineRule="exact"/>
        <w:rPr>
          <w:rFonts w:ascii="Calibri"/>
          <w:color w:val="auto"/>
          <w:u w:val="none"/>
        </w:rPr>
      </w:pPr>
    </w:p>
    <w:p>
      <w:pPr>
        <w:keepNext w:val="0"/>
        <w:keepLines w:val="0"/>
        <w:pageBreakBefore w:val="0"/>
        <w:widowControl w:val="0"/>
        <w:tabs>
          <w:tab w:val="left" w:pos="0"/>
        </w:tabs>
        <w:kinsoku/>
        <w:wordWrap/>
        <w:overflowPunct/>
        <w:topLinePunct w:val="0"/>
        <w:autoSpaceDE/>
        <w:autoSpaceDN/>
        <w:bidi w:val="0"/>
        <w:adjustRightInd/>
        <w:snapToGrid/>
        <w:spacing w:line="578" w:lineRule="exact"/>
        <w:ind w:firstLine="0"/>
        <w:textAlignment w:val="auto"/>
        <w:outlineLvl w:val="2"/>
        <w:rPr>
          <w:rFonts w:ascii="仿宋_GB2312"/>
          <w:color w:val="auto"/>
          <w:u w:val="none"/>
        </w:rPr>
      </w:pPr>
      <w:r>
        <w:rPr>
          <w:rStyle w:val="15"/>
          <w:rFonts w:hint="eastAsia" w:ascii="仿宋_GB2312"/>
          <w:color w:val="auto"/>
          <w:u w:val="none"/>
        </w:rPr>
        <w:t>第一条</w:t>
      </w:r>
      <w:r>
        <w:rPr>
          <w:rStyle w:val="15"/>
          <w:rFonts w:hint="eastAsia" w:ascii="仿宋_GB2312" w:eastAsia="仿宋_GB2312"/>
          <w:color w:val="auto"/>
          <w:u w:val="none"/>
        </w:rPr>
        <w:t>【</w:t>
      </w:r>
      <w:r>
        <w:rPr>
          <w:rStyle w:val="15"/>
          <w:rFonts w:hint="eastAsia" w:ascii="黑体" w:hAnsi="黑体" w:cs="黑体"/>
          <w:color w:val="auto"/>
          <w:u w:val="none"/>
        </w:rPr>
        <w:t>立法目的</w:t>
      </w:r>
      <w:r>
        <w:rPr>
          <w:rStyle w:val="15"/>
          <w:rFonts w:hint="eastAsia" w:ascii="仿宋_GB2312" w:eastAsia="仿宋_GB2312"/>
          <w:color w:val="auto"/>
          <w:u w:val="none"/>
        </w:rPr>
        <w:t>】</w:t>
      </w:r>
      <w:bookmarkStart w:id="0" w:name="_Hlk17793259"/>
      <w:r>
        <w:rPr>
          <w:rStyle w:val="15"/>
          <w:rFonts w:hint="eastAsia" w:ascii="仿宋_GB2312"/>
          <w:color w:val="auto"/>
          <w:u w:val="none"/>
        </w:rPr>
        <w:t xml:space="preserve">  </w:t>
      </w:r>
      <w:r>
        <w:rPr>
          <w:rFonts w:hint="eastAsia" w:ascii="仿宋_GB2312" w:hAnsi="仿宋_GB2312" w:cs="仿宋_GB2312"/>
          <w:color w:val="auto"/>
          <w:szCs w:val="32"/>
          <w:highlight w:val="none"/>
          <w:u w:val="none"/>
        </w:rPr>
        <w:t>为贯彻落实党中央、国务院关于加快建立多主体供给、多渠道保障、租购并举</w:t>
      </w:r>
      <w:r>
        <w:rPr>
          <w:rFonts w:hint="eastAsia" w:ascii="仿宋_GB2312" w:hAnsi="仿宋_GB2312" w:cs="仿宋_GB2312"/>
          <w:color w:val="auto"/>
          <w:szCs w:val="32"/>
          <w:highlight w:val="none"/>
          <w:u w:val="none"/>
          <w:lang w:val="en-US" w:eastAsia="zh-CN"/>
        </w:rPr>
        <w:t>的</w:t>
      </w:r>
      <w:r>
        <w:rPr>
          <w:rFonts w:hint="eastAsia" w:ascii="仿宋_GB2312" w:hAnsi="仿宋_GB2312" w:cs="仿宋_GB2312"/>
          <w:color w:val="auto"/>
          <w:szCs w:val="32"/>
          <w:highlight w:val="none"/>
          <w:u w:val="none"/>
        </w:rPr>
        <w:t>住房制度的决策部署，</w:t>
      </w:r>
      <w:r>
        <w:rPr>
          <w:rFonts w:hint="eastAsia" w:ascii="仿宋_GB2312" w:hAnsi="仿宋_GB2312" w:cs="仿宋_GB2312"/>
          <w:color w:val="auto"/>
          <w:szCs w:val="32"/>
          <w:u w:val="none"/>
        </w:rPr>
        <w:t>完善本市住房保障体系，</w:t>
      </w:r>
      <w:r>
        <w:rPr>
          <w:rFonts w:ascii="仿宋_GB2312" w:hAnsi="仿宋_GB2312" w:cs="仿宋_GB2312"/>
          <w:color w:val="auto"/>
          <w:szCs w:val="32"/>
          <w:u w:val="none"/>
        </w:rPr>
        <w:t>加强</w:t>
      </w:r>
      <w:r>
        <w:rPr>
          <w:rFonts w:hint="eastAsia" w:ascii="仿宋_GB2312" w:hAnsi="仿宋_GB2312" w:cs="仿宋_GB2312"/>
          <w:color w:val="auto"/>
          <w:szCs w:val="32"/>
          <w:u w:val="none"/>
        </w:rPr>
        <w:t>保障性住房规划建设</w:t>
      </w:r>
      <w:r>
        <w:rPr>
          <w:rFonts w:ascii="仿宋_GB2312" w:hAnsi="仿宋_GB2312" w:cs="仿宋_GB2312"/>
          <w:color w:val="auto"/>
          <w:szCs w:val="32"/>
          <w:u w:val="none"/>
        </w:rPr>
        <w:t>管理</w:t>
      </w:r>
      <w:r>
        <w:rPr>
          <w:rFonts w:hint="eastAsia" w:ascii="仿宋_GB2312" w:hAnsi="仿宋_GB2312" w:cs="仿宋_GB2312"/>
          <w:color w:val="auto"/>
          <w:szCs w:val="32"/>
          <w:u w:val="none"/>
        </w:rPr>
        <w:t>，结合本市实际，制定本办法。</w:t>
      </w:r>
      <w:bookmarkEnd w:id="0"/>
    </w:p>
    <w:p>
      <w:pPr>
        <w:keepNext w:val="0"/>
        <w:keepLines w:val="0"/>
        <w:pageBreakBefore w:val="0"/>
        <w:widowControl w:val="0"/>
        <w:tabs>
          <w:tab w:val="left" w:pos="0"/>
        </w:tabs>
        <w:kinsoku/>
        <w:wordWrap/>
        <w:overflowPunct/>
        <w:topLinePunct w:val="0"/>
        <w:autoSpaceDE/>
        <w:autoSpaceDN/>
        <w:bidi w:val="0"/>
        <w:adjustRightInd/>
        <w:snapToGrid/>
        <w:spacing w:line="578" w:lineRule="exact"/>
        <w:ind w:firstLine="0"/>
        <w:textAlignment w:val="auto"/>
        <w:outlineLvl w:val="2"/>
        <w:rPr>
          <w:rFonts w:ascii="仿宋_GB2312"/>
          <w:color w:val="auto"/>
          <w:u w:val="none"/>
        </w:rPr>
      </w:pPr>
      <w:r>
        <w:rPr>
          <w:rStyle w:val="15"/>
          <w:rFonts w:hint="eastAsia" w:ascii="仿宋_GB2312"/>
          <w:color w:val="auto"/>
          <w:u w:val="none"/>
        </w:rPr>
        <w:t>第二条</w:t>
      </w:r>
      <w:r>
        <w:rPr>
          <w:rStyle w:val="15"/>
          <w:rFonts w:hint="eastAsia" w:ascii="仿宋_GB2312" w:eastAsia="仿宋_GB2312"/>
          <w:color w:val="auto"/>
          <w:u w:val="none"/>
        </w:rPr>
        <w:t>【</w:t>
      </w:r>
      <w:r>
        <w:rPr>
          <w:rStyle w:val="15"/>
          <w:rFonts w:hint="eastAsia" w:ascii="黑体" w:hAnsi="黑体"/>
          <w:color w:val="auto"/>
          <w:u w:val="none"/>
        </w:rPr>
        <w:t>适用范围</w:t>
      </w:r>
      <w:r>
        <w:rPr>
          <w:rStyle w:val="15"/>
          <w:rFonts w:hint="eastAsia" w:ascii="仿宋_GB2312" w:eastAsia="仿宋_GB2312"/>
          <w:color w:val="auto"/>
          <w:u w:val="none"/>
        </w:rPr>
        <w:t>】</w:t>
      </w:r>
      <w:r>
        <w:rPr>
          <w:rStyle w:val="15"/>
          <w:rFonts w:hint="eastAsia" w:ascii="仿宋_GB2312"/>
          <w:color w:val="auto"/>
          <w:u w:val="none"/>
        </w:rPr>
        <w:t xml:space="preserve">  </w:t>
      </w:r>
      <w:r>
        <w:rPr>
          <w:rFonts w:hint="eastAsia" w:ascii="仿宋_GB2312"/>
          <w:color w:val="auto"/>
          <w:u w:val="none"/>
        </w:rPr>
        <w:t>本办法适用于本市保障性住房的规划计划、建设筹集、监督管理等活动。</w:t>
      </w:r>
    </w:p>
    <w:p>
      <w:pPr>
        <w:keepNext w:val="0"/>
        <w:keepLines w:val="0"/>
        <w:pageBreakBefore w:val="0"/>
        <w:widowControl w:val="0"/>
        <w:tabs>
          <w:tab w:val="left" w:pos="0"/>
        </w:tabs>
        <w:kinsoku/>
        <w:wordWrap/>
        <w:overflowPunct/>
        <w:topLinePunct w:val="0"/>
        <w:autoSpaceDE/>
        <w:autoSpaceDN/>
        <w:bidi w:val="0"/>
        <w:adjustRightInd/>
        <w:snapToGrid/>
        <w:spacing w:line="578" w:lineRule="exact"/>
        <w:ind w:firstLine="0"/>
        <w:textAlignment w:val="auto"/>
        <w:outlineLvl w:val="2"/>
        <w:rPr>
          <w:rFonts w:ascii="仿宋_GB2312" w:hAnsi="仿宋_GB2312"/>
          <w:color w:val="auto"/>
          <w:u w:val="none"/>
        </w:rPr>
      </w:pPr>
      <w:r>
        <w:rPr>
          <w:rFonts w:hint="eastAsia" w:ascii="黑体" w:hAnsi="黑体" w:eastAsia="黑体" w:cs="黑体"/>
          <w:color w:val="auto"/>
          <w:u w:val="none"/>
        </w:rPr>
        <w:t>第三条【定义</w:t>
      </w:r>
      <w:r>
        <w:rPr>
          <w:rFonts w:hint="eastAsia" w:ascii="黑体" w:hAnsi="黑体" w:cs="黑体"/>
          <w:color w:val="auto"/>
          <w:u w:val="none"/>
        </w:rPr>
        <w:t>】  本办法所称保障性住房，指公共租赁住房、保障性租赁住房、共有产权住房。</w:t>
      </w:r>
    </w:p>
    <w:p>
      <w:pPr>
        <w:keepNext w:val="0"/>
        <w:keepLines w:val="0"/>
        <w:pageBreakBefore w:val="0"/>
        <w:widowControl w:val="0"/>
        <w:kinsoku/>
        <w:wordWrap/>
        <w:overflowPunct/>
        <w:topLinePunct w:val="0"/>
        <w:autoSpaceDE/>
        <w:autoSpaceDN/>
        <w:bidi w:val="0"/>
        <w:adjustRightInd/>
        <w:snapToGrid/>
        <w:spacing w:line="578" w:lineRule="exact"/>
        <w:ind w:firstLine="0"/>
        <w:textAlignment w:val="auto"/>
        <w:rPr>
          <w:rFonts w:ascii="仿宋_GB2312"/>
          <w:color w:val="auto"/>
          <w:u w:val="none"/>
        </w:rPr>
      </w:pPr>
      <w:r>
        <w:rPr>
          <w:rFonts w:hint="eastAsia" w:ascii="黑体" w:hAnsi="黑体" w:cs="黑体"/>
          <w:color w:val="auto"/>
          <w:u w:val="none"/>
        </w:rPr>
        <w:t>本办法所称</w:t>
      </w:r>
      <w:r>
        <w:rPr>
          <w:rFonts w:hint="eastAsia" w:ascii="仿宋_GB2312"/>
          <w:color w:val="auto"/>
          <w:u w:val="none"/>
        </w:rPr>
        <w:t>公共租赁住房，是指政府提供政策优惠，限定建设标准和租金水平，面向符合条件的住房困难户籍居民和为社会提供基本公共服务的一线职工出租的住房。</w:t>
      </w:r>
    </w:p>
    <w:p>
      <w:pPr>
        <w:keepNext w:val="0"/>
        <w:keepLines w:val="0"/>
        <w:pageBreakBefore w:val="0"/>
        <w:widowControl w:val="0"/>
        <w:kinsoku/>
        <w:wordWrap/>
        <w:overflowPunct/>
        <w:topLinePunct w:val="0"/>
        <w:autoSpaceDE/>
        <w:autoSpaceDN/>
        <w:bidi w:val="0"/>
        <w:adjustRightInd/>
        <w:snapToGrid/>
        <w:spacing w:line="578" w:lineRule="exact"/>
        <w:ind w:firstLine="0"/>
        <w:textAlignment w:val="auto"/>
        <w:rPr>
          <w:color w:val="auto"/>
          <w:u w:val="none"/>
        </w:rPr>
      </w:pPr>
      <w:r>
        <w:rPr>
          <w:rFonts w:hint="eastAsia" w:ascii="仿宋_GB2312"/>
          <w:color w:val="auto"/>
          <w:u w:val="none"/>
        </w:rPr>
        <w:t>本办法所称保障性租赁住房，是</w:t>
      </w:r>
      <w:r>
        <w:rPr>
          <w:rFonts w:hint="eastAsia" w:ascii="仿宋_GB2312" w:hAnsi="仿宋_GB2312" w:cs="仿宋_GB2312"/>
          <w:color w:val="auto"/>
          <w:szCs w:val="32"/>
          <w:u w:val="none"/>
        </w:rPr>
        <w:t>指政府给予政策支持，发挥市场作用，坚持小户型、低租金，</w:t>
      </w:r>
      <w:r>
        <w:rPr>
          <w:rFonts w:hint="eastAsia"/>
          <w:color w:val="auto"/>
          <w:u w:val="none"/>
        </w:rPr>
        <w:t>面向符合条件的新市民、青年人</w:t>
      </w:r>
      <w:r>
        <w:rPr>
          <w:rFonts w:hint="eastAsia"/>
          <w:color w:val="auto"/>
          <w:u w:val="none"/>
          <w:lang w:eastAsia="zh-CN"/>
        </w:rPr>
        <w:t>、</w:t>
      </w:r>
      <w:r>
        <w:rPr>
          <w:rFonts w:hint="eastAsia"/>
          <w:color w:val="auto"/>
          <w:u w:val="none"/>
          <w:lang w:val="en-US" w:eastAsia="zh-CN"/>
        </w:rPr>
        <w:t>各类人才</w:t>
      </w:r>
      <w:r>
        <w:rPr>
          <w:rFonts w:hint="eastAsia"/>
          <w:color w:val="auto"/>
          <w:u w:val="none"/>
        </w:rPr>
        <w:t>租赁</w:t>
      </w:r>
      <w:r>
        <w:rPr>
          <w:rFonts w:hint="eastAsia" w:ascii="仿宋_GB2312" w:hAnsi="仿宋_GB2312" w:cs="仿宋_GB2312"/>
          <w:color w:val="auto"/>
          <w:szCs w:val="32"/>
          <w:u w:val="none"/>
        </w:rPr>
        <w:t>的住房</w:t>
      </w:r>
      <w:r>
        <w:rPr>
          <w:rFonts w:hint="eastAsia" w:ascii="仿宋_GB2312"/>
          <w:color w:val="auto"/>
          <w:u w:val="none"/>
        </w:rPr>
        <w:t>。</w:t>
      </w:r>
    </w:p>
    <w:p>
      <w:pPr>
        <w:pStyle w:val="2"/>
        <w:keepNext w:val="0"/>
        <w:keepLines w:val="0"/>
        <w:pageBreakBefore w:val="0"/>
        <w:widowControl/>
        <w:kinsoku/>
        <w:wordWrap/>
        <w:overflowPunct/>
        <w:topLinePunct w:val="0"/>
        <w:autoSpaceDE/>
        <w:autoSpaceDN/>
        <w:bidi w:val="0"/>
        <w:adjustRightInd/>
        <w:snapToGrid/>
        <w:spacing w:after="0" w:line="578" w:lineRule="exact"/>
        <w:ind w:firstLine="0"/>
        <w:textAlignment w:val="auto"/>
        <w:outlineLvl w:val="9"/>
        <w:rPr>
          <w:rFonts w:ascii="Calibri" w:hAnsi="Calibri" w:cs="Times New Roman"/>
          <w:bCs w:val="0"/>
          <w:color w:val="auto"/>
          <w:szCs w:val="22"/>
          <w:u w:val="none"/>
        </w:rPr>
      </w:pPr>
      <w:r>
        <w:rPr>
          <w:rFonts w:hint="default" w:ascii="Calibri" w:hAnsi="Calibri" w:cs="Times New Roman"/>
          <w:color w:val="auto"/>
          <w:u w:val="none"/>
        </w:rPr>
        <w:t>本办法所称</w:t>
      </w:r>
      <w:r>
        <w:rPr>
          <w:rFonts w:hint="default" w:ascii="Calibri" w:hAnsi="Calibri" w:cs="Times New Roman"/>
          <w:bCs w:val="0"/>
          <w:color w:val="auto"/>
          <w:szCs w:val="22"/>
          <w:u w:val="none"/>
        </w:rPr>
        <w:t>共有产权住房，是指政府提供政策支持，主要采用市场化方式建设筹集，限定套型面积、销售价格、使用和处分权利等，面向符合条件的居民供应，实行政府与购房人按份共有产权的住房。</w:t>
      </w:r>
    </w:p>
    <w:p>
      <w:pPr>
        <w:keepNext w:val="0"/>
        <w:keepLines w:val="0"/>
        <w:pageBreakBefore w:val="0"/>
        <w:widowControl w:val="0"/>
        <w:tabs>
          <w:tab w:val="left" w:pos="0"/>
        </w:tabs>
        <w:kinsoku/>
        <w:wordWrap/>
        <w:overflowPunct/>
        <w:topLinePunct w:val="0"/>
        <w:autoSpaceDE/>
        <w:autoSpaceDN/>
        <w:bidi w:val="0"/>
        <w:adjustRightInd/>
        <w:snapToGrid/>
        <w:spacing w:line="578" w:lineRule="exact"/>
        <w:ind w:firstLine="0"/>
        <w:textAlignment w:val="auto"/>
        <w:outlineLvl w:val="2"/>
        <w:rPr>
          <w:color w:val="auto"/>
          <w:u w:val="none"/>
        </w:rPr>
      </w:pPr>
      <w:r>
        <w:rPr>
          <w:rStyle w:val="15"/>
          <w:rFonts w:hint="eastAsia" w:ascii="仿宋_GB2312"/>
          <w:color w:val="auto"/>
          <w:u w:val="none"/>
        </w:rPr>
        <w:t>第四条</w:t>
      </w:r>
      <w:r>
        <w:rPr>
          <w:rStyle w:val="15"/>
          <w:rFonts w:hint="eastAsia" w:ascii="仿宋_GB2312" w:eastAsia="仿宋_GB2312"/>
          <w:color w:val="auto"/>
          <w:u w:val="none"/>
        </w:rPr>
        <w:t>【</w:t>
      </w:r>
      <w:r>
        <w:rPr>
          <w:rStyle w:val="15"/>
          <w:rFonts w:hint="eastAsia" w:ascii="黑体" w:hAnsi="黑体"/>
          <w:color w:val="auto"/>
          <w:u w:val="none"/>
        </w:rPr>
        <w:t>市级部门职责</w:t>
      </w:r>
      <w:r>
        <w:rPr>
          <w:rFonts w:hint="eastAsia" w:ascii="仿宋_GB2312"/>
          <w:color w:val="auto"/>
          <w:u w:val="none"/>
        </w:rPr>
        <w:t>】  市住房主管部门（以下简称市主管部门）负责拟定全市保障性住房规划、计划、标准和配套政策；指导、监督各区开展相关工作；</w:t>
      </w:r>
      <w:r>
        <w:rPr>
          <w:rFonts w:hint="eastAsia" w:ascii="仿宋_GB2312" w:hAnsi="仿宋_GB2312" w:cs="仿宋_GB2312"/>
          <w:color w:val="auto"/>
          <w:szCs w:val="32"/>
          <w:u w:val="none"/>
        </w:rPr>
        <w:t>组织实施市本级保障性住房</w:t>
      </w:r>
      <w:r>
        <w:rPr>
          <w:rFonts w:ascii="仿宋_GB2312" w:hAnsi="仿宋_GB2312" w:cs="仿宋_GB2312"/>
          <w:color w:val="auto"/>
          <w:szCs w:val="32"/>
          <w:u w:val="none"/>
        </w:rPr>
        <w:t>的</w:t>
      </w:r>
      <w:r>
        <w:rPr>
          <w:rFonts w:hint="eastAsia" w:ascii="仿宋_GB2312" w:hAnsi="仿宋_GB2312" w:cs="仿宋_GB2312"/>
          <w:color w:val="auto"/>
          <w:szCs w:val="32"/>
          <w:u w:val="none"/>
        </w:rPr>
        <w:t>建设筹集、监督管理等工作</w:t>
      </w:r>
      <w:r>
        <w:rPr>
          <w:rFonts w:hint="eastAsia" w:ascii="仿宋_GB2312"/>
          <w:color w:val="auto"/>
          <w:u w:val="none"/>
        </w:rPr>
        <w:t>；</w:t>
      </w:r>
      <w:r>
        <w:rPr>
          <w:rFonts w:hint="eastAsia" w:ascii="仿宋_GB2312" w:hAnsi="仿宋_GB2312" w:cs="仿宋_GB2312"/>
          <w:color w:val="auto"/>
          <w:szCs w:val="32"/>
          <w:highlight w:val="none"/>
          <w:u w:val="none"/>
        </w:rPr>
        <w:t>承担市保障性租赁住房发展工作领导小组办公室</w:t>
      </w:r>
      <w:r>
        <w:rPr>
          <w:rFonts w:hint="eastAsia" w:ascii="仿宋_GB2312" w:hAnsi="仿宋_GB2312" w:cs="仿宋_GB2312"/>
          <w:color w:val="auto"/>
          <w:szCs w:val="32"/>
          <w:highlight w:val="none"/>
          <w:u w:val="none"/>
          <w:lang w:eastAsia="zh-CN"/>
        </w:rPr>
        <w:t>（</w:t>
      </w:r>
      <w:r>
        <w:rPr>
          <w:rFonts w:hint="eastAsia" w:ascii="仿宋_GB2312" w:hAnsi="仿宋_GB2312" w:cs="仿宋_GB2312"/>
          <w:color w:val="auto"/>
          <w:szCs w:val="32"/>
          <w:highlight w:val="none"/>
          <w:u w:val="none"/>
          <w:lang w:val="en-US" w:eastAsia="zh-CN"/>
        </w:rPr>
        <w:t>以下简称</w:t>
      </w:r>
      <w:r>
        <w:rPr>
          <w:rFonts w:hint="eastAsia" w:ascii="仿宋_GB2312" w:hAnsi="仿宋_GB2312" w:cs="仿宋_GB2312"/>
          <w:color w:val="auto"/>
          <w:szCs w:val="32"/>
          <w:highlight w:val="none"/>
          <w:u w:val="none"/>
        </w:rPr>
        <w:t>市领导小组办公室</w:t>
      </w:r>
      <w:r>
        <w:rPr>
          <w:rFonts w:hint="eastAsia" w:ascii="仿宋_GB2312" w:hAnsi="仿宋_GB2312" w:cs="仿宋_GB2312"/>
          <w:color w:val="auto"/>
          <w:szCs w:val="32"/>
          <w:highlight w:val="none"/>
          <w:u w:val="none"/>
          <w:lang w:eastAsia="zh-CN"/>
        </w:rPr>
        <w:t>）</w:t>
      </w:r>
      <w:r>
        <w:rPr>
          <w:rFonts w:hint="eastAsia" w:ascii="仿宋_GB2312" w:hAnsi="仿宋_GB2312" w:cs="仿宋_GB2312"/>
          <w:color w:val="auto"/>
          <w:szCs w:val="32"/>
          <w:highlight w:val="none"/>
          <w:u w:val="none"/>
        </w:rPr>
        <w:t>和房屋建设及市政项目指挥部办公室日常工作。</w:t>
      </w:r>
    </w:p>
    <w:p>
      <w:pPr>
        <w:keepNext w:val="0"/>
        <w:keepLines w:val="0"/>
        <w:pageBreakBefore w:val="0"/>
        <w:widowControl w:val="0"/>
        <w:kinsoku/>
        <w:wordWrap/>
        <w:overflowPunct/>
        <w:topLinePunct w:val="0"/>
        <w:autoSpaceDE/>
        <w:autoSpaceDN/>
        <w:bidi w:val="0"/>
        <w:adjustRightInd/>
        <w:snapToGrid/>
        <w:spacing w:line="578" w:lineRule="exact"/>
        <w:ind w:firstLine="0"/>
        <w:textAlignment w:val="auto"/>
        <w:rPr>
          <w:rFonts w:ascii="仿宋_GB2312" w:hAnsi="仿宋_GB2312" w:cs="仿宋_GB2312"/>
          <w:color w:val="auto"/>
          <w:szCs w:val="32"/>
          <w:u w:val="none"/>
        </w:rPr>
      </w:pPr>
      <w:r>
        <w:rPr>
          <w:rFonts w:hint="eastAsia" w:ascii="仿宋_GB2312" w:hAnsi="仿宋_GB2312" w:cs="仿宋_GB2312"/>
          <w:color w:val="auto"/>
          <w:szCs w:val="32"/>
          <w:u w:val="none"/>
        </w:rPr>
        <w:t>市规划和自然资源部门负责</w:t>
      </w:r>
      <w:r>
        <w:rPr>
          <w:rFonts w:hint="eastAsia" w:ascii="仿宋_GB2312" w:hAnsi="仿宋_GB2312" w:cs="仿宋_GB2312"/>
          <w:color w:val="auto"/>
          <w:szCs w:val="32"/>
          <w:highlight w:val="none"/>
          <w:u w:val="none"/>
        </w:rPr>
        <w:t>住房</w:t>
      </w:r>
      <w:r>
        <w:rPr>
          <w:rFonts w:hint="eastAsia" w:ascii="仿宋_GB2312" w:hAnsi="仿宋_GB2312" w:cs="仿宋_GB2312"/>
          <w:color w:val="auto"/>
          <w:szCs w:val="32"/>
          <w:u w:val="none"/>
        </w:rPr>
        <w:t>用地供应的统筹、协调、政策制定及</w:t>
      </w:r>
      <w:r>
        <w:rPr>
          <w:rFonts w:hint="eastAsia" w:ascii="仿宋_GB2312" w:hAnsi="仿宋_GB2312" w:cs="仿宋_GB2312"/>
          <w:color w:val="auto"/>
          <w:szCs w:val="32"/>
          <w:highlight w:val="none"/>
          <w:u w:val="none"/>
        </w:rPr>
        <w:t>批后监管工作</w:t>
      </w:r>
      <w:r>
        <w:rPr>
          <w:rFonts w:hint="eastAsia" w:ascii="仿宋_GB2312" w:hAnsi="仿宋_GB2312" w:cs="仿宋_GB2312"/>
          <w:color w:val="auto"/>
          <w:szCs w:val="32"/>
          <w:u w:val="none"/>
        </w:rPr>
        <w:t>。</w:t>
      </w:r>
    </w:p>
    <w:p>
      <w:pPr>
        <w:keepNext w:val="0"/>
        <w:keepLines w:val="0"/>
        <w:pageBreakBefore w:val="0"/>
        <w:widowControl w:val="0"/>
        <w:kinsoku/>
        <w:wordWrap/>
        <w:overflowPunct/>
        <w:topLinePunct w:val="0"/>
        <w:autoSpaceDE/>
        <w:autoSpaceDN/>
        <w:bidi w:val="0"/>
        <w:adjustRightInd/>
        <w:snapToGrid/>
        <w:spacing w:line="578" w:lineRule="exact"/>
        <w:ind w:firstLine="0"/>
        <w:textAlignment w:val="auto"/>
        <w:rPr>
          <w:color w:val="auto"/>
          <w:u w:val="none"/>
        </w:rPr>
      </w:pPr>
      <w:r>
        <w:rPr>
          <w:rFonts w:hint="eastAsia" w:ascii="仿宋_GB2312" w:hAnsi="仿宋_GB2312" w:cs="仿宋_GB2312"/>
          <w:color w:val="auto"/>
          <w:szCs w:val="32"/>
          <w:u w:val="none"/>
        </w:rPr>
        <w:t>市发展改革、财政、</w:t>
      </w:r>
      <w:bookmarkStart w:id="1" w:name="_Hlk22115341"/>
      <w:r>
        <w:rPr>
          <w:rFonts w:hint="eastAsia" w:ascii="仿宋_GB2312" w:hAnsi="仿宋_GB2312" w:cs="仿宋_GB2312"/>
          <w:color w:val="auto"/>
          <w:szCs w:val="32"/>
          <w:u w:val="none"/>
        </w:rPr>
        <w:t>交通运输</w:t>
      </w:r>
      <w:bookmarkEnd w:id="1"/>
      <w:r>
        <w:rPr>
          <w:rFonts w:hint="eastAsia" w:ascii="仿宋_GB2312" w:hAnsi="仿宋_GB2312" w:cs="仿宋_GB2312"/>
          <w:color w:val="auto"/>
          <w:szCs w:val="32"/>
          <w:u w:val="none"/>
        </w:rPr>
        <w:t>等部门</w:t>
      </w:r>
      <w:r>
        <w:rPr>
          <w:rFonts w:hint="eastAsia" w:ascii="仿宋_GB2312" w:hAnsi="仿宋_GB2312"/>
          <w:color w:val="auto"/>
          <w:u w:val="none"/>
        </w:rPr>
        <w:t>按照职责分工</w:t>
      </w:r>
      <w:r>
        <w:rPr>
          <w:rFonts w:hint="eastAsia" w:ascii="仿宋_GB2312" w:hAnsi="仿宋_GB2312" w:cs="仿宋_GB2312"/>
          <w:color w:val="auto"/>
          <w:szCs w:val="32"/>
          <w:u w:val="none"/>
        </w:rPr>
        <w:t>做好相关工作。</w:t>
      </w:r>
    </w:p>
    <w:p>
      <w:pPr>
        <w:keepNext w:val="0"/>
        <w:keepLines w:val="0"/>
        <w:pageBreakBefore w:val="0"/>
        <w:widowControl w:val="0"/>
        <w:tabs>
          <w:tab w:val="left" w:pos="0"/>
        </w:tabs>
        <w:kinsoku/>
        <w:wordWrap/>
        <w:overflowPunct/>
        <w:topLinePunct w:val="0"/>
        <w:autoSpaceDE/>
        <w:autoSpaceDN/>
        <w:bidi w:val="0"/>
        <w:adjustRightInd/>
        <w:snapToGrid/>
        <w:spacing w:line="578" w:lineRule="exact"/>
        <w:ind w:firstLine="0"/>
        <w:textAlignment w:val="auto"/>
        <w:outlineLvl w:val="2"/>
        <w:rPr>
          <w:rFonts w:ascii="仿宋_GB2312" w:hAnsi="仿宋_GB2312" w:cs="仿宋_GB2312"/>
          <w:color w:val="auto"/>
          <w:u w:val="none"/>
        </w:rPr>
      </w:pPr>
      <w:r>
        <w:rPr>
          <w:rFonts w:hint="eastAsia" w:ascii="黑体" w:hAnsi="黑体" w:eastAsia="黑体" w:cs="黑体"/>
          <w:color w:val="auto"/>
          <w:u w:val="none"/>
        </w:rPr>
        <w:t>第五条【区政府及部门职责】</w:t>
      </w:r>
      <w:bookmarkStart w:id="2" w:name="_Hlk22311338"/>
      <w:r>
        <w:rPr>
          <w:rFonts w:hint="eastAsia" w:ascii="黑体" w:hAnsi="黑体" w:eastAsia="黑体" w:cs="黑体"/>
          <w:color w:val="auto"/>
          <w:u w:val="none"/>
        </w:rPr>
        <w:t xml:space="preserve">  </w:t>
      </w:r>
      <w:r>
        <w:rPr>
          <w:rFonts w:hint="eastAsia" w:ascii="仿宋_GB2312" w:hAnsi="仿宋_GB2312" w:cs="仿宋_GB2312"/>
          <w:color w:val="auto"/>
          <w:u w:val="none"/>
        </w:rPr>
        <w:t>区政府</w:t>
      </w:r>
      <w:bookmarkEnd w:id="2"/>
      <w:r>
        <w:rPr>
          <w:rFonts w:hint="eastAsia" w:ascii="仿宋_GB2312" w:hAnsi="仿宋_GB2312" w:cs="仿宋_GB2312"/>
          <w:color w:val="auto"/>
          <w:u w:val="none"/>
        </w:rPr>
        <w:t>（含新区管理机构，下同）</w:t>
      </w:r>
      <w:r>
        <w:rPr>
          <w:rFonts w:hint="eastAsia"/>
          <w:color w:val="auto"/>
          <w:u w:val="none"/>
        </w:rPr>
        <w:t>按市住房发展规划和年度实施计划等相关规划、计划落实住房供应任务，负责组织实施辖区内保障性住房的建设筹集、分配、管理和服务等工作，</w:t>
      </w:r>
      <w:r>
        <w:rPr>
          <w:rFonts w:hint="eastAsia" w:ascii="仿宋_GB2312" w:hAnsi="仿宋_GB2312" w:cs="仿宋_GB2312"/>
          <w:color w:val="auto"/>
          <w:u w:val="none"/>
        </w:rPr>
        <w:t>负责</w:t>
      </w:r>
      <w:r>
        <w:rPr>
          <w:rFonts w:hint="eastAsia" w:ascii="仿宋_GB2312" w:hAnsi="仿宋_GB2312" w:cs="仿宋_GB2312"/>
          <w:color w:val="auto"/>
          <w:szCs w:val="32"/>
          <w:u w:val="none"/>
        </w:rPr>
        <w:t>保障性租赁住房项目</w:t>
      </w:r>
      <w:r>
        <w:rPr>
          <w:rFonts w:ascii="仿宋_GB2312" w:hAnsi="仿宋_GB2312" w:cs="仿宋_GB2312"/>
          <w:color w:val="auto"/>
          <w:szCs w:val="32"/>
          <w:u w:val="none"/>
        </w:rPr>
        <w:t>的</w:t>
      </w:r>
      <w:r>
        <w:rPr>
          <w:rFonts w:hint="eastAsia" w:ascii="仿宋_GB2312" w:hAnsi="仿宋_GB2312" w:cs="仿宋_GB2312"/>
          <w:color w:val="auto"/>
          <w:szCs w:val="32"/>
          <w:u w:val="none"/>
        </w:rPr>
        <w:t>联合审查、认定等</w:t>
      </w:r>
      <w:r>
        <w:rPr>
          <w:rFonts w:hint="eastAsia" w:ascii="仿宋_GB2312" w:hAnsi="仿宋_GB2312" w:cs="仿宋_GB2312"/>
          <w:color w:val="auto"/>
          <w:u w:val="none"/>
        </w:rPr>
        <w:t>工作，</w:t>
      </w:r>
      <w:r>
        <w:rPr>
          <w:rFonts w:hint="eastAsia"/>
          <w:color w:val="auto"/>
          <w:u w:val="none"/>
        </w:rPr>
        <w:t>负责辖区内住房用地供应涉及的土地整备、征（转）地历史遗留问题处理和</w:t>
      </w:r>
      <w:r>
        <w:rPr>
          <w:rFonts w:hint="eastAsia" w:ascii="仿宋_GB2312" w:hAnsi="仿宋_GB2312" w:cs="仿宋_GB2312"/>
          <w:color w:val="auto"/>
          <w:u w:val="none"/>
        </w:rPr>
        <w:t>落实公共服务设施和市政基础设施规划建设</w:t>
      </w:r>
      <w:r>
        <w:rPr>
          <w:rFonts w:hint="eastAsia"/>
          <w:color w:val="auto"/>
          <w:u w:val="none"/>
        </w:rPr>
        <w:t>等工作</w:t>
      </w:r>
      <w:r>
        <w:rPr>
          <w:rFonts w:hint="eastAsia" w:ascii="仿宋_GB2312" w:hAnsi="仿宋_GB2312" w:cs="仿宋_GB2312"/>
          <w:color w:val="auto"/>
          <w:u w:val="none"/>
        </w:rPr>
        <w:t>。</w:t>
      </w:r>
    </w:p>
    <w:p>
      <w:pPr>
        <w:keepNext w:val="0"/>
        <w:keepLines w:val="0"/>
        <w:pageBreakBefore w:val="0"/>
        <w:widowControl w:val="0"/>
        <w:kinsoku/>
        <w:wordWrap/>
        <w:overflowPunct/>
        <w:topLinePunct w:val="0"/>
        <w:autoSpaceDE/>
        <w:autoSpaceDN/>
        <w:bidi w:val="0"/>
        <w:adjustRightInd/>
        <w:snapToGrid/>
        <w:spacing w:line="578" w:lineRule="exact"/>
        <w:ind w:firstLine="0"/>
        <w:textAlignment w:val="auto"/>
        <w:rPr>
          <w:color w:val="auto"/>
          <w:u w:val="none"/>
        </w:rPr>
      </w:pPr>
      <w:r>
        <w:rPr>
          <w:rFonts w:hint="eastAsia" w:ascii="仿宋_GB2312" w:hAnsi="仿宋_GB2312"/>
          <w:color w:val="auto"/>
          <w:u w:val="none"/>
        </w:rPr>
        <w:t>区住房主管部门（以下简称区主管部门）负责本区保障性住房的建设筹集、监督管理等工作,可以委托区住房保障实施机构开展行政执法及其他事务性工作。区相关部门按照职责分工做好相关工作。</w:t>
      </w:r>
    </w:p>
    <w:p>
      <w:pPr>
        <w:keepNext w:val="0"/>
        <w:keepLines w:val="0"/>
        <w:pageBreakBefore w:val="0"/>
        <w:widowControl w:val="0"/>
        <w:tabs>
          <w:tab w:val="left" w:pos="0"/>
        </w:tabs>
        <w:kinsoku/>
        <w:wordWrap/>
        <w:overflowPunct/>
        <w:topLinePunct w:val="0"/>
        <w:autoSpaceDE/>
        <w:autoSpaceDN/>
        <w:bidi w:val="0"/>
        <w:adjustRightInd/>
        <w:snapToGrid/>
        <w:spacing w:line="578" w:lineRule="exact"/>
        <w:ind w:firstLine="0"/>
        <w:textAlignment w:val="auto"/>
        <w:outlineLvl w:val="2"/>
        <w:rPr>
          <w:rFonts w:hint="eastAsia" w:ascii="仿宋_GB2312" w:hAnsi="仿宋_GB2312" w:cs="仿宋_GB2312"/>
          <w:color w:val="auto"/>
          <w:szCs w:val="32"/>
          <w:u w:val="none"/>
        </w:rPr>
      </w:pPr>
      <w:r>
        <w:rPr>
          <w:rFonts w:hint="eastAsia" w:ascii="黑体" w:hAnsi="黑体" w:eastAsia="黑体" w:cs="黑体"/>
          <w:color w:val="auto"/>
          <w:szCs w:val="32"/>
          <w:u w:val="none"/>
        </w:rPr>
        <w:t>第六条【</w:t>
      </w:r>
      <w:r>
        <w:rPr>
          <w:rFonts w:hint="eastAsia" w:ascii="黑体" w:hAnsi="黑体" w:eastAsia="黑体"/>
          <w:color w:val="auto"/>
          <w:szCs w:val="32"/>
          <w:u w:val="none"/>
        </w:rPr>
        <w:t>住房专营机构及相关主体</w:t>
      </w:r>
      <w:r>
        <w:rPr>
          <w:rFonts w:hint="eastAsia" w:ascii="仿宋_GB2312" w:hAnsi="仿宋_GB2312" w:cs="仿宋_GB2312"/>
          <w:color w:val="auto"/>
          <w:szCs w:val="32"/>
          <w:u w:val="none"/>
        </w:rPr>
        <w:t xml:space="preserve">】  </w:t>
      </w:r>
      <w:r>
        <w:rPr>
          <w:rFonts w:hint="eastAsia" w:ascii="仿宋_GB2312" w:hAnsi="仿宋_GB2312" w:cs="仿宋_GB2312"/>
          <w:color w:val="auto"/>
          <w:szCs w:val="32"/>
          <w:highlight w:val="none"/>
          <w:u w:val="none"/>
          <w:lang w:val="en-US" w:eastAsia="zh-CN"/>
        </w:rPr>
        <w:t>保障性</w:t>
      </w:r>
      <w:r>
        <w:rPr>
          <w:rFonts w:hint="eastAsia" w:ascii="仿宋_GB2312" w:hAnsi="仿宋_GB2312" w:cs="仿宋_GB2312"/>
          <w:color w:val="auto"/>
          <w:szCs w:val="32"/>
          <w:u w:val="none"/>
        </w:rPr>
        <w:t>住房专营机构</w:t>
      </w:r>
      <w:r>
        <w:rPr>
          <w:rFonts w:hint="eastAsia" w:ascii="仿宋_GB2312" w:hAnsi="仿宋_GB2312" w:cs="仿宋_GB2312"/>
          <w:color w:val="auto"/>
          <w:szCs w:val="32"/>
          <w:u w:val="none"/>
          <w:lang w:val="en-US" w:eastAsia="zh-CN"/>
        </w:rPr>
        <w:t>主要从事</w:t>
      </w:r>
      <w:r>
        <w:rPr>
          <w:rFonts w:hint="eastAsia" w:ascii="仿宋_GB2312" w:hAnsi="仿宋_GB2312" w:cs="仿宋_GB2312"/>
          <w:color w:val="auto"/>
          <w:szCs w:val="32"/>
          <w:u w:val="none"/>
        </w:rPr>
        <w:t>保障性住房的投融资、建设筹集、运营管理等工作。</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仿宋_GB2312" w:hAnsi="仿宋_GB2312" w:cs="Times New Roman"/>
          <w:color w:val="auto"/>
          <w:szCs w:val="22"/>
          <w:u w:val="none"/>
        </w:rPr>
      </w:pPr>
      <w:r>
        <w:rPr>
          <w:rFonts w:hint="default" w:ascii="仿宋_GB2312" w:hAnsi="仿宋_GB2312" w:cs="Times New Roman"/>
          <w:color w:val="auto"/>
          <w:szCs w:val="22"/>
          <w:u w:val="none"/>
        </w:rPr>
        <w:t>支持各类企业、金融机构、社会组织等参与保障性住房的投融资、建设筹集、运营管理等工作，支持具备条件的项目发行保障性租赁住房投资信托基金（REITs）。</w:t>
      </w:r>
    </w:p>
    <w:p>
      <w:pPr>
        <w:keepNext w:val="0"/>
        <w:keepLines w:val="0"/>
        <w:pageBreakBefore w:val="0"/>
        <w:widowControl w:val="0"/>
        <w:tabs>
          <w:tab w:val="left" w:pos="0"/>
        </w:tabs>
        <w:kinsoku/>
        <w:wordWrap/>
        <w:overflowPunct/>
        <w:topLinePunct w:val="0"/>
        <w:autoSpaceDE/>
        <w:autoSpaceDN/>
        <w:bidi w:val="0"/>
        <w:adjustRightInd/>
        <w:snapToGrid/>
        <w:spacing w:line="578" w:lineRule="exact"/>
        <w:ind w:firstLine="0"/>
        <w:textAlignment w:val="auto"/>
        <w:outlineLvl w:val="2"/>
        <w:rPr>
          <w:rFonts w:ascii="仿宋_GB2312"/>
          <w:color w:val="auto"/>
          <w:u w:val="none"/>
        </w:rPr>
      </w:pPr>
      <w:r>
        <w:rPr>
          <w:rFonts w:hint="eastAsia" w:ascii="黑体" w:hAnsi="黑体" w:eastAsia="黑体" w:cs="黑体"/>
          <w:bCs/>
          <w:color w:val="auto"/>
          <w:u w:val="none"/>
        </w:rPr>
        <w:t>第七条</w:t>
      </w:r>
      <w:r>
        <w:rPr>
          <w:rFonts w:hint="eastAsia" w:ascii="仿宋_GB2312"/>
          <w:bCs/>
          <w:color w:val="auto"/>
          <w:u w:val="none"/>
        </w:rPr>
        <w:t>【</w:t>
      </w:r>
      <w:r>
        <w:rPr>
          <w:rStyle w:val="15"/>
          <w:rFonts w:hint="eastAsia" w:ascii="黑体" w:hAnsi="黑体"/>
          <w:color w:val="auto"/>
          <w:u w:val="none"/>
        </w:rPr>
        <w:t>信息平台</w:t>
      </w:r>
      <w:r>
        <w:rPr>
          <w:rFonts w:hint="eastAsia" w:ascii="仿宋_GB2312"/>
          <w:bCs/>
          <w:color w:val="auto"/>
          <w:u w:val="none"/>
        </w:rPr>
        <w:t xml:space="preserve">】  </w:t>
      </w:r>
      <w:r>
        <w:rPr>
          <w:rFonts w:hint="eastAsia" w:ascii="仿宋_GB2312"/>
          <w:color w:val="auto"/>
          <w:u w:val="none"/>
        </w:rPr>
        <w:t>市主管部门统筹建立和完善全市统一的住房信息平台（以下简称信息平台），保障性住房建设活动应当纳入信息平台管理。</w:t>
      </w:r>
    </w:p>
    <w:p>
      <w:pPr>
        <w:pStyle w:val="2"/>
        <w:spacing w:line="578" w:lineRule="exact"/>
        <w:rPr>
          <w:rFonts w:ascii="Calibri" w:hAnsi="Calibri" w:cs="Times New Roman"/>
          <w:b w:val="0"/>
          <w:bCs w:val="0"/>
          <w:color w:val="auto"/>
          <w:szCs w:val="22"/>
          <w:u w:val="none"/>
        </w:rPr>
      </w:pPr>
    </w:p>
    <w:p>
      <w:pPr>
        <w:pStyle w:val="4"/>
        <w:keepNext w:val="0"/>
        <w:keepLines w:val="0"/>
        <w:pageBreakBefore w:val="0"/>
        <w:widowControl w:val="0"/>
        <w:kinsoku/>
        <w:wordWrap/>
        <w:overflowPunct/>
        <w:topLinePunct w:val="0"/>
        <w:autoSpaceDE/>
        <w:autoSpaceDN/>
        <w:bidi w:val="0"/>
        <w:adjustRightInd/>
        <w:snapToGrid/>
        <w:spacing w:before="0" w:after="0" w:line="578" w:lineRule="exact"/>
        <w:ind w:firstLine="0" w:firstLineChars="0"/>
        <w:textAlignment w:val="auto"/>
        <w:rPr>
          <w:rFonts w:ascii="黑体" w:hAnsi="黑体"/>
          <w:b w:val="0"/>
          <w:bCs w:val="0"/>
          <w:color w:val="auto"/>
          <w:u w:val="none"/>
        </w:rPr>
      </w:pPr>
      <w:r>
        <w:rPr>
          <w:rFonts w:hint="eastAsia" w:ascii="黑体" w:hAnsi="黑体" w:cs="黑体"/>
          <w:b w:val="0"/>
          <w:bCs w:val="0"/>
          <w:color w:val="auto"/>
          <w:szCs w:val="32"/>
          <w:u w:val="none"/>
        </w:rPr>
        <w:t>第二章</w:t>
      </w:r>
      <w:r>
        <w:rPr>
          <w:rFonts w:ascii="黑体" w:hAnsi="黑体" w:cs="黑体"/>
          <w:b w:val="0"/>
          <w:bCs w:val="0"/>
          <w:color w:val="auto"/>
          <w:szCs w:val="32"/>
          <w:u w:val="none"/>
        </w:rPr>
        <w:t xml:space="preserve"> </w:t>
      </w:r>
      <w:r>
        <w:rPr>
          <w:rFonts w:hint="eastAsia" w:ascii="黑体" w:hAnsi="黑体" w:cs="黑体"/>
          <w:b w:val="0"/>
          <w:bCs w:val="0"/>
          <w:color w:val="auto"/>
          <w:szCs w:val="32"/>
          <w:u w:val="none"/>
        </w:rPr>
        <w:t>规划与计划管理</w:t>
      </w:r>
    </w:p>
    <w:p>
      <w:pPr>
        <w:pStyle w:val="2"/>
        <w:spacing w:line="578" w:lineRule="exact"/>
        <w:rPr>
          <w:rFonts w:ascii="黑体" w:hAnsi="黑体" w:eastAsia="黑体" w:cs="黑体"/>
          <w:color w:val="auto"/>
          <w:u w:val="none"/>
        </w:rPr>
      </w:pPr>
    </w:p>
    <w:p>
      <w:pPr>
        <w:keepNext w:val="0"/>
        <w:keepLines w:val="0"/>
        <w:pageBreakBefore w:val="0"/>
        <w:widowControl w:val="0"/>
        <w:tabs>
          <w:tab w:val="left" w:pos="0"/>
        </w:tabs>
        <w:kinsoku/>
        <w:wordWrap/>
        <w:overflowPunct/>
        <w:topLinePunct w:val="0"/>
        <w:autoSpaceDE/>
        <w:autoSpaceDN/>
        <w:bidi w:val="0"/>
        <w:adjustRightInd/>
        <w:snapToGrid/>
        <w:spacing w:line="578" w:lineRule="exact"/>
        <w:ind w:firstLine="640"/>
        <w:textAlignment w:val="auto"/>
        <w:outlineLvl w:val="2"/>
        <w:rPr>
          <w:rFonts w:ascii="仿宋_GB2312"/>
          <w:color w:val="auto"/>
          <w:u w:val="none"/>
        </w:rPr>
      </w:pPr>
      <w:r>
        <w:rPr>
          <w:rFonts w:hint="eastAsia" w:ascii="黑体" w:hAnsi="黑体" w:eastAsia="黑体" w:cs="黑体"/>
          <w:color w:val="auto"/>
          <w:u w:val="none"/>
        </w:rPr>
        <w:t>第八条</w:t>
      </w:r>
      <w:r>
        <w:rPr>
          <w:rFonts w:hint="eastAsia" w:ascii="仿宋_GB2312"/>
          <w:color w:val="auto"/>
          <w:u w:val="none"/>
        </w:rPr>
        <w:t>【</w:t>
      </w:r>
      <w:r>
        <w:rPr>
          <w:rStyle w:val="15"/>
          <w:rFonts w:hint="eastAsia" w:ascii="黑体" w:hAnsi="黑体"/>
          <w:color w:val="auto"/>
          <w:u w:val="none"/>
        </w:rPr>
        <w:t>住房规划和计划</w:t>
      </w:r>
      <w:r>
        <w:rPr>
          <w:rFonts w:hint="eastAsia" w:ascii="仿宋_GB2312"/>
          <w:color w:val="auto"/>
          <w:u w:val="none"/>
        </w:rPr>
        <w:t>】  市主管部门组织编制住房发展规划和年度实施计划，明确保障性住房规划目标和年度任务。</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ascii="仿宋_GB2312" w:hAnsi="仿宋_GB2312"/>
          <w:color w:val="auto"/>
          <w:u w:val="none"/>
        </w:rPr>
      </w:pPr>
      <w:r>
        <w:rPr>
          <w:rFonts w:hint="eastAsia" w:ascii="仿宋_GB2312" w:hAnsi="仿宋_GB2312"/>
          <w:color w:val="auto"/>
          <w:u w:val="none"/>
        </w:rPr>
        <w:t>保障性租赁住房建设筹集以及通过新供应用地、城市更新、旧住宅区</w:t>
      </w:r>
      <w:r>
        <w:rPr>
          <w:rFonts w:ascii="仿宋_GB2312" w:hAnsi="仿宋_GB2312"/>
          <w:color w:val="auto"/>
          <w:u w:val="none"/>
        </w:rPr>
        <w:t>更新改造</w:t>
      </w:r>
      <w:r>
        <w:rPr>
          <w:rFonts w:hint="eastAsia" w:ascii="仿宋_GB2312" w:hAnsi="仿宋_GB2312"/>
          <w:color w:val="auto"/>
          <w:u w:val="none"/>
        </w:rPr>
        <w:t>方式建设和存量房屋筹集公共租赁住房、共有产权住房的，</w:t>
      </w:r>
      <w:r>
        <w:rPr>
          <w:rFonts w:ascii="仿宋_GB2312" w:hAnsi="仿宋_GB2312"/>
          <w:color w:val="auto"/>
          <w:u w:val="none"/>
        </w:rPr>
        <w:t>由区主管部门</w:t>
      </w:r>
      <w:r>
        <w:rPr>
          <w:rFonts w:hint="eastAsia" w:ascii="仿宋_GB2312" w:hAnsi="仿宋_GB2312"/>
          <w:color w:val="auto"/>
          <w:u w:val="none"/>
        </w:rPr>
        <w:t>纳入年度实施计划</w:t>
      </w:r>
      <w:r>
        <w:rPr>
          <w:rFonts w:ascii="仿宋_GB2312" w:hAnsi="仿宋_GB2312"/>
          <w:color w:val="auto"/>
          <w:u w:val="none"/>
        </w:rPr>
        <w:t>，并与</w:t>
      </w:r>
      <w:r>
        <w:rPr>
          <w:rFonts w:hint="eastAsia" w:ascii="仿宋_GB2312" w:hAnsi="仿宋_GB2312"/>
          <w:color w:val="auto"/>
          <w:u w:val="none"/>
        </w:rPr>
        <w:t>开发建设单位签订</w:t>
      </w:r>
      <w:r>
        <w:rPr>
          <w:rFonts w:ascii="仿宋_GB2312" w:hAnsi="仿宋_GB2312"/>
          <w:color w:val="auto"/>
          <w:u w:val="none"/>
        </w:rPr>
        <w:t>监管协议</w:t>
      </w:r>
      <w:r>
        <w:rPr>
          <w:rFonts w:hint="eastAsia" w:ascii="仿宋_GB2312" w:hAnsi="仿宋_GB2312"/>
          <w:color w:val="auto"/>
          <w:u w:val="none"/>
        </w:rPr>
        <w:t>书</w:t>
      </w:r>
      <w:r>
        <w:rPr>
          <w:rFonts w:ascii="仿宋_GB2312" w:hAnsi="仿宋_GB2312"/>
          <w:color w:val="auto"/>
          <w:u w:val="none"/>
        </w:rPr>
        <w:t>；</w:t>
      </w:r>
      <w:r>
        <w:rPr>
          <w:rFonts w:hint="eastAsia" w:ascii="仿宋_GB2312" w:hAnsi="仿宋_GB2312" w:cs="仿宋_GB2312"/>
          <w:bCs/>
          <w:color w:val="auto"/>
          <w:szCs w:val="32"/>
          <w:u w:val="none"/>
        </w:rPr>
        <w:t>通过其他方式建设</w:t>
      </w:r>
      <w:r>
        <w:rPr>
          <w:rFonts w:hint="eastAsia" w:ascii="仿宋_GB2312" w:hAnsi="仿宋_GB2312"/>
          <w:color w:val="auto"/>
          <w:u w:val="none"/>
        </w:rPr>
        <w:t>公共租赁住房、</w:t>
      </w:r>
      <w:r>
        <w:rPr>
          <w:rFonts w:hint="eastAsia" w:ascii="仿宋_GB2312" w:hAnsi="仿宋_GB2312" w:cs="仿宋_GB2312"/>
          <w:color w:val="auto"/>
          <w:szCs w:val="32"/>
          <w:u w:val="none"/>
        </w:rPr>
        <w:t>共有产权住房</w:t>
      </w:r>
      <w:r>
        <w:rPr>
          <w:rFonts w:hint="eastAsia" w:ascii="仿宋_GB2312" w:hAnsi="仿宋_GB2312" w:cs="仿宋_GB2312"/>
          <w:bCs/>
          <w:color w:val="auto"/>
          <w:szCs w:val="32"/>
          <w:u w:val="none"/>
        </w:rPr>
        <w:t>的，由</w:t>
      </w:r>
      <w:r>
        <w:rPr>
          <w:rFonts w:ascii="仿宋_GB2312" w:hAnsi="仿宋_GB2312" w:cs="仿宋_GB2312"/>
          <w:bCs/>
          <w:color w:val="auto"/>
          <w:szCs w:val="32"/>
          <w:u w:val="none"/>
        </w:rPr>
        <w:t>市主管部门</w:t>
      </w:r>
      <w:r>
        <w:rPr>
          <w:rFonts w:hint="eastAsia" w:ascii="仿宋_GB2312" w:hAnsi="仿宋_GB2312" w:cs="仿宋_GB2312"/>
          <w:bCs/>
          <w:color w:val="auto"/>
          <w:szCs w:val="32"/>
          <w:u w:val="none"/>
        </w:rPr>
        <w:t>纳入年度实施计划</w:t>
      </w:r>
      <w:r>
        <w:rPr>
          <w:rFonts w:ascii="仿宋_GB2312" w:hAnsi="仿宋_GB2312" w:cs="仿宋_GB2312"/>
          <w:bCs/>
          <w:color w:val="auto"/>
          <w:szCs w:val="32"/>
          <w:u w:val="none"/>
        </w:rPr>
        <w:t>，</w:t>
      </w:r>
      <w:r>
        <w:rPr>
          <w:rFonts w:ascii="仿宋_GB2312" w:hAnsi="仿宋_GB2312"/>
          <w:color w:val="auto"/>
          <w:u w:val="none"/>
        </w:rPr>
        <w:t>并与</w:t>
      </w:r>
      <w:r>
        <w:rPr>
          <w:rFonts w:hint="eastAsia" w:ascii="仿宋_GB2312" w:hAnsi="仿宋_GB2312"/>
          <w:color w:val="auto"/>
          <w:u w:val="none"/>
        </w:rPr>
        <w:t>开发建设单位签订</w:t>
      </w:r>
      <w:r>
        <w:rPr>
          <w:rFonts w:ascii="仿宋_GB2312" w:hAnsi="仿宋_GB2312"/>
          <w:color w:val="auto"/>
          <w:u w:val="none"/>
        </w:rPr>
        <w:t>监管协议</w:t>
      </w:r>
      <w:r>
        <w:rPr>
          <w:rFonts w:hint="eastAsia" w:ascii="仿宋_GB2312" w:hAnsi="仿宋_GB2312"/>
          <w:color w:val="auto"/>
          <w:u w:val="none"/>
        </w:rPr>
        <w:t>书。</w:t>
      </w:r>
    </w:p>
    <w:p>
      <w:pPr>
        <w:keepNext w:val="0"/>
        <w:keepLines w:val="0"/>
        <w:pageBreakBefore w:val="0"/>
        <w:widowControl w:val="0"/>
        <w:tabs>
          <w:tab w:val="left" w:pos="0"/>
        </w:tabs>
        <w:kinsoku/>
        <w:wordWrap/>
        <w:overflowPunct/>
        <w:topLinePunct w:val="0"/>
        <w:autoSpaceDE/>
        <w:autoSpaceDN/>
        <w:bidi w:val="0"/>
        <w:adjustRightInd/>
        <w:snapToGrid/>
        <w:spacing w:line="578" w:lineRule="exact"/>
        <w:ind w:firstLine="640"/>
        <w:textAlignment w:val="auto"/>
        <w:outlineLvl w:val="2"/>
        <w:rPr>
          <w:rFonts w:ascii="仿宋_GB2312" w:hAnsi="仿宋_GB2312" w:cs="仿宋_GB2312"/>
          <w:color w:val="auto"/>
          <w:u w:val="none"/>
        </w:rPr>
      </w:pPr>
      <w:r>
        <w:rPr>
          <w:rFonts w:hint="eastAsia" w:ascii="黑体" w:hAnsi="黑体" w:eastAsia="黑体" w:cs="黑体"/>
          <w:color w:val="auto"/>
          <w:u w:val="none"/>
        </w:rPr>
        <w:t xml:space="preserve">第九条【用地规划和计划】  </w:t>
      </w:r>
      <w:r>
        <w:rPr>
          <w:rFonts w:hint="eastAsia" w:ascii="仿宋_GB2312" w:hAnsi="仿宋_GB2312" w:cs="仿宋_GB2312"/>
          <w:color w:val="auto"/>
          <w:u w:val="none"/>
        </w:rPr>
        <w:t>市规划和自然资源部门在国土空间总体规划中合理安排生产、生活、生态空间，在保障用地结构均衡的前提下，逐步提高居住和公共设施用地规模和比例，并通过国土空间规划传导机制将规划居住用地面积和建筑面积逐级传导至分区规划和法定图则（含控制性详细规划以及前海等地区综合规划）；编制年度建设用地供应计划时，居住用地供应量原则上不低于建设用地供应总量的百分之三十，提高居住用地中保障性租赁住房用地供应比例，</w:t>
      </w:r>
      <w:r>
        <w:rPr>
          <w:rFonts w:hint="eastAsia" w:ascii="仿宋_GB2312" w:hAnsi="仿宋_GB2312" w:cs="仿宋_GB2312"/>
          <w:color w:val="auto"/>
          <w:highlight w:val="none"/>
          <w:u w:val="none"/>
        </w:rPr>
        <w:t>租赁住房用地计划单列</w:t>
      </w:r>
      <w:r>
        <w:rPr>
          <w:rFonts w:hint="eastAsia" w:ascii="仿宋_GB2312" w:hAnsi="仿宋_GB2312" w:cs="仿宋_GB2312"/>
          <w:color w:val="auto"/>
          <w:u w:val="none"/>
        </w:rPr>
        <w:t>且原则上占居住用地供应总量比例不少于百分之十，优先安排、应保尽保。</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ascii="仿宋_GB2312" w:hAnsi="仿宋_GB2312" w:cs="仿宋_GB2312"/>
          <w:color w:val="auto"/>
          <w:u w:val="none"/>
        </w:rPr>
      </w:pPr>
      <w:r>
        <w:rPr>
          <w:rFonts w:hint="eastAsia" w:ascii="仿宋_GB2312" w:hAnsi="仿宋_GB2312" w:cs="仿宋_GB2312"/>
          <w:bCs/>
          <w:color w:val="auto"/>
          <w:szCs w:val="32"/>
          <w:u w:val="none"/>
        </w:rPr>
        <w:t>规划和自然资源部门在保障性住房规划选址时，应当统筹做好教育、医疗、交通等设施用地的规划布局。</w:t>
      </w:r>
      <w:r>
        <w:rPr>
          <w:rFonts w:hint="eastAsia" w:ascii="仿宋_GB2312" w:hAnsi="仿宋_GB2312" w:cs="仿宋_GB2312"/>
          <w:color w:val="auto"/>
          <w:u w:val="none"/>
        </w:rPr>
        <w:t>保障性住房应当尽量规划布局在轨道交通站点附近、城市建设重点片区和产业园区及周边等区域。</w:t>
      </w:r>
    </w:p>
    <w:p>
      <w:pPr>
        <w:pStyle w:val="2"/>
        <w:spacing w:line="578" w:lineRule="exact"/>
        <w:rPr>
          <w:rFonts w:ascii="Calibri" w:hAnsi="Calibri" w:cs="Times New Roman"/>
          <w:b w:val="0"/>
          <w:bCs w:val="0"/>
          <w:color w:val="auto"/>
          <w:szCs w:val="22"/>
          <w:u w:val="none"/>
        </w:rPr>
      </w:pPr>
    </w:p>
    <w:p>
      <w:pPr>
        <w:pStyle w:val="4"/>
        <w:keepNext w:val="0"/>
        <w:keepLines w:val="0"/>
        <w:pageBreakBefore w:val="0"/>
        <w:widowControl w:val="0"/>
        <w:kinsoku/>
        <w:wordWrap/>
        <w:overflowPunct/>
        <w:topLinePunct w:val="0"/>
        <w:autoSpaceDE/>
        <w:autoSpaceDN/>
        <w:bidi w:val="0"/>
        <w:adjustRightInd/>
        <w:snapToGrid/>
        <w:spacing w:before="0" w:after="0" w:line="578" w:lineRule="exact"/>
        <w:ind w:firstLine="0" w:firstLineChars="0"/>
        <w:textAlignment w:val="auto"/>
        <w:rPr>
          <w:rFonts w:ascii="黑体" w:hAnsi="黑体" w:cs="黑体"/>
          <w:b w:val="0"/>
          <w:bCs w:val="0"/>
          <w:color w:val="auto"/>
          <w:szCs w:val="32"/>
          <w:u w:val="none"/>
        </w:rPr>
      </w:pPr>
      <w:r>
        <w:rPr>
          <w:rFonts w:hint="eastAsia" w:ascii="黑体" w:hAnsi="黑体" w:cs="黑体"/>
          <w:b w:val="0"/>
          <w:bCs w:val="0"/>
          <w:color w:val="auto"/>
          <w:szCs w:val="32"/>
          <w:u w:val="none"/>
        </w:rPr>
        <w:t>第三章</w:t>
      </w:r>
      <w:r>
        <w:rPr>
          <w:rFonts w:ascii="黑体" w:hAnsi="黑体" w:cs="黑体"/>
          <w:b w:val="0"/>
          <w:bCs w:val="0"/>
          <w:color w:val="auto"/>
          <w:szCs w:val="32"/>
          <w:u w:val="none"/>
        </w:rPr>
        <w:t xml:space="preserve"> </w:t>
      </w:r>
      <w:r>
        <w:rPr>
          <w:rFonts w:hint="eastAsia" w:ascii="黑体" w:hAnsi="黑体" w:cs="黑体"/>
          <w:b w:val="0"/>
          <w:bCs w:val="0"/>
          <w:color w:val="auto"/>
          <w:szCs w:val="32"/>
          <w:u w:val="none"/>
        </w:rPr>
        <w:t>用地供应方式及渠道</w:t>
      </w:r>
    </w:p>
    <w:p>
      <w:pPr>
        <w:keepNext w:val="0"/>
        <w:keepLines w:val="0"/>
        <w:pageBreakBefore w:val="0"/>
        <w:widowControl w:val="0"/>
        <w:kinsoku/>
        <w:wordWrap/>
        <w:overflowPunct/>
        <w:topLinePunct w:val="0"/>
        <w:autoSpaceDE/>
        <w:autoSpaceDN/>
        <w:bidi w:val="0"/>
        <w:adjustRightInd/>
        <w:snapToGrid/>
        <w:spacing w:line="578" w:lineRule="exact"/>
        <w:ind w:firstLine="0"/>
        <w:textAlignment w:val="auto"/>
        <w:rPr>
          <w:color w:val="auto"/>
          <w:szCs w:val="32"/>
          <w:u w:val="none"/>
        </w:rPr>
      </w:pPr>
    </w:p>
    <w:p>
      <w:pPr>
        <w:keepNext w:val="0"/>
        <w:keepLines w:val="0"/>
        <w:pageBreakBefore w:val="0"/>
        <w:widowControl w:val="0"/>
        <w:tabs>
          <w:tab w:val="left" w:pos="0"/>
        </w:tabs>
        <w:kinsoku/>
        <w:wordWrap/>
        <w:overflowPunct/>
        <w:topLinePunct w:val="0"/>
        <w:autoSpaceDE/>
        <w:autoSpaceDN/>
        <w:bidi w:val="0"/>
        <w:adjustRightInd/>
        <w:snapToGrid/>
        <w:spacing w:line="578" w:lineRule="exact"/>
        <w:ind w:firstLine="0"/>
        <w:textAlignment w:val="auto"/>
        <w:outlineLvl w:val="2"/>
        <w:rPr>
          <w:rFonts w:ascii="仿宋_GB2312" w:hAnsi="仿宋_GB2312" w:cs="仿宋_GB2312"/>
          <w:color w:val="auto"/>
          <w:szCs w:val="32"/>
          <w:u w:val="none"/>
          <w:lang w:bidi="ar"/>
        </w:rPr>
      </w:pPr>
      <w:r>
        <w:rPr>
          <w:rFonts w:hint="eastAsia" w:ascii="黑体" w:hAnsi="黑体" w:eastAsia="黑体" w:cs="黑体"/>
          <w:color w:val="auto"/>
          <w:szCs w:val="32"/>
          <w:u w:val="none"/>
        </w:rPr>
        <w:t>第十条【</w:t>
      </w:r>
      <w:r>
        <w:rPr>
          <w:rFonts w:hint="eastAsia" w:ascii="黑体" w:hAnsi="黑体" w:eastAsia="黑体" w:cs="黑体"/>
          <w:color w:val="auto"/>
          <w:szCs w:val="32"/>
          <w:u w:val="none"/>
          <w:lang w:bidi="ar"/>
        </w:rPr>
        <w:t>用地供应方式</w:t>
      </w:r>
      <w:r>
        <w:rPr>
          <w:rFonts w:hint="eastAsia" w:ascii="黑体" w:hAnsi="黑体" w:eastAsia="黑体" w:cs="黑体"/>
          <w:color w:val="auto"/>
          <w:szCs w:val="32"/>
          <w:u w:val="none"/>
        </w:rPr>
        <w:t xml:space="preserve">】  </w:t>
      </w:r>
      <w:r>
        <w:rPr>
          <w:rFonts w:hint="eastAsia" w:ascii="仿宋_GB2312" w:hAnsi="仿宋_GB2312" w:cs="仿宋_GB2312"/>
          <w:color w:val="auto"/>
          <w:szCs w:val="32"/>
          <w:u w:val="none"/>
          <w:lang w:bidi="ar"/>
        </w:rPr>
        <w:t>保障性住房用地可以采取</w:t>
      </w:r>
      <w:r>
        <w:rPr>
          <w:rFonts w:ascii="仿宋_GB2312" w:hAnsi="仿宋_GB2312" w:cs="仿宋_GB2312"/>
          <w:color w:val="auto"/>
          <w:szCs w:val="32"/>
          <w:u w:val="none"/>
          <w:lang w:bidi="ar"/>
        </w:rPr>
        <w:t>划拨、</w:t>
      </w:r>
      <w:r>
        <w:rPr>
          <w:rFonts w:hint="eastAsia" w:ascii="仿宋_GB2312" w:hAnsi="仿宋_GB2312" w:cs="仿宋_GB2312"/>
          <w:color w:val="auto"/>
          <w:szCs w:val="32"/>
          <w:u w:val="none"/>
          <w:lang w:bidi="ar"/>
        </w:rPr>
        <w:t>出让、租赁等方式供应：</w:t>
      </w:r>
    </w:p>
    <w:p>
      <w:pPr>
        <w:keepNext w:val="0"/>
        <w:keepLines w:val="0"/>
        <w:pageBreakBefore w:val="0"/>
        <w:widowControl w:val="0"/>
        <w:kinsoku/>
        <w:wordWrap/>
        <w:overflowPunct/>
        <w:topLinePunct w:val="0"/>
        <w:autoSpaceDE/>
        <w:autoSpaceDN/>
        <w:bidi w:val="0"/>
        <w:adjustRightInd/>
        <w:snapToGrid/>
        <w:spacing w:line="578" w:lineRule="exact"/>
        <w:ind w:firstLine="0"/>
        <w:textAlignment w:val="auto"/>
        <w:rPr>
          <w:rFonts w:ascii="仿宋_GB2312" w:hAnsi="仿宋_GB2312" w:cs="仿宋_GB2312"/>
          <w:color w:val="auto"/>
          <w:szCs w:val="32"/>
          <w:u w:val="none"/>
          <w:lang w:bidi="ar"/>
        </w:rPr>
      </w:pPr>
      <w:r>
        <w:rPr>
          <w:rFonts w:hint="eastAsia" w:ascii="仿宋_GB2312" w:hAnsi="仿宋_GB2312" w:cs="仿宋_GB2312"/>
          <w:color w:val="auto"/>
          <w:szCs w:val="32"/>
          <w:u w:val="none"/>
          <w:lang w:bidi="ar"/>
        </w:rPr>
        <w:t>（一）公共租赁住房和保障性租赁住房产权归政府的</w:t>
      </w:r>
      <w:r>
        <w:rPr>
          <w:rFonts w:ascii="仿宋_GB2312" w:hAnsi="仿宋_GB2312" w:cs="仿宋_GB2312"/>
          <w:color w:val="auto"/>
          <w:szCs w:val="32"/>
          <w:u w:val="none"/>
          <w:lang w:bidi="ar"/>
        </w:rPr>
        <w:t>用地</w:t>
      </w:r>
      <w:r>
        <w:rPr>
          <w:rFonts w:hint="eastAsia" w:ascii="仿宋_GB2312" w:hAnsi="仿宋_GB2312" w:cs="仿宋_GB2312"/>
          <w:color w:val="auto"/>
          <w:szCs w:val="32"/>
          <w:u w:val="none"/>
          <w:lang w:bidi="ar"/>
        </w:rPr>
        <w:t>，可以采用划拨方式供应；</w:t>
      </w:r>
    </w:p>
    <w:p>
      <w:pPr>
        <w:keepNext w:val="0"/>
        <w:keepLines w:val="0"/>
        <w:pageBreakBefore w:val="0"/>
        <w:widowControl w:val="0"/>
        <w:kinsoku/>
        <w:wordWrap/>
        <w:overflowPunct/>
        <w:topLinePunct w:val="0"/>
        <w:autoSpaceDE/>
        <w:autoSpaceDN/>
        <w:bidi w:val="0"/>
        <w:adjustRightInd/>
        <w:snapToGrid/>
        <w:spacing w:line="578" w:lineRule="exact"/>
        <w:ind w:firstLine="0"/>
        <w:textAlignment w:val="auto"/>
        <w:rPr>
          <w:rFonts w:ascii="仿宋_GB2312" w:hAnsi="仿宋_GB2312" w:cs="仿宋_GB2312"/>
          <w:color w:val="auto"/>
          <w:szCs w:val="32"/>
          <w:u w:val="none"/>
          <w:lang w:bidi="ar"/>
        </w:rPr>
      </w:pPr>
      <w:r>
        <w:rPr>
          <w:rFonts w:hint="eastAsia" w:ascii="仿宋_GB2312" w:hAnsi="仿宋_GB2312" w:cs="仿宋_GB2312"/>
          <w:color w:val="auto"/>
          <w:szCs w:val="32"/>
          <w:u w:val="none"/>
          <w:lang w:bidi="ar"/>
        </w:rPr>
        <w:t>（二）政府全额投资建设的共有产权住房用地，可以采用协议</w:t>
      </w:r>
      <w:r>
        <w:rPr>
          <w:rFonts w:ascii="仿宋_GB2312" w:hAnsi="仿宋_GB2312" w:cs="仿宋_GB2312"/>
          <w:color w:val="auto"/>
          <w:szCs w:val="32"/>
          <w:u w:val="none"/>
          <w:lang w:bidi="ar"/>
        </w:rPr>
        <w:t>方式</w:t>
      </w:r>
      <w:r>
        <w:rPr>
          <w:rFonts w:hint="eastAsia" w:ascii="仿宋_GB2312" w:hAnsi="仿宋_GB2312" w:cs="仿宋_GB2312"/>
          <w:color w:val="auto"/>
          <w:szCs w:val="32"/>
          <w:u w:val="none"/>
          <w:lang w:bidi="ar"/>
        </w:rPr>
        <w:t>出让；</w:t>
      </w:r>
    </w:p>
    <w:p>
      <w:pPr>
        <w:keepNext w:val="0"/>
        <w:keepLines w:val="0"/>
        <w:pageBreakBefore w:val="0"/>
        <w:widowControl w:val="0"/>
        <w:kinsoku/>
        <w:wordWrap/>
        <w:overflowPunct/>
        <w:topLinePunct w:val="0"/>
        <w:autoSpaceDE/>
        <w:autoSpaceDN/>
        <w:bidi w:val="0"/>
        <w:adjustRightInd/>
        <w:snapToGrid/>
        <w:spacing w:line="578" w:lineRule="exact"/>
        <w:ind w:firstLine="0"/>
        <w:textAlignment w:val="auto"/>
        <w:rPr>
          <w:rFonts w:ascii="仿宋_GB2312" w:hAnsi="仿宋_GB2312" w:cs="仿宋_GB2312"/>
          <w:color w:val="auto"/>
          <w:szCs w:val="32"/>
          <w:u w:val="none"/>
          <w:lang w:bidi="ar"/>
        </w:rPr>
      </w:pPr>
      <w:r>
        <w:rPr>
          <w:rFonts w:hint="eastAsia" w:ascii="仿宋_GB2312" w:hAnsi="仿宋_GB2312" w:cs="仿宋_GB2312"/>
          <w:color w:val="auto"/>
          <w:szCs w:val="32"/>
          <w:u w:val="none"/>
          <w:lang w:bidi="ar"/>
        </w:rPr>
        <w:t>（三）市政府确定由住房专营机构建设的保障性租赁住房用地，可以采用协议方式</w:t>
      </w:r>
      <w:r>
        <w:rPr>
          <w:rFonts w:ascii="仿宋_GB2312" w:hAnsi="仿宋_GB2312" w:cs="仿宋_GB2312"/>
          <w:color w:val="auto"/>
          <w:szCs w:val="32"/>
          <w:u w:val="none"/>
          <w:lang w:bidi="ar"/>
        </w:rPr>
        <w:t>出让</w:t>
      </w:r>
      <w:r>
        <w:rPr>
          <w:rFonts w:hint="eastAsia" w:ascii="仿宋_GB2312" w:hAnsi="仿宋_GB2312" w:cs="仿宋_GB2312"/>
          <w:color w:val="auto"/>
          <w:szCs w:val="32"/>
          <w:u w:val="none"/>
          <w:lang w:bidi="ar"/>
        </w:rPr>
        <w:t>；</w:t>
      </w:r>
    </w:p>
    <w:p>
      <w:pPr>
        <w:pStyle w:val="2"/>
        <w:keepNext w:val="0"/>
        <w:keepLines w:val="0"/>
        <w:pageBreakBefore w:val="0"/>
        <w:widowControl w:val="0"/>
        <w:kinsoku/>
        <w:wordWrap/>
        <w:overflowPunct/>
        <w:topLinePunct w:val="0"/>
        <w:autoSpaceDE/>
        <w:autoSpaceDN/>
        <w:bidi w:val="0"/>
        <w:adjustRightInd/>
        <w:snapToGrid/>
        <w:spacing w:after="0" w:line="578" w:lineRule="exact"/>
        <w:ind w:firstLine="0"/>
        <w:textAlignment w:val="auto"/>
        <w:rPr>
          <w:color w:val="auto"/>
          <w:szCs w:val="32"/>
          <w:u w:val="none"/>
          <w:lang w:bidi="ar"/>
        </w:rPr>
      </w:pPr>
      <w:r>
        <w:rPr>
          <w:rFonts w:hint="eastAsia" w:ascii="仿宋_GB2312" w:hAnsi="仿宋_GB2312" w:cs="仿宋_GB2312"/>
          <w:color w:val="auto"/>
          <w:szCs w:val="32"/>
          <w:u w:val="none"/>
          <w:lang w:bidi="ar"/>
        </w:rPr>
        <w:t>（四）企业、社会组织等利用自有用地建设保障性租赁住房和共有产权住房的，以及机关事业单位利用自有用地建设保障性租赁住房的，可以采用协议方式完善用地手续；</w:t>
      </w:r>
    </w:p>
    <w:p>
      <w:pPr>
        <w:pStyle w:val="3"/>
        <w:keepNext w:val="0"/>
        <w:keepLines w:val="0"/>
        <w:pageBreakBefore w:val="0"/>
        <w:widowControl w:val="0"/>
        <w:kinsoku/>
        <w:wordWrap/>
        <w:overflowPunct/>
        <w:topLinePunct w:val="0"/>
        <w:autoSpaceDE/>
        <w:autoSpaceDN/>
        <w:bidi w:val="0"/>
        <w:adjustRightInd/>
        <w:snapToGrid/>
        <w:spacing w:after="0" w:line="578" w:lineRule="exact"/>
        <w:ind w:firstLine="640" w:firstLineChars="200"/>
        <w:textAlignment w:val="auto"/>
        <w:rPr>
          <w:rFonts w:ascii="仿宋_GB2312" w:hAnsi="仿宋_GB2312" w:cs="仿宋_GB2312"/>
          <w:color w:val="auto"/>
          <w:sz w:val="32"/>
          <w:szCs w:val="32"/>
          <w:u w:val="none"/>
        </w:rPr>
      </w:pPr>
      <w:r>
        <w:rPr>
          <w:rFonts w:hint="eastAsia" w:ascii="仿宋_GB2312" w:hAnsi="仿宋_GB2312" w:eastAsia="仿宋_GB2312" w:cs="仿宋_GB2312"/>
          <w:color w:val="auto"/>
          <w:sz w:val="32"/>
          <w:szCs w:val="32"/>
          <w:u w:val="none"/>
          <w:lang w:bidi="ar"/>
        </w:rPr>
        <w:t>（五）符合条件的未完善征（转）地补偿手续空地，历史遗留未完善出让手续用地建设保障性住房的，可以采用协议方式完善用地手续。</w:t>
      </w:r>
    </w:p>
    <w:p>
      <w:pPr>
        <w:keepNext w:val="0"/>
        <w:keepLines w:val="0"/>
        <w:pageBreakBefore w:val="0"/>
        <w:widowControl w:val="0"/>
        <w:tabs>
          <w:tab w:val="left" w:pos="0"/>
        </w:tabs>
        <w:kinsoku/>
        <w:wordWrap/>
        <w:overflowPunct/>
        <w:topLinePunct w:val="0"/>
        <w:autoSpaceDE/>
        <w:autoSpaceDN/>
        <w:bidi w:val="0"/>
        <w:adjustRightInd/>
        <w:snapToGrid/>
        <w:spacing w:line="578" w:lineRule="exact"/>
        <w:ind w:firstLine="0"/>
        <w:textAlignment w:val="auto"/>
        <w:outlineLvl w:val="2"/>
        <w:rPr>
          <w:rFonts w:ascii="仿宋_GB2312" w:hAnsi="仿宋_GB2312" w:cs="仿宋_GB2312"/>
          <w:color w:val="auto"/>
          <w:szCs w:val="32"/>
          <w:u w:val="none"/>
        </w:rPr>
      </w:pPr>
      <w:r>
        <w:rPr>
          <w:rFonts w:hint="eastAsia" w:ascii="黑体" w:hAnsi="黑体" w:eastAsia="黑体" w:cs="黑体"/>
          <w:color w:val="auto"/>
          <w:szCs w:val="32"/>
          <w:u w:val="none"/>
        </w:rPr>
        <w:t xml:space="preserve">第十一条【土地使用权出让合同】  </w:t>
      </w:r>
      <w:r>
        <w:rPr>
          <w:rFonts w:hint="eastAsia" w:ascii="仿宋_GB2312" w:hAnsi="仿宋_GB2312" w:cs="仿宋_GB2312"/>
          <w:color w:val="auto"/>
          <w:szCs w:val="32"/>
          <w:u w:val="none"/>
        </w:rPr>
        <w:t>保障性住房项目需要签订土地使用权出让合同或者补充协议的，合同内容应当包括住房类型以及产权、规划设计条件、公共配套设施的产权及其使用、违约责任等内容。</w:t>
      </w:r>
    </w:p>
    <w:p>
      <w:pPr>
        <w:keepNext w:val="0"/>
        <w:keepLines w:val="0"/>
        <w:pageBreakBefore w:val="0"/>
        <w:widowControl w:val="0"/>
        <w:kinsoku/>
        <w:wordWrap/>
        <w:overflowPunct/>
        <w:topLinePunct w:val="0"/>
        <w:autoSpaceDE/>
        <w:autoSpaceDN/>
        <w:bidi w:val="0"/>
        <w:adjustRightInd/>
        <w:snapToGrid/>
        <w:spacing w:line="578" w:lineRule="exact"/>
        <w:ind w:firstLine="0"/>
        <w:textAlignment w:val="auto"/>
        <w:rPr>
          <w:rFonts w:ascii="仿宋_GB2312" w:hAnsi="仿宋_GB2312" w:cs="仿宋_GB2312"/>
          <w:color w:val="auto"/>
          <w:szCs w:val="32"/>
          <w:u w:val="none"/>
        </w:rPr>
      </w:pPr>
      <w:r>
        <w:rPr>
          <w:rFonts w:hint="eastAsia" w:ascii="仿宋_GB2312" w:hAnsi="仿宋_GB2312" w:cs="仿宋_GB2312"/>
          <w:color w:val="auto"/>
          <w:szCs w:val="32"/>
          <w:u w:val="none"/>
        </w:rPr>
        <w:t>保障性住房的地价收取按照相关规定执行。保障性租赁住房用地以出让或者租赁方式供应的，允许土地出让价款分期收取。</w:t>
      </w:r>
    </w:p>
    <w:p>
      <w:pPr>
        <w:pStyle w:val="2"/>
        <w:keepNext w:val="0"/>
        <w:keepLines w:val="0"/>
        <w:pageBreakBefore w:val="0"/>
        <w:widowControl w:val="0"/>
        <w:kinsoku/>
        <w:wordWrap/>
        <w:overflowPunct/>
        <w:topLinePunct w:val="0"/>
        <w:autoSpaceDE/>
        <w:autoSpaceDN/>
        <w:bidi w:val="0"/>
        <w:adjustRightInd/>
        <w:snapToGrid/>
        <w:spacing w:after="0" w:line="578" w:lineRule="exact"/>
        <w:ind w:firstLine="0"/>
        <w:textAlignment w:val="auto"/>
        <w:rPr>
          <w:color w:val="auto"/>
          <w:szCs w:val="32"/>
          <w:u w:val="none"/>
        </w:rPr>
      </w:pPr>
      <w:r>
        <w:rPr>
          <w:rFonts w:hint="eastAsia"/>
          <w:color w:val="auto"/>
          <w:szCs w:val="32"/>
          <w:u w:val="none"/>
        </w:rPr>
        <w:t>住宅用地使用权年期</w:t>
      </w:r>
      <w:r>
        <w:rPr>
          <w:rFonts w:hint="eastAsia"/>
          <w:color w:val="auto"/>
          <w:szCs w:val="32"/>
          <w:u w:val="none"/>
          <w:lang w:val="en-US" w:eastAsia="zh-CN"/>
        </w:rPr>
        <w:t>按照</w:t>
      </w:r>
      <w:r>
        <w:rPr>
          <w:rFonts w:hint="eastAsia" w:ascii="仿宋_GB2312" w:hAnsi="仿宋_GB2312" w:cs="仿宋_GB2312"/>
          <w:color w:val="auto"/>
          <w:szCs w:val="32"/>
          <w:u w:val="none"/>
        </w:rPr>
        <w:t>七十年</w:t>
      </w:r>
      <w:r>
        <w:rPr>
          <w:rFonts w:hint="eastAsia"/>
          <w:color w:val="auto"/>
          <w:szCs w:val="32"/>
          <w:u w:val="none"/>
        </w:rPr>
        <w:t>确定，公用设施用地和交通设施用地使用权年期</w:t>
      </w:r>
      <w:r>
        <w:rPr>
          <w:rFonts w:hint="eastAsia"/>
          <w:color w:val="auto"/>
          <w:szCs w:val="32"/>
          <w:u w:val="none"/>
          <w:lang w:val="en-US" w:eastAsia="zh-CN"/>
        </w:rPr>
        <w:t>按照</w:t>
      </w:r>
      <w:r>
        <w:rPr>
          <w:rFonts w:hint="eastAsia"/>
          <w:color w:val="auto"/>
          <w:szCs w:val="32"/>
          <w:u w:val="none"/>
        </w:rPr>
        <w:t>国家及我市相关规定确定；仅提高容积率部分用于建设保障性住房的，土地使用权期限和起始日期维持原土地使用权出让合同的约定不变。</w:t>
      </w:r>
    </w:p>
    <w:p>
      <w:pPr>
        <w:keepNext w:val="0"/>
        <w:keepLines w:val="0"/>
        <w:pageBreakBefore w:val="0"/>
        <w:widowControl w:val="0"/>
        <w:tabs>
          <w:tab w:val="left" w:pos="0"/>
        </w:tabs>
        <w:kinsoku/>
        <w:wordWrap/>
        <w:overflowPunct/>
        <w:topLinePunct w:val="0"/>
        <w:autoSpaceDE/>
        <w:autoSpaceDN/>
        <w:bidi w:val="0"/>
        <w:adjustRightInd/>
        <w:snapToGrid/>
        <w:spacing w:line="578" w:lineRule="exact"/>
        <w:ind w:firstLine="0"/>
        <w:textAlignment w:val="auto"/>
        <w:outlineLvl w:val="2"/>
        <w:rPr>
          <w:rFonts w:ascii="仿宋_GB2312" w:hAnsi="仿宋_GB2312" w:cs="仿宋_GB2312"/>
          <w:color w:val="auto"/>
          <w:szCs w:val="32"/>
          <w:u w:val="none"/>
        </w:rPr>
      </w:pPr>
      <w:r>
        <w:rPr>
          <w:rFonts w:hint="eastAsia" w:ascii="黑体" w:hAnsi="黑体" w:eastAsia="黑体" w:cs="黑体"/>
          <w:color w:val="auto"/>
          <w:szCs w:val="32"/>
          <w:u w:val="none"/>
        </w:rPr>
        <w:t>第十</w:t>
      </w:r>
      <w:r>
        <w:rPr>
          <w:rFonts w:ascii="黑体" w:hAnsi="黑体" w:eastAsia="黑体" w:cs="黑体"/>
          <w:color w:val="auto"/>
          <w:szCs w:val="32"/>
          <w:u w:val="none"/>
        </w:rPr>
        <w:t>二</w:t>
      </w:r>
      <w:r>
        <w:rPr>
          <w:rFonts w:hint="eastAsia" w:ascii="黑体" w:hAnsi="黑体" w:eastAsia="黑体" w:cs="黑体"/>
          <w:color w:val="auto"/>
          <w:szCs w:val="32"/>
          <w:u w:val="none"/>
        </w:rPr>
        <w:t xml:space="preserve">条【新供应建设用地建设】  </w:t>
      </w:r>
      <w:r>
        <w:rPr>
          <w:rFonts w:hint="eastAsia" w:ascii="仿宋_GB2312" w:hAnsi="仿宋_GB2312" w:cs="仿宋_GB2312"/>
          <w:color w:val="auto"/>
          <w:szCs w:val="32"/>
          <w:u w:val="none"/>
        </w:rPr>
        <w:t>新供应建设用地用于建设保障性住房的，以建设公共租赁住房和保障性租赁住房为主。</w:t>
      </w:r>
    </w:p>
    <w:p>
      <w:pPr>
        <w:keepNext w:val="0"/>
        <w:keepLines w:val="0"/>
        <w:pageBreakBefore w:val="0"/>
        <w:widowControl w:val="0"/>
        <w:numPr>
          <w:ilvl w:val="255"/>
          <w:numId w:val="0"/>
        </w:numPr>
        <w:kinsoku/>
        <w:wordWrap/>
        <w:overflowPunct/>
        <w:topLinePunct w:val="0"/>
        <w:autoSpaceDE/>
        <w:autoSpaceDN/>
        <w:bidi w:val="0"/>
        <w:adjustRightInd/>
        <w:snapToGrid/>
        <w:spacing w:line="578" w:lineRule="exact"/>
        <w:ind w:firstLine="0"/>
        <w:textAlignment w:val="auto"/>
        <w:rPr>
          <w:rFonts w:ascii="仿宋_GB2312" w:hAnsi="仿宋_GB2312" w:cs="仿宋_GB2312"/>
          <w:color w:val="auto"/>
          <w:szCs w:val="32"/>
          <w:u w:val="none"/>
        </w:rPr>
      </w:pPr>
      <w:r>
        <w:rPr>
          <w:rFonts w:hint="eastAsia" w:ascii="仿宋_GB2312" w:hAnsi="仿宋_GB2312" w:cs="仿宋_GB2312"/>
          <w:color w:val="auto"/>
          <w:szCs w:val="32"/>
          <w:u w:val="none"/>
        </w:rPr>
        <w:t>新供应市场商品住房用地应当配建一定比例的保障性住房。</w:t>
      </w:r>
    </w:p>
    <w:p>
      <w:pPr>
        <w:keepNext w:val="0"/>
        <w:keepLines w:val="0"/>
        <w:pageBreakBefore w:val="0"/>
        <w:widowControl w:val="0"/>
        <w:tabs>
          <w:tab w:val="left" w:pos="0"/>
        </w:tabs>
        <w:kinsoku/>
        <w:wordWrap/>
        <w:overflowPunct/>
        <w:topLinePunct w:val="0"/>
        <w:autoSpaceDE/>
        <w:autoSpaceDN/>
        <w:bidi w:val="0"/>
        <w:adjustRightInd/>
        <w:snapToGrid/>
        <w:spacing w:line="578" w:lineRule="exact"/>
        <w:ind w:firstLine="0"/>
        <w:textAlignment w:val="auto"/>
        <w:outlineLvl w:val="2"/>
        <w:rPr>
          <w:rFonts w:ascii="仿宋_GB2312" w:hAnsi="仿宋_GB2312" w:cs="仿宋_GB2312"/>
          <w:color w:val="auto"/>
          <w:szCs w:val="32"/>
          <w:u w:val="none"/>
        </w:rPr>
      </w:pPr>
      <w:bookmarkStart w:id="3" w:name="_Hlk96635881"/>
      <w:r>
        <w:rPr>
          <w:rFonts w:hint="eastAsia" w:ascii="黑体" w:hAnsi="黑体" w:eastAsia="黑体" w:cs="黑体"/>
          <w:color w:val="auto"/>
          <w:szCs w:val="32"/>
          <w:u w:val="none"/>
        </w:rPr>
        <w:t>第十</w:t>
      </w:r>
      <w:r>
        <w:rPr>
          <w:rFonts w:ascii="黑体" w:hAnsi="黑体" w:eastAsia="黑体" w:cs="黑体"/>
          <w:color w:val="auto"/>
          <w:szCs w:val="32"/>
          <w:u w:val="none"/>
        </w:rPr>
        <w:t>三</w:t>
      </w:r>
      <w:r>
        <w:rPr>
          <w:rFonts w:hint="eastAsia" w:ascii="黑体" w:hAnsi="黑体" w:eastAsia="黑体" w:cs="黑体"/>
          <w:color w:val="auto"/>
          <w:szCs w:val="32"/>
          <w:u w:val="none"/>
        </w:rPr>
        <w:t xml:space="preserve">条【城市更新建设和配建】  </w:t>
      </w:r>
      <w:r>
        <w:rPr>
          <w:rFonts w:hint="eastAsia" w:ascii="仿宋_GB2312" w:hAnsi="仿宋_GB2312" w:cs="仿宋_GB2312"/>
          <w:bCs/>
          <w:color w:val="auto"/>
          <w:szCs w:val="32"/>
          <w:u w:val="none"/>
        </w:rPr>
        <w:t>在公共配套条件支撑的情况下，工业区块线一级线外，规划为工业的旧工业区，可以通过城市更新建设保障性住房；工业区块线一级线内，规划为工业且位于已建、在建或者近期规</w:t>
      </w:r>
      <w:bookmarkEnd w:id="3"/>
      <w:r>
        <w:rPr>
          <w:rFonts w:hint="eastAsia" w:ascii="仿宋_GB2312" w:hAnsi="仿宋_GB2312" w:cs="仿宋_GB2312"/>
          <w:bCs/>
          <w:color w:val="auto"/>
          <w:szCs w:val="32"/>
          <w:u w:val="none"/>
        </w:rPr>
        <w:t>划建设的轨道站点五百米范围内的旧工业区，可以</w:t>
      </w:r>
      <w:bookmarkStart w:id="4" w:name="_Hlk96635136"/>
      <w:r>
        <w:rPr>
          <w:rFonts w:hint="eastAsia" w:ascii="仿宋_GB2312" w:hAnsi="仿宋_GB2312" w:cs="仿宋_GB2312"/>
          <w:bCs/>
          <w:color w:val="auto"/>
          <w:szCs w:val="32"/>
          <w:u w:val="none"/>
        </w:rPr>
        <w:t>通过城市更新</w:t>
      </w:r>
      <w:bookmarkEnd w:id="4"/>
      <w:r>
        <w:rPr>
          <w:rFonts w:hint="eastAsia" w:ascii="仿宋_GB2312" w:hAnsi="仿宋_GB2312" w:cs="仿宋_GB2312"/>
          <w:bCs/>
          <w:color w:val="auto"/>
          <w:szCs w:val="32"/>
          <w:u w:val="none"/>
        </w:rPr>
        <w:t>建设保障性住房，但用地面积原则</w:t>
      </w:r>
      <w:r>
        <w:rPr>
          <w:rFonts w:hint="eastAsia" w:ascii="仿宋_GB2312" w:hAnsi="仿宋_GB2312" w:cs="仿宋_GB2312"/>
          <w:color w:val="auto"/>
          <w:szCs w:val="32"/>
          <w:u w:val="none"/>
        </w:rPr>
        <w:t>上不得超过该区块总面积的百分之十。</w:t>
      </w:r>
    </w:p>
    <w:p>
      <w:pPr>
        <w:pStyle w:val="2"/>
        <w:keepNext w:val="0"/>
        <w:keepLines w:val="0"/>
        <w:pageBreakBefore w:val="0"/>
        <w:widowControl w:val="0"/>
        <w:kinsoku/>
        <w:wordWrap/>
        <w:overflowPunct/>
        <w:topLinePunct w:val="0"/>
        <w:autoSpaceDE/>
        <w:autoSpaceDN/>
        <w:bidi w:val="0"/>
        <w:adjustRightInd/>
        <w:snapToGrid/>
        <w:spacing w:after="0" w:line="578" w:lineRule="exact"/>
        <w:ind w:firstLine="640" w:firstLineChars="200"/>
        <w:textAlignment w:val="auto"/>
        <w:rPr>
          <w:color w:val="auto"/>
          <w:szCs w:val="32"/>
          <w:u w:val="none"/>
        </w:rPr>
      </w:pPr>
      <w:r>
        <w:rPr>
          <w:rFonts w:hint="eastAsia"/>
          <w:color w:val="auto"/>
          <w:szCs w:val="32"/>
          <w:u w:val="none"/>
        </w:rPr>
        <w:t>城市更新项目更新方向为居住的，应当按照相关政策配建公共租赁住房；城市更新项目更新方向以居住为主的，除无偿移交政府的用地外，城市更新单元规划确定的开发建设用地可规划为居住用地，并按照相关政策配建公共租赁住房；城市更新项目更新方向为商业的，可以</w:t>
      </w:r>
      <w:r>
        <w:rPr>
          <w:rFonts w:hint="eastAsia"/>
          <w:color w:val="auto"/>
          <w:szCs w:val="32"/>
          <w:u w:val="none"/>
          <w:lang w:val="en-US" w:eastAsia="zh-CN"/>
        </w:rPr>
        <w:t>按照</w:t>
      </w:r>
      <w:r>
        <w:rPr>
          <w:rFonts w:hint="eastAsia"/>
          <w:color w:val="auto"/>
          <w:szCs w:val="32"/>
          <w:u w:val="none"/>
        </w:rPr>
        <w:t>规定将更新方向调整为居住，并按照相关政策建设</w:t>
      </w:r>
      <w:r>
        <w:rPr>
          <w:rFonts w:hint="eastAsia" w:ascii="仿宋_GB2312" w:hAnsi="仿宋_GB2312" w:cs="仿宋_GB2312"/>
          <w:bCs/>
          <w:color w:val="auto"/>
          <w:szCs w:val="32"/>
          <w:u w:val="none"/>
        </w:rPr>
        <w:t>或者</w:t>
      </w:r>
      <w:r>
        <w:rPr>
          <w:rFonts w:hint="eastAsia"/>
          <w:color w:val="auto"/>
          <w:szCs w:val="32"/>
          <w:u w:val="none"/>
        </w:rPr>
        <w:t>配建共有产权住房。</w:t>
      </w:r>
    </w:p>
    <w:p>
      <w:pPr>
        <w:pStyle w:val="2"/>
        <w:keepNext w:val="0"/>
        <w:keepLines w:val="0"/>
        <w:pageBreakBefore w:val="0"/>
        <w:widowControl w:val="0"/>
        <w:kinsoku/>
        <w:wordWrap/>
        <w:overflowPunct/>
        <w:topLinePunct w:val="0"/>
        <w:autoSpaceDE/>
        <w:autoSpaceDN/>
        <w:bidi w:val="0"/>
        <w:adjustRightInd/>
        <w:snapToGrid/>
        <w:spacing w:after="0" w:line="578" w:lineRule="exact"/>
        <w:ind w:firstLine="640" w:firstLineChars="200"/>
        <w:textAlignment w:val="auto"/>
        <w:rPr>
          <w:color w:val="auto"/>
          <w:szCs w:val="32"/>
          <w:u w:val="none"/>
        </w:rPr>
      </w:pPr>
      <w:r>
        <w:rPr>
          <w:rFonts w:hint="eastAsia"/>
          <w:color w:val="auto"/>
          <w:szCs w:val="32"/>
          <w:u w:val="none"/>
        </w:rPr>
        <w:t>旧住宅区更新改造项目优先用于保障性住房建设，允许在新增居住建筑面积中安排一定比例的商品住房。</w:t>
      </w:r>
    </w:p>
    <w:p>
      <w:pPr>
        <w:keepNext w:val="0"/>
        <w:keepLines w:val="0"/>
        <w:pageBreakBefore w:val="0"/>
        <w:widowControl w:val="0"/>
        <w:tabs>
          <w:tab w:val="left" w:pos="0"/>
        </w:tabs>
        <w:kinsoku/>
        <w:wordWrap/>
        <w:overflowPunct/>
        <w:topLinePunct w:val="0"/>
        <w:autoSpaceDE/>
        <w:autoSpaceDN/>
        <w:bidi w:val="0"/>
        <w:adjustRightInd/>
        <w:snapToGrid/>
        <w:spacing w:line="578" w:lineRule="exact"/>
        <w:ind w:firstLine="0"/>
        <w:textAlignment w:val="auto"/>
        <w:outlineLvl w:val="2"/>
        <w:rPr>
          <w:rFonts w:ascii="仿宋_GB2312" w:hAnsi="仿宋_GB2312" w:cs="仿宋_GB2312"/>
          <w:color w:val="auto"/>
          <w:szCs w:val="32"/>
          <w:u w:val="none"/>
        </w:rPr>
      </w:pPr>
      <w:r>
        <w:rPr>
          <w:rFonts w:hint="eastAsia" w:ascii="黑体" w:hAnsi="黑体" w:eastAsia="黑体" w:cs="黑体"/>
          <w:color w:val="auto"/>
          <w:szCs w:val="32"/>
          <w:u w:val="none"/>
        </w:rPr>
        <w:t>第十</w:t>
      </w:r>
      <w:r>
        <w:rPr>
          <w:rFonts w:ascii="黑体" w:hAnsi="黑体" w:eastAsia="黑体" w:cs="黑体"/>
          <w:color w:val="auto"/>
          <w:szCs w:val="32"/>
          <w:u w:val="none"/>
        </w:rPr>
        <w:t>四</w:t>
      </w:r>
      <w:r>
        <w:rPr>
          <w:rFonts w:hint="eastAsia" w:ascii="黑体" w:hAnsi="黑体" w:eastAsia="黑体" w:cs="黑体"/>
          <w:color w:val="auto"/>
          <w:szCs w:val="32"/>
          <w:u w:val="none"/>
        </w:rPr>
        <w:t xml:space="preserve">条【机关企事业单位、社会组织等自有用地建设】  </w:t>
      </w:r>
      <w:r>
        <w:rPr>
          <w:rFonts w:hint="eastAsia" w:ascii="仿宋_GB2312" w:hAnsi="仿宋_GB2312" w:cs="仿宋_GB2312"/>
          <w:color w:val="auto"/>
          <w:szCs w:val="32"/>
          <w:u w:val="none"/>
        </w:rPr>
        <w:t>机关事业单位自有用地在符合规划、权属不变、满足安全要求并综合平衡中远期业务用地需求等因素的前提下，经市政府同意，可用于建设</w:t>
      </w:r>
      <w:r>
        <w:rPr>
          <w:rFonts w:hint="eastAsia" w:ascii="仿宋_GB2312"/>
          <w:color w:val="auto"/>
          <w:szCs w:val="32"/>
          <w:u w:val="none"/>
        </w:rPr>
        <w:t>政府组织配租的</w:t>
      </w:r>
      <w:r>
        <w:rPr>
          <w:rFonts w:hint="eastAsia" w:ascii="仿宋_GB2312" w:hAnsi="仿宋_GB2312" w:cs="仿宋_GB2312"/>
          <w:color w:val="auto"/>
          <w:szCs w:val="32"/>
          <w:u w:val="none"/>
        </w:rPr>
        <w:t>保障性租赁住房。</w:t>
      </w:r>
    </w:p>
    <w:p>
      <w:pPr>
        <w:pStyle w:val="2"/>
        <w:keepNext w:val="0"/>
        <w:keepLines w:val="0"/>
        <w:pageBreakBefore w:val="0"/>
        <w:widowControl w:val="0"/>
        <w:kinsoku/>
        <w:wordWrap/>
        <w:overflowPunct/>
        <w:topLinePunct w:val="0"/>
        <w:autoSpaceDE/>
        <w:autoSpaceDN/>
        <w:bidi w:val="0"/>
        <w:adjustRightInd/>
        <w:snapToGrid/>
        <w:spacing w:after="0" w:line="578" w:lineRule="exact"/>
        <w:ind w:firstLine="0"/>
        <w:textAlignment w:val="auto"/>
        <w:rPr>
          <w:rFonts w:ascii="仿宋_GB2312" w:hAnsi="仿宋_GB2312" w:cs="仿宋_GB2312"/>
          <w:color w:val="auto"/>
          <w:szCs w:val="32"/>
          <w:u w:val="none"/>
        </w:rPr>
      </w:pPr>
      <w:r>
        <w:rPr>
          <w:rFonts w:hint="eastAsia" w:ascii="仿宋_GB2312" w:hAnsi="仿宋_GB2312" w:cs="仿宋_GB2312"/>
          <w:color w:val="auto"/>
          <w:szCs w:val="32"/>
          <w:u w:val="none"/>
        </w:rPr>
        <w:t>企业、社会组织等自有用地在符合城市规划、权属不变、满足安全要求的前提下，可用于建设</w:t>
      </w:r>
      <w:r>
        <w:rPr>
          <w:rFonts w:hint="eastAsia" w:ascii="仿宋_GB2312"/>
          <w:color w:val="auto"/>
          <w:szCs w:val="32"/>
          <w:u w:val="none"/>
        </w:rPr>
        <w:t>社会主体</w:t>
      </w:r>
      <w:r>
        <w:rPr>
          <w:rFonts w:hint="eastAsia" w:ascii="仿宋_GB2312" w:hAnsi="仿宋_GB2312" w:cs="仿宋_GB2312"/>
          <w:color w:val="auto"/>
          <w:szCs w:val="32"/>
          <w:u w:val="none"/>
        </w:rPr>
        <w:t>出租的保障性租赁住房和共有产权住房。</w:t>
      </w:r>
    </w:p>
    <w:p>
      <w:pPr>
        <w:pStyle w:val="2"/>
        <w:keepNext w:val="0"/>
        <w:keepLines w:val="0"/>
        <w:pageBreakBefore w:val="0"/>
        <w:widowControl w:val="0"/>
        <w:kinsoku/>
        <w:wordWrap/>
        <w:overflowPunct/>
        <w:topLinePunct w:val="0"/>
        <w:autoSpaceDE/>
        <w:autoSpaceDN/>
        <w:bidi w:val="0"/>
        <w:adjustRightInd/>
        <w:snapToGrid/>
        <w:spacing w:after="0" w:line="578" w:lineRule="exact"/>
        <w:ind w:firstLine="640" w:firstLineChars="200"/>
        <w:textAlignment w:val="auto"/>
        <w:rPr>
          <w:rFonts w:ascii="仿宋_GB2312" w:hAnsi="仿宋_GB2312" w:cs="仿宋_GB2312"/>
          <w:color w:val="auto"/>
          <w:szCs w:val="32"/>
          <w:u w:val="none"/>
        </w:rPr>
      </w:pPr>
      <w:r>
        <w:rPr>
          <w:rFonts w:hint="eastAsia" w:ascii="仿宋_GB2312" w:hAnsi="仿宋_GB2312" w:cs="仿宋_GB2312"/>
          <w:color w:val="auto"/>
          <w:szCs w:val="32"/>
          <w:u w:val="none"/>
        </w:rPr>
        <w:t>机关企事业单位、社会组织等利用符合条件的存量自有用地建设保障性租赁住房的，可以变更土地用途，不补缴土地价款。</w:t>
      </w:r>
    </w:p>
    <w:p>
      <w:pPr>
        <w:pStyle w:val="2"/>
        <w:keepNext w:val="0"/>
        <w:keepLines w:val="0"/>
        <w:pageBreakBefore w:val="0"/>
        <w:widowControl w:val="0"/>
        <w:kinsoku/>
        <w:wordWrap/>
        <w:overflowPunct/>
        <w:topLinePunct w:val="0"/>
        <w:autoSpaceDE/>
        <w:autoSpaceDN/>
        <w:bidi w:val="0"/>
        <w:adjustRightInd/>
        <w:snapToGrid/>
        <w:spacing w:after="0" w:line="578" w:lineRule="exact"/>
        <w:ind w:firstLine="640" w:firstLineChars="200"/>
        <w:textAlignment w:val="auto"/>
        <w:rPr>
          <w:color w:val="auto"/>
          <w:szCs w:val="32"/>
          <w:u w:val="none"/>
        </w:rPr>
      </w:pPr>
      <w:r>
        <w:rPr>
          <w:rFonts w:hint="eastAsia" w:ascii="仿宋_GB2312" w:hAnsi="仿宋_GB2312" w:cs="仿宋_GB2312"/>
          <w:color w:val="auto"/>
          <w:szCs w:val="32"/>
          <w:u w:val="none"/>
        </w:rPr>
        <w:t>在不变更土地用途的前提下，学校、医院可以配建</w:t>
      </w:r>
      <w:r>
        <w:rPr>
          <w:rFonts w:hint="eastAsia" w:ascii="仿宋_GB2312"/>
          <w:color w:val="auto"/>
          <w:szCs w:val="32"/>
          <w:u w:val="none"/>
        </w:rPr>
        <w:t>政府组织配租的宿舍型</w:t>
      </w:r>
      <w:r>
        <w:rPr>
          <w:rFonts w:hint="eastAsia" w:ascii="仿宋_GB2312" w:hAnsi="仿宋_GB2312" w:cs="仿宋_GB2312"/>
          <w:color w:val="auto"/>
          <w:szCs w:val="32"/>
          <w:u w:val="none"/>
        </w:rPr>
        <w:t>保障性租赁住房。</w:t>
      </w:r>
    </w:p>
    <w:p>
      <w:pPr>
        <w:keepNext w:val="0"/>
        <w:keepLines w:val="0"/>
        <w:pageBreakBefore w:val="0"/>
        <w:widowControl w:val="0"/>
        <w:tabs>
          <w:tab w:val="left" w:pos="0"/>
        </w:tabs>
        <w:kinsoku/>
        <w:wordWrap/>
        <w:overflowPunct/>
        <w:topLinePunct w:val="0"/>
        <w:autoSpaceDE/>
        <w:autoSpaceDN/>
        <w:bidi w:val="0"/>
        <w:adjustRightInd/>
        <w:snapToGrid/>
        <w:spacing w:line="578" w:lineRule="exact"/>
        <w:ind w:firstLine="0"/>
        <w:textAlignment w:val="auto"/>
        <w:outlineLvl w:val="2"/>
        <w:rPr>
          <w:rFonts w:ascii="仿宋_GB2312" w:hAnsi="仿宋_GB2312" w:cs="仿宋_GB2312"/>
          <w:color w:val="auto"/>
          <w:kern w:val="0"/>
          <w:szCs w:val="32"/>
          <w:u w:val="none"/>
        </w:rPr>
      </w:pPr>
      <w:r>
        <w:rPr>
          <w:rFonts w:hint="eastAsia" w:ascii="黑体" w:hAnsi="黑体" w:eastAsia="黑体" w:cs="黑体"/>
          <w:color w:val="auto"/>
          <w:szCs w:val="32"/>
          <w:u w:val="none"/>
        </w:rPr>
        <w:t>第十</w:t>
      </w:r>
      <w:r>
        <w:rPr>
          <w:rFonts w:ascii="黑体" w:hAnsi="黑体" w:eastAsia="黑体" w:cs="黑体"/>
          <w:color w:val="auto"/>
          <w:szCs w:val="32"/>
          <w:u w:val="none"/>
        </w:rPr>
        <w:t>五</w:t>
      </w:r>
      <w:r>
        <w:rPr>
          <w:rFonts w:hint="eastAsia" w:ascii="黑体" w:hAnsi="黑体" w:eastAsia="黑体" w:cs="黑体"/>
          <w:color w:val="auto"/>
          <w:szCs w:val="32"/>
          <w:u w:val="none"/>
        </w:rPr>
        <w:t xml:space="preserve">条【产业园区配套用地建设】  </w:t>
      </w:r>
      <w:r>
        <w:rPr>
          <w:rFonts w:hint="eastAsia" w:ascii="仿宋_GB2312" w:hAnsi="仿宋_GB2312" w:cs="仿宋_GB2312"/>
          <w:color w:val="auto"/>
          <w:szCs w:val="32"/>
          <w:u w:val="none"/>
        </w:rPr>
        <w:t>产业园区配套宿舍原则上用作</w:t>
      </w:r>
      <w:bookmarkStart w:id="5" w:name="_Hlk97408026"/>
      <w:r>
        <w:rPr>
          <w:rFonts w:hint="eastAsia" w:ascii="仿宋_GB2312"/>
          <w:color w:val="auto"/>
          <w:szCs w:val="32"/>
          <w:u w:val="none"/>
        </w:rPr>
        <w:t>社会主体</w:t>
      </w:r>
      <w:r>
        <w:rPr>
          <w:rFonts w:hint="eastAsia" w:ascii="仿宋_GB2312" w:hAnsi="仿宋_GB2312" w:cs="仿宋_GB2312"/>
          <w:color w:val="auto"/>
          <w:szCs w:val="32"/>
          <w:u w:val="none"/>
        </w:rPr>
        <w:t>出租的</w:t>
      </w:r>
      <w:bookmarkEnd w:id="5"/>
      <w:r>
        <w:rPr>
          <w:rFonts w:hint="eastAsia" w:ascii="仿宋_GB2312" w:hAnsi="仿宋_GB2312" w:cs="仿宋_GB2312"/>
          <w:color w:val="auto"/>
          <w:szCs w:val="32"/>
          <w:u w:val="none"/>
        </w:rPr>
        <w:t>保障性租赁住房。在确保安全的前提下，</w:t>
      </w:r>
      <w:r>
        <w:rPr>
          <w:rFonts w:hint="eastAsia" w:ascii="仿宋_GB2312" w:hAnsi="仿宋_GB2312" w:cs="仿宋_GB2312"/>
          <w:color w:val="auto"/>
          <w:szCs w:val="32"/>
          <w:u w:val="none"/>
          <w:lang w:val="en"/>
        </w:rPr>
        <w:t>产业园区可以通过新建、拆除重建、扩建等方式，</w:t>
      </w:r>
      <w:r>
        <w:rPr>
          <w:rFonts w:hint="eastAsia" w:ascii="仿宋_GB2312" w:hAnsi="仿宋_GB2312" w:cs="仿宋_GB2312"/>
          <w:color w:val="auto"/>
          <w:szCs w:val="32"/>
          <w:u w:val="none"/>
        </w:rPr>
        <w:t>将</w:t>
      </w:r>
      <w:r>
        <w:rPr>
          <w:rFonts w:hint="eastAsia" w:ascii="仿宋_GB2312" w:hAnsi="仿宋_GB2312" w:cs="仿宋_GB2312"/>
          <w:color w:val="auto"/>
          <w:szCs w:val="32"/>
          <w:u w:val="none"/>
          <w:lang w:val="en"/>
        </w:rPr>
        <w:t>产业园区中工业项目配套建设行政办公及生活服务设施的用地面积占比上限由</w:t>
      </w:r>
      <w:r>
        <w:rPr>
          <w:rFonts w:hint="eastAsia" w:ascii="仿宋_GB2312" w:hAnsi="仿宋_GB2312" w:cs="仿宋_GB2312"/>
          <w:color w:val="auto"/>
          <w:szCs w:val="32"/>
          <w:u w:val="none"/>
        </w:rPr>
        <w:t>百分之七</w:t>
      </w:r>
      <w:r>
        <w:rPr>
          <w:rFonts w:hint="eastAsia" w:ascii="仿宋_GB2312" w:hAnsi="仿宋_GB2312" w:cs="仿宋_GB2312"/>
          <w:color w:val="auto"/>
          <w:szCs w:val="32"/>
          <w:u w:val="none"/>
          <w:lang w:val="en"/>
        </w:rPr>
        <w:t>提高到</w:t>
      </w:r>
      <w:r>
        <w:rPr>
          <w:rFonts w:hint="eastAsia" w:ascii="仿宋_GB2312" w:hAnsi="仿宋_GB2312" w:cs="仿宋_GB2312"/>
          <w:color w:val="auto"/>
          <w:szCs w:val="32"/>
          <w:u w:val="none"/>
        </w:rPr>
        <w:t>百分之十五</w:t>
      </w:r>
      <w:r>
        <w:rPr>
          <w:rFonts w:hint="eastAsia" w:ascii="仿宋_GB2312" w:hAnsi="仿宋_GB2312" w:cs="仿宋_GB2312"/>
          <w:color w:val="auto"/>
          <w:szCs w:val="32"/>
          <w:u w:val="none"/>
          <w:lang w:val="en"/>
        </w:rPr>
        <w:t>，建筑面积占比上限相应提高到</w:t>
      </w:r>
      <w:r>
        <w:rPr>
          <w:rFonts w:hint="eastAsia" w:ascii="仿宋_GB2312" w:hAnsi="仿宋_GB2312" w:cs="仿宋_GB2312"/>
          <w:color w:val="auto"/>
          <w:szCs w:val="32"/>
          <w:u w:val="none"/>
        </w:rPr>
        <w:t>百分之三十</w:t>
      </w:r>
      <w:r>
        <w:rPr>
          <w:rFonts w:ascii="仿宋_GB2312" w:hAnsi="仿宋_GB2312" w:cs="仿宋_GB2312"/>
          <w:color w:val="auto"/>
          <w:szCs w:val="32"/>
          <w:u w:val="none"/>
          <w:lang w:val="en"/>
        </w:rPr>
        <w:t>，提高部分主要用于建设</w:t>
      </w:r>
      <w:r>
        <w:rPr>
          <w:rFonts w:hint="eastAsia" w:ascii="仿宋_GB2312"/>
          <w:color w:val="auto"/>
          <w:szCs w:val="32"/>
          <w:u w:val="none"/>
        </w:rPr>
        <w:t>社会主体</w:t>
      </w:r>
      <w:r>
        <w:rPr>
          <w:rFonts w:hint="eastAsia" w:ascii="仿宋_GB2312" w:hAnsi="仿宋_GB2312" w:cs="仿宋_GB2312"/>
          <w:color w:val="auto"/>
          <w:szCs w:val="32"/>
          <w:u w:val="none"/>
        </w:rPr>
        <w:t>出租的</w:t>
      </w:r>
      <w:r>
        <w:rPr>
          <w:rFonts w:ascii="仿宋_GB2312" w:hAnsi="仿宋_GB2312" w:cs="仿宋_GB2312"/>
          <w:color w:val="auto"/>
          <w:szCs w:val="32"/>
          <w:u w:val="none"/>
          <w:lang w:val="en"/>
        </w:rPr>
        <w:t>宿舍型保障性租赁住房，</w:t>
      </w:r>
      <w:r>
        <w:rPr>
          <w:rFonts w:hint="eastAsia" w:ascii="仿宋_GB2312" w:hAnsi="仿宋_GB2312" w:cs="仿宋_GB2312"/>
          <w:color w:val="auto"/>
          <w:szCs w:val="32"/>
          <w:u w:val="none"/>
          <w:lang w:val="en"/>
        </w:rPr>
        <w:t>严禁建设成套商品住宅，并在监管协议书中予以明确</w:t>
      </w:r>
      <w:r>
        <w:rPr>
          <w:rFonts w:hint="eastAsia" w:ascii="仿宋_GB2312" w:hAnsi="仿宋_GB2312" w:cs="仿宋_GB2312"/>
          <w:color w:val="auto"/>
          <w:szCs w:val="32"/>
          <w:u w:val="none"/>
        </w:rPr>
        <w:t>。</w:t>
      </w:r>
    </w:p>
    <w:p>
      <w:pPr>
        <w:keepNext w:val="0"/>
        <w:keepLines w:val="0"/>
        <w:pageBreakBefore w:val="0"/>
        <w:widowControl w:val="0"/>
        <w:kinsoku/>
        <w:wordWrap/>
        <w:overflowPunct/>
        <w:topLinePunct w:val="0"/>
        <w:autoSpaceDE/>
        <w:autoSpaceDN/>
        <w:bidi w:val="0"/>
        <w:adjustRightInd/>
        <w:snapToGrid/>
        <w:spacing w:line="578" w:lineRule="exact"/>
        <w:ind w:firstLine="0"/>
        <w:textAlignment w:val="auto"/>
        <w:rPr>
          <w:color w:val="auto"/>
          <w:szCs w:val="32"/>
          <w:u w:val="none"/>
        </w:rPr>
      </w:pPr>
      <w:r>
        <w:rPr>
          <w:rFonts w:hint="eastAsia" w:ascii="仿宋_GB2312" w:hAnsi="仿宋_GB2312" w:cs="仿宋_GB2312"/>
          <w:color w:val="auto"/>
          <w:szCs w:val="32"/>
          <w:u w:val="none"/>
          <w:lang w:val="en"/>
        </w:rPr>
        <w:t>鼓励将产</w:t>
      </w:r>
      <w:r>
        <w:rPr>
          <w:rFonts w:hint="eastAsia" w:ascii="仿宋_GB2312" w:hAnsi="仿宋_GB2312" w:cs="仿宋_GB2312"/>
          <w:color w:val="auto"/>
          <w:szCs w:val="32"/>
          <w:u w:val="none"/>
        </w:rPr>
        <w:t>业园区中多个工业项目配套比例的对应用地面积或者建筑面积集中计算，统一建设</w:t>
      </w:r>
      <w:r>
        <w:rPr>
          <w:rFonts w:hint="eastAsia" w:ascii="仿宋_GB2312"/>
          <w:color w:val="auto"/>
          <w:szCs w:val="32"/>
          <w:u w:val="none"/>
        </w:rPr>
        <w:t>社会主体</w:t>
      </w:r>
      <w:r>
        <w:rPr>
          <w:rFonts w:ascii="仿宋_GB2312" w:hAnsi="仿宋_GB2312" w:cs="仿宋_GB2312"/>
          <w:color w:val="auto"/>
          <w:szCs w:val="32"/>
          <w:u w:val="none"/>
        </w:rPr>
        <w:t>出租的</w:t>
      </w:r>
      <w:r>
        <w:rPr>
          <w:rFonts w:hint="eastAsia" w:ascii="仿宋_GB2312" w:hAnsi="仿宋_GB2312" w:cs="仿宋_GB2312"/>
          <w:color w:val="auto"/>
          <w:szCs w:val="32"/>
          <w:u w:val="none"/>
        </w:rPr>
        <w:t>宿舍型保障性租赁住房</w:t>
      </w:r>
      <w:r>
        <w:rPr>
          <w:rFonts w:hint="eastAsia" w:ascii="仿宋_GB2312" w:hAnsi="仿宋_GB2312" w:cs="仿宋_GB2312"/>
          <w:color w:val="auto"/>
          <w:szCs w:val="32"/>
          <w:u w:val="none"/>
          <w:lang w:val="en"/>
        </w:rPr>
        <w:t>。</w:t>
      </w:r>
      <w:r>
        <w:rPr>
          <w:rFonts w:hint="eastAsia"/>
          <w:color w:val="auto"/>
          <w:szCs w:val="32"/>
          <w:u w:val="none"/>
        </w:rPr>
        <w:t>新型产业用地可以配套建设</w:t>
      </w:r>
      <w:r>
        <w:rPr>
          <w:rFonts w:hint="eastAsia" w:ascii="仿宋_GB2312"/>
          <w:color w:val="auto"/>
          <w:szCs w:val="32"/>
          <w:u w:val="none"/>
        </w:rPr>
        <w:t>社会主体</w:t>
      </w:r>
      <w:r>
        <w:rPr>
          <w:rFonts w:hint="eastAsia"/>
          <w:color w:val="auto"/>
          <w:szCs w:val="32"/>
          <w:u w:val="none"/>
        </w:rPr>
        <w:t>出租的宿舍型</w:t>
      </w:r>
      <w:r>
        <w:rPr>
          <w:rFonts w:hint="eastAsia"/>
          <w:color w:val="auto"/>
          <w:szCs w:val="32"/>
          <w:u w:val="none"/>
          <w:lang w:val="en"/>
        </w:rPr>
        <w:t>保障性租赁住房</w:t>
      </w:r>
      <w:r>
        <w:rPr>
          <w:rFonts w:hint="eastAsia"/>
          <w:color w:val="auto"/>
          <w:szCs w:val="32"/>
          <w:u w:val="none"/>
        </w:rPr>
        <w:t>。</w:t>
      </w:r>
    </w:p>
    <w:p>
      <w:pPr>
        <w:keepNext w:val="0"/>
        <w:keepLines w:val="0"/>
        <w:pageBreakBefore w:val="0"/>
        <w:widowControl w:val="0"/>
        <w:tabs>
          <w:tab w:val="left" w:pos="0"/>
        </w:tabs>
        <w:kinsoku/>
        <w:wordWrap/>
        <w:overflowPunct/>
        <w:topLinePunct w:val="0"/>
        <w:autoSpaceDE/>
        <w:autoSpaceDN/>
        <w:bidi w:val="0"/>
        <w:adjustRightInd/>
        <w:snapToGrid/>
        <w:spacing w:line="578" w:lineRule="exact"/>
        <w:ind w:firstLine="0"/>
        <w:textAlignment w:val="auto"/>
        <w:outlineLvl w:val="2"/>
        <w:rPr>
          <w:rFonts w:ascii="仿宋_GB2312" w:hAnsi="仿宋_GB2312" w:cs="仿宋_GB2312"/>
          <w:color w:val="auto"/>
          <w:szCs w:val="32"/>
          <w:u w:val="none"/>
          <w:lang w:val="en"/>
        </w:rPr>
      </w:pPr>
      <w:r>
        <w:rPr>
          <w:rFonts w:hint="eastAsia" w:ascii="黑体" w:hAnsi="黑体" w:eastAsia="黑体" w:cs="黑体"/>
          <w:color w:val="auto"/>
          <w:szCs w:val="32"/>
          <w:u w:val="none"/>
        </w:rPr>
        <w:t>第十</w:t>
      </w:r>
      <w:r>
        <w:rPr>
          <w:rFonts w:ascii="黑体" w:hAnsi="黑体" w:eastAsia="黑体" w:cs="黑体"/>
          <w:color w:val="auto"/>
          <w:szCs w:val="32"/>
          <w:u w:val="none"/>
        </w:rPr>
        <w:t>六</w:t>
      </w:r>
      <w:r>
        <w:rPr>
          <w:rFonts w:hint="eastAsia" w:ascii="黑体" w:hAnsi="黑体" w:eastAsia="黑体" w:cs="黑体"/>
          <w:color w:val="auto"/>
          <w:szCs w:val="32"/>
          <w:u w:val="none"/>
        </w:rPr>
        <w:t xml:space="preserve">条【原农村集体用地建设】  </w:t>
      </w:r>
      <w:r>
        <w:rPr>
          <w:rFonts w:ascii="仿宋_GB2312" w:hAnsi="仿宋_GB2312" w:cs="仿宋_GB2312"/>
          <w:color w:val="auto"/>
          <w:szCs w:val="32"/>
          <w:u w:val="none"/>
        </w:rPr>
        <w:t>原农村集体经济组织继受单位</w:t>
      </w:r>
      <w:r>
        <w:rPr>
          <w:rFonts w:hint="eastAsia" w:ascii="仿宋_GB2312" w:hAnsi="仿宋_GB2312" w:cs="仿宋_GB2312"/>
          <w:color w:val="auto"/>
          <w:szCs w:val="32"/>
          <w:u w:val="none"/>
        </w:rPr>
        <w:t>的</w:t>
      </w:r>
      <w:r>
        <w:rPr>
          <w:rFonts w:ascii="仿宋_GB2312" w:hAnsi="仿宋_GB2312" w:cs="仿宋_GB2312"/>
          <w:color w:val="auto"/>
          <w:szCs w:val="32"/>
          <w:u w:val="none"/>
        </w:rPr>
        <w:t>非农建设用地、土地整备利益统筹留用地、征地返还用地等，可以提高居住用地容积率</w:t>
      </w:r>
      <w:r>
        <w:rPr>
          <w:rFonts w:hint="eastAsia" w:ascii="仿宋_GB2312" w:hAnsi="仿宋_GB2312" w:cs="仿宋_GB2312"/>
          <w:color w:val="auto"/>
          <w:szCs w:val="32"/>
          <w:u w:val="none"/>
        </w:rPr>
        <w:t>，增加的部分用于</w:t>
      </w:r>
      <w:r>
        <w:rPr>
          <w:rFonts w:hint="eastAsia"/>
          <w:color w:val="auto"/>
          <w:szCs w:val="32"/>
          <w:u w:val="none"/>
        </w:rPr>
        <w:t>建设</w:t>
      </w:r>
      <w:r>
        <w:rPr>
          <w:rFonts w:hint="eastAsia"/>
          <w:color w:val="auto"/>
          <w:szCs w:val="32"/>
          <w:highlight w:val="none"/>
          <w:u w:val="none"/>
        </w:rPr>
        <w:t>保障性租赁住房或者</w:t>
      </w:r>
      <w:r>
        <w:rPr>
          <w:rFonts w:hint="eastAsia"/>
          <w:color w:val="auto"/>
          <w:szCs w:val="32"/>
          <w:u w:val="none"/>
        </w:rPr>
        <w:t>共有产权住房。非居住用途的，在符合规划前提下，可变更用途后用于建设</w:t>
      </w:r>
      <w:r>
        <w:rPr>
          <w:rFonts w:hint="eastAsia"/>
          <w:color w:val="auto"/>
          <w:szCs w:val="32"/>
          <w:highlight w:val="none"/>
          <w:u w:val="none"/>
        </w:rPr>
        <w:t>保障性租赁住房或者</w:t>
      </w:r>
      <w:r>
        <w:rPr>
          <w:rFonts w:hint="eastAsia" w:ascii="仿宋_GB2312" w:hAnsi="仿宋_GB2312" w:cs="仿宋_GB2312"/>
          <w:color w:val="auto"/>
          <w:szCs w:val="32"/>
          <w:u w:val="none"/>
          <w:lang w:val="en"/>
        </w:rPr>
        <w:t>共有产权住房。</w:t>
      </w:r>
    </w:p>
    <w:p>
      <w:pPr>
        <w:keepNext w:val="0"/>
        <w:keepLines w:val="0"/>
        <w:pageBreakBefore w:val="0"/>
        <w:widowControl w:val="0"/>
        <w:tabs>
          <w:tab w:val="left" w:pos="0"/>
        </w:tabs>
        <w:kinsoku/>
        <w:wordWrap/>
        <w:overflowPunct/>
        <w:topLinePunct w:val="0"/>
        <w:autoSpaceDE/>
        <w:autoSpaceDN/>
        <w:bidi w:val="0"/>
        <w:adjustRightInd/>
        <w:snapToGrid/>
        <w:spacing w:line="578" w:lineRule="exact"/>
        <w:ind w:firstLine="0"/>
        <w:textAlignment w:val="auto"/>
        <w:outlineLvl w:val="2"/>
        <w:rPr>
          <w:rFonts w:ascii="黑体" w:hAnsi="黑体" w:eastAsia="黑体" w:cs="黑体"/>
          <w:color w:val="auto"/>
          <w:szCs w:val="32"/>
          <w:highlight w:val="none"/>
          <w:u w:val="none"/>
        </w:rPr>
      </w:pPr>
      <w:r>
        <w:rPr>
          <w:rFonts w:hint="eastAsia" w:ascii="黑体" w:hAnsi="黑体" w:eastAsia="黑体" w:cs="黑体"/>
          <w:color w:val="auto"/>
          <w:szCs w:val="32"/>
          <w:u w:val="none"/>
        </w:rPr>
        <w:t xml:space="preserve">第十七条【未完善征（转）地补偿手续用地建设】  </w:t>
      </w:r>
      <w:r>
        <w:rPr>
          <w:rFonts w:hint="eastAsia" w:ascii="仿宋_GB2312" w:hAnsi="仿宋_GB2312" w:cs="仿宋_GB2312"/>
          <w:color w:val="auto"/>
          <w:szCs w:val="32"/>
          <w:u w:val="none"/>
        </w:rPr>
        <w:t>符合条件的</w:t>
      </w:r>
      <w:bookmarkStart w:id="6" w:name="_Hlk97409935"/>
      <w:r>
        <w:rPr>
          <w:rFonts w:hint="eastAsia" w:ascii="仿宋_GB2312" w:hAnsi="仿宋_GB2312" w:cs="仿宋_GB2312"/>
          <w:color w:val="auto"/>
          <w:szCs w:val="32"/>
          <w:u w:val="none"/>
        </w:rPr>
        <w:t>未完善征（转）地补偿手续的空地</w:t>
      </w:r>
      <w:bookmarkEnd w:id="6"/>
      <w:r>
        <w:rPr>
          <w:rFonts w:hint="eastAsia" w:ascii="仿宋_GB2312" w:hAnsi="仿宋_GB2312" w:cs="仿宋_GB2312"/>
          <w:color w:val="auto"/>
          <w:szCs w:val="32"/>
          <w:u w:val="none"/>
        </w:rPr>
        <w:t>，在符合规划的前提下，经市政府批准，可以协议出让给原农村集体经济组织继受单位，</w:t>
      </w:r>
      <w:r>
        <w:rPr>
          <w:rFonts w:hint="eastAsia" w:ascii="仿宋_GB2312" w:hAnsi="仿宋_GB2312" w:cs="仿宋_GB2312"/>
          <w:color w:val="auto"/>
          <w:szCs w:val="32"/>
          <w:highlight w:val="none"/>
          <w:u w:val="none"/>
        </w:rPr>
        <w:t>用于建设保障性住房。</w:t>
      </w:r>
    </w:p>
    <w:p>
      <w:pPr>
        <w:keepNext w:val="0"/>
        <w:keepLines w:val="0"/>
        <w:pageBreakBefore w:val="0"/>
        <w:widowControl w:val="0"/>
        <w:tabs>
          <w:tab w:val="left" w:pos="0"/>
        </w:tabs>
        <w:kinsoku/>
        <w:wordWrap/>
        <w:overflowPunct/>
        <w:topLinePunct w:val="0"/>
        <w:autoSpaceDE/>
        <w:autoSpaceDN/>
        <w:bidi w:val="0"/>
        <w:adjustRightInd/>
        <w:snapToGrid/>
        <w:spacing w:line="578" w:lineRule="exact"/>
        <w:ind w:firstLine="0"/>
        <w:textAlignment w:val="auto"/>
        <w:outlineLvl w:val="2"/>
        <w:rPr>
          <w:rFonts w:ascii="仿宋_GB2312" w:hAnsi="仿宋_GB2312" w:cs="仿宋_GB2312"/>
          <w:color w:val="auto"/>
          <w:szCs w:val="32"/>
          <w:highlight w:val="none"/>
          <w:u w:val="none"/>
        </w:rPr>
      </w:pPr>
      <w:r>
        <w:rPr>
          <w:rFonts w:hint="eastAsia" w:ascii="黑体" w:hAnsi="黑体" w:eastAsia="黑体" w:cs="黑体"/>
          <w:color w:val="auto"/>
          <w:szCs w:val="32"/>
          <w:highlight w:val="none"/>
          <w:u w:val="none"/>
        </w:rPr>
        <w:t xml:space="preserve">第十八条【历史遗留未完善出让手续用地建设】  </w:t>
      </w:r>
      <w:r>
        <w:rPr>
          <w:rFonts w:hint="eastAsia" w:ascii="仿宋_GB2312" w:hAnsi="仿宋_GB2312" w:cs="仿宋_GB2312"/>
          <w:color w:val="auto"/>
          <w:szCs w:val="32"/>
          <w:highlight w:val="none"/>
          <w:u w:val="none"/>
        </w:rPr>
        <w:t>历史遗留未完善出让手续用地，在符合规划、自行理清相关经济利益关系的前提下，符合规划的部分可协议出让给原用地申请单位</w:t>
      </w:r>
      <w:r>
        <w:rPr>
          <w:rFonts w:hint="eastAsia" w:ascii="仿宋_GB2312" w:hAnsi="仿宋_GB2312" w:cs="仿宋_GB2312"/>
          <w:bCs/>
          <w:color w:val="auto"/>
          <w:szCs w:val="32"/>
          <w:highlight w:val="none"/>
          <w:u w:val="none"/>
        </w:rPr>
        <w:t>或者</w:t>
      </w:r>
      <w:r>
        <w:rPr>
          <w:rFonts w:hint="eastAsia" w:ascii="仿宋_GB2312" w:hAnsi="仿宋_GB2312" w:cs="仿宋_GB2312"/>
          <w:color w:val="auto"/>
          <w:szCs w:val="32"/>
          <w:highlight w:val="none"/>
          <w:u w:val="none"/>
        </w:rPr>
        <w:t>区政府确认的继受单位，用于建设保障性住房。</w:t>
      </w:r>
    </w:p>
    <w:p>
      <w:pPr>
        <w:keepNext w:val="0"/>
        <w:keepLines w:val="0"/>
        <w:pageBreakBefore w:val="0"/>
        <w:widowControl w:val="0"/>
        <w:tabs>
          <w:tab w:val="left" w:pos="0"/>
        </w:tabs>
        <w:kinsoku/>
        <w:wordWrap/>
        <w:overflowPunct/>
        <w:topLinePunct w:val="0"/>
        <w:autoSpaceDE/>
        <w:autoSpaceDN/>
        <w:bidi w:val="0"/>
        <w:adjustRightInd/>
        <w:snapToGrid/>
        <w:spacing w:line="578" w:lineRule="exact"/>
        <w:ind w:firstLine="0"/>
        <w:textAlignment w:val="auto"/>
        <w:outlineLvl w:val="2"/>
        <w:rPr>
          <w:rFonts w:ascii="仿宋_GB2312" w:hAnsi="仿宋_GB2312" w:cs="仿宋_GB2312"/>
          <w:color w:val="auto"/>
          <w:szCs w:val="32"/>
          <w:u w:val="none"/>
        </w:rPr>
      </w:pPr>
      <w:r>
        <w:rPr>
          <w:rFonts w:hint="eastAsia" w:ascii="黑体" w:hAnsi="黑体" w:eastAsia="黑体" w:cs="黑体"/>
          <w:color w:val="auto"/>
          <w:szCs w:val="32"/>
          <w:u w:val="none"/>
        </w:rPr>
        <w:t xml:space="preserve">第十九条【公用设施、交通设施和轨道交通用地建设】  </w:t>
      </w:r>
      <w:r>
        <w:rPr>
          <w:rFonts w:hint="eastAsia" w:ascii="仿宋_GB2312" w:hAnsi="仿宋_GB2312" w:cs="仿宋_GB2312"/>
          <w:color w:val="auto"/>
          <w:szCs w:val="32"/>
          <w:u w:val="none"/>
        </w:rPr>
        <w:t>新供应及已供应的交通场站、变电站和消防站等公用设施和交通设施用地，在符合规划、满足中远期业务发展需要、满足公共配套设施及市政交通设施承载能力并保证安全的前提下，可以配建政府组织配租的保障性租赁住房。配建的保障性租赁住房面积超过公用设施和交通设施面积的，土地用途仍按公共基础设施</w:t>
      </w:r>
      <w:r>
        <w:rPr>
          <w:rFonts w:hint="eastAsia" w:ascii="仿宋_GB2312" w:hAnsi="仿宋_GB2312" w:cs="仿宋_GB2312"/>
          <w:bCs/>
          <w:color w:val="auto"/>
          <w:szCs w:val="32"/>
          <w:u w:val="none"/>
        </w:rPr>
        <w:t>或者</w:t>
      </w:r>
      <w:r>
        <w:rPr>
          <w:rFonts w:hint="eastAsia" w:ascii="仿宋_GB2312" w:hAnsi="仿宋_GB2312" w:cs="仿宋_GB2312"/>
          <w:color w:val="auto"/>
          <w:szCs w:val="32"/>
          <w:u w:val="none"/>
        </w:rPr>
        <w:t>市政交通设施的主导功能确定。</w:t>
      </w:r>
    </w:p>
    <w:p>
      <w:pPr>
        <w:keepNext w:val="0"/>
        <w:keepLines w:val="0"/>
        <w:pageBreakBefore w:val="0"/>
        <w:widowControl w:val="0"/>
        <w:kinsoku/>
        <w:wordWrap/>
        <w:overflowPunct/>
        <w:topLinePunct w:val="0"/>
        <w:autoSpaceDE/>
        <w:autoSpaceDN/>
        <w:bidi w:val="0"/>
        <w:adjustRightInd/>
        <w:snapToGrid/>
        <w:spacing w:line="578" w:lineRule="exact"/>
        <w:ind w:firstLine="0"/>
        <w:textAlignment w:val="auto"/>
        <w:rPr>
          <w:rFonts w:ascii="仿宋_GB2312" w:hAnsi="仿宋_GB2312" w:cs="仿宋_GB2312"/>
          <w:color w:val="auto"/>
          <w:szCs w:val="32"/>
          <w:u w:val="none"/>
        </w:rPr>
      </w:pPr>
      <w:r>
        <w:rPr>
          <w:rFonts w:hint="eastAsia" w:ascii="仿宋_GB2312" w:hAnsi="仿宋_GB2312" w:cs="仿宋_GB2312"/>
          <w:color w:val="auto"/>
          <w:szCs w:val="32"/>
          <w:u w:val="none"/>
        </w:rPr>
        <w:t>轨道交通用地（含车辆段、停车场、轨道交通站点等）在符合规划且保证安全的前提下，可以分层设立建设用地使用权，用于住房建设，其中保障性住房的套数占住房总套数的比例不低于百分之六十且以政府组织配租的保障性租赁住房为主。</w:t>
      </w:r>
    </w:p>
    <w:p>
      <w:pPr>
        <w:keepNext w:val="0"/>
        <w:keepLines w:val="0"/>
        <w:pageBreakBefore w:val="0"/>
        <w:widowControl w:val="0"/>
        <w:kinsoku/>
        <w:wordWrap/>
        <w:overflowPunct/>
        <w:topLinePunct w:val="0"/>
        <w:autoSpaceDE/>
        <w:autoSpaceDN/>
        <w:bidi w:val="0"/>
        <w:adjustRightInd/>
        <w:snapToGrid/>
        <w:spacing w:line="578" w:lineRule="exact"/>
        <w:ind w:firstLine="0"/>
        <w:textAlignment w:val="auto"/>
        <w:rPr>
          <w:rFonts w:ascii="仿宋_GB2312" w:hAnsi="仿宋_GB2312" w:cs="仿宋_GB2312"/>
          <w:color w:val="auto"/>
          <w:szCs w:val="32"/>
          <w:u w:val="none"/>
        </w:rPr>
      </w:pPr>
      <w:r>
        <w:rPr>
          <w:rFonts w:hint="eastAsia" w:ascii="仿宋_GB2312" w:hAnsi="仿宋_GB2312" w:cs="仿宋_GB2312"/>
          <w:color w:val="auto"/>
          <w:szCs w:val="32"/>
          <w:u w:val="none"/>
        </w:rPr>
        <w:t>政府投资建设的项目，发展改革部门在立项时，应当确保投资匡算包括配建的保障性住房，实现一体化开发建设。</w:t>
      </w:r>
    </w:p>
    <w:p>
      <w:pPr>
        <w:keepNext w:val="0"/>
        <w:keepLines w:val="0"/>
        <w:pageBreakBefore w:val="0"/>
        <w:widowControl w:val="0"/>
        <w:tabs>
          <w:tab w:val="left" w:pos="0"/>
        </w:tabs>
        <w:kinsoku/>
        <w:wordWrap/>
        <w:overflowPunct/>
        <w:topLinePunct w:val="0"/>
        <w:autoSpaceDE/>
        <w:autoSpaceDN/>
        <w:bidi w:val="0"/>
        <w:adjustRightInd/>
        <w:snapToGrid/>
        <w:spacing w:line="578" w:lineRule="exact"/>
        <w:ind w:firstLine="0"/>
        <w:textAlignment w:val="auto"/>
        <w:outlineLvl w:val="2"/>
        <w:rPr>
          <w:rFonts w:ascii="仿宋_GB2312" w:hAnsi="仿宋_GB2312" w:cs="仿宋_GB2312"/>
          <w:color w:val="auto"/>
          <w:szCs w:val="32"/>
          <w:highlight w:val="yellow"/>
          <w:u w:val="none"/>
        </w:rPr>
      </w:pPr>
      <w:r>
        <w:rPr>
          <w:rFonts w:hint="eastAsia" w:ascii="黑体" w:hAnsi="黑体" w:eastAsia="黑体" w:cs="黑体"/>
          <w:color w:val="auto"/>
          <w:szCs w:val="32"/>
          <w:u w:val="none"/>
        </w:rPr>
        <w:t>第二十条</w:t>
      </w:r>
      <w:r>
        <w:rPr>
          <w:rFonts w:hint="eastAsia" w:ascii="黑体" w:hAnsi="黑体" w:eastAsia="黑体"/>
          <w:color w:val="auto"/>
          <w:szCs w:val="32"/>
          <w:u w:val="none"/>
        </w:rPr>
        <w:t xml:space="preserve">【具有居住功能的存量房屋筹集】  </w:t>
      </w:r>
      <w:r>
        <w:rPr>
          <w:rFonts w:hint="eastAsia" w:ascii="仿宋_GB2312" w:hAnsi="仿宋_GB2312" w:cs="仿宋_GB2312"/>
          <w:color w:val="auto"/>
          <w:szCs w:val="32"/>
          <w:u w:val="none"/>
        </w:rPr>
        <w:t>住宅、公寓、宿舍以及经规模化租赁改造的历史遗留违法建筑等具有居住功能的存量房屋，符合条件的可以筹集作为保障性租赁住房</w:t>
      </w:r>
      <w:r>
        <w:rPr>
          <w:rFonts w:hint="eastAsia" w:ascii="仿宋_GB2312" w:hAnsi="仿宋_GB2312" w:cs="仿宋_GB2312"/>
          <w:bCs/>
          <w:color w:val="auto"/>
          <w:szCs w:val="32"/>
          <w:u w:val="none"/>
        </w:rPr>
        <w:t>或者</w:t>
      </w:r>
      <w:r>
        <w:rPr>
          <w:rFonts w:hint="eastAsia" w:ascii="仿宋_GB2312" w:hAnsi="仿宋_GB2312" w:cs="仿宋_GB2312"/>
          <w:color w:val="auto"/>
          <w:szCs w:val="32"/>
          <w:u w:val="none"/>
        </w:rPr>
        <w:t>公共租赁住房。</w:t>
      </w:r>
    </w:p>
    <w:p>
      <w:pPr>
        <w:keepNext w:val="0"/>
        <w:keepLines w:val="0"/>
        <w:pageBreakBefore w:val="0"/>
        <w:widowControl w:val="0"/>
        <w:kinsoku/>
        <w:wordWrap/>
        <w:overflowPunct/>
        <w:topLinePunct w:val="0"/>
        <w:autoSpaceDE/>
        <w:autoSpaceDN/>
        <w:bidi w:val="0"/>
        <w:adjustRightInd/>
        <w:snapToGrid/>
        <w:spacing w:line="578" w:lineRule="exact"/>
        <w:ind w:firstLine="0"/>
        <w:textAlignment w:val="auto"/>
        <w:rPr>
          <w:rFonts w:ascii="仿宋_GB2312" w:hAnsi="仿宋_GB2312" w:cs="仿宋_GB2312"/>
          <w:color w:val="auto"/>
          <w:szCs w:val="32"/>
          <w:u w:val="none"/>
        </w:rPr>
      </w:pPr>
      <w:r>
        <w:rPr>
          <w:rFonts w:hint="eastAsia" w:ascii="仿宋_GB2312" w:hAnsi="仿宋_GB2312" w:cs="仿宋_GB2312"/>
          <w:color w:val="auto"/>
          <w:szCs w:val="32"/>
          <w:u w:val="none"/>
        </w:rPr>
        <w:t>具有居住功能的存量房屋筹集作为保障性租赁住房</w:t>
      </w:r>
      <w:r>
        <w:rPr>
          <w:rFonts w:hint="eastAsia" w:ascii="仿宋_GB2312" w:hAnsi="仿宋_GB2312" w:cs="仿宋_GB2312"/>
          <w:bCs/>
          <w:color w:val="auto"/>
          <w:szCs w:val="32"/>
          <w:u w:val="none"/>
        </w:rPr>
        <w:t>或者</w:t>
      </w:r>
      <w:r>
        <w:rPr>
          <w:rFonts w:hint="eastAsia" w:ascii="仿宋_GB2312" w:hAnsi="仿宋_GB2312" w:cs="仿宋_GB2312"/>
          <w:color w:val="auto"/>
          <w:szCs w:val="32"/>
          <w:u w:val="none"/>
        </w:rPr>
        <w:t>公共租赁住房的，应当无权属争议且经过辖区街道办事处的房屋结构、消防、地质灾害安全隐患排查。</w:t>
      </w:r>
    </w:p>
    <w:p>
      <w:pPr>
        <w:pStyle w:val="2"/>
        <w:keepNext w:val="0"/>
        <w:keepLines w:val="0"/>
        <w:pageBreakBefore w:val="0"/>
        <w:widowControl w:val="0"/>
        <w:kinsoku/>
        <w:wordWrap/>
        <w:overflowPunct/>
        <w:topLinePunct w:val="0"/>
        <w:autoSpaceDE/>
        <w:autoSpaceDN/>
        <w:bidi w:val="0"/>
        <w:adjustRightInd/>
        <w:snapToGrid/>
        <w:spacing w:after="0" w:line="578" w:lineRule="exact"/>
        <w:ind w:firstLine="0"/>
        <w:textAlignment w:val="auto"/>
        <w:rPr>
          <w:color w:val="auto"/>
          <w:szCs w:val="32"/>
          <w:highlight w:val="yellow"/>
          <w:u w:val="none"/>
        </w:rPr>
      </w:pPr>
      <w:r>
        <w:rPr>
          <w:rFonts w:hint="eastAsia"/>
          <w:color w:val="auto"/>
          <w:szCs w:val="32"/>
          <w:u w:val="none"/>
        </w:rPr>
        <w:t>市城市更新部门负责制定城中村综合整治规划并公布城中村综合整治分区的空间位置信息。鼓励市场主体在城中村综合整治分区范围内通过规模化租赁改造筹集</w:t>
      </w:r>
      <w:r>
        <w:rPr>
          <w:rFonts w:hint="eastAsia" w:ascii="仿宋_GB2312"/>
          <w:color w:val="auto"/>
          <w:szCs w:val="32"/>
          <w:u w:val="none"/>
        </w:rPr>
        <w:t>社会主体</w:t>
      </w:r>
      <w:r>
        <w:rPr>
          <w:rFonts w:hint="eastAsia"/>
          <w:color w:val="auto"/>
          <w:szCs w:val="32"/>
          <w:u w:val="none"/>
        </w:rPr>
        <w:t>出租的保障性租赁住房。</w:t>
      </w:r>
    </w:p>
    <w:p>
      <w:pPr>
        <w:keepNext w:val="0"/>
        <w:keepLines w:val="0"/>
        <w:pageBreakBefore w:val="0"/>
        <w:widowControl w:val="0"/>
        <w:tabs>
          <w:tab w:val="left" w:pos="0"/>
        </w:tabs>
        <w:kinsoku/>
        <w:wordWrap/>
        <w:overflowPunct/>
        <w:topLinePunct w:val="0"/>
        <w:autoSpaceDE/>
        <w:autoSpaceDN/>
        <w:bidi w:val="0"/>
        <w:adjustRightInd/>
        <w:snapToGrid/>
        <w:spacing w:line="578" w:lineRule="exact"/>
        <w:ind w:firstLine="0"/>
        <w:textAlignment w:val="auto"/>
        <w:outlineLvl w:val="2"/>
        <w:rPr>
          <w:rFonts w:ascii="仿宋_GB2312" w:hAnsi="仿宋_GB2312" w:cs="仿宋_GB2312"/>
          <w:color w:val="auto"/>
          <w:szCs w:val="32"/>
          <w:u w:val="none"/>
        </w:rPr>
      </w:pPr>
      <w:r>
        <w:rPr>
          <w:rFonts w:hint="eastAsia" w:ascii="黑体" w:hAnsi="黑体" w:eastAsia="黑体" w:cs="黑体"/>
          <w:color w:val="auto"/>
          <w:szCs w:val="32"/>
          <w:u w:val="none"/>
        </w:rPr>
        <w:t>第二十一条【非居住存量房屋改建】</w:t>
      </w:r>
      <w:r>
        <w:rPr>
          <w:rFonts w:ascii="黑体" w:hAnsi="黑体" w:eastAsia="黑体" w:cs="黑体"/>
          <w:color w:val="auto"/>
          <w:szCs w:val="32"/>
          <w:u w:val="none"/>
        </w:rPr>
        <w:t xml:space="preserve">  </w:t>
      </w:r>
      <w:r>
        <w:rPr>
          <w:rFonts w:hint="eastAsia" w:ascii="仿宋_GB2312" w:hAnsi="仿宋_GB2312" w:cs="仿宋_GB2312"/>
          <w:color w:val="auto"/>
          <w:szCs w:val="32"/>
          <w:u w:val="none"/>
        </w:rPr>
        <w:t>闲置和低效利用的商业办公、旅馆（酒店）、厂房、研发用房、仓储、科研教育</w:t>
      </w:r>
      <w:r>
        <w:rPr>
          <w:rFonts w:ascii="仿宋_GB2312" w:hAnsi="仿宋_GB2312" w:cs="仿宋_GB2312"/>
          <w:color w:val="auto"/>
          <w:szCs w:val="32"/>
          <w:u w:val="none"/>
        </w:rPr>
        <w:t>用房</w:t>
      </w:r>
      <w:r>
        <w:rPr>
          <w:rFonts w:hint="eastAsia" w:ascii="仿宋_GB2312" w:hAnsi="仿宋_GB2312" w:cs="仿宋_GB2312"/>
          <w:color w:val="auto"/>
          <w:szCs w:val="32"/>
          <w:u w:val="none"/>
        </w:rPr>
        <w:t>等非居住存量房屋，在符合规划原则、权属不变、满足安全要求、尊重群众意愿的前提下，可以改建为</w:t>
      </w:r>
      <w:r>
        <w:rPr>
          <w:rFonts w:hint="eastAsia" w:ascii="仿宋_GB2312"/>
          <w:color w:val="auto"/>
          <w:szCs w:val="32"/>
          <w:u w:val="none"/>
        </w:rPr>
        <w:t>社会主体</w:t>
      </w:r>
      <w:r>
        <w:rPr>
          <w:rFonts w:hint="eastAsia" w:ascii="仿宋_GB2312" w:hAnsi="仿宋_GB2312" w:cs="仿宋_GB2312"/>
          <w:color w:val="auto"/>
          <w:szCs w:val="32"/>
          <w:u w:val="none"/>
        </w:rPr>
        <w:t>出租的保障性租赁住房。用作保障性租赁住房期间，不变更土地用途，不补缴土地价款。改建条件、要求、程序等具体规则由市主管部门另行制定。</w:t>
      </w:r>
    </w:p>
    <w:p>
      <w:pPr>
        <w:keepNext w:val="0"/>
        <w:keepLines w:val="0"/>
        <w:pageBreakBefore w:val="0"/>
        <w:widowControl w:val="0"/>
        <w:tabs>
          <w:tab w:val="left" w:pos="0"/>
        </w:tabs>
        <w:kinsoku/>
        <w:wordWrap/>
        <w:overflowPunct/>
        <w:topLinePunct w:val="0"/>
        <w:autoSpaceDE/>
        <w:autoSpaceDN/>
        <w:bidi w:val="0"/>
        <w:adjustRightInd/>
        <w:snapToGrid/>
        <w:spacing w:line="578" w:lineRule="exact"/>
        <w:ind w:firstLine="0"/>
        <w:textAlignment w:val="auto"/>
        <w:outlineLvl w:val="2"/>
        <w:rPr>
          <w:rFonts w:ascii="仿宋_GB2312"/>
          <w:color w:val="auto"/>
          <w:szCs w:val="32"/>
          <w:u w:val="none"/>
        </w:rPr>
      </w:pPr>
      <w:r>
        <w:rPr>
          <w:rFonts w:hint="eastAsia" w:ascii="黑体" w:hAnsi="黑体" w:eastAsia="黑体" w:cs="黑体"/>
          <w:color w:val="auto"/>
          <w:szCs w:val="32"/>
          <w:u w:val="none"/>
        </w:rPr>
        <w:t>第二十二条</w:t>
      </w:r>
      <w:r>
        <w:rPr>
          <w:rFonts w:hint="eastAsia" w:ascii="仿宋_GB2312"/>
          <w:color w:val="auto"/>
          <w:szCs w:val="32"/>
          <w:u w:val="none"/>
        </w:rPr>
        <w:t>【</w:t>
      </w:r>
      <w:r>
        <w:rPr>
          <w:rStyle w:val="15"/>
          <w:rFonts w:hint="eastAsia" w:ascii="黑体" w:hAnsi="黑体"/>
          <w:color w:val="auto"/>
          <w:u w:val="none"/>
        </w:rPr>
        <w:t>区际合作和房源调配</w:t>
      </w:r>
      <w:r>
        <w:rPr>
          <w:rFonts w:hint="eastAsia" w:ascii="仿宋_GB2312"/>
          <w:color w:val="auto"/>
          <w:szCs w:val="32"/>
          <w:u w:val="none"/>
        </w:rPr>
        <w:t xml:space="preserve">】  </w:t>
      </w:r>
      <w:r>
        <w:rPr>
          <w:rFonts w:hint="eastAsia" w:ascii="仿宋_GB2312" w:hAnsi="仿宋_GB2312"/>
          <w:color w:val="auto"/>
          <w:szCs w:val="32"/>
          <w:u w:val="none"/>
        </w:rPr>
        <w:t>区政府之间可以通过提供建设资金和建设用地等方式合作开发建设保障性住房，所建的保障性住房</w:t>
      </w:r>
      <w:r>
        <w:rPr>
          <w:rFonts w:ascii="仿宋_GB2312" w:hAnsi="仿宋_GB2312"/>
          <w:color w:val="auto"/>
          <w:szCs w:val="32"/>
          <w:u w:val="none"/>
        </w:rPr>
        <w:t>由合作方协商</w:t>
      </w:r>
      <w:r>
        <w:rPr>
          <w:rFonts w:hint="eastAsia" w:ascii="仿宋_GB2312" w:hAnsi="仿宋_GB2312"/>
          <w:color w:val="auto"/>
          <w:szCs w:val="32"/>
          <w:u w:val="none"/>
        </w:rPr>
        <w:t>按照比例划分</w:t>
      </w:r>
      <w:r>
        <w:rPr>
          <w:rFonts w:hint="eastAsia" w:ascii="仿宋_GB2312" w:hAnsi="仿宋_GB2312"/>
          <w:color w:val="auto"/>
          <w:kern w:val="0"/>
          <w:szCs w:val="32"/>
          <w:u w:val="none"/>
        </w:rPr>
        <w:t>。</w:t>
      </w:r>
    </w:p>
    <w:p>
      <w:pPr>
        <w:keepNext w:val="0"/>
        <w:keepLines w:val="0"/>
        <w:pageBreakBefore w:val="0"/>
        <w:widowControl w:val="0"/>
        <w:numPr>
          <w:ilvl w:val="2"/>
          <w:numId w:val="0"/>
        </w:numPr>
        <w:kinsoku/>
        <w:wordWrap/>
        <w:overflowPunct/>
        <w:topLinePunct w:val="0"/>
        <w:autoSpaceDE/>
        <w:autoSpaceDN/>
        <w:bidi w:val="0"/>
        <w:adjustRightInd/>
        <w:snapToGrid/>
        <w:spacing w:line="578" w:lineRule="exact"/>
        <w:ind w:firstLine="640" w:firstLineChars="200"/>
        <w:textAlignment w:val="auto"/>
        <w:rPr>
          <w:rFonts w:ascii="仿宋_GB2312" w:hAnsi="仿宋_GB2312" w:cs="仿宋_GB2312"/>
          <w:color w:val="auto"/>
          <w:szCs w:val="32"/>
          <w:u w:val="none"/>
        </w:rPr>
      </w:pPr>
      <w:r>
        <w:rPr>
          <w:rFonts w:hint="eastAsia" w:ascii="仿宋_GB2312" w:hAnsi="仿宋_GB2312" w:cs="仿宋_GB2312"/>
          <w:color w:val="auto"/>
          <w:szCs w:val="32"/>
          <w:u w:val="none"/>
        </w:rPr>
        <w:t>市主管部门可以根据供需情况，统筹调配区主管部门组织建设筹集的保障性住房房源。</w:t>
      </w:r>
    </w:p>
    <w:p>
      <w:pPr>
        <w:pStyle w:val="2"/>
        <w:keepNext w:val="0"/>
        <w:keepLines w:val="0"/>
        <w:pageBreakBefore w:val="0"/>
        <w:widowControl w:val="0"/>
        <w:kinsoku/>
        <w:wordWrap/>
        <w:overflowPunct/>
        <w:topLinePunct w:val="0"/>
        <w:autoSpaceDE/>
        <w:autoSpaceDN/>
        <w:bidi w:val="0"/>
        <w:adjustRightInd/>
        <w:snapToGrid/>
        <w:spacing w:after="0" w:line="578" w:lineRule="exact"/>
        <w:ind w:firstLine="0"/>
        <w:textAlignment w:val="auto"/>
        <w:rPr>
          <w:color w:val="auto"/>
          <w:szCs w:val="32"/>
          <w:u w:val="none"/>
        </w:rPr>
      </w:pPr>
      <w:r>
        <w:rPr>
          <w:rFonts w:hint="eastAsia"/>
          <w:color w:val="auto"/>
          <w:szCs w:val="32"/>
          <w:u w:val="none"/>
        </w:rPr>
        <w:t>通过招拍挂方式出让的商品住房用地配建的保障性住房，保障性住房房源的百分之五十由市主管部门统筹调配。</w:t>
      </w:r>
    </w:p>
    <w:p>
      <w:pPr>
        <w:pStyle w:val="2"/>
        <w:spacing w:line="578" w:lineRule="exact"/>
        <w:rPr>
          <w:rFonts w:ascii="黑体" w:hAnsi="黑体" w:cs="黑体"/>
          <w:b w:val="0"/>
          <w:bCs w:val="0"/>
          <w:color w:val="auto"/>
          <w:szCs w:val="32"/>
          <w:u w:val="none"/>
        </w:rPr>
      </w:pPr>
    </w:p>
    <w:p>
      <w:pPr>
        <w:pStyle w:val="4"/>
        <w:keepNext w:val="0"/>
        <w:keepLines w:val="0"/>
        <w:pageBreakBefore w:val="0"/>
        <w:widowControl w:val="0"/>
        <w:kinsoku/>
        <w:wordWrap/>
        <w:overflowPunct/>
        <w:topLinePunct w:val="0"/>
        <w:autoSpaceDE/>
        <w:autoSpaceDN/>
        <w:bidi w:val="0"/>
        <w:adjustRightInd/>
        <w:snapToGrid/>
        <w:spacing w:before="0" w:after="0" w:line="578" w:lineRule="exact"/>
        <w:ind w:firstLine="0" w:firstLineChars="0"/>
        <w:textAlignment w:val="auto"/>
        <w:rPr>
          <w:rFonts w:ascii="黑体" w:hAnsi="黑体" w:cs="黑体"/>
          <w:color w:val="auto"/>
          <w:szCs w:val="32"/>
          <w:u w:val="none"/>
        </w:rPr>
      </w:pPr>
      <w:r>
        <w:rPr>
          <w:rFonts w:hint="eastAsia" w:ascii="黑体" w:hAnsi="黑体" w:cs="黑体"/>
          <w:b w:val="0"/>
          <w:bCs w:val="0"/>
          <w:color w:val="auto"/>
          <w:szCs w:val="32"/>
          <w:u w:val="none"/>
        </w:rPr>
        <w:t>第四章</w:t>
      </w:r>
      <w:r>
        <w:rPr>
          <w:rFonts w:ascii="黑体" w:hAnsi="黑体" w:cs="黑体"/>
          <w:b w:val="0"/>
          <w:bCs w:val="0"/>
          <w:color w:val="auto"/>
          <w:szCs w:val="32"/>
          <w:u w:val="none"/>
        </w:rPr>
        <w:t xml:space="preserve"> </w:t>
      </w:r>
      <w:r>
        <w:rPr>
          <w:rFonts w:hint="eastAsia" w:ascii="黑体" w:hAnsi="黑体" w:cs="黑体"/>
          <w:b w:val="0"/>
          <w:bCs w:val="0"/>
          <w:color w:val="auto"/>
          <w:szCs w:val="32"/>
          <w:u w:val="none"/>
        </w:rPr>
        <w:t>规划和用地审批</w:t>
      </w:r>
    </w:p>
    <w:p>
      <w:pPr>
        <w:pStyle w:val="2"/>
        <w:spacing w:line="578" w:lineRule="exact"/>
        <w:rPr>
          <w:rFonts w:ascii="Calibri" w:hAnsi="Calibri" w:eastAsia="仿宋_GB2312" w:cs="Times New Roman"/>
          <w:color w:val="auto"/>
          <w:u w:val="none"/>
        </w:rPr>
      </w:pPr>
    </w:p>
    <w:p>
      <w:pPr>
        <w:keepNext w:val="0"/>
        <w:keepLines w:val="0"/>
        <w:pageBreakBefore w:val="0"/>
        <w:widowControl w:val="0"/>
        <w:tabs>
          <w:tab w:val="left" w:pos="0"/>
        </w:tabs>
        <w:kinsoku/>
        <w:wordWrap/>
        <w:overflowPunct/>
        <w:topLinePunct w:val="0"/>
        <w:autoSpaceDE/>
        <w:autoSpaceDN/>
        <w:bidi w:val="0"/>
        <w:adjustRightInd/>
        <w:snapToGrid/>
        <w:spacing w:line="578" w:lineRule="exact"/>
        <w:ind w:firstLine="640"/>
        <w:textAlignment w:val="auto"/>
        <w:outlineLvl w:val="2"/>
        <w:rPr>
          <w:rFonts w:ascii="仿宋_GB2312" w:hAnsi="仿宋_GB2312" w:cs="仿宋_GB2312"/>
          <w:color w:val="auto"/>
          <w:u w:val="none"/>
        </w:rPr>
      </w:pPr>
      <w:r>
        <w:rPr>
          <w:rFonts w:hint="eastAsia" w:ascii="黑体" w:hAnsi="黑体" w:eastAsia="黑体" w:cs="黑体"/>
          <w:color w:val="auto"/>
          <w:u w:val="none"/>
        </w:rPr>
        <w:t xml:space="preserve">第二十三条【规划审批】  </w:t>
      </w:r>
      <w:r>
        <w:rPr>
          <w:rFonts w:hint="eastAsia" w:ascii="仿宋_GB2312" w:hAnsi="仿宋_GB2312" w:cs="仿宋_GB2312"/>
          <w:color w:val="auto"/>
          <w:u w:val="none"/>
        </w:rPr>
        <w:t>根据本办法建设保障性住房需对规划进行调整的，在纳入安居工程年度实施计划后，权利人</w:t>
      </w:r>
      <w:r>
        <w:rPr>
          <w:rFonts w:hint="eastAsia" w:ascii="仿宋_GB2312" w:hAnsi="仿宋_GB2312" w:cs="仿宋_GB2312"/>
          <w:bCs/>
          <w:color w:val="auto"/>
          <w:szCs w:val="32"/>
          <w:u w:val="none"/>
        </w:rPr>
        <w:t>或者</w:t>
      </w:r>
      <w:r>
        <w:rPr>
          <w:rFonts w:hint="eastAsia" w:ascii="仿宋_GB2312" w:hAnsi="仿宋_GB2312" w:cs="仿宋_GB2312"/>
          <w:color w:val="auto"/>
          <w:u w:val="none"/>
        </w:rPr>
        <w:t>用地单位向规划和自然资源主管部门派出机构提出规划调整申请，并提交具有相应资质的设计机构编制的规划调整方案及其他所需材料。规划和自然资源主管部门及其派出机构按</w:t>
      </w:r>
      <w:r>
        <w:rPr>
          <w:rFonts w:hint="eastAsia" w:ascii="仿宋_GB2312" w:hAnsi="仿宋_GB2312" w:cs="仿宋_GB2312"/>
          <w:color w:val="auto"/>
          <w:u w:val="none"/>
          <w:lang w:val="en-US" w:eastAsia="zh-CN"/>
        </w:rPr>
        <w:t>照</w:t>
      </w:r>
      <w:r>
        <w:rPr>
          <w:rFonts w:hint="eastAsia" w:ascii="仿宋_GB2312" w:hAnsi="仿宋_GB2312" w:cs="仿宋_GB2312"/>
          <w:color w:val="auto"/>
          <w:u w:val="none"/>
        </w:rPr>
        <w:t>规定进行审查和公示，在市政府批准供应方案</w:t>
      </w:r>
      <w:r>
        <w:rPr>
          <w:rFonts w:hint="eastAsia" w:ascii="仿宋_GB2312" w:hAnsi="仿宋_GB2312" w:cs="仿宋_GB2312"/>
          <w:bCs/>
          <w:color w:val="auto"/>
          <w:szCs w:val="32"/>
          <w:u w:val="none"/>
        </w:rPr>
        <w:t>或者</w:t>
      </w:r>
      <w:r>
        <w:rPr>
          <w:rFonts w:hint="eastAsia" w:ascii="仿宋_GB2312" w:hAnsi="仿宋_GB2312" w:cs="仿宋_GB2312"/>
          <w:color w:val="auto"/>
          <w:u w:val="none"/>
        </w:rPr>
        <w:t>处置方案后完成审批。</w:t>
      </w:r>
    </w:p>
    <w:p>
      <w:pPr>
        <w:pStyle w:val="2"/>
        <w:keepNext w:val="0"/>
        <w:keepLines w:val="0"/>
        <w:pageBreakBefore w:val="0"/>
        <w:widowControl w:val="0"/>
        <w:kinsoku/>
        <w:wordWrap/>
        <w:overflowPunct/>
        <w:topLinePunct w:val="0"/>
        <w:autoSpaceDE/>
        <w:autoSpaceDN/>
        <w:bidi w:val="0"/>
        <w:adjustRightInd/>
        <w:snapToGrid/>
        <w:spacing w:after="0" w:line="578" w:lineRule="exact"/>
        <w:ind w:firstLine="640"/>
        <w:textAlignment w:val="auto"/>
        <w:rPr>
          <w:color w:val="auto"/>
          <w:u w:val="none"/>
        </w:rPr>
      </w:pPr>
      <w:r>
        <w:rPr>
          <w:rFonts w:hint="eastAsia"/>
          <w:color w:val="auto"/>
          <w:u w:val="none"/>
        </w:rPr>
        <w:t>通过城市更新</w:t>
      </w:r>
      <w:r>
        <w:rPr>
          <w:rFonts w:hint="eastAsia" w:ascii="仿宋_GB2312" w:hAnsi="仿宋_GB2312" w:cs="仿宋_GB2312"/>
          <w:bCs/>
          <w:color w:val="auto"/>
          <w:szCs w:val="32"/>
          <w:u w:val="none"/>
        </w:rPr>
        <w:t>或者</w:t>
      </w:r>
      <w:r>
        <w:rPr>
          <w:rFonts w:hint="eastAsia"/>
          <w:color w:val="auto"/>
          <w:u w:val="none"/>
        </w:rPr>
        <w:t>旧住宅区更新改造建设</w:t>
      </w:r>
      <w:r>
        <w:rPr>
          <w:rFonts w:hint="eastAsia" w:ascii="仿宋_GB2312" w:hAnsi="仿宋_GB2312" w:cs="仿宋_GB2312"/>
          <w:bCs/>
          <w:color w:val="auto"/>
          <w:szCs w:val="32"/>
          <w:u w:val="none"/>
        </w:rPr>
        <w:t>或者</w:t>
      </w:r>
      <w:r>
        <w:rPr>
          <w:rFonts w:hint="eastAsia"/>
          <w:color w:val="auto"/>
          <w:u w:val="none"/>
        </w:rPr>
        <w:t>配建保障性住房的，涉及的规划调整和用地审批按</w:t>
      </w:r>
      <w:r>
        <w:rPr>
          <w:rFonts w:hint="eastAsia"/>
          <w:color w:val="auto"/>
          <w:u w:val="none"/>
          <w:lang w:val="en-US" w:eastAsia="zh-CN"/>
        </w:rPr>
        <w:t>照</w:t>
      </w:r>
      <w:r>
        <w:rPr>
          <w:rFonts w:hint="eastAsia"/>
          <w:color w:val="auto"/>
          <w:u w:val="none"/>
        </w:rPr>
        <w:t>相关规定执行。</w:t>
      </w:r>
    </w:p>
    <w:p>
      <w:pPr>
        <w:keepNext w:val="0"/>
        <w:keepLines w:val="0"/>
        <w:pageBreakBefore w:val="0"/>
        <w:widowControl w:val="0"/>
        <w:tabs>
          <w:tab w:val="left" w:pos="0"/>
        </w:tabs>
        <w:kinsoku/>
        <w:wordWrap/>
        <w:overflowPunct/>
        <w:topLinePunct w:val="0"/>
        <w:autoSpaceDE/>
        <w:autoSpaceDN/>
        <w:bidi w:val="0"/>
        <w:adjustRightInd/>
        <w:snapToGrid/>
        <w:spacing w:line="578" w:lineRule="exact"/>
        <w:ind w:firstLine="640" w:firstLineChars="200"/>
        <w:textAlignment w:val="auto"/>
        <w:outlineLvl w:val="2"/>
        <w:rPr>
          <w:rFonts w:ascii="仿宋_GB2312" w:hAnsi="仿宋_GB2312" w:cs="仿宋_GB2312"/>
          <w:color w:val="auto"/>
          <w:u w:val="none"/>
        </w:rPr>
      </w:pPr>
      <w:r>
        <w:rPr>
          <w:rFonts w:hint="eastAsia" w:ascii="黑体" w:hAnsi="黑体" w:eastAsia="黑体" w:cs="黑体"/>
          <w:color w:val="auto"/>
          <w:u w:val="none"/>
        </w:rPr>
        <w:t xml:space="preserve">第二十四条【用地审批】  </w:t>
      </w:r>
      <w:r>
        <w:rPr>
          <w:rFonts w:hint="eastAsia" w:ascii="仿宋_GB2312" w:hAnsi="仿宋_GB2312" w:cs="仿宋_GB2312"/>
          <w:color w:val="auto"/>
          <w:u w:val="none"/>
        </w:rPr>
        <w:t>已纳入安居工程年度实施计划的用地，规划和自然资源主管部门派出机构负责拟定住宅用地供应方案</w:t>
      </w:r>
      <w:r>
        <w:rPr>
          <w:rFonts w:hint="eastAsia" w:ascii="仿宋_GB2312" w:hAnsi="仿宋_GB2312" w:cs="仿宋_GB2312"/>
          <w:bCs/>
          <w:color w:val="auto"/>
          <w:szCs w:val="32"/>
          <w:u w:val="none"/>
        </w:rPr>
        <w:t>或者</w:t>
      </w:r>
      <w:r>
        <w:rPr>
          <w:rFonts w:hint="eastAsia" w:ascii="仿宋_GB2312" w:hAnsi="仿宋_GB2312" w:cs="仿宋_GB2312"/>
          <w:color w:val="auto"/>
          <w:u w:val="none"/>
        </w:rPr>
        <w:t>处置方案，</w:t>
      </w:r>
      <w:r>
        <w:rPr>
          <w:rFonts w:hint="eastAsia" w:ascii="仿宋_GB2312" w:hAnsi="仿宋_GB2312" w:cs="仿宋_GB2312"/>
          <w:color w:val="auto"/>
          <w:u w:val="none"/>
          <w:lang w:val="en-US" w:eastAsia="zh-CN"/>
        </w:rPr>
        <w:t>经</w:t>
      </w:r>
      <w:r>
        <w:rPr>
          <w:rFonts w:hint="eastAsia" w:ascii="仿宋_GB2312" w:hAnsi="仿宋_GB2312" w:cs="仿宋_GB2312"/>
          <w:color w:val="auto"/>
          <w:u w:val="none"/>
        </w:rPr>
        <w:t>主管部门审查通过后报市政府审批。</w:t>
      </w:r>
    </w:p>
    <w:p>
      <w:pPr>
        <w:pStyle w:val="2"/>
        <w:spacing w:line="578" w:lineRule="exact"/>
        <w:rPr>
          <w:rFonts w:ascii="Calibri" w:hAnsi="Calibri" w:cs="Times New Roman"/>
          <w:b w:val="0"/>
          <w:bCs w:val="0"/>
          <w:color w:val="auto"/>
          <w:szCs w:val="22"/>
          <w:u w:val="none"/>
        </w:rPr>
      </w:pPr>
    </w:p>
    <w:p>
      <w:pPr>
        <w:pStyle w:val="4"/>
        <w:keepNext w:val="0"/>
        <w:keepLines w:val="0"/>
        <w:pageBreakBefore w:val="0"/>
        <w:widowControl w:val="0"/>
        <w:kinsoku/>
        <w:wordWrap/>
        <w:overflowPunct/>
        <w:topLinePunct w:val="0"/>
        <w:autoSpaceDE/>
        <w:autoSpaceDN/>
        <w:bidi w:val="0"/>
        <w:adjustRightInd/>
        <w:snapToGrid/>
        <w:spacing w:before="0" w:after="0" w:line="578" w:lineRule="exact"/>
        <w:ind w:firstLine="0" w:firstLineChars="0"/>
        <w:textAlignment w:val="auto"/>
        <w:rPr>
          <w:rFonts w:ascii="黑体" w:hAnsi="黑体" w:cs="黑体"/>
          <w:b w:val="0"/>
          <w:bCs w:val="0"/>
          <w:color w:val="auto"/>
          <w:szCs w:val="32"/>
          <w:u w:val="none"/>
        </w:rPr>
      </w:pPr>
      <w:r>
        <w:rPr>
          <w:rFonts w:hint="eastAsia" w:ascii="黑体" w:hAnsi="黑体" w:cs="黑体"/>
          <w:b w:val="0"/>
          <w:bCs w:val="0"/>
          <w:color w:val="auto"/>
          <w:szCs w:val="32"/>
          <w:u w:val="none"/>
        </w:rPr>
        <w:t>第五章</w:t>
      </w:r>
      <w:r>
        <w:rPr>
          <w:rFonts w:ascii="黑体" w:hAnsi="黑体" w:cs="黑体"/>
          <w:b w:val="0"/>
          <w:bCs w:val="0"/>
          <w:color w:val="auto"/>
          <w:szCs w:val="32"/>
          <w:u w:val="none"/>
        </w:rPr>
        <w:t xml:space="preserve"> </w:t>
      </w:r>
      <w:r>
        <w:rPr>
          <w:rFonts w:hint="eastAsia" w:ascii="黑体" w:hAnsi="黑体" w:cs="黑体"/>
          <w:b w:val="0"/>
          <w:bCs w:val="0"/>
          <w:color w:val="auto"/>
          <w:szCs w:val="32"/>
          <w:u w:val="none"/>
        </w:rPr>
        <w:t>建设项目管理</w:t>
      </w:r>
    </w:p>
    <w:p>
      <w:pPr>
        <w:pStyle w:val="2"/>
        <w:spacing w:line="578" w:lineRule="exact"/>
        <w:rPr>
          <w:rFonts w:ascii="Calibri" w:hAnsi="Calibri" w:eastAsia="仿宋_GB2312" w:cs="Times New Roman"/>
          <w:color w:val="auto"/>
          <w:u w:val="none"/>
        </w:rPr>
      </w:pPr>
    </w:p>
    <w:p>
      <w:pPr>
        <w:keepNext w:val="0"/>
        <w:keepLines w:val="0"/>
        <w:pageBreakBefore w:val="0"/>
        <w:widowControl w:val="0"/>
        <w:tabs>
          <w:tab w:val="left" w:pos="0"/>
        </w:tabs>
        <w:kinsoku/>
        <w:wordWrap/>
        <w:overflowPunct/>
        <w:topLinePunct w:val="0"/>
        <w:autoSpaceDE/>
        <w:autoSpaceDN/>
        <w:bidi w:val="0"/>
        <w:adjustRightInd/>
        <w:snapToGrid/>
        <w:spacing w:line="578" w:lineRule="exact"/>
        <w:ind w:firstLine="0"/>
        <w:textAlignment w:val="auto"/>
        <w:outlineLvl w:val="2"/>
        <w:rPr>
          <w:color w:val="auto"/>
          <w:u w:val="none"/>
        </w:rPr>
      </w:pPr>
      <w:r>
        <w:rPr>
          <w:rFonts w:hint="eastAsia" w:ascii="黑体" w:hAnsi="黑体" w:eastAsia="黑体" w:cs="黑体"/>
          <w:color w:val="auto"/>
          <w:u w:val="none"/>
        </w:rPr>
        <w:t xml:space="preserve">第二十五条【住房类型确定】  </w:t>
      </w:r>
      <w:r>
        <w:rPr>
          <w:rFonts w:hint="eastAsia"/>
          <w:color w:val="auto"/>
          <w:u w:val="none"/>
        </w:rPr>
        <w:t>通过城市更新、旧住宅区更新改造建设</w:t>
      </w:r>
      <w:r>
        <w:rPr>
          <w:rFonts w:hint="eastAsia" w:ascii="仿宋_GB2312" w:hAnsi="仿宋_GB2312" w:cs="仿宋_GB2312"/>
          <w:bCs/>
          <w:color w:val="auto"/>
          <w:szCs w:val="32"/>
          <w:u w:val="none"/>
        </w:rPr>
        <w:t>或者</w:t>
      </w:r>
      <w:r>
        <w:rPr>
          <w:rFonts w:hint="eastAsia"/>
          <w:color w:val="auto"/>
          <w:u w:val="none"/>
        </w:rPr>
        <w:t>配建保障性住房的，由区主管部门明确建设住房的类型，并及时将建设</w:t>
      </w:r>
      <w:r>
        <w:rPr>
          <w:rFonts w:hint="eastAsia" w:ascii="仿宋_GB2312" w:hAnsi="仿宋_GB2312" w:cs="仿宋_GB2312"/>
          <w:bCs/>
          <w:color w:val="auto"/>
          <w:szCs w:val="32"/>
          <w:u w:val="none"/>
        </w:rPr>
        <w:t>或者</w:t>
      </w:r>
      <w:r>
        <w:rPr>
          <w:rFonts w:hint="eastAsia"/>
          <w:color w:val="auto"/>
          <w:u w:val="none"/>
        </w:rPr>
        <w:t>配建情况报市主管部门汇总；新供应保障性住房用地及通过本办法其他方式建设保障性住房的存量用地，由市主管部门明确建设住房的类型。市、区主管部门在明确建设住房类型时，应当同时提供监管协议书。</w:t>
      </w:r>
    </w:p>
    <w:p>
      <w:pPr>
        <w:keepNext w:val="0"/>
        <w:keepLines w:val="0"/>
        <w:pageBreakBefore w:val="0"/>
        <w:widowControl w:val="0"/>
        <w:tabs>
          <w:tab w:val="left" w:pos="0"/>
        </w:tabs>
        <w:kinsoku/>
        <w:wordWrap/>
        <w:overflowPunct/>
        <w:topLinePunct w:val="0"/>
        <w:autoSpaceDE/>
        <w:autoSpaceDN/>
        <w:bidi w:val="0"/>
        <w:adjustRightInd/>
        <w:snapToGrid/>
        <w:spacing w:line="578" w:lineRule="exact"/>
        <w:ind w:firstLine="0"/>
        <w:textAlignment w:val="auto"/>
        <w:outlineLvl w:val="2"/>
        <w:rPr>
          <w:rFonts w:ascii="仿宋_GB2312" w:hAnsi="仿宋_GB2312" w:cs="仿宋_GB2312"/>
          <w:color w:val="auto"/>
          <w:szCs w:val="32"/>
          <w:u w:val="none"/>
        </w:rPr>
      </w:pPr>
      <w:r>
        <w:rPr>
          <w:rFonts w:hint="eastAsia" w:ascii="黑体" w:hAnsi="黑体" w:eastAsia="黑体"/>
          <w:color w:val="auto"/>
          <w:szCs w:val="32"/>
          <w:u w:val="none"/>
        </w:rPr>
        <w:t xml:space="preserve">第二十六条【保障性租赁住房项目认定】  </w:t>
      </w:r>
      <w:r>
        <w:rPr>
          <w:rFonts w:hint="eastAsia"/>
          <w:color w:val="auto"/>
          <w:u w:val="none"/>
        </w:rPr>
        <w:t>保障性租赁住房项目</w:t>
      </w:r>
      <w:r>
        <w:rPr>
          <w:rFonts w:hint="eastAsia" w:cstheme="minorBidi"/>
          <w:color w:val="auto"/>
          <w:szCs w:val="24"/>
          <w:u w:val="none"/>
        </w:rPr>
        <w:t>认定书</w:t>
      </w:r>
      <w:r>
        <w:rPr>
          <w:rFonts w:hint="eastAsia"/>
          <w:color w:val="auto"/>
          <w:u w:val="none"/>
        </w:rPr>
        <w:t>由区政府统一出具</w:t>
      </w:r>
      <w:r>
        <w:rPr>
          <w:rFonts w:hint="eastAsia" w:cstheme="minorBidi"/>
          <w:color w:val="auto"/>
          <w:szCs w:val="24"/>
          <w:u w:val="none"/>
        </w:rPr>
        <w:t>并向社会公示，</w:t>
      </w:r>
      <w:r>
        <w:rPr>
          <w:rFonts w:ascii="仿宋_GB2312" w:hAnsi="仿宋_GB2312" w:cs="仿宋_GB2312"/>
          <w:color w:val="auto"/>
          <w:szCs w:val="32"/>
          <w:u w:val="none"/>
        </w:rPr>
        <w:t>认定书应当载明项目信息、有效期、退出条件、租金价格和调整幅度等内容。</w:t>
      </w:r>
      <w:r>
        <w:rPr>
          <w:rFonts w:hint="eastAsia"/>
          <w:color w:val="auto"/>
          <w:u w:val="none"/>
        </w:rPr>
        <w:t>按照建设渠道分类认定如下：</w:t>
      </w:r>
    </w:p>
    <w:p>
      <w:pPr>
        <w:keepNext w:val="0"/>
        <w:keepLines w:val="0"/>
        <w:pageBreakBefore w:val="0"/>
        <w:widowControl w:val="0"/>
        <w:kinsoku/>
        <w:wordWrap/>
        <w:overflowPunct/>
        <w:topLinePunct w:val="0"/>
        <w:autoSpaceDE/>
        <w:autoSpaceDN/>
        <w:bidi w:val="0"/>
        <w:adjustRightInd/>
        <w:snapToGrid/>
        <w:spacing w:line="578" w:lineRule="exact"/>
        <w:ind w:firstLine="0"/>
        <w:textAlignment w:val="auto"/>
        <w:rPr>
          <w:rFonts w:ascii="仿宋_GB2312" w:hAnsi="仿宋_GB2312" w:cs="仿宋_GB2312"/>
          <w:color w:val="auto"/>
          <w:szCs w:val="32"/>
          <w:u w:val="none"/>
        </w:rPr>
      </w:pPr>
      <w:r>
        <w:rPr>
          <w:rFonts w:hint="eastAsia" w:ascii="仿宋_GB2312" w:hAnsi="仿宋_GB2312" w:cs="仿宋_GB2312"/>
          <w:color w:val="auto"/>
          <w:szCs w:val="32"/>
          <w:u w:val="none"/>
        </w:rPr>
        <w:t>（一）通过新供应用地</w:t>
      </w:r>
      <w:r>
        <w:rPr>
          <w:rFonts w:ascii="仿宋_GB2312" w:hAnsi="仿宋_GB2312" w:cs="仿宋_GB2312"/>
          <w:color w:val="auto"/>
          <w:szCs w:val="32"/>
          <w:u w:val="none"/>
        </w:rPr>
        <w:t>、</w:t>
      </w:r>
      <w:r>
        <w:rPr>
          <w:rFonts w:hint="eastAsia" w:ascii="仿宋_GB2312" w:hAnsi="仿宋_GB2312" w:cs="仿宋_GB2312"/>
          <w:color w:val="auto"/>
          <w:szCs w:val="32"/>
          <w:u w:val="none"/>
        </w:rPr>
        <w:t>产业园区</w:t>
      </w:r>
      <w:r>
        <w:rPr>
          <w:rFonts w:ascii="仿宋_GB2312" w:hAnsi="仿宋_GB2312" w:cs="仿宋_GB2312"/>
          <w:color w:val="auto"/>
          <w:szCs w:val="32"/>
          <w:u w:val="none"/>
        </w:rPr>
        <w:t>配套</w:t>
      </w:r>
      <w:r>
        <w:rPr>
          <w:rFonts w:hint="eastAsia" w:ascii="仿宋_GB2312" w:hAnsi="仿宋_GB2312" w:cs="仿宋_GB2312"/>
          <w:color w:val="auto"/>
          <w:szCs w:val="32"/>
          <w:u w:val="none"/>
        </w:rPr>
        <w:t>用地、城市更新、旧住宅区</w:t>
      </w:r>
      <w:r>
        <w:rPr>
          <w:rFonts w:ascii="仿宋_GB2312" w:hAnsi="仿宋_GB2312" w:cs="仿宋_GB2312"/>
          <w:color w:val="auto"/>
          <w:szCs w:val="32"/>
          <w:u w:val="none"/>
        </w:rPr>
        <w:t>更新改造</w:t>
      </w:r>
      <w:r>
        <w:rPr>
          <w:rFonts w:hint="eastAsia" w:ascii="仿宋_GB2312" w:hAnsi="仿宋_GB2312" w:cs="仿宋_GB2312"/>
          <w:color w:val="auto"/>
          <w:szCs w:val="32"/>
          <w:u w:val="none"/>
        </w:rPr>
        <w:t>等新增建设的保障性租赁住房项目在土地出让阶段直接认定；</w:t>
      </w:r>
    </w:p>
    <w:p>
      <w:pPr>
        <w:keepNext w:val="0"/>
        <w:keepLines w:val="0"/>
        <w:pageBreakBefore w:val="0"/>
        <w:widowControl/>
        <w:numPr>
          <w:ilvl w:val="2"/>
          <w:numId w:val="0"/>
        </w:numPr>
        <w:kinsoku/>
        <w:wordWrap/>
        <w:overflowPunct/>
        <w:topLinePunct w:val="0"/>
        <w:autoSpaceDE/>
        <w:autoSpaceDN/>
        <w:bidi w:val="0"/>
        <w:adjustRightInd/>
        <w:snapToGrid/>
        <w:spacing w:line="578" w:lineRule="exact"/>
        <w:ind w:firstLine="640" w:firstLineChars="200"/>
        <w:textAlignment w:val="auto"/>
        <w:rPr>
          <w:rFonts w:ascii="仿宋_GB2312" w:hAnsi="仿宋_GB2312" w:cs="仿宋_GB2312"/>
          <w:color w:val="auto"/>
          <w:szCs w:val="32"/>
          <w:u w:val="none"/>
        </w:rPr>
      </w:pPr>
      <w:r>
        <w:rPr>
          <w:rFonts w:hint="eastAsia"/>
          <w:color w:val="auto"/>
          <w:u w:val="none"/>
        </w:rPr>
        <w:t>（二）</w:t>
      </w:r>
      <w:r>
        <w:rPr>
          <w:rFonts w:hint="eastAsia" w:ascii="仿宋_GB2312" w:hAnsi="仿宋_GB2312" w:cs="仿宋_GB2312"/>
          <w:color w:val="auto"/>
          <w:szCs w:val="32"/>
          <w:u w:val="none"/>
        </w:rPr>
        <w:t>利用非居住存量用地</w:t>
      </w:r>
      <w:r>
        <w:rPr>
          <w:rFonts w:ascii="仿宋_GB2312" w:hAnsi="仿宋_GB2312" w:cs="仿宋_GB2312"/>
          <w:color w:val="auto"/>
          <w:szCs w:val="32"/>
          <w:u w:val="none"/>
        </w:rPr>
        <w:t>建设</w:t>
      </w:r>
      <w:r>
        <w:rPr>
          <w:rFonts w:hint="eastAsia" w:ascii="仿宋_GB2312" w:hAnsi="仿宋_GB2312" w:cs="仿宋_GB2312"/>
          <w:color w:val="auto"/>
          <w:szCs w:val="32"/>
          <w:u w:val="none"/>
        </w:rPr>
        <w:t>和非居住存量房屋</w:t>
      </w:r>
      <w:r>
        <w:rPr>
          <w:rFonts w:ascii="仿宋_GB2312" w:hAnsi="仿宋_GB2312" w:cs="仿宋_GB2312"/>
          <w:color w:val="auto"/>
          <w:szCs w:val="32"/>
          <w:u w:val="none"/>
        </w:rPr>
        <w:t>改建</w:t>
      </w:r>
      <w:r>
        <w:rPr>
          <w:rFonts w:hint="eastAsia" w:ascii="仿宋_GB2312" w:hAnsi="仿宋_GB2312" w:cs="仿宋_GB2312"/>
          <w:color w:val="auto"/>
          <w:szCs w:val="32"/>
          <w:u w:val="none"/>
        </w:rPr>
        <w:t>的保障性租赁住房项目，由区主管部门受理项目申报，区政府组织相关部门进行联合初审后报</w:t>
      </w:r>
      <w:r>
        <w:rPr>
          <w:rFonts w:hint="eastAsia" w:ascii="仿宋_GB2312" w:hAnsi="仿宋_GB2312" w:cs="仿宋_GB2312"/>
          <w:color w:val="auto"/>
          <w:szCs w:val="32"/>
          <w:highlight w:val="none"/>
          <w:u w:val="none"/>
        </w:rPr>
        <w:t>市领导小组办公室</w:t>
      </w:r>
      <w:r>
        <w:rPr>
          <w:rFonts w:hint="eastAsia" w:ascii="仿宋_GB2312" w:hAnsi="仿宋_GB2312" w:cs="仿宋_GB2312"/>
          <w:color w:val="auto"/>
          <w:szCs w:val="32"/>
          <w:u w:val="none"/>
        </w:rPr>
        <w:t>，市领导小组办公室组织市相关部门</w:t>
      </w:r>
      <w:r>
        <w:rPr>
          <w:rFonts w:hint="eastAsia" w:ascii="仿宋_GB2312" w:hAnsi="仿宋_GB2312" w:cs="仿宋_GB2312"/>
          <w:color w:val="auto"/>
          <w:szCs w:val="32"/>
          <w:highlight w:val="none"/>
          <w:u w:val="none"/>
        </w:rPr>
        <w:t>提出意见</w:t>
      </w:r>
      <w:r>
        <w:rPr>
          <w:rFonts w:hint="eastAsia" w:ascii="仿宋_GB2312" w:hAnsi="仿宋_GB2312" w:cs="仿宋_GB2312"/>
          <w:color w:val="auto"/>
          <w:szCs w:val="32"/>
          <w:highlight w:val="none"/>
          <w:u w:val="none"/>
          <w:lang w:val="en-US" w:eastAsia="zh-CN"/>
        </w:rPr>
        <w:t>并提请</w:t>
      </w:r>
      <w:r>
        <w:rPr>
          <w:rFonts w:hint="eastAsia" w:ascii="仿宋_GB2312" w:hAnsi="仿宋_GB2312" w:cs="仿宋_GB2312"/>
          <w:color w:val="auto"/>
          <w:szCs w:val="32"/>
          <w:highlight w:val="none"/>
          <w:u w:val="none"/>
        </w:rPr>
        <w:t>市领导小组决策</w:t>
      </w:r>
      <w:r>
        <w:rPr>
          <w:rFonts w:hint="eastAsia" w:ascii="仿宋_GB2312" w:hAnsi="仿宋_GB2312" w:cs="仿宋_GB2312"/>
          <w:color w:val="auto"/>
          <w:szCs w:val="32"/>
          <w:highlight w:val="none"/>
          <w:u w:val="none"/>
          <w:lang w:eastAsia="zh-CN"/>
        </w:rPr>
        <w:t>。</w:t>
      </w:r>
      <w:r>
        <w:rPr>
          <w:rFonts w:hint="eastAsia" w:ascii="仿宋_GB2312" w:hAnsi="仿宋_GB2312" w:cs="仿宋_GB2312"/>
          <w:color w:val="auto"/>
          <w:kern w:val="0"/>
          <w:szCs w:val="32"/>
          <w:u w:val="none"/>
        </w:rPr>
        <w:t>具有居住功能的存量房屋筹集</w:t>
      </w:r>
      <w:r>
        <w:rPr>
          <w:rFonts w:hint="eastAsia" w:ascii="仿宋_GB2312" w:hAnsi="仿宋_GB2312" w:cs="仿宋_GB2312"/>
          <w:color w:val="auto"/>
          <w:szCs w:val="32"/>
          <w:u w:val="none"/>
        </w:rPr>
        <w:t>项目，由区政府参照上述流程组织联合审查和认定；</w:t>
      </w:r>
    </w:p>
    <w:p>
      <w:pPr>
        <w:keepNext w:val="0"/>
        <w:keepLines w:val="0"/>
        <w:pageBreakBefore w:val="0"/>
        <w:widowControl w:val="0"/>
        <w:numPr>
          <w:ilvl w:val="2"/>
          <w:numId w:val="0"/>
        </w:numPr>
        <w:kinsoku/>
        <w:wordWrap/>
        <w:overflowPunct/>
        <w:topLinePunct w:val="0"/>
        <w:autoSpaceDE/>
        <w:autoSpaceDN/>
        <w:bidi w:val="0"/>
        <w:adjustRightInd/>
        <w:snapToGrid/>
        <w:spacing w:line="578" w:lineRule="exact"/>
        <w:ind w:firstLine="640"/>
        <w:textAlignment w:val="auto"/>
        <w:rPr>
          <w:rFonts w:ascii="仿宋_GB2312" w:hAnsi="仿宋_GB2312" w:cs="仿宋_GB2312"/>
          <w:color w:val="auto"/>
          <w:szCs w:val="32"/>
          <w:highlight w:val="yellow"/>
          <w:u w:val="none"/>
        </w:rPr>
      </w:pPr>
      <w:r>
        <w:rPr>
          <w:rFonts w:ascii="仿宋_GB2312" w:hAnsi="仿宋_GB2312" w:cs="仿宋_GB2312"/>
          <w:color w:val="auto"/>
          <w:szCs w:val="32"/>
          <w:u w:val="none"/>
        </w:rPr>
        <w:t>（</w:t>
      </w:r>
      <w:r>
        <w:rPr>
          <w:rFonts w:hint="default" w:ascii="仿宋_GB2312" w:hAnsi="仿宋_GB2312" w:cs="仿宋_GB2312"/>
          <w:color w:val="auto"/>
          <w:szCs w:val="32"/>
          <w:u w:val="none"/>
          <w:lang w:val="en-US"/>
        </w:rPr>
        <w:t>三</w:t>
      </w:r>
      <w:r>
        <w:rPr>
          <w:rFonts w:ascii="仿宋_GB2312" w:hAnsi="仿宋_GB2312" w:cs="仿宋_GB2312"/>
          <w:color w:val="auto"/>
          <w:szCs w:val="32"/>
          <w:u w:val="none"/>
        </w:rPr>
        <w:t>）</w:t>
      </w:r>
      <w:r>
        <w:rPr>
          <w:rFonts w:ascii="仿宋_GB2312" w:hAnsi="仿宋_GB2312" w:cs="仿宋_GB2312"/>
          <w:color w:val="auto"/>
          <w:szCs w:val="32"/>
          <w:highlight w:val="none"/>
          <w:u w:val="none"/>
        </w:rPr>
        <w:t>存量市场化租赁房屋以及其他具有居住功能存量房屋筹集的项目，由区政府组织</w:t>
      </w:r>
      <w:r>
        <w:rPr>
          <w:rFonts w:hint="eastAsia" w:ascii="仿宋_GB2312" w:hAnsi="仿宋_GB2312" w:cs="仿宋_GB2312"/>
          <w:color w:val="auto"/>
          <w:szCs w:val="32"/>
          <w:highlight w:val="none"/>
          <w:u w:val="none"/>
        </w:rPr>
        <w:t>联合审查和认定</w:t>
      </w:r>
      <w:r>
        <w:rPr>
          <w:rFonts w:ascii="仿宋_GB2312" w:hAnsi="仿宋_GB2312" w:cs="仿宋_GB2312"/>
          <w:color w:val="auto"/>
          <w:szCs w:val="32"/>
          <w:highlight w:val="none"/>
          <w:u w:val="none"/>
        </w:rPr>
        <w:t>。</w:t>
      </w:r>
    </w:p>
    <w:p>
      <w:pPr>
        <w:keepNext w:val="0"/>
        <w:keepLines w:val="0"/>
        <w:pageBreakBefore w:val="0"/>
        <w:widowControl w:val="0"/>
        <w:numPr>
          <w:ilvl w:val="2"/>
          <w:numId w:val="0"/>
        </w:numPr>
        <w:kinsoku/>
        <w:wordWrap/>
        <w:overflowPunct/>
        <w:topLinePunct w:val="0"/>
        <w:autoSpaceDE/>
        <w:autoSpaceDN/>
        <w:bidi w:val="0"/>
        <w:adjustRightInd/>
        <w:snapToGrid/>
        <w:spacing w:line="578" w:lineRule="exact"/>
        <w:ind w:firstLine="640" w:firstLineChars="200"/>
        <w:textAlignment w:val="auto"/>
        <w:rPr>
          <w:rFonts w:ascii="仿宋_GB2312" w:hAnsi="仿宋_GB2312" w:cs="仿宋_GB2312"/>
          <w:color w:val="auto"/>
          <w:szCs w:val="32"/>
          <w:u w:val="none"/>
        </w:rPr>
      </w:pPr>
      <w:r>
        <w:rPr>
          <w:rFonts w:hint="eastAsia" w:ascii="仿宋_GB2312" w:hAnsi="仿宋_GB2312" w:cs="仿宋_GB2312"/>
          <w:color w:val="auto"/>
          <w:szCs w:val="32"/>
          <w:u w:val="none"/>
        </w:rPr>
        <w:t>出具保障性租赁住房项目认定书后，</w:t>
      </w:r>
      <w:r>
        <w:rPr>
          <w:rFonts w:ascii="仿宋_GB2312" w:hAnsi="仿宋_GB2312" w:cs="仿宋_GB2312"/>
          <w:color w:val="auto"/>
          <w:szCs w:val="32"/>
          <w:u w:val="none"/>
        </w:rPr>
        <w:t>相关部门办理立项、用地、规划、施工、消防等手续</w:t>
      </w:r>
      <w:r>
        <w:rPr>
          <w:rFonts w:hint="eastAsia" w:ascii="仿宋_GB2312" w:hAnsi="仿宋_GB2312" w:cs="仿宋_GB2312"/>
          <w:color w:val="auto"/>
          <w:szCs w:val="32"/>
          <w:u w:val="none"/>
        </w:rPr>
        <w:t>；用水、用电、用气价格</w:t>
      </w:r>
      <w:r>
        <w:rPr>
          <w:rFonts w:ascii="仿宋_GB2312" w:hAnsi="仿宋_GB2312" w:cs="仿宋_GB2312"/>
          <w:color w:val="auto"/>
          <w:szCs w:val="32"/>
          <w:u w:val="none"/>
        </w:rPr>
        <w:t>按照</w:t>
      </w:r>
      <w:r>
        <w:rPr>
          <w:rFonts w:hint="eastAsia" w:ascii="仿宋_GB2312" w:hAnsi="仿宋_GB2312" w:cs="仿宋_GB2312"/>
          <w:color w:val="auto"/>
          <w:szCs w:val="32"/>
          <w:u w:val="none"/>
        </w:rPr>
        <w:t>居民标准执行。</w:t>
      </w:r>
      <w:r>
        <w:rPr>
          <w:rFonts w:ascii="仿宋_GB2312" w:hAnsi="仿宋_GB2312" w:cs="仿宋_GB2312"/>
          <w:color w:val="auto"/>
          <w:szCs w:val="32"/>
          <w:u w:val="none"/>
        </w:rPr>
        <w:t>不涉及土地权属变化的项目，</w:t>
      </w:r>
      <w:r>
        <w:rPr>
          <w:rFonts w:hint="eastAsia" w:ascii="仿宋_GB2312" w:hAnsi="仿宋_GB2312" w:cs="仿宋_GB2312"/>
          <w:color w:val="auto"/>
          <w:szCs w:val="32"/>
          <w:u w:val="none"/>
        </w:rPr>
        <w:t>可以</w:t>
      </w:r>
      <w:r>
        <w:rPr>
          <w:rFonts w:ascii="仿宋_GB2312" w:hAnsi="仿宋_GB2312" w:cs="仿宋_GB2312"/>
          <w:color w:val="auto"/>
          <w:szCs w:val="32"/>
          <w:u w:val="none"/>
        </w:rPr>
        <w:t>用已有用地手续等材料作为土地证明文件，不再办理用地手续。</w:t>
      </w:r>
    </w:p>
    <w:p>
      <w:pPr>
        <w:pStyle w:val="2"/>
      </w:pPr>
      <w:r>
        <w:rPr>
          <w:rFonts w:hint="eastAsia" w:ascii="仿宋_GB2312" w:hAnsi="仿宋_GB2312" w:eastAsia="仿宋_GB2312" w:cs="仿宋_GB2312"/>
          <w:b w:val="0"/>
          <w:bCs w:val="0"/>
          <w:sz w:val="32"/>
          <w:szCs w:val="32"/>
          <w:lang w:val="en-US" w:eastAsia="zh-CN"/>
        </w:rPr>
        <w:t>保障性租赁住房项目认定条件、程序等具体规则由市主管部门制定</w:t>
      </w:r>
      <w:r>
        <w:rPr>
          <w:rFonts w:hint="eastAsia" w:ascii="仿宋_GB2312" w:hAnsi="仿宋_GB2312" w:cs="仿宋_GB2312"/>
          <w:b w:val="0"/>
          <w:bCs w:val="0"/>
          <w:sz w:val="32"/>
          <w:szCs w:val="32"/>
          <w:lang w:val="en-US" w:eastAsia="zh-CN"/>
        </w:rPr>
        <w:t>。</w:t>
      </w:r>
    </w:p>
    <w:p>
      <w:pPr>
        <w:keepNext w:val="0"/>
        <w:keepLines w:val="0"/>
        <w:pageBreakBefore w:val="0"/>
        <w:widowControl w:val="0"/>
        <w:tabs>
          <w:tab w:val="left" w:pos="0"/>
        </w:tabs>
        <w:kinsoku/>
        <w:wordWrap/>
        <w:overflowPunct/>
        <w:topLinePunct w:val="0"/>
        <w:autoSpaceDE/>
        <w:autoSpaceDN/>
        <w:bidi w:val="0"/>
        <w:adjustRightInd/>
        <w:snapToGrid/>
        <w:spacing w:line="578" w:lineRule="exact"/>
        <w:ind w:firstLine="0"/>
        <w:textAlignment w:val="auto"/>
        <w:outlineLvl w:val="2"/>
        <w:rPr>
          <w:color w:val="auto"/>
          <w:u w:val="none"/>
        </w:rPr>
      </w:pPr>
      <w:r>
        <w:rPr>
          <w:rFonts w:hint="eastAsia" w:ascii="黑体" w:hAnsi="黑体" w:eastAsia="黑体" w:cs="黑体"/>
          <w:color w:val="auto"/>
          <w:u w:val="none"/>
        </w:rPr>
        <w:t>第二十七条【</w:t>
      </w:r>
      <w:r>
        <w:rPr>
          <w:rFonts w:ascii="黑体" w:hAnsi="黑体" w:eastAsia="黑体" w:cs="黑体"/>
          <w:color w:val="auto"/>
          <w:u w:val="none"/>
        </w:rPr>
        <w:t>设计</w:t>
      </w:r>
      <w:r>
        <w:rPr>
          <w:rFonts w:hint="eastAsia" w:ascii="黑体" w:hAnsi="黑体" w:eastAsia="黑体" w:cs="黑体"/>
          <w:color w:val="auto"/>
          <w:u w:val="none"/>
        </w:rPr>
        <w:t xml:space="preserve">要求】  </w:t>
      </w:r>
      <w:r>
        <w:rPr>
          <w:rFonts w:hint="eastAsia"/>
          <w:color w:val="auto"/>
          <w:u w:val="none"/>
        </w:rPr>
        <w:t>保障性住房建设项目的设计应当遵循因地制宜、经济实用、绿色健康、智慧人文的原则，执行保障性住房建设标准及相关建筑设计规范，满足绿色建筑、海绵城市、无障碍设计等要求。</w:t>
      </w:r>
    </w:p>
    <w:p>
      <w:pPr>
        <w:keepNext w:val="0"/>
        <w:keepLines w:val="0"/>
        <w:pageBreakBefore w:val="0"/>
        <w:widowControl w:val="0"/>
        <w:numPr>
          <w:ilvl w:val="2"/>
          <w:numId w:val="0"/>
        </w:numPr>
        <w:kinsoku/>
        <w:wordWrap/>
        <w:overflowPunct/>
        <w:topLinePunct w:val="0"/>
        <w:autoSpaceDE/>
        <w:autoSpaceDN/>
        <w:bidi w:val="0"/>
        <w:adjustRightInd/>
        <w:snapToGrid/>
        <w:spacing w:line="578" w:lineRule="exact"/>
        <w:ind w:firstLine="640" w:firstLineChars="200"/>
        <w:textAlignment w:val="auto"/>
        <w:rPr>
          <w:color w:val="auto"/>
          <w:u w:val="none"/>
        </w:rPr>
      </w:pPr>
      <w:r>
        <w:rPr>
          <w:rFonts w:hint="eastAsia"/>
          <w:color w:val="auto"/>
          <w:u w:val="none"/>
        </w:rPr>
        <w:t>保障性住房</w:t>
      </w:r>
      <w:r>
        <w:rPr>
          <w:rFonts w:hint="eastAsia"/>
          <w:color w:val="auto"/>
          <w:highlight w:val="none"/>
          <w:u w:val="none"/>
        </w:rPr>
        <w:t>建设应当</w:t>
      </w:r>
      <w:r>
        <w:rPr>
          <w:rFonts w:hint="eastAsia"/>
          <w:color w:val="auto"/>
          <w:u w:val="none"/>
        </w:rPr>
        <w:t>全过程应用建筑信息模型</w:t>
      </w:r>
      <w:r>
        <w:rPr>
          <w:rFonts w:hint="eastAsia" w:ascii="仿宋_GB2312" w:hAnsi="仿宋_GB2312" w:cs="仿宋_GB2312"/>
          <w:color w:val="auto"/>
          <w:u w:val="none"/>
        </w:rPr>
        <w:t>（BIM）</w:t>
      </w:r>
      <w:r>
        <w:rPr>
          <w:rFonts w:hint="eastAsia"/>
          <w:color w:val="auto"/>
          <w:u w:val="none"/>
        </w:rPr>
        <w:t>技术，</w:t>
      </w:r>
      <w:r>
        <w:rPr>
          <w:rFonts w:hint="eastAsia" w:ascii="仿宋_GB2312" w:hAnsi="仿宋_GB2312" w:cs="仿宋_GB2312"/>
          <w:color w:val="auto"/>
          <w:u w:val="none"/>
        </w:rPr>
        <w:t>推进BIM“正向”应用</w:t>
      </w:r>
      <w:r>
        <w:rPr>
          <w:rFonts w:hint="eastAsia"/>
          <w:color w:val="auto"/>
          <w:u w:val="none"/>
        </w:rPr>
        <w:t>和协同设计。保障性住房建设</w:t>
      </w:r>
      <w:r>
        <w:rPr>
          <w:rFonts w:hint="eastAsia" w:ascii="仿宋_GB2312"/>
          <w:color w:val="auto"/>
          <w:u w:val="none"/>
        </w:rPr>
        <w:t>推行</w:t>
      </w:r>
      <w:r>
        <w:rPr>
          <w:rFonts w:hint="eastAsia"/>
          <w:color w:val="auto"/>
          <w:u w:val="none"/>
        </w:rPr>
        <w:t>设计方案专家评审制度。</w:t>
      </w:r>
    </w:p>
    <w:p>
      <w:pPr>
        <w:keepNext w:val="0"/>
        <w:keepLines w:val="0"/>
        <w:pageBreakBefore w:val="0"/>
        <w:widowControl w:val="0"/>
        <w:numPr>
          <w:ilvl w:val="2"/>
          <w:numId w:val="0"/>
        </w:numPr>
        <w:kinsoku/>
        <w:wordWrap/>
        <w:overflowPunct/>
        <w:topLinePunct w:val="0"/>
        <w:autoSpaceDE/>
        <w:autoSpaceDN/>
        <w:bidi w:val="0"/>
        <w:adjustRightInd/>
        <w:snapToGrid/>
        <w:spacing w:line="578" w:lineRule="exact"/>
        <w:ind w:firstLine="640" w:firstLineChars="200"/>
        <w:textAlignment w:val="auto"/>
        <w:rPr>
          <w:color w:val="auto"/>
          <w:u w:val="none"/>
        </w:rPr>
      </w:pPr>
      <w:r>
        <w:rPr>
          <w:rFonts w:hint="eastAsia" w:ascii="仿宋_GB2312" w:hAnsi="仿宋_GB2312"/>
          <w:color w:val="auto"/>
          <w:u w:val="none"/>
        </w:rPr>
        <w:t>公共租赁住房</w:t>
      </w:r>
      <w:r>
        <w:rPr>
          <w:rFonts w:ascii="仿宋_GB2312" w:hAnsi="仿宋_GB2312"/>
          <w:color w:val="auto"/>
          <w:u w:val="none"/>
        </w:rPr>
        <w:t>户型</w:t>
      </w:r>
      <w:r>
        <w:rPr>
          <w:rFonts w:hint="eastAsia" w:ascii="仿宋_GB2312" w:hAnsi="仿宋_GB2312"/>
          <w:color w:val="auto"/>
          <w:u w:val="none"/>
        </w:rPr>
        <w:t>建筑面积以六十平方米以下为主。</w:t>
      </w:r>
      <w:r>
        <w:rPr>
          <w:rFonts w:hint="eastAsia" w:ascii="仿宋_GB2312" w:hAnsi="仿宋_GB2312" w:cs="仿宋_GB2312"/>
          <w:color w:val="auto"/>
          <w:szCs w:val="32"/>
          <w:highlight w:val="none"/>
          <w:u w:val="none"/>
        </w:rPr>
        <w:t>新增建设筹集的保障性租赁住房</w:t>
      </w:r>
      <w:r>
        <w:rPr>
          <w:rFonts w:ascii="仿宋_GB2312" w:hAnsi="仿宋_GB2312" w:cs="仿宋_GB2312"/>
          <w:color w:val="auto"/>
          <w:szCs w:val="32"/>
          <w:highlight w:val="none"/>
          <w:u w:val="none"/>
        </w:rPr>
        <w:t>户型</w:t>
      </w:r>
      <w:r>
        <w:rPr>
          <w:rFonts w:hint="eastAsia" w:ascii="仿宋_GB2312" w:hAnsi="仿宋_GB2312" w:cs="仿宋_GB2312"/>
          <w:color w:val="auto"/>
          <w:szCs w:val="32"/>
          <w:highlight w:val="none"/>
          <w:u w:val="none"/>
        </w:rPr>
        <w:t>建筑面积七十平方米以下的套（间）</w:t>
      </w:r>
      <w:r>
        <w:rPr>
          <w:rFonts w:ascii="仿宋_GB2312" w:hAnsi="仿宋_GB2312" w:cs="仿宋_GB2312"/>
          <w:color w:val="auto"/>
          <w:szCs w:val="32"/>
          <w:highlight w:val="none"/>
          <w:u w:val="none"/>
        </w:rPr>
        <w:t>数量</w:t>
      </w:r>
      <w:r>
        <w:rPr>
          <w:rFonts w:hint="eastAsia" w:ascii="仿宋_GB2312" w:hAnsi="仿宋_GB2312" w:cs="仿宋_GB2312"/>
          <w:color w:val="auto"/>
          <w:szCs w:val="32"/>
          <w:highlight w:val="none"/>
          <w:u w:val="none"/>
        </w:rPr>
        <w:t>占比原则上不低于百分之八十</w:t>
      </w:r>
      <w:r>
        <w:rPr>
          <w:rFonts w:ascii="仿宋_GB2312" w:hAnsi="仿宋_GB2312" w:cs="仿宋_GB2312"/>
          <w:color w:val="auto"/>
          <w:szCs w:val="32"/>
          <w:highlight w:val="none"/>
          <w:u w:val="none"/>
        </w:rPr>
        <w:t>，</w:t>
      </w:r>
      <w:r>
        <w:rPr>
          <w:rFonts w:hint="eastAsia" w:ascii="仿宋_GB2312" w:hAnsi="仿宋_GB2312" w:cs="仿宋_GB2312"/>
          <w:color w:val="auto"/>
          <w:szCs w:val="32"/>
          <w:u w:val="none"/>
        </w:rPr>
        <w:t>单套建筑面积较大的户型可以按间为单位</w:t>
      </w:r>
      <w:r>
        <w:rPr>
          <w:rFonts w:hint="eastAsia" w:ascii="仿宋_GB2312" w:hAnsi="仿宋_GB2312"/>
          <w:color w:val="auto"/>
          <w:u w:val="none"/>
        </w:rPr>
        <w:t>出租</w:t>
      </w:r>
      <w:r>
        <w:rPr>
          <w:rFonts w:hint="eastAsia" w:ascii="仿宋_GB2312" w:hAnsi="仿宋_GB2312" w:cs="仿宋_GB2312"/>
          <w:color w:val="auto"/>
          <w:szCs w:val="32"/>
          <w:u w:val="none"/>
        </w:rPr>
        <w:t>。</w:t>
      </w:r>
      <w:r>
        <w:rPr>
          <w:rFonts w:hint="eastAsia" w:ascii="仿宋_GB2312" w:hAnsi="仿宋_GB2312" w:cs="仿宋_GB2312"/>
          <w:bCs/>
          <w:color w:val="auto"/>
          <w:szCs w:val="32"/>
          <w:u w:val="none"/>
        </w:rPr>
        <w:t>共有产权住房</w:t>
      </w:r>
      <w:r>
        <w:rPr>
          <w:rFonts w:ascii="仿宋_GB2312" w:hAnsi="仿宋_GB2312" w:cs="仿宋_GB2312"/>
          <w:bCs/>
          <w:color w:val="auto"/>
          <w:szCs w:val="32"/>
          <w:u w:val="none"/>
        </w:rPr>
        <w:t>户型</w:t>
      </w:r>
      <w:r>
        <w:rPr>
          <w:rFonts w:hint="eastAsia" w:ascii="仿宋_GB2312" w:hAnsi="仿宋_GB2312" w:cs="仿宋_GB2312"/>
          <w:bCs/>
          <w:color w:val="auto"/>
          <w:szCs w:val="32"/>
          <w:u w:val="none"/>
        </w:rPr>
        <w:t>建筑面积</w:t>
      </w:r>
      <w:r>
        <w:rPr>
          <w:rFonts w:ascii="仿宋_GB2312" w:hAnsi="仿宋_GB2312" w:cs="仿宋_GB2312"/>
          <w:bCs/>
          <w:color w:val="auto"/>
          <w:szCs w:val="32"/>
          <w:u w:val="none"/>
        </w:rPr>
        <w:t>以</w:t>
      </w:r>
      <w:r>
        <w:rPr>
          <w:rFonts w:hint="eastAsia" w:ascii="仿宋_GB2312" w:hAnsi="仿宋_GB2312" w:cs="仿宋_GB2312"/>
          <w:bCs/>
          <w:color w:val="auto"/>
          <w:szCs w:val="32"/>
          <w:u w:val="none"/>
        </w:rPr>
        <w:t>九十平方米以下为主。</w:t>
      </w:r>
    </w:p>
    <w:p>
      <w:pPr>
        <w:keepNext w:val="0"/>
        <w:keepLines w:val="0"/>
        <w:pageBreakBefore w:val="0"/>
        <w:widowControl w:val="0"/>
        <w:tabs>
          <w:tab w:val="left" w:pos="0"/>
        </w:tabs>
        <w:kinsoku/>
        <w:wordWrap/>
        <w:overflowPunct/>
        <w:topLinePunct w:val="0"/>
        <w:autoSpaceDE/>
        <w:autoSpaceDN/>
        <w:bidi w:val="0"/>
        <w:adjustRightInd/>
        <w:snapToGrid/>
        <w:spacing w:line="578" w:lineRule="exact"/>
        <w:ind w:firstLine="640" w:firstLineChars="200"/>
        <w:textAlignment w:val="auto"/>
        <w:outlineLvl w:val="2"/>
        <w:rPr>
          <w:rFonts w:ascii="仿宋_GB2312" w:hAnsi="仿宋_GB2312"/>
          <w:color w:val="auto"/>
          <w:u w:val="none"/>
        </w:rPr>
      </w:pPr>
      <w:r>
        <w:rPr>
          <w:rFonts w:hint="eastAsia" w:ascii="黑体" w:hAnsi="黑体" w:eastAsia="黑体" w:cs="黑体"/>
          <w:color w:val="auto"/>
          <w:u w:val="none"/>
        </w:rPr>
        <w:t>第二十八条</w:t>
      </w:r>
      <w:r>
        <w:rPr>
          <w:rFonts w:hint="eastAsia" w:ascii="仿宋_GB2312"/>
          <w:color w:val="auto"/>
          <w:u w:val="none"/>
        </w:rPr>
        <w:t>【</w:t>
      </w:r>
      <w:r>
        <w:rPr>
          <w:rStyle w:val="15"/>
          <w:rFonts w:hint="eastAsia" w:ascii="黑体" w:hAnsi="黑体"/>
          <w:color w:val="auto"/>
          <w:u w:val="none"/>
        </w:rPr>
        <w:t>方案设计核查</w:t>
      </w:r>
      <w:r>
        <w:rPr>
          <w:rFonts w:hint="eastAsia" w:ascii="仿宋_GB2312"/>
          <w:color w:val="auto"/>
          <w:u w:val="none"/>
        </w:rPr>
        <w:t>】  建设单位在办理保障性住房建设项目建设工程规划许可前，需取得主管部门对保障性住房建设项目方案设计的审查意见。</w:t>
      </w:r>
    </w:p>
    <w:p>
      <w:pPr>
        <w:keepNext w:val="0"/>
        <w:keepLines w:val="0"/>
        <w:pageBreakBefore w:val="0"/>
        <w:widowControl w:val="0"/>
        <w:numPr>
          <w:ilvl w:val="2"/>
          <w:numId w:val="0"/>
        </w:numPr>
        <w:kinsoku/>
        <w:wordWrap/>
        <w:overflowPunct/>
        <w:topLinePunct w:val="0"/>
        <w:autoSpaceDE/>
        <w:autoSpaceDN/>
        <w:bidi w:val="0"/>
        <w:adjustRightInd/>
        <w:snapToGrid/>
        <w:spacing w:line="578" w:lineRule="exact"/>
        <w:ind w:firstLine="640" w:firstLineChars="200"/>
        <w:textAlignment w:val="auto"/>
        <w:rPr>
          <w:rFonts w:ascii="仿宋_GB2312"/>
          <w:color w:val="auto"/>
          <w:u w:val="none"/>
        </w:rPr>
      </w:pPr>
      <w:r>
        <w:rPr>
          <w:rFonts w:hint="eastAsia" w:ascii="仿宋_GB2312" w:hAnsi="仿宋_GB2312"/>
          <w:color w:val="auto"/>
          <w:u w:val="none"/>
        </w:rPr>
        <w:t>在建设过程中，建设工程规划许可证变更涉及保障性住房相关事项的，规划和自然资源部门或者相关部门应当征求主管部门意见。</w:t>
      </w:r>
    </w:p>
    <w:p>
      <w:pPr>
        <w:keepNext w:val="0"/>
        <w:keepLines w:val="0"/>
        <w:pageBreakBefore w:val="0"/>
        <w:widowControl w:val="0"/>
        <w:tabs>
          <w:tab w:val="left" w:pos="0"/>
        </w:tabs>
        <w:kinsoku/>
        <w:wordWrap/>
        <w:overflowPunct/>
        <w:topLinePunct w:val="0"/>
        <w:autoSpaceDE/>
        <w:autoSpaceDN/>
        <w:bidi w:val="0"/>
        <w:adjustRightInd/>
        <w:snapToGrid/>
        <w:spacing w:line="578" w:lineRule="exact"/>
        <w:ind w:firstLine="0"/>
        <w:textAlignment w:val="auto"/>
        <w:outlineLvl w:val="2"/>
        <w:rPr>
          <w:rFonts w:ascii="黑体" w:hAnsi="黑体" w:cs="黑体"/>
          <w:color w:val="auto"/>
          <w:u w:val="none"/>
        </w:rPr>
      </w:pPr>
      <w:r>
        <w:rPr>
          <w:rFonts w:hint="eastAsia" w:ascii="黑体" w:hAnsi="黑体" w:eastAsia="黑体" w:cs="黑体"/>
          <w:color w:val="auto"/>
          <w:u w:val="none"/>
        </w:rPr>
        <w:t xml:space="preserve">第二十九条【建造要求】  </w:t>
      </w:r>
      <w:r>
        <w:rPr>
          <w:rFonts w:hint="eastAsia"/>
          <w:color w:val="auto"/>
          <w:u w:val="none"/>
        </w:rPr>
        <w:t>保障性住房建设应当积极推行工程总承包、全过程工程咨询和建筑师负责制等新型组织管理模式，大型安居社区鼓励采用项目建设联合管理团队</w:t>
      </w:r>
      <w:r>
        <w:rPr>
          <w:rFonts w:hint="eastAsia" w:ascii="仿宋_GB2312" w:hAnsi="仿宋_GB2312" w:cs="仿宋_GB2312"/>
          <w:color w:val="auto"/>
          <w:u w:val="none"/>
        </w:rPr>
        <w:t>（IPMT）。</w:t>
      </w:r>
      <w:r>
        <w:rPr>
          <w:rFonts w:hint="eastAsia"/>
          <w:color w:val="auto"/>
          <w:u w:val="none"/>
        </w:rPr>
        <w:t>全面采用装配式建筑，推广</w:t>
      </w:r>
      <w:r>
        <w:rPr>
          <w:rFonts w:hint="eastAsia" w:ascii="仿宋_GB2312" w:hAnsi="仿宋_GB2312"/>
          <w:color w:val="auto"/>
          <w:u w:val="none"/>
        </w:rPr>
        <w:t>智能建造</w:t>
      </w:r>
      <w:r>
        <w:rPr>
          <w:rFonts w:ascii="仿宋_GB2312" w:hAnsi="仿宋_GB2312"/>
          <w:color w:val="auto"/>
          <w:u w:val="none"/>
        </w:rPr>
        <w:t>、</w:t>
      </w:r>
      <w:r>
        <w:rPr>
          <w:rFonts w:hint="eastAsia"/>
          <w:color w:val="auto"/>
          <w:u w:val="none"/>
        </w:rPr>
        <w:t>装配式装修、绿色建材和集成化模块化建筑部品，</w:t>
      </w:r>
      <w:r>
        <w:rPr>
          <w:rFonts w:ascii="仿宋_GB2312" w:hAnsi="仿宋_GB2312"/>
          <w:color w:val="auto"/>
          <w:u w:val="none"/>
        </w:rPr>
        <w:t>打造“绿色、健康、智能”的新一代成品住宅。</w:t>
      </w:r>
    </w:p>
    <w:p>
      <w:pPr>
        <w:keepNext w:val="0"/>
        <w:keepLines w:val="0"/>
        <w:pageBreakBefore w:val="0"/>
        <w:widowControl w:val="0"/>
        <w:tabs>
          <w:tab w:val="left" w:pos="0"/>
        </w:tabs>
        <w:kinsoku/>
        <w:wordWrap/>
        <w:overflowPunct/>
        <w:topLinePunct w:val="0"/>
        <w:autoSpaceDE/>
        <w:autoSpaceDN/>
        <w:bidi w:val="0"/>
        <w:adjustRightInd/>
        <w:snapToGrid/>
        <w:spacing w:line="578" w:lineRule="exact"/>
        <w:ind w:firstLine="0"/>
        <w:textAlignment w:val="auto"/>
        <w:outlineLvl w:val="2"/>
        <w:rPr>
          <w:rFonts w:ascii="仿宋_GB2312" w:hAnsi="仿宋_GB2312"/>
          <w:color w:val="auto"/>
          <w:u w:val="none"/>
        </w:rPr>
      </w:pPr>
      <w:r>
        <w:rPr>
          <w:rFonts w:hint="eastAsia" w:ascii="黑体" w:hAnsi="黑体" w:eastAsia="黑体" w:cs="黑体"/>
          <w:color w:val="auto"/>
          <w:u w:val="none"/>
        </w:rPr>
        <w:t>第三十条</w:t>
      </w:r>
      <w:r>
        <w:rPr>
          <w:rFonts w:hint="eastAsia" w:ascii="仿宋_GB2312" w:hAnsi="仿宋_GB2312"/>
          <w:color w:val="auto"/>
          <w:u w:val="none"/>
        </w:rPr>
        <w:t>【</w:t>
      </w:r>
      <w:r>
        <w:rPr>
          <w:rStyle w:val="15"/>
          <w:rFonts w:hint="eastAsia" w:ascii="黑体" w:hAnsi="黑体"/>
          <w:color w:val="auto"/>
          <w:u w:val="none"/>
        </w:rPr>
        <w:t>配套设施建设</w:t>
      </w:r>
      <w:r>
        <w:rPr>
          <w:rFonts w:hint="eastAsia" w:ascii="仿宋_GB2312" w:hAnsi="仿宋_GB2312"/>
          <w:color w:val="auto"/>
          <w:u w:val="none"/>
        </w:rPr>
        <w:t xml:space="preserve">】  </w:t>
      </w:r>
      <w:r>
        <w:rPr>
          <w:rFonts w:hint="eastAsia" w:ascii="仿宋_GB2312" w:hAnsi="仿宋_GB2312" w:cs="仿宋_GB2312"/>
          <w:color w:val="auto"/>
          <w:szCs w:val="32"/>
          <w:u w:val="none"/>
        </w:rPr>
        <w:t>新建保障性住房项目应当按照《深圳市城市规划标准与准则》配置文化娱乐、体育、社康中心、养老、托幼等设施，并按照</w:t>
      </w:r>
      <w:r>
        <w:rPr>
          <w:rFonts w:hint="eastAsia" w:ascii="仿宋_GB2312" w:hAnsi="仿宋_GB2312" w:cs="仿宋_GB2312"/>
          <w:color w:val="auto"/>
          <w:kern w:val="0"/>
          <w:szCs w:val="32"/>
          <w:u w:val="none"/>
          <w:shd w:val="clear" w:color="auto" w:fill="FFFFFF"/>
          <w:lang w:bidi="ar"/>
        </w:rPr>
        <w:t>完整居住社区建设标准完善周边基本公共服务、便民商业服务、市政基础等设施。宿舍型保障性租赁住房的配套设施建设，按</w:t>
      </w:r>
      <w:r>
        <w:rPr>
          <w:rFonts w:hint="eastAsia" w:ascii="仿宋_GB2312" w:hAnsi="仿宋_GB2312" w:cs="仿宋_GB2312"/>
          <w:color w:val="auto"/>
          <w:kern w:val="0"/>
          <w:szCs w:val="32"/>
          <w:u w:val="none"/>
          <w:shd w:val="clear" w:color="auto" w:fill="FFFFFF"/>
          <w:lang w:val="en-US" w:eastAsia="zh-CN" w:bidi="ar"/>
        </w:rPr>
        <w:t>照</w:t>
      </w:r>
      <w:r>
        <w:rPr>
          <w:rFonts w:hint="eastAsia" w:ascii="仿宋_GB2312" w:hAnsi="仿宋_GB2312" w:cs="仿宋_GB2312"/>
          <w:color w:val="auto"/>
          <w:kern w:val="0"/>
          <w:szCs w:val="32"/>
          <w:u w:val="none"/>
          <w:shd w:val="clear" w:color="auto" w:fill="FFFFFF"/>
          <w:lang w:bidi="ar"/>
        </w:rPr>
        <w:t>相关标准执行。</w:t>
      </w:r>
    </w:p>
    <w:p>
      <w:pPr>
        <w:keepNext w:val="0"/>
        <w:keepLines w:val="0"/>
        <w:pageBreakBefore w:val="0"/>
        <w:widowControl w:val="0"/>
        <w:kinsoku/>
        <w:wordWrap/>
        <w:overflowPunct/>
        <w:topLinePunct w:val="0"/>
        <w:autoSpaceDE/>
        <w:autoSpaceDN/>
        <w:bidi w:val="0"/>
        <w:adjustRightInd/>
        <w:snapToGrid/>
        <w:spacing w:line="578" w:lineRule="exact"/>
        <w:ind w:firstLine="0"/>
        <w:textAlignment w:val="auto"/>
        <w:rPr>
          <w:color w:val="auto"/>
          <w:u w:val="none"/>
        </w:rPr>
      </w:pPr>
      <w:r>
        <w:rPr>
          <w:rFonts w:hint="eastAsia" w:ascii="仿宋_GB2312" w:hAnsi="仿宋_GB2312"/>
          <w:color w:val="auto"/>
          <w:u w:val="none"/>
        </w:rPr>
        <w:t>区政府组织规划和自然资源、交通运输、教育、卫生健康等相关部门，落实</w:t>
      </w:r>
      <w:r>
        <w:rPr>
          <w:rFonts w:ascii="仿宋_GB2312" w:hAnsi="仿宋_GB2312"/>
          <w:color w:val="auto"/>
          <w:u w:val="none"/>
        </w:rPr>
        <w:t>本条第一款有关配套设施</w:t>
      </w:r>
      <w:r>
        <w:rPr>
          <w:rFonts w:hint="eastAsia" w:ascii="仿宋_GB2312" w:hAnsi="仿宋_GB2312"/>
          <w:color w:val="auto"/>
          <w:u w:val="none"/>
        </w:rPr>
        <w:t>与新建保障性住房</w:t>
      </w:r>
      <w:r>
        <w:rPr>
          <w:rFonts w:ascii="仿宋_GB2312" w:hAnsi="仿宋_GB2312"/>
          <w:color w:val="auto"/>
          <w:u w:val="none"/>
        </w:rPr>
        <w:t>项目</w:t>
      </w:r>
      <w:r>
        <w:rPr>
          <w:rFonts w:hint="eastAsia" w:ascii="仿宋_GB2312" w:hAnsi="仿宋_GB2312"/>
          <w:color w:val="auto"/>
          <w:u w:val="none"/>
        </w:rPr>
        <w:t>同步规划、同步建设、同步交付使用。</w:t>
      </w:r>
    </w:p>
    <w:p>
      <w:pPr>
        <w:keepNext w:val="0"/>
        <w:keepLines w:val="0"/>
        <w:pageBreakBefore w:val="0"/>
        <w:widowControl w:val="0"/>
        <w:tabs>
          <w:tab w:val="left" w:pos="0"/>
        </w:tabs>
        <w:kinsoku/>
        <w:wordWrap/>
        <w:overflowPunct/>
        <w:topLinePunct w:val="0"/>
        <w:autoSpaceDE/>
        <w:autoSpaceDN/>
        <w:bidi w:val="0"/>
        <w:adjustRightInd/>
        <w:snapToGrid/>
        <w:spacing w:line="578" w:lineRule="exact"/>
        <w:ind w:firstLine="0"/>
        <w:textAlignment w:val="auto"/>
        <w:outlineLvl w:val="2"/>
        <w:rPr>
          <w:rFonts w:ascii="仿宋_GB2312" w:hAnsi="仿宋_GB2312" w:cs="仿宋_GB2312"/>
          <w:color w:val="auto"/>
          <w:szCs w:val="32"/>
          <w:u w:val="none"/>
        </w:rPr>
      </w:pPr>
      <w:r>
        <w:rPr>
          <w:rFonts w:hint="eastAsia" w:ascii="黑体" w:hAnsi="黑体" w:eastAsia="黑体"/>
          <w:color w:val="auto"/>
          <w:szCs w:val="32"/>
          <w:u w:val="none"/>
        </w:rPr>
        <w:t>第三十一条【</w:t>
      </w:r>
      <w:r>
        <w:rPr>
          <w:rFonts w:ascii="黑体" w:hAnsi="黑体" w:eastAsia="黑体"/>
          <w:color w:val="auto"/>
          <w:szCs w:val="32"/>
          <w:u w:val="none"/>
        </w:rPr>
        <w:t>保障性租赁住房</w:t>
      </w:r>
      <w:r>
        <w:rPr>
          <w:rFonts w:hint="eastAsia" w:ascii="黑体" w:hAnsi="黑体" w:eastAsia="黑体"/>
          <w:color w:val="auto"/>
          <w:szCs w:val="32"/>
          <w:u w:val="none"/>
        </w:rPr>
        <w:t xml:space="preserve">项目退出机制】  </w:t>
      </w:r>
      <w:r>
        <w:rPr>
          <w:rFonts w:hint="eastAsia" w:ascii="仿宋_GB2312" w:hAnsi="仿宋_GB2312" w:cs="仿宋_GB2312"/>
          <w:color w:val="auto"/>
          <w:szCs w:val="32"/>
          <w:u w:val="none"/>
        </w:rPr>
        <w:t>通过本办法</w:t>
      </w:r>
      <w:r>
        <w:rPr>
          <w:rFonts w:hint="eastAsia" w:ascii="仿宋_GB2312" w:hAnsi="仿宋_GB2312" w:cs="仿宋_GB2312"/>
          <w:color w:val="auto"/>
          <w:szCs w:val="32"/>
          <w:highlight w:val="none"/>
          <w:u w:val="none"/>
        </w:rPr>
        <w:t>第十二条</w:t>
      </w:r>
      <w:r>
        <w:rPr>
          <w:rFonts w:hint="eastAsia" w:ascii="仿宋_GB2312" w:hAnsi="仿宋_GB2312" w:cs="仿宋_GB2312"/>
          <w:color w:val="auto"/>
          <w:szCs w:val="32"/>
          <w:u w:val="none"/>
        </w:rPr>
        <w:t>、第十四条、第十五条、第十七条至十九条的方式新建的保障性租赁住房</w:t>
      </w:r>
      <w:r>
        <w:rPr>
          <w:rFonts w:hint="eastAsia" w:ascii="仿宋_GB2312" w:hAnsi="仿宋_GB2312" w:cs="仿宋_GB2312"/>
          <w:color w:val="auto"/>
          <w:szCs w:val="32"/>
          <w:u w:val="none"/>
          <w:lang w:val="en-US" w:eastAsia="zh-CN"/>
        </w:rPr>
        <w:t>的</w:t>
      </w:r>
      <w:r>
        <w:rPr>
          <w:rFonts w:hint="eastAsia" w:ascii="仿宋_GB2312" w:hAnsi="仿宋_GB2312" w:cs="仿宋_GB2312"/>
          <w:color w:val="auto"/>
          <w:szCs w:val="32"/>
          <w:u w:val="none"/>
        </w:rPr>
        <w:t>项目，原则上不得退出，</w:t>
      </w:r>
      <w:r>
        <w:rPr>
          <w:rFonts w:hint="eastAsia" w:ascii="仿宋_GB2312" w:hAnsi="仿宋_GB2312" w:cs="仿宋_GB2312"/>
          <w:bCs/>
          <w:color w:val="auto"/>
          <w:szCs w:val="32"/>
          <w:u w:val="none"/>
        </w:rPr>
        <w:t>但</w:t>
      </w:r>
      <w:r>
        <w:rPr>
          <w:rFonts w:hint="eastAsia" w:ascii="仿宋_GB2312" w:hAnsi="仿宋_GB2312" w:cs="仿宋_GB2312"/>
          <w:bCs/>
          <w:color w:val="auto"/>
          <w:szCs w:val="32"/>
          <w:highlight w:val="none"/>
          <w:u w:val="none"/>
        </w:rPr>
        <w:t>经市政府批准同意的除外</w:t>
      </w:r>
      <w:r>
        <w:rPr>
          <w:rFonts w:hint="eastAsia" w:ascii="仿宋_GB2312" w:hAnsi="仿宋_GB2312" w:cs="仿宋_GB2312"/>
          <w:bCs/>
          <w:color w:val="auto"/>
          <w:szCs w:val="32"/>
          <w:u w:val="none"/>
        </w:rPr>
        <w:t>。</w:t>
      </w:r>
    </w:p>
    <w:p>
      <w:pPr>
        <w:pStyle w:val="8"/>
        <w:keepNext w:val="0"/>
        <w:keepLines w:val="0"/>
        <w:pageBreakBefore w:val="0"/>
        <w:widowControl w:val="0"/>
        <w:kinsoku/>
        <w:wordWrap/>
        <w:overflowPunct/>
        <w:topLinePunct w:val="0"/>
        <w:autoSpaceDE/>
        <w:autoSpaceDN/>
        <w:bidi w:val="0"/>
        <w:adjustRightInd/>
        <w:snapToGrid/>
        <w:spacing w:line="578" w:lineRule="exact"/>
        <w:ind w:firstLine="0"/>
        <w:textAlignment w:val="auto"/>
        <w:rPr>
          <w:rFonts w:ascii="仿宋_GB2312" w:hAnsi="仿宋_GB2312" w:cs="仿宋_GB2312"/>
          <w:color w:val="auto"/>
          <w:kern w:val="0"/>
          <w:szCs w:val="32"/>
          <w:u w:val="none"/>
        </w:rPr>
      </w:pPr>
      <w:r>
        <w:rPr>
          <w:rFonts w:ascii="仿宋_GB2312" w:hAnsi="仿宋_GB2312" w:cs="仿宋_GB2312"/>
          <w:color w:val="auto"/>
          <w:kern w:val="0"/>
          <w:szCs w:val="32"/>
          <w:u w:val="none"/>
        </w:rPr>
        <w:t>非居住存量房屋改建</w:t>
      </w:r>
      <w:r>
        <w:rPr>
          <w:rFonts w:hint="eastAsia" w:ascii="仿宋_GB2312" w:hAnsi="仿宋_GB2312" w:cs="仿宋_GB2312"/>
          <w:color w:val="auto"/>
          <w:kern w:val="0"/>
          <w:szCs w:val="32"/>
          <w:u w:val="none"/>
        </w:rPr>
        <w:t>的</w:t>
      </w:r>
      <w:r>
        <w:rPr>
          <w:rFonts w:hint="eastAsia" w:ascii="仿宋_GB2312" w:hAnsi="仿宋_GB2312" w:cs="仿宋_GB2312"/>
          <w:color w:val="auto"/>
          <w:szCs w:val="32"/>
          <w:u w:val="none"/>
        </w:rPr>
        <w:t>保障性租赁住房</w:t>
      </w:r>
      <w:r>
        <w:rPr>
          <w:rFonts w:ascii="仿宋_GB2312" w:hAnsi="仿宋_GB2312" w:cs="仿宋_GB2312"/>
          <w:color w:val="auto"/>
          <w:kern w:val="0"/>
          <w:szCs w:val="32"/>
          <w:u w:val="none"/>
        </w:rPr>
        <w:t>项目</w:t>
      </w:r>
      <w:r>
        <w:rPr>
          <w:rFonts w:hint="eastAsia" w:ascii="仿宋_GB2312" w:hAnsi="仿宋_GB2312" w:cs="仿宋_GB2312"/>
          <w:color w:val="auto"/>
          <w:kern w:val="0"/>
          <w:szCs w:val="32"/>
          <w:u w:val="none"/>
        </w:rPr>
        <w:t>和具有居住功能的存量房屋筹集的</w:t>
      </w:r>
      <w:r>
        <w:rPr>
          <w:rFonts w:hint="eastAsia" w:ascii="仿宋_GB2312" w:hAnsi="仿宋_GB2312" w:cs="仿宋_GB2312"/>
          <w:color w:val="auto"/>
          <w:szCs w:val="32"/>
          <w:u w:val="none"/>
        </w:rPr>
        <w:t>保障性租赁住房</w:t>
      </w:r>
      <w:r>
        <w:rPr>
          <w:rFonts w:hint="eastAsia" w:ascii="仿宋_GB2312" w:hAnsi="仿宋_GB2312" w:cs="仿宋_GB2312"/>
          <w:color w:val="auto"/>
          <w:kern w:val="0"/>
          <w:szCs w:val="32"/>
          <w:u w:val="none"/>
        </w:rPr>
        <w:t>项目，</w:t>
      </w:r>
      <w:r>
        <w:rPr>
          <w:rFonts w:ascii="仿宋_GB2312" w:hAnsi="仿宋_GB2312" w:cs="仿宋_GB2312"/>
          <w:color w:val="auto"/>
          <w:kern w:val="0"/>
          <w:szCs w:val="32"/>
          <w:u w:val="none"/>
        </w:rPr>
        <w:t>自</w:t>
      </w:r>
      <w:r>
        <w:rPr>
          <w:rFonts w:hint="eastAsia" w:ascii="仿宋_GB2312" w:hAnsi="仿宋_GB2312" w:cs="仿宋_GB2312"/>
          <w:color w:val="auto"/>
          <w:kern w:val="0"/>
          <w:szCs w:val="32"/>
          <w:u w:val="none"/>
        </w:rPr>
        <w:t>认定书规定的有效期届满，产权单位或者运营管理单位可以向区主管部门提出退出申请，经</w:t>
      </w:r>
      <w:r>
        <w:rPr>
          <w:rFonts w:ascii="仿宋_GB2312" w:hAnsi="仿宋_GB2312" w:cs="仿宋_GB2312"/>
          <w:color w:val="auto"/>
          <w:kern w:val="0"/>
          <w:szCs w:val="32"/>
          <w:u w:val="none"/>
        </w:rPr>
        <w:t>区政府批准后</w:t>
      </w:r>
      <w:r>
        <w:rPr>
          <w:rFonts w:hint="eastAsia" w:ascii="仿宋_GB2312" w:hAnsi="仿宋_GB2312" w:cs="仿宋_GB2312"/>
          <w:color w:val="auto"/>
          <w:kern w:val="0"/>
          <w:szCs w:val="32"/>
          <w:u w:val="none"/>
        </w:rPr>
        <w:t>注销项目认定书。</w:t>
      </w:r>
    </w:p>
    <w:p>
      <w:pPr>
        <w:pStyle w:val="8"/>
        <w:keepNext w:val="0"/>
        <w:keepLines w:val="0"/>
        <w:pageBreakBefore w:val="0"/>
        <w:widowControl w:val="0"/>
        <w:kinsoku/>
        <w:wordWrap/>
        <w:overflowPunct/>
        <w:topLinePunct w:val="0"/>
        <w:autoSpaceDE/>
        <w:autoSpaceDN/>
        <w:bidi w:val="0"/>
        <w:adjustRightInd/>
        <w:snapToGrid/>
        <w:spacing w:line="578" w:lineRule="exact"/>
        <w:ind w:firstLine="0"/>
        <w:textAlignment w:val="auto"/>
        <w:rPr>
          <w:rFonts w:ascii="仿宋_GB2312" w:hAnsi="仿宋_GB2312" w:cs="仿宋_GB2312"/>
          <w:color w:val="auto"/>
          <w:kern w:val="0"/>
          <w:szCs w:val="32"/>
          <w:u w:val="none"/>
        </w:rPr>
      </w:pPr>
      <w:r>
        <w:rPr>
          <w:rFonts w:hint="eastAsia" w:ascii="仿宋_GB2312" w:hAnsi="仿宋_GB2312" w:cs="仿宋_GB2312"/>
          <w:color w:val="auto"/>
          <w:kern w:val="0"/>
          <w:szCs w:val="32"/>
          <w:u w:val="none"/>
        </w:rPr>
        <w:t>保障性租赁住房项目退出后，</w:t>
      </w:r>
      <w:r>
        <w:rPr>
          <w:rFonts w:hint="eastAsia" w:ascii="仿宋_GB2312" w:hAnsi="仿宋_GB2312" w:cs="仿宋_GB2312"/>
          <w:color w:val="auto"/>
          <w:szCs w:val="32"/>
          <w:u w:val="none"/>
        </w:rPr>
        <w:t>不再享受保障性租赁住房的支持政策。</w:t>
      </w:r>
    </w:p>
    <w:p>
      <w:pPr>
        <w:keepNext w:val="0"/>
        <w:keepLines w:val="0"/>
        <w:pageBreakBefore w:val="0"/>
        <w:widowControl w:val="0"/>
        <w:tabs>
          <w:tab w:val="left" w:pos="0"/>
        </w:tabs>
        <w:kinsoku/>
        <w:wordWrap/>
        <w:overflowPunct/>
        <w:topLinePunct w:val="0"/>
        <w:autoSpaceDE/>
        <w:autoSpaceDN/>
        <w:bidi w:val="0"/>
        <w:adjustRightInd/>
        <w:snapToGrid/>
        <w:spacing w:line="578" w:lineRule="exact"/>
        <w:ind w:firstLine="0"/>
        <w:textAlignment w:val="auto"/>
        <w:outlineLvl w:val="2"/>
        <w:rPr>
          <w:rFonts w:ascii="仿宋_GB2312" w:hAnsi="仿宋_GB2312" w:cs="仿宋_GB2312"/>
          <w:color w:val="auto"/>
          <w:szCs w:val="32"/>
          <w:u w:val="none"/>
        </w:rPr>
      </w:pPr>
      <w:r>
        <w:rPr>
          <w:rFonts w:hint="eastAsia" w:ascii="黑体" w:hAnsi="黑体" w:eastAsia="黑体"/>
          <w:color w:val="auto"/>
          <w:szCs w:val="32"/>
          <w:u w:val="none"/>
        </w:rPr>
        <w:t>第三十二条【</w:t>
      </w:r>
      <w:r>
        <w:rPr>
          <w:rFonts w:ascii="黑体" w:hAnsi="黑体" w:eastAsia="黑体"/>
          <w:color w:val="auto"/>
          <w:szCs w:val="32"/>
          <w:u w:val="none"/>
        </w:rPr>
        <w:t>保障性租赁住房</w:t>
      </w:r>
      <w:r>
        <w:rPr>
          <w:rFonts w:hint="eastAsia" w:ascii="黑体" w:hAnsi="黑体" w:eastAsia="黑体"/>
          <w:color w:val="auto"/>
          <w:szCs w:val="32"/>
          <w:u w:val="none"/>
        </w:rPr>
        <w:t xml:space="preserve">用途和产权限制】  </w:t>
      </w:r>
      <w:r>
        <w:rPr>
          <w:rFonts w:hint="eastAsia" w:ascii="仿宋_GB2312" w:hAnsi="黑体"/>
          <w:color w:val="auto"/>
          <w:szCs w:val="32"/>
          <w:u w:val="none"/>
        </w:rPr>
        <w:t>自</w:t>
      </w:r>
      <w:r>
        <w:rPr>
          <w:rFonts w:hint="eastAsia" w:ascii="仿宋_GB2312" w:hAnsi="仿宋_GB2312" w:cs="仿宋_GB2312"/>
          <w:color w:val="auto"/>
          <w:szCs w:val="32"/>
          <w:u w:val="none"/>
        </w:rPr>
        <w:t>本办法实施之日起</w:t>
      </w:r>
      <w:r>
        <w:rPr>
          <w:rFonts w:ascii="仿宋_GB2312" w:hAnsi="仿宋_GB2312" w:cs="仿宋_GB2312"/>
          <w:color w:val="auto"/>
          <w:szCs w:val="32"/>
          <w:u w:val="none"/>
        </w:rPr>
        <w:t>，</w:t>
      </w:r>
      <w:r>
        <w:rPr>
          <w:rFonts w:hint="eastAsia" w:ascii="仿宋_GB2312" w:hAnsi="仿宋_GB2312" w:cs="仿宋_GB2312"/>
          <w:color w:val="auto"/>
          <w:szCs w:val="32"/>
          <w:u w:val="none"/>
        </w:rPr>
        <w:t>通过新供应建设用地</w:t>
      </w:r>
      <w:r>
        <w:rPr>
          <w:rFonts w:ascii="仿宋_GB2312" w:hAnsi="仿宋_GB2312" w:cs="仿宋_GB2312"/>
          <w:color w:val="auto"/>
          <w:szCs w:val="32"/>
          <w:u w:val="none"/>
        </w:rPr>
        <w:t>，机关企事业单位、</w:t>
      </w:r>
      <w:r>
        <w:rPr>
          <w:rFonts w:hint="eastAsia" w:ascii="仿宋_GB2312" w:hAnsi="仿宋_GB2312" w:cs="仿宋_GB2312"/>
          <w:color w:val="auto"/>
          <w:szCs w:val="32"/>
          <w:u w:val="none"/>
        </w:rPr>
        <w:t>社会组织等自有用地</w:t>
      </w:r>
      <w:r>
        <w:rPr>
          <w:rFonts w:ascii="仿宋_GB2312" w:hAnsi="仿宋_GB2312" w:cs="仿宋_GB2312"/>
          <w:color w:val="auto"/>
          <w:szCs w:val="32"/>
          <w:u w:val="none"/>
        </w:rPr>
        <w:t>，</w:t>
      </w:r>
      <w:r>
        <w:rPr>
          <w:rFonts w:hint="eastAsia" w:ascii="仿宋_GB2312" w:hAnsi="仿宋_GB2312" w:cs="仿宋_GB2312"/>
          <w:color w:val="auto"/>
          <w:szCs w:val="32"/>
          <w:u w:val="none"/>
        </w:rPr>
        <w:t>产业园区配套用地</w:t>
      </w:r>
      <w:r>
        <w:rPr>
          <w:rFonts w:ascii="仿宋_GB2312" w:hAnsi="仿宋_GB2312" w:cs="仿宋_GB2312"/>
          <w:color w:val="auto"/>
          <w:szCs w:val="32"/>
          <w:u w:val="none"/>
        </w:rPr>
        <w:t>，</w:t>
      </w:r>
      <w:r>
        <w:rPr>
          <w:rFonts w:hint="eastAsia" w:ascii="仿宋_GB2312" w:hAnsi="仿宋_GB2312" w:cs="仿宋_GB2312"/>
          <w:color w:val="auto"/>
          <w:szCs w:val="32"/>
          <w:u w:val="none"/>
        </w:rPr>
        <w:t>未完善征（转）地补偿手续用地，历史遗留未完善出让手续用地</w:t>
      </w:r>
      <w:r>
        <w:rPr>
          <w:rFonts w:ascii="仿宋_GB2312" w:hAnsi="仿宋_GB2312" w:cs="仿宋_GB2312"/>
          <w:color w:val="auto"/>
          <w:szCs w:val="32"/>
          <w:u w:val="none"/>
        </w:rPr>
        <w:t>，</w:t>
      </w:r>
      <w:r>
        <w:rPr>
          <w:rFonts w:hint="eastAsia" w:ascii="仿宋_GB2312" w:hAnsi="仿宋_GB2312" w:cs="仿宋_GB2312"/>
          <w:color w:val="auto"/>
          <w:szCs w:val="32"/>
          <w:u w:val="none"/>
        </w:rPr>
        <w:t>公用设施、交通设施用地和轨道交通用地新建的</w:t>
      </w:r>
      <w:r>
        <w:rPr>
          <w:rFonts w:hint="eastAsia" w:ascii="仿宋_GB2312" w:hAnsi="仿宋_GB2312" w:cs="仿宋_GB2312"/>
          <w:color w:val="auto"/>
          <w:kern w:val="0"/>
          <w:szCs w:val="32"/>
          <w:u w:val="none"/>
        </w:rPr>
        <w:t>保障性租赁住房项目</w:t>
      </w:r>
      <w:r>
        <w:rPr>
          <w:rFonts w:hint="eastAsia" w:ascii="仿宋_GB2312" w:hAnsi="仿宋_GB2312" w:cs="仿宋_GB2312"/>
          <w:color w:val="auto"/>
          <w:szCs w:val="32"/>
          <w:u w:val="none"/>
        </w:rPr>
        <w:t>办理不动产权登记时，应当整体办理不动产权登记；项目住宅（宿舍）部分不得转让，且不得改变</w:t>
      </w:r>
      <w:r>
        <w:rPr>
          <w:rFonts w:hint="eastAsia" w:ascii="仿宋_GB2312" w:hAnsi="仿宋_GB2312" w:cs="仿宋_GB2312"/>
          <w:color w:val="auto"/>
          <w:kern w:val="0"/>
          <w:szCs w:val="32"/>
          <w:u w:val="none"/>
        </w:rPr>
        <w:t>保障性租赁住房项目</w:t>
      </w:r>
      <w:r>
        <w:rPr>
          <w:rFonts w:hint="eastAsia" w:ascii="仿宋_GB2312" w:hAnsi="仿宋_GB2312" w:cs="仿宋_GB2312"/>
          <w:color w:val="auto"/>
          <w:szCs w:val="32"/>
          <w:u w:val="none"/>
        </w:rPr>
        <w:t>用途。</w:t>
      </w:r>
    </w:p>
    <w:p>
      <w:pPr>
        <w:pStyle w:val="2"/>
        <w:keepNext w:val="0"/>
        <w:keepLines w:val="0"/>
        <w:pageBreakBefore w:val="0"/>
        <w:widowControl w:val="0"/>
        <w:kinsoku/>
        <w:wordWrap/>
        <w:overflowPunct/>
        <w:topLinePunct w:val="0"/>
        <w:autoSpaceDE/>
        <w:autoSpaceDN/>
        <w:bidi w:val="0"/>
        <w:adjustRightInd/>
        <w:snapToGrid/>
        <w:spacing w:after="0" w:line="578" w:lineRule="exact"/>
        <w:ind w:firstLine="0"/>
        <w:textAlignment w:val="auto"/>
        <w:rPr>
          <w:rFonts w:ascii="仿宋_GB2312" w:hAnsi="仿宋_GB2312" w:cs="仿宋_GB2312"/>
          <w:color w:val="auto"/>
          <w:szCs w:val="32"/>
          <w:u w:val="none"/>
        </w:rPr>
      </w:pPr>
      <w:r>
        <w:rPr>
          <w:rFonts w:hint="eastAsia" w:ascii="仿宋_GB2312" w:hAnsi="仿宋_GB2312" w:cs="仿宋_GB2312"/>
          <w:color w:val="auto"/>
          <w:szCs w:val="32"/>
          <w:u w:val="none"/>
        </w:rPr>
        <w:t>保障性租赁住房项目经批准用于发行保障性租赁住房投资信托基金（REITs)的，可</w:t>
      </w:r>
      <w:r>
        <w:rPr>
          <w:rFonts w:hint="eastAsia" w:ascii="仿宋_GB2312" w:hAnsi="仿宋_GB2312" w:cs="仿宋_GB2312"/>
          <w:color w:val="auto"/>
          <w:szCs w:val="32"/>
          <w:u w:val="none"/>
          <w:lang w:val="en-US" w:eastAsia="zh-CN"/>
        </w:rPr>
        <w:t>以</w:t>
      </w:r>
      <w:r>
        <w:rPr>
          <w:rFonts w:hint="eastAsia" w:ascii="仿宋_GB2312" w:hAnsi="仿宋_GB2312" w:cs="仿宋_GB2312"/>
          <w:color w:val="auto"/>
          <w:szCs w:val="32"/>
          <w:u w:val="none"/>
        </w:rPr>
        <w:t>通过签订土地使用权出让合同补充协议将土地使用权人变更为全资项目公司，变更后的土地用途和产权限制条件等合同内容维持不变。</w:t>
      </w:r>
    </w:p>
    <w:p>
      <w:pPr>
        <w:pStyle w:val="2"/>
        <w:spacing w:line="578" w:lineRule="exact"/>
        <w:rPr>
          <w:rFonts w:ascii="Calibri" w:hAnsi="Calibri" w:cs="Times New Roman"/>
          <w:b w:val="0"/>
          <w:bCs w:val="0"/>
          <w:color w:val="auto"/>
          <w:szCs w:val="22"/>
          <w:u w:val="none"/>
        </w:rPr>
      </w:pPr>
    </w:p>
    <w:p>
      <w:pPr>
        <w:pStyle w:val="4"/>
        <w:keepNext w:val="0"/>
        <w:keepLines w:val="0"/>
        <w:pageBreakBefore w:val="0"/>
        <w:widowControl w:val="0"/>
        <w:kinsoku/>
        <w:wordWrap/>
        <w:overflowPunct/>
        <w:topLinePunct w:val="0"/>
        <w:autoSpaceDE/>
        <w:autoSpaceDN/>
        <w:bidi w:val="0"/>
        <w:adjustRightInd/>
        <w:snapToGrid/>
        <w:spacing w:before="0" w:after="0" w:line="578" w:lineRule="exact"/>
        <w:ind w:left="0" w:leftChars="0" w:firstLine="0" w:firstLineChars="0"/>
        <w:textAlignment w:val="auto"/>
        <w:rPr>
          <w:rFonts w:ascii="黑体" w:hAnsi="黑体" w:cs="黑体"/>
          <w:b w:val="0"/>
          <w:bCs w:val="0"/>
          <w:color w:val="auto"/>
          <w:szCs w:val="32"/>
          <w:u w:val="none"/>
        </w:rPr>
      </w:pPr>
      <w:r>
        <w:rPr>
          <w:rFonts w:hint="eastAsia" w:ascii="黑体" w:hAnsi="黑体" w:cs="黑体"/>
          <w:b w:val="0"/>
          <w:bCs w:val="0"/>
          <w:color w:val="auto"/>
          <w:szCs w:val="32"/>
          <w:u w:val="none"/>
        </w:rPr>
        <w:t>第六章</w:t>
      </w:r>
      <w:r>
        <w:rPr>
          <w:rFonts w:ascii="黑体" w:hAnsi="黑体" w:cs="黑体"/>
          <w:b w:val="0"/>
          <w:bCs w:val="0"/>
          <w:color w:val="auto"/>
          <w:szCs w:val="32"/>
          <w:u w:val="none"/>
        </w:rPr>
        <w:t xml:space="preserve"> </w:t>
      </w:r>
      <w:r>
        <w:rPr>
          <w:rFonts w:hint="eastAsia" w:ascii="黑体" w:hAnsi="黑体" w:cs="黑体"/>
          <w:b w:val="0"/>
          <w:bCs w:val="0"/>
          <w:color w:val="auto"/>
          <w:szCs w:val="32"/>
          <w:u w:val="none"/>
        </w:rPr>
        <w:t>用地及项目监管</w:t>
      </w:r>
    </w:p>
    <w:p>
      <w:pPr>
        <w:pStyle w:val="2"/>
        <w:spacing w:line="578" w:lineRule="exact"/>
        <w:rPr>
          <w:rFonts w:ascii="Calibri" w:hAnsi="Calibri" w:eastAsia="仿宋_GB2312" w:cs="Times New Roman"/>
          <w:color w:val="auto"/>
          <w:u w:val="none"/>
        </w:rPr>
      </w:pPr>
    </w:p>
    <w:p>
      <w:pPr>
        <w:keepNext w:val="0"/>
        <w:keepLines w:val="0"/>
        <w:pageBreakBefore w:val="0"/>
        <w:widowControl w:val="0"/>
        <w:tabs>
          <w:tab w:val="left" w:pos="0"/>
        </w:tabs>
        <w:kinsoku/>
        <w:wordWrap/>
        <w:overflowPunct/>
        <w:topLinePunct w:val="0"/>
        <w:autoSpaceDE/>
        <w:autoSpaceDN/>
        <w:bidi w:val="0"/>
        <w:adjustRightInd/>
        <w:snapToGrid/>
        <w:spacing w:line="578" w:lineRule="exact"/>
        <w:ind w:firstLine="640"/>
        <w:textAlignment w:val="auto"/>
        <w:outlineLvl w:val="2"/>
        <w:rPr>
          <w:rFonts w:ascii="仿宋_GB2312" w:hAnsi="仿宋_GB2312" w:cs="仿宋_GB2312"/>
          <w:color w:val="auto"/>
          <w:szCs w:val="32"/>
          <w:u w:val="none"/>
        </w:rPr>
      </w:pPr>
      <w:r>
        <w:rPr>
          <w:rFonts w:hint="eastAsia" w:ascii="黑体" w:hAnsi="黑体" w:eastAsia="黑体" w:cs="黑体"/>
          <w:color w:val="auto"/>
          <w:u w:val="none"/>
        </w:rPr>
        <w:t xml:space="preserve">第三十三条【监测评估机制】  </w:t>
      </w:r>
      <w:r>
        <w:rPr>
          <w:rFonts w:hint="eastAsia" w:ascii="仿宋_GB2312" w:hAnsi="仿宋_GB2312" w:cs="仿宋_GB2312"/>
          <w:color w:val="auto"/>
          <w:szCs w:val="32"/>
          <w:u w:val="none"/>
        </w:rPr>
        <w:t>市主管部门应当建立监测评估机制，对住房相关规划、计划进行监测评估，并根据评估结果提出供地和住房建设类型调整建议，确保实现住房供应的数量和结构比例要求。市主管部门对各区政府落实和执行住房发展年度实施计划情况进行评估，评估结果作为市政府绩效考核依据。</w:t>
      </w:r>
    </w:p>
    <w:p>
      <w:pPr>
        <w:keepNext w:val="0"/>
        <w:keepLines w:val="0"/>
        <w:pageBreakBefore w:val="0"/>
        <w:widowControl w:val="0"/>
        <w:tabs>
          <w:tab w:val="left" w:pos="0"/>
        </w:tabs>
        <w:kinsoku/>
        <w:wordWrap/>
        <w:overflowPunct/>
        <w:topLinePunct w:val="0"/>
        <w:autoSpaceDE/>
        <w:autoSpaceDN/>
        <w:bidi w:val="0"/>
        <w:adjustRightInd/>
        <w:snapToGrid/>
        <w:spacing w:line="578" w:lineRule="exact"/>
        <w:ind w:firstLine="640"/>
        <w:textAlignment w:val="auto"/>
        <w:outlineLvl w:val="2"/>
        <w:rPr>
          <w:rFonts w:ascii="仿宋_GB2312" w:hAnsi="仿宋_GB2312"/>
          <w:color w:val="auto"/>
          <w:u w:val="none"/>
        </w:rPr>
      </w:pPr>
      <w:r>
        <w:rPr>
          <w:rFonts w:hint="eastAsia" w:ascii="黑体" w:hAnsi="黑体" w:eastAsia="黑体" w:cs="黑体"/>
          <w:color w:val="auto"/>
          <w:u w:val="none"/>
        </w:rPr>
        <w:t>第三十四条【</w:t>
      </w:r>
      <w:r>
        <w:rPr>
          <w:rStyle w:val="15"/>
          <w:rFonts w:ascii="黑体" w:hAnsi="黑体"/>
          <w:color w:val="auto"/>
          <w:u w:val="none"/>
        </w:rPr>
        <w:t>监管协议</w:t>
      </w:r>
      <w:r>
        <w:rPr>
          <w:rFonts w:hint="eastAsia" w:ascii="仿宋_GB2312"/>
          <w:color w:val="auto"/>
          <w:u w:val="none"/>
        </w:rPr>
        <w:t xml:space="preserve">】  </w:t>
      </w:r>
      <w:r>
        <w:rPr>
          <w:rFonts w:hint="eastAsia" w:ascii="仿宋_GB2312" w:hAnsi="仿宋_GB2312"/>
          <w:color w:val="auto"/>
          <w:u w:val="none"/>
        </w:rPr>
        <w:t>保障性住房建设实行监管协议书制度，监管协议</w:t>
      </w:r>
      <w:r>
        <w:rPr>
          <w:rFonts w:ascii="仿宋_GB2312" w:hAnsi="仿宋_GB2312"/>
          <w:color w:val="auto"/>
          <w:u w:val="none"/>
        </w:rPr>
        <w:t>书</w:t>
      </w:r>
      <w:r>
        <w:rPr>
          <w:rFonts w:hint="eastAsia" w:ascii="仿宋_GB2312" w:hAnsi="仿宋_GB2312"/>
          <w:color w:val="auto"/>
          <w:u w:val="none"/>
        </w:rPr>
        <w:t>作为土地使用权出让合同或者补充协议的附件。监管协议</w:t>
      </w:r>
      <w:r>
        <w:rPr>
          <w:rFonts w:ascii="仿宋_GB2312" w:hAnsi="仿宋_GB2312"/>
          <w:color w:val="auto"/>
          <w:u w:val="none"/>
        </w:rPr>
        <w:t>书</w:t>
      </w:r>
      <w:r>
        <w:rPr>
          <w:rFonts w:hint="eastAsia" w:ascii="仿宋_GB2312" w:hAnsi="仿宋_GB2312"/>
          <w:color w:val="auto"/>
          <w:u w:val="none"/>
        </w:rPr>
        <w:t>包括建设标准、租金</w:t>
      </w:r>
      <w:r>
        <w:rPr>
          <w:rFonts w:hint="eastAsia" w:ascii="仿宋_GB2312" w:hAnsi="仿宋_GB2312" w:cs="仿宋_GB2312"/>
          <w:bCs/>
          <w:color w:val="auto"/>
          <w:szCs w:val="32"/>
          <w:u w:val="none"/>
        </w:rPr>
        <w:t>或者</w:t>
      </w:r>
      <w:r>
        <w:rPr>
          <w:rFonts w:hint="eastAsia" w:ascii="仿宋_GB2312" w:hAnsi="仿宋_GB2312"/>
          <w:color w:val="auto"/>
          <w:u w:val="none"/>
        </w:rPr>
        <w:t>售价、收购或者接收主体、产权限制、建设工期、交付日期、监管要求等，监管协议</w:t>
      </w:r>
      <w:r>
        <w:rPr>
          <w:rFonts w:ascii="仿宋_GB2312" w:hAnsi="仿宋_GB2312"/>
          <w:color w:val="auto"/>
          <w:u w:val="none"/>
        </w:rPr>
        <w:t>书</w:t>
      </w:r>
      <w:r>
        <w:rPr>
          <w:rFonts w:hint="eastAsia" w:ascii="仿宋_GB2312" w:hAnsi="仿宋_GB2312"/>
          <w:color w:val="auto"/>
          <w:u w:val="none"/>
        </w:rPr>
        <w:t>示范文本由市主管部门制定。</w:t>
      </w:r>
    </w:p>
    <w:p>
      <w:pPr>
        <w:keepNext w:val="0"/>
        <w:keepLines w:val="0"/>
        <w:pageBreakBefore w:val="0"/>
        <w:widowControl w:val="0"/>
        <w:tabs>
          <w:tab w:val="left" w:pos="0"/>
        </w:tabs>
        <w:kinsoku/>
        <w:wordWrap/>
        <w:overflowPunct/>
        <w:topLinePunct w:val="0"/>
        <w:autoSpaceDE/>
        <w:autoSpaceDN/>
        <w:bidi w:val="0"/>
        <w:adjustRightInd/>
        <w:snapToGrid/>
        <w:spacing w:line="578" w:lineRule="exact"/>
        <w:ind w:firstLine="640"/>
        <w:textAlignment w:val="auto"/>
        <w:outlineLvl w:val="2"/>
        <w:rPr>
          <w:rFonts w:ascii="仿宋_GB2312" w:hAnsi="仿宋_GB2312" w:cs="仿宋_GB2312"/>
          <w:color w:val="auto"/>
          <w:szCs w:val="32"/>
          <w:u w:val="none"/>
        </w:rPr>
      </w:pPr>
      <w:r>
        <w:rPr>
          <w:rFonts w:hint="eastAsia" w:ascii="黑体" w:hAnsi="黑体" w:eastAsia="黑体" w:cs="黑体"/>
          <w:color w:val="auto"/>
          <w:u w:val="none"/>
        </w:rPr>
        <w:t xml:space="preserve">第三十五条【用地批后监管】  </w:t>
      </w:r>
      <w:r>
        <w:rPr>
          <w:rFonts w:hint="eastAsia" w:ascii="仿宋_GB2312" w:hAnsi="仿宋_GB2312" w:cs="仿宋_GB2312"/>
          <w:color w:val="auto"/>
          <w:szCs w:val="32"/>
          <w:highlight w:val="none"/>
          <w:u w:val="none"/>
        </w:rPr>
        <w:t>区政府应当加强土地供应后的监管</w:t>
      </w:r>
      <w:r>
        <w:rPr>
          <w:rFonts w:hint="eastAsia" w:ascii="仿宋_GB2312" w:hAnsi="仿宋_GB2312" w:cs="仿宋_GB2312"/>
          <w:color w:val="auto"/>
          <w:szCs w:val="32"/>
          <w:u w:val="none"/>
        </w:rPr>
        <w:t>，按照土地使用权出让合同</w:t>
      </w:r>
      <w:r>
        <w:rPr>
          <w:rFonts w:hint="eastAsia" w:ascii="仿宋_GB2312" w:hAnsi="仿宋_GB2312" w:cs="仿宋_GB2312"/>
          <w:bCs/>
          <w:color w:val="auto"/>
          <w:szCs w:val="32"/>
          <w:u w:val="none"/>
        </w:rPr>
        <w:t>或者</w:t>
      </w:r>
      <w:r>
        <w:rPr>
          <w:rFonts w:hint="eastAsia" w:ascii="仿宋_GB2312" w:hAnsi="仿宋_GB2312" w:cs="仿宋_GB2312"/>
          <w:color w:val="auto"/>
          <w:szCs w:val="32"/>
          <w:u w:val="none"/>
        </w:rPr>
        <w:t>土地使用权出让合同补充协议的约定做好开发利用环节的监管工作。</w:t>
      </w:r>
    </w:p>
    <w:p>
      <w:pPr>
        <w:keepNext w:val="0"/>
        <w:keepLines w:val="0"/>
        <w:pageBreakBefore w:val="0"/>
        <w:widowControl w:val="0"/>
        <w:tabs>
          <w:tab w:val="left" w:pos="0"/>
        </w:tabs>
        <w:kinsoku/>
        <w:wordWrap/>
        <w:overflowPunct/>
        <w:topLinePunct w:val="0"/>
        <w:autoSpaceDE/>
        <w:autoSpaceDN/>
        <w:bidi w:val="0"/>
        <w:adjustRightInd/>
        <w:snapToGrid/>
        <w:spacing w:line="578" w:lineRule="exact"/>
        <w:ind w:firstLine="640"/>
        <w:textAlignment w:val="auto"/>
        <w:outlineLvl w:val="2"/>
        <w:rPr>
          <w:rFonts w:hint="eastAsia" w:ascii="仿宋_GB2312" w:hAnsi="仿宋_GB2312"/>
          <w:color w:val="auto"/>
          <w:u w:val="none"/>
        </w:rPr>
      </w:pPr>
      <w:r>
        <w:rPr>
          <w:rFonts w:hint="eastAsia" w:ascii="黑体" w:hAnsi="黑体" w:eastAsia="黑体" w:cs="黑体"/>
          <w:color w:val="auto"/>
          <w:u w:val="none"/>
        </w:rPr>
        <w:t>第三十六条</w:t>
      </w:r>
      <w:r>
        <w:rPr>
          <w:rFonts w:hint="eastAsia" w:ascii="仿宋_GB2312"/>
          <w:color w:val="auto"/>
          <w:u w:val="none"/>
        </w:rPr>
        <w:t>【</w:t>
      </w:r>
      <w:r>
        <w:rPr>
          <w:rStyle w:val="15"/>
          <w:rFonts w:hint="eastAsia" w:ascii="黑体" w:hAnsi="黑体"/>
          <w:color w:val="auto"/>
          <w:u w:val="none"/>
        </w:rPr>
        <w:t>项目核查</w:t>
      </w:r>
      <w:r>
        <w:rPr>
          <w:rFonts w:hint="eastAsia" w:ascii="仿宋_GB2312"/>
          <w:color w:val="auto"/>
          <w:u w:val="none"/>
        </w:rPr>
        <w:t xml:space="preserve">】  </w:t>
      </w:r>
      <w:r>
        <w:rPr>
          <w:rFonts w:hint="eastAsia" w:ascii="仿宋_GB2312" w:hAnsi="仿宋_GB2312"/>
          <w:color w:val="auto"/>
          <w:highlight w:val="none"/>
          <w:u w:val="none"/>
        </w:rPr>
        <w:t>保障性住房</w:t>
      </w:r>
      <w:r>
        <w:rPr>
          <w:rFonts w:hint="eastAsia" w:ascii="仿宋_GB2312" w:hAnsi="仿宋_GB2312"/>
          <w:color w:val="auto"/>
          <w:u w:val="none"/>
        </w:rPr>
        <w:t>项目竣工验收前，开发建设单位应当向主管部门申请核查。主管部门根据监管协议</w:t>
      </w:r>
      <w:r>
        <w:rPr>
          <w:rFonts w:ascii="仿宋_GB2312" w:hAnsi="仿宋_GB2312"/>
          <w:color w:val="auto"/>
          <w:u w:val="none"/>
        </w:rPr>
        <w:t>书</w:t>
      </w:r>
      <w:r>
        <w:rPr>
          <w:rFonts w:hint="eastAsia" w:ascii="仿宋_GB2312" w:hAnsi="仿宋_GB2312"/>
          <w:color w:val="auto"/>
          <w:u w:val="none"/>
        </w:rPr>
        <w:t>对项目进行符合性核查，并出具核查结果</w:t>
      </w:r>
      <w:r>
        <w:rPr>
          <w:rFonts w:hint="eastAsia" w:ascii="仿宋_GB2312" w:hAnsi="仿宋_GB2312" w:cs="仿宋_GB2312"/>
          <w:color w:val="auto"/>
          <w:szCs w:val="32"/>
          <w:u w:val="none"/>
        </w:rPr>
        <w:t>；不符合要求的，应当责令建设筹集单位限期改正</w:t>
      </w:r>
      <w:r>
        <w:rPr>
          <w:rFonts w:hint="eastAsia" w:ascii="仿宋_GB2312" w:hAnsi="仿宋_GB2312"/>
          <w:color w:val="auto"/>
          <w:u w:val="none"/>
        </w:rPr>
        <w:t>。</w:t>
      </w:r>
    </w:p>
    <w:p>
      <w:pPr>
        <w:pStyle w:val="2"/>
        <w:keepNext w:val="0"/>
        <w:keepLines w:val="0"/>
        <w:pageBreakBefore w:val="0"/>
        <w:widowControl w:val="0"/>
        <w:kinsoku/>
        <w:wordWrap/>
        <w:overflowPunct/>
        <w:topLinePunct w:val="0"/>
        <w:autoSpaceDE/>
        <w:autoSpaceDN/>
        <w:bidi w:val="0"/>
        <w:adjustRightInd/>
        <w:snapToGrid/>
        <w:spacing w:after="0" w:line="578" w:lineRule="exact"/>
        <w:textAlignment w:val="auto"/>
        <w:rPr>
          <w:color w:val="auto"/>
          <w:u w:val="none"/>
        </w:rPr>
      </w:pPr>
    </w:p>
    <w:p>
      <w:pPr>
        <w:pStyle w:val="4"/>
        <w:keepNext w:val="0"/>
        <w:keepLines w:val="0"/>
        <w:pageBreakBefore w:val="0"/>
        <w:widowControl w:val="0"/>
        <w:kinsoku/>
        <w:wordWrap/>
        <w:overflowPunct/>
        <w:topLinePunct w:val="0"/>
        <w:autoSpaceDE/>
        <w:autoSpaceDN/>
        <w:bidi w:val="0"/>
        <w:adjustRightInd/>
        <w:snapToGrid/>
        <w:spacing w:before="0" w:after="0" w:line="578" w:lineRule="exact"/>
        <w:ind w:firstLine="0" w:firstLineChars="0"/>
        <w:textAlignment w:val="auto"/>
        <w:rPr>
          <w:rFonts w:hint="eastAsia" w:eastAsia="黑体"/>
          <w:b w:val="0"/>
          <w:bCs w:val="0"/>
          <w:color w:val="auto"/>
          <w:u w:val="none"/>
          <w:lang w:val="en-US" w:eastAsia="zh-CN"/>
        </w:rPr>
      </w:pPr>
      <w:r>
        <w:rPr>
          <w:rFonts w:hint="eastAsia" w:ascii="黑体" w:hAnsi="黑体" w:cs="黑体"/>
          <w:b w:val="0"/>
          <w:bCs w:val="0"/>
          <w:color w:val="auto"/>
          <w:szCs w:val="32"/>
          <w:u w:val="none"/>
        </w:rPr>
        <w:t>第七章</w:t>
      </w:r>
      <w:r>
        <w:rPr>
          <w:rFonts w:ascii="黑体" w:hAnsi="黑体" w:cs="黑体"/>
          <w:b w:val="0"/>
          <w:bCs w:val="0"/>
          <w:color w:val="auto"/>
          <w:szCs w:val="32"/>
          <w:u w:val="none"/>
        </w:rPr>
        <w:t xml:space="preserve"> </w:t>
      </w:r>
      <w:r>
        <w:rPr>
          <w:rFonts w:hint="eastAsia" w:ascii="黑体" w:hAnsi="黑体" w:cs="黑体"/>
          <w:b w:val="0"/>
          <w:bCs w:val="0"/>
          <w:color w:val="auto"/>
          <w:szCs w:val="32"/>
          <w:u w:val="none"/>
          <w:lang w:val="en-US" w:eastAsia="zh-CN"/>
        </w:rPr>
        <w:t>法律责任</w:t>
      </w:r>
    </w:p>
    <w:p>
      <w:pPr>
        <w:pStyle w:val="2"/>
        <w:spacing w:line="578" w:lineRule="exact"/>
        <w:rPr>
          <w:rFonts w:ascii="Calibri" w:hAnsi="Calibri" w:eastAsia="仿宋_GB2312" w:cs="Times New Roman"/>
          <w:color w:val="auto"/>
          <w:u w:val="none"/>
        </w:rPr>
      </w:pPr>
    </w:p>
    <w:p>
      <w:pPr>
        <w:keepNext w:val="0"/>
        <w:keepLines w:val="0"/>
        <w:pageBreakBefore w:val="0"/>
        <w:widowControl w:val="0"/>
        <w:tabs>
          <w:tab w:val="left" w:pos="0"/>
        </w:tabs>
        <w:kinsoku/>
        <w:wordWrap/>
        <w:overflowPunct/>
        <w:topLinePunct w:val="0"/>
        <w:autoSpaceDE/>
        <w:autoSpaceDN/>
        <w:bidi w:val="0"/>
        <w:adjustRightInd/>
        <w:snapToGrid/>
        <w:spacing w:line="578" w:lineRule="exact"/>
        <w:ind w:firstLine="0"/>
        <w:textAlignment w:val="auto"/>
        <w:outlineLvl w:val="2"/>
        <w:rPr>
          <w:rFonts w:ascii="仿宋_GB2312" w:hAnsi="仿宋_GB2312"/>
          <w:color w:val="auto"/>
          <w:u w:val="none"/>
        </w:rPr>
      </w:pPr>
      <w:r>
        <w:rPr>
          <w:rFonts w:hint="eastAsia" w:ascii="黑体" w:hAnsi="黑体" w:eastAsia="黑体" w:cs="黑体"/>
          <w:color w:val="auto"/>
          <w:u w:val="none"/>
        </w:rPr>
        <w:t>第三十七条</w:t>
      </w:r>
      <w:r>
        <w:rPr>
          <w:rFonts w:hint="eastAsia" w:ascii="仿宋_GB2312" w:hAnsi="仿宋_GB2312"/>
          <w:color w:val="auto"/>
          <w:u w:val="none"/>
        </w:rPr>
        <w:t>【</w:t>
      </w:r>
      <w:r>
        <w:rPr>
          <w:rFonts w:hint="eastAsia" w:ascii="黑体" w:hAnsi="黑体" w:eastAsia="黑体" w:cs="黑体"/>
          <w:color w:val="auto"/>
          <w:u w:val="none"/>
        </w:rPr>
        <w:t>开发建设单位禁止行为</w:t>
      </w:r>
      <w:r>
        <w:rPr>
          <w:rFonts w:hint="eastAsia" w:ascii="仿宋_GB2312" w:hAnsi="仿宋_GB2312"/>
          <w:color w:val="auto"/>
          <w:u w:val="none"/>
        </w:rPr>
        <w:t>】  开发建设单位建设保障性住房的，不得有下列情形：</w:t>
      </w:r>
    </w:p>
    <w:p>
      <w:pPr>
        <w:keepNext w:val="0"/>
        <w:keepLines w:val="0"/>
        <w:pageBreakBefore w:val="0"/>
        <w:widowControl w:val="0"/>
        <w:kinsoku/>
        <w:wordWrap/>
        <w:overflowPunct/>
        <w:topLinePunct w:val="0"/>
        <w:autoSpaceDE/>
        <w:autoSpaceDN/>
        <w:bidi w:val="0"/>
        <w:adjustRightInd/>
        <w:snapToGrid/>
        <w:spacing w:line="578" w:lineRule="exact"/>
        <w:ind w:firstLine="0"/>
        <w:textAlignment w:val="auto"/>
        <w:rPr>
          <w:rFonts w:ascii="仿宋_GB2312" w:hAnsi="仿宋_GB2312"/>
          <w:color w:val="auto"/>
          <w:u w:val="none"/>
        </w:rPr>
      </w:pPr>
      <w:r>
        <w:rPr>
          <w:rFonts w:hint="eastAsia" w:ascii="仿宋_GB2312" w:hAnsi="仿宋_GB2312"/>
          <w:color w:val="auto"/>
          <w:u w:val="none"/>
        </w:rPr>
        <w:t>（一）总建筑面积、户型面积和总套数不符合</w:t>
      </w:r>
      <w:r>
        <w:rPr>
          <w:rFonts w:ascii="仿宋_GB2312" w:hAnsi="仿宋_GB2312"/>
          <w:color w:val="auto"/>
          <w:u w:val="none"/>
        </w:rPr>
        <w:t>监管协议</w:t>
      </w:r>
      <w:r>
        <w:rPr>
          <w:rFonts w:hint="eastAsia" w:ascii="仿宋_GB2312" w:hAnsi="仿宋_GB2312"/>
          <w:color w:val="auto"/>
          <w:u w:val="none"/>
        </w:rPr>
        <w:t>书相关要求；</w:t>
      </w:r>
    </w:p>
    <w:p>
      <w:pPr>
        <w:keepNext w:val="0"/>
        <w:keepLines w:val="0"/>
        <w:pageBreakBefore w:val="0"/>
        <w:widowControl w:val="0"/>
        <w:kinsoku/>
        <w:wordWrap/>
        <w:overflowPunct/>
        <w:topLinePunct w:val="0"/>
        <w:autoSpaceDE/>
        <w:autoSpaceDN/>
        <w:bidi w:val="0"/>
        <w:adjustRightInd/>
        <w:snapToGrid/>
        <w:spacing w:line="578" w:lineRule="exact"/>
        <w:ind w:firstLine="0"/>
        <w:textAlignment w:val="auto"/>
        <w:rPr>
          <w:rFonts w:ascii="仿宋_GB2312" w:hAnsi="仿宋_GB2312"/>
          <w:color w:val="auto"/>
          <w:u w:val="none"/>
        </w:rPr>
      </w:pPr>
      <w:r>
        <w:rPr>
          <w:rFonts w:hint="eastAsia" w:ascii="仿宋_GB2312" w:hAnsi="仿宋_GB2312"/>
          <w:color w:val="auto"/>
          <w:u w:val="none"/>
        </w:rPr>
        <w:t>（二）户内和公共区域装修不符合</w:t>
      </w:r>
      <w:r>
        <w:rPr>
          <w:rFonts w:ascii="仿宋_GB2312" w:hAnsi="仿宋_GB2312"/>
          <w:color w:val="auto"/>
          <w:u w:val="none"/>
        </w:rPr>
        <w:t>监管协议</w:t>
      </w:r>
      <w:r>
        <w:rPr>
          <w:rFonts w:hint="eastAsia" w:ascii="仿宋_GB2312" w:hAnsi="仿宋_GB2312"/>
          <w:color w:val="auto"/>
          <w:u w:val="none"/>
        </w:rPr>
        <w:t>书相关要求；</w:t>
      </w:r>
    </w:p>
    <w:p>
      <w:pPr>
        <w:keepNext w:val="0"/>
        <w:keepLines w:val="0"/>
        <w:pageBreakBefore w:val="0"/>
        <w:widowControl w:val="0"/>
        <w:kinsoku/>
        <w:wordWrap/>
        <w:overflowPunct/>
        <w:topLinePunct w:val="0"/>
        <w:autoSpaceDE/>
        <w:autoSpaceDN/>
        <w:bidi w:val="0"/>
        <w:adjustRightInd/>
        <w:snapToGrid/>
        <w:spacing w:line="578" w:lineRule="exact"/>
        <w:ind w:firstLine="0"/>
        <w:textAlignment w:val="auto"/>
        <w:rPr>
          <w:rFonts w:ascii="仿宋_GB2312" w:hAnsi="仿宋_GB2312"/>
          <w:color w:val="auto"/>
          <w:u w:val="none"/>
        </w:rPr>
      </w:pPr>
      <w:r>
        <w:rPr>
          <w:rFonts w:hint="eastAsia" w:ascii="仿宋_GB2312" w:hAnsi="仿宋_GB2312"/>
          <w:color w:val="auto"/>
          <w:u w:val="none"/>
        </w:rPr>
        <w:t>（三）未按照</w:t>
      </w:r>
      <w:r>
        <w:rPr>
          <w:rFonts w:ascii="仿宋_GB2312" w:hAnsi="仿宋_GB2312"/>
          <w:color w:val="auto"/>
          <w:u w:val="none"/>
        </w:rPr>
        <w:t>监管协议</w:t>
      </w:r>
      <w:r>
        <w:rPr>
          <w:rFonts w:hint="eastAsia" w:ascii="仿宋_GB2312" w:hAnsi="仿宋_GB2312"/>
          <w:color w:val="auto"/>
          <w:u w:val="none"/>
        </w:rPr>
        <w:t>书规定移交保障性住房</w:t>
      </w:r>
      <w:r>
        <w:rPr>
          <w:rFonts w:ascii="仿宋_GB2312" w:hAnsi="仿宋_GB2312"/>
          <w:color w:val="auto"/>
          <w:u w:val="none"/>
        </w:rPr>
        <w:t>和配套设施；</w:t>
      </w:r>
    </w:p>
    <w:p>
      <w:pPr>
        <w:keepNext w:val="0"/>
        <w:keepLines w:val="0"/>
        <w:pageBreakBefore w:val="0"/>
        <w:widowControl w:val="0"/>
        <w:kinsoku/>
        <w:wordWrap/>
        <w:overflowPunct/>
        <w:topLinePunct w:val="0"/>
        <w:autoSpaceDE/>
        <w:autoSpaceDN/>
        <w:bidi w:val="0"/>
        <w:adjustRightInd/>
        <w:snapToGrid/>
        <w:spacing w:line="578" w:lineRule="exact"/>
        <w:ind w:firstLine="0"/>
        <w:textAlignment w:val="auto"/>
        <w:rPr>
          <w:rFonts w:ascii="仿宋_GB2312" w:hAnsi="仿宋_GB2312"/>
          <w:color w:val="auto"/>
          <w:u w:val="none"/>
        </w:rPr>
      </w:pPr>
      <w:r>
        <w:rPr>
          <w:rFonts w:ascii="仿宋_GB2312" w:hAnsi="仿宋_GB2312"/>
          <w:color w:val="auto"/>
          <w:u w:val="none"/>
        </w:rPr>
        <w:t>（四）</w:t>
      </w:r>
      <w:r>
        <w:rPr>
          <w:rFonts w:hint="eastAsia" w:ascii="仿宋_GB2312" w:hAnsi="仿宋_GB2312"/>
          <w:color w:val="auto"/>
          <w:u w:val="none"/>
        </w:rPr>
        <w:t>未按照</w:t>
      </w:r>
      <w:r>
        <w:rPr>
          <w:rFonts w:ascii="仿宋_GB2312" w:hAnsi="仿宋_GB2312"/>
          <w:color w:val="auto"/>
          <w:u w:val="none"/>
        </w:rPr>
        <w:t>监管协议</w:t>
      </w:r>
      <w:r>
        <w:rPr>
          <w:rFonts w:hint="eastAsia" w:ascii="仿宋_GB2312" w:hAnsi="仿宋_GB2312"/>
          <w:color w:val="auto"/>
          <w:u w:val="none"/>
        </w:rPr>
        <w:t>书规定办理保障性住房不动产权转移登记；</w:t>
      </w:r>
    </w:p>
    <w:p>
      <w:pPr>
        <w:pStyle w:val="2"/>
        <w:keepNext w:val="0"/>
        <w:keepLines w:val="0"/>
        <w:pageBreakBefore w:val="0"/>
        <w:widowControl w:val="0"/>
        <w:kinsoku/>
        <w:wordWrap/>
        <w:overflowPunct/>
        <w:topLinePunct w:val="0"/>
        <w:autoSpaceDE/>
        <w:autoSpaceDN/>
        <w:bidi w:val="0"/>
        <w:adjustRightInd/>
        <w:snapToGrid/>
        <w:spacing w:after="0" w:line="578" w:lineRule="exact"/>
        <w:ind w:firstLine="0"/>
        <w:textAlignment w:val="auto"/>
        <w:rPr>
          <w:color w:val="auto"/>
          <w:u w:val="none"/>
        </w:rPr>
      </w:pPr>
      <w:r>
        <w:rPr>
          <w:rFonts w:hint="eastAsia" w:ascii="仿宋_GB2312" w:hAnsi="仿宋_GB2312" w:cs="仿宋_GB2312"/>
          <w:color w:val="auto"/>
          <w:szCs w:val="32"/>
          <w:u w:val="none"/>
        </w:rPr>
        <w:t>（五）其他违法情形。</w:t>
      </w:r>
    </w:p>
    <w:p>
      <w:pPr>
        <w:keepNext w:val="0"/>
        <w:keepLines w:val="0"/>
        <w:pageBreakBefore w:val="0"/>
        <w:widowControl w:val="0"/>
        <w:kinsoku/>
        <w:wordWrap/>
        <w:overflowPunct/>
        <w:topLinePunct w:val="0"/>
        <w:autoSpaceDE/>
        <w:autoSpaceDN/>
        <w:bidi w:val="0"/>
        <w:adjustRightInd/>
        <w:snapToGrid/>
        <w:spacing w:line="578" w:lineRule="exact"/>
        <w:ind w:firstLine="0"/>
        <w:textAlignment w:val="auto"/>
        <w:rPr>
          <w:rFonts w:ascii="仿宋_GB2312" w:hAnsi="仿宋_GB2312" w:cs="仿宋_GB2312"/>
          <w:color w:val="auto"/>
          <w:szCs w:val="32"/>
          <w:u w:val="none"/>
        </w:rPr>
      </w:pPr>
      <w:r>
        <w:rPr>
          <w:rFonts w:hint="eastAsia" w:ascii="仿宋_GB2312" w:hAnsi="仿宋_GB2312" w:cs="仿宋_GB2312"/>
          <w:color w:val="auto"/>
          <w:szCs w:val="32"/>
          <w:u w:val="none"/>
        </w:rPr>
        <w:t>开发建设单位应当严格按照《深圳市土地使用权出让合同》约定工期组织建设并承担相应的履约责任。</w:t>
      </w:r>
    </w:p>
    <w:p>
      <w:pPr>
        <w:keepNext w:val="0"/>
        <w:keepLines w:val="0"/>
        <w:pageBreakBefore w:val="0"/>
        <w:widowControl w:val="0"/>
        <w:tabs>
          <w:tab w:val="left" w:pos="0"/>
        </w:tabs>
        <w:kinsoku/>
        <w:wordWrap/>
        <w:overflowPunct/>
        <w:topLinePunct w:val="0"/>
        <w:autoSpaceDE/>
        <w:autoSpaceDN/>
        <w:bidi w:val="0"/>
        <w:adjustRightInd/>
        <w:snapToGrid/>
        <w:spacing w:line="578" w:lineRule="exact"/>
        <w:ind w:firstLine="0"/>
        <w:textAlignment w:val="auto"/>
        <w:outlineLvl w:val="2"/>
        <w:rPr>
          <w:rFonts w:hint="eastAsia" w:ascii="仿宋_GB2312" w:hAnsi="仿宋_GB2312" w:cs="仿宋_GB2312"/>
          <w:color w:val="auto"/>
          <w:szCs w:val="32"/>
          <w:u w:val="none"/>
        </w:rPr>
      </w:pPr>
      <w:r>
        <w:rPr>
          <w:rFonts w:hint="eastAsia" w:ascii="黑体" w:hAnsi="黑体" w:eastAsia="黑体" w:cs="黑体"/>
          <w:color w:val="auto"/>
          <w:u w:val="none"/>
        </w:rPr>
        <w:t>第三十八条</w:t>
      </w:r>
      <w:r>
        <w:rPr>
          <w:rFonts w:hint="eastAsia" w:ascii="黑体" w:hAnsi="黑体" w:eastAsia="黑体" w:cs="黑体"/>
          <w:bCs w:val="0"/>
          <w:color w:val="auto"/>
          <w:szCs w:val="22"/>
          <w:u w:val="none"/>
        </w:rPr>
        <w:t xml:space="preserve">【开发建设单位法律责任】  </w:t>
      </w:r>
      <w:r>
        <w:rPr>
          <w:rFonts w:hint="eastAsia" w:ascii="仿宋_GB2312" w:hAnsi="仿宋_GB2312" w:cs="仿宋_GB2312"/>
          <w:color w:val="auto"/>
          <w:szCs w:val="32"/>
          <w:u w:val="none"/>
        </w:rPr>
        <w:t>开发建设单位有本办法第三十七条第一款第一项规定情形的，由主管部门责令限期改正；逾期未改正的，按照以下规定查处：</w:t>
      </w:r>
    </w:p>
    <w:p>
      <w:pPr>
        <w:keepNext w:val="0"/>
        <w:keepLines w:val="0"/>
        <w:pageBreakBefore w:val="0"/>
        <w:widowControl/>
        <w:kinsoku/>
        <w:wordWrap/>
        <w:overflowPunct/>
        <w:topLinePunct w:val="0"/>
        <w:autoSpaceDE/>
        <w:autoSpaceDN/>
        <w:bidi w:val="0"/>
        <w:adjustRightInd/>
        <w:snapToGrid/>
        <w:spacing w:line="578" w:lineRule="exact"/>
        <w:ind w:firstLine="0"/>
        <w:textAlignment w:val="auto"/>
      </w:pPr>
      <w:r>
        <w:rPr>
          <w:rFonts w:hint="eastAsia"/>
        </w:rPr>
        <w:t>（一）总建筑面积不足部分，每平方米处五万元罚款；</w:t>
      </w:r>
    </w:p>
    <w:p>
      <w:pPr>
        <w:keepNext w:val="0"/>
        <w:keepLines w:val="0"/>
        <w:pageBreakBefore w:val="0"/>
        <w:widowControl/>
        <w:kinsoku/>
        <w:wordWrap/>
        <w:overflowPunct/>
        <w:topLinePunct w:val="0"/>
        <w:autoSpaceDE/>
        <w:autoSpaceDN/>
        <w:bidi w:val="0"/>
        <w:adjustRightInd/>
        <w:snapToGrid/>
        <w:spacing w:line="578" w:lineRule="exact"/>
        <w:ind w:firstLine="0"/>
        <w:textAlignment w:val="auto"/>
      </w:pPr>
      <w:r>
        <w:rPr>
          <w:rFonts w:hint="eastAsia"/>
        </w:rPr>
        <w:t>（二）户型面积不符合要求的，每套处一万元罚款；</w:t>
      </w:r>
    </w:p>
    <w:p>
      <w:pPr>
        <w:keepNext w:val="0"/>
        <w:keepLines w:val="0"/>
        <w:pageBreakBefore w:val="0"/>
        <w:widowControl w:val="0"/>
        <w:kinsoku/>
        <w:wordWrap/>
        <w:overflowPunct/>
        <w:topLinePunct w:val="0"/>
        <w:autoSpaceDE/>
        <w:autoSpaceDN/>
        <w:bidi w:val="0"/>
        <w:adjustRightInd/>
        <w:snapToGrid/>
        <w:spacing w:line="578" w:lineRule="exact"/>
        <w:ind w:firstLine="0"/>
        <w:textAlignment w:val="auto"/>
      </w:pPr>
      <w:r>
        <w:rPr>
          <w:rFonts w:hint="eastAsia"/>
        </w:rPr>
        <w:t>（三）总套数不足部分，每套处十万元罚款。</w:t>
      </w:r>
    </w:p>
    <w:p>
      <w:pPr>
        <w:keepNext w:val="0"/>
        <w:keepLines w:val="0"/>
        <w:pageBreakBefore w:val="0"/>
        <w:widowControl w:val="0"/>
        <w:numPr>
          <w:ilvl w:val="255"/>
          <w:numId w:val="0"/>
        </w:numPr>
        <w:kinsoku/>
        <w:wordWrap/>
        <w:overflowPunct/>
        <w:topLinePunct w:val="0"/>
        <w:autoSpaceDE/>
        <w:autoSpaceDN/>
        <w:bidi w:val="0"/>
        <w:adjustRightInd/>
        <w:snapToGrid/>
        <w:spacing w:line="578" w:lineRule="exact"/>
        <w:ind w:firstLine="640" w:firstLineChars="200"/>
        <w:textAlignment w:val="auto"/>
      </w:pPr>
      <w:r>
        <w:rPr>
          <w:rFonts w:hint="eastAsia"/>
        </w:rPr>
        <w:t>开发建设单位有本办法第</w:t>
      </w:r>
      <w:bookmarkStart w:id="7" w:name="_Hlk97410371"/>
      <w:r>
        <w:rPr>
          <w:rFonts w:hint="eastAsia"/>
        </w:rPr>
        <w:t>三十七</w:t>
      </w:r>
      <w:bookmarkEnd w:id="7"/>
      <w:r>
        <w:rPr>
          <w:rFonts w:hint="eastAsia"/>
        </w:rPr>
        <w:t>条第一款第二项规定情形的，由主管部门责令限期改正；逾期未改正的，按照以下规定查处：</w:t>
      </w:r>
    </w:p>
    <w:p>
      <w:pPr>
        <w:keepNext w:val="0"/>
        <w:keepLines w:val="0"/>
        <w:pageBreakBefore w:val="0"/>
        <w:widowControl w:val="0"/>
        <w:numPr>
          <w:ilvl w:val="255"/>
          <w:numId w:val="0"/>
        </w:numPr>
        <w:kinsoku/>
        <w:wordWrap/>
        <w:overflowPunct/>
        <w:topLinePunct w:val="0"/>
        <w:autoSpaceDE/>
        <w:autoSpaceDN/>
        <w:bidi w:val="0"/>
        <w:adjustRightInd/>
        <w:snapToGrid/>
        <w:spacing w:line="578" w:lineRule="exact"/>
        <w:ind w:firstLine="640" w:firstLineChars="200"/>
        <w:textAlignment w:val="auto"/>
        <w:rPr>
          <w:rFonts w:hint="eastAsia"/>
        </w:rPr>
      </w:pPr>
      <w:r>
        <w:rPr>
          <w:rFonts w:hint="default"/>
        </w:rPr>
        <w:t>（一）户内装修不符合要求的，每套处五万元罚款；</w:t>
      </w:r>
    </w:p>
    <w:p>
      <w:pPr>
        <w:keepNext w:val="0"/>
        <w:keepLines w:val="0"/>
        <w:pageBreakBefore w:val="0"/>
        <w:widowControl w:val="0"/>
        <w:numPr>
          <w:ilvl w:val="255"/>
          <w:numId w:val="0"/>
        </w:numPr>
        <w:kinsoku/>
        <w:wordWrap/>
        <w:overflowPunct/>
        <w:topLinePunct w:val="0"/>
        <w:autoSpaceDE/>
        <w:autoSpaceDN/>
        <w:bidi w:val="0"/>
        <w:adjustRightInd/>
        <w:snapToGrid/>
        <w:spacing w:line="578" w:lineRule="exact"/>
        <w:ind w:firstLine="640" w:firstLineChars="200"/>
        <w:textAlignment w:val="auto"/>
      </w:pPr>
      <w:r>
        <w:rPr>
          <w:rFonts w:hint="default"/>
        </w:rPr>
        <w:t>（二）公共区域装修不符合要求的，按照建筑面积计，每平方米处二千元罚款。</w:t>
      </w:r>
    </w:p>
    <w:p>
      <w:pPr>
        <w:keepNext w:val="0"/>
        <w:keepLines w:val="0"/>
        <w:pageBreakBefore w:val="0"/>
        <w:widowControl/>
        <w:kinsoku/>
        <w:wordWrap/>
        <w:overflowPunct/>
        <w:topLinePunct w:val="0"/>
        <w:autoSpaceDE/>
        <w:autoSpaceDN/>
        <w:bidi w:val="0"/>
        <w:adjustRightInd/>
        <w:snapToGrid/>
        <w:spacing w:line="578" w:lineRule="exact"/>
        <w:ind w:firstLine="0"/>
        <w:textAlignment w:val="auto"/>
      </w:pPr>
      <w:r>
        <w:rPr>
          <w:rStyle w:val="14"/>
          <w:rFonts w:hint="eastAsia" w:eastAsia="仿宋_GB2312"/>
          <w:color w:val="auto"/>
          <w:u w:val="none"/>
        </w:rPr>
        <w:t>开发建设单位</w:t>
      </w:r>
      <w:r>
        <w:rPr>
          <w:rFonts w:hint="eastAsia"/>
        </w:rPr>
        <w:t>有本办法第三十七条第一款第三项规定</w:t>
      </w:r>
      <w:r>
        <w:t>情形</w:t>
      </w:r>
      <w:r>
        <w:rPr>
          <w:rFonts w:hint="eastAsia"/>
        </w:rPr>
        <w:t>的，</w:t>
      </w:r>
      <w:r>
        <w:t>由主管部门责令限期改正，逾期未</w:t>
      </w:r>
      <w:r>
        <w:rPr>
          <w:rFonts w:hint="eastAsia"/>
        </w:rPr>
        <w:t>改正的</w:t>
      </w:r>
      <w:r>
        <w:t>，</w:t>
      </w:r>
      <w:r>
        <w:rPr>
          <w:rFonts w:hint="eastAsia"/>
        </w:rPr>
        <w:t>每套每日处一百元罚款。</w:t>
      </w:r>
    </w:p>
    <w:p>
      <w:pPr>
        <w:keepNext w:val="0"/>
        <w:keepLines w:val="0"/>
        <w:pageBreakBefore w:val="0"/>
        <w:widowControl/>
        <w:kinsoku/>
        <w:wordWrap/>
        <w:overflowPunct/>
        <w:topLinePunct w:val="0"/>
        <w:autoSpaceDE/>
        <w:autoSpaceDN/>
        <w:bidi w:val="0"/>
        <w:adjustRightInd/>
        <w:snapToGrid/>
        <w:spacing w:line="578" w:lineRule="exact"/>
        <w:ind w:firstLine="0"/>
        <w:textAlignment w:val="auto"/>
      </w:pPr>
      <w:r>
        <w:t>开发建设单位</w:t>
      </w:r>
      <w:r>
        <w:rPr>
          <w:rFonts w:hint="eastAsia"/>
        </w:rPr>
        <w:t>有本办法第三十七条第一款第四项规定</w:t>
      </w:r>
      <w:r>
        <w:t>情形</w:t>
      </w:r>
      <w:r>
        <w:rPr>
          <w:rFonts w:hint="eastAsia"/>
        </w:rPr>
        <w:t>的，</w:t>
      </w:r>
      <w:r>
        <w:t>由主管部门责令限期改正，逾期未</w:t>
      </w:r>
      <w:r>
        <w:rPr>
          <w:rFonts w:hint="eastAsia"/>
        </w:rPr>
        <w:t>改正的</w:t>
      </w:r>
      <w:r>
        <w:t>，</w:t>
      </w:r>
      <w:r>
        <w:rPr>
          <w:rFonts w:hint="eastAsia"/>
        </w:rPr>
        <w:t>每套每日处五十元罚款。</w:t>
      </w:r>
    </w:p>
    <w:p>
      <w:pPr>
        <w:keepNext w:val="0"/>
        <w:keepLines w:val="0"/>
        <w:pageBreakBefore w:val="0"/>
        <w:widowControl w:val="0"/>
        <w:tabs>
          <w:tab w:val="left" w:pos="0"/>
        </w:tabs>
        <w:kinsoku/>
        <w:wordWrap/>
        <w:overflowPunct/>
        <w:topLinePunct w:val="0"/>
        <w:autoSpaceDE/>
        <w:autoSpaceDN/>
        <w:bidi w:val="0"/>
        <w:adjustRightInd/>
        <w:snapToGrid/>
        <w:spacing w:line="578" w:lineRule="exact"/>
        <w:ind w:firstLine="0"/>
        <w:textAlignment w:val="auto"/>
        <w:outlineLvl w:val="2"/>
        <w:rPr>
          <w:rFonts w:ascii="仿宋_GB2312"/>
          <w:color w:val="auto"/>
          <w:u w:val="none"/>
        </w:rPr>
      </w:pPr>
      <w:r>
        <w:rPr>
          <w:rStyle w:val="15"/>
          <w:rFonts w:hint="eastAsia" w:ascii="仿宋_GB2312"/>
          <w:color w:val="auto"/>
          <w:u w:val="none"/>
        </w:rPr>
        <w:t>第三十</w:t>
      </w:r>
      <w:r>
        <w:rPr>
          <w:rStyle w:val="15"/>
          <w:rFonts w:hint="eastAsia" w:ascii="仿宋_GB2312" w:eastAsia="黑体"/>
          <w:color w:val="auto"/>
          <w:u w:val="none"/>
          <w:lang w:val="en-US" w:eastAsia="zh-CN"/>
        </w:rPr>
        <w:t>九</w:t>
      </w:r>
      <w:r>
        <w:rPr>
          <w:rStyle w:val="15"/>
          <w:rFonts w:hint="eastAsia" w:ascii="仿宋_GB2312"/>
          <w:color w:val="auto"/>
          <w:u w:val="none"/>
        </w:rPr>
        <w:t>条</w:t>
      </w:r>
      <w:r>
        <w:rPr>
          <w:rStyle w:val="15"/>
          <w:rFonts w:hint="eastAsia" w:ascii="仿宋_GB2312" w:eastAsia="仿宋_GB2312"/>
          <w:color w:val="auto"/>
          <w:u w:val="none"/>
        </w:rPr>
        <w:t>【</w:t>
      </w:r>
      <w:r>
        <w:rPr>
          <w:rStyle w:val="15"/>
          <w:rFonts w:hint="eastAsia" w:ascii="黑体" w:hAnsi="黑体"/>
          <w:color w:val="auto"/>
          <w:u w:val="none"/>
        </w:rPr>
        <w:t>社会监督</w:t>
      </w:r>
      <w:r>
        <w:rPr>
          <w:rStyle w:val="15"/>
          <w:rFonts w:hint="eastAsia" w:ascii="仿宋_GB2312" w:eastAsia="仿宋_GB2312"/>
          <w:color w:val="auto"/>
          <w:u w:val="none"/>
        </w:rPr>
        <w:t>】</w:t>
      </w:r>
      <w:r>
        <w:rPr>
          <w:rStyle w:val="15"/>
          <w:rFonts w:hint="eastAsia" w:ascii="仿宋_GB2312"/>
          <w:color w:val="auto"/>
          <w:u w:val="none"/>
        </w:rPr>
        <w:t xml:space="preserve">  </w:t>
      </w:r>
      <w:r>
        <w:rPr>
          <w:rFonts w:hint="eastAsia" w:ascii="仿宋_GB2312" w:hAnsi="仿宋_GB2312"/>
          <w:color w:val="auto"/>
          <w:u w:val="none"/>
        </w:rPr>
        <w:t>保障性住房的规划计划、</w:t>
      </w:r>
      <w:r>
        <w:rPr>
          <w:rFonts w:ascii="仿宋_GB2312" w:hAnsi="仿宋_GB2312"/>
          <w:color w:val="auto"/>
          <w:u w:val="none"/>
        </w:rPr>
        <w:t>项目信息应当及时向社会公开并</w:t>
      </w:r>
      <w:r>
        <w:rPr>
          <w:rFonts w:hint="eastAsia" w:ascii="仿宋_GB2312" w:hAnsi="仿宋_GB2312"/>
          <w:color w:val="auto"/>
          <w:u w:val="none"/>
        </w:rPr>
        <w:t>接受社会监督。</w:t>
      </w:r>
    </w:p>
    <w:p>
      <w:pPr>
        <w:keepNext w:val="0"/>
        <w:keepLines w:val="0"/>
        <w:pageBreakBefore w:val="0"/>
        <w:widowControl w:val="0"/>
        <w:kinsoku/>
        <w:wordWrap/>
        <w:overflowPunct/>
        <w:topLinePunct w:val="0"/>
        <w:autoSpaceDE/>
        <w:autoSpaceDN/>
        <w:bidi w:val="0"/>
        <w:adjustRightInd/>
        <w:snapToGrid/>
        <w:spacing w:line="578" w:lineRule="exact"/>
        <w:ind w:firstLine="0"/>
        <w:textAlignment w:val="auto"/>
        <w:rPr>
          <w:color w:val="auto"/>
          <w:u w:val="none"/>
        </w:rPr>
      </w:pPr>
      <w:r>
        <w:rPr>
          <w:rFonts w:hint="eastAsia" w:ascii="仿宋_GB2312" w:hAnsi="仿宋_GB2312"/>
          <w:color w:val="auto"/>
          <w:u w:val="none"/>
        </w:rPr>
        <w:t>单位和个人可以对违反本办法的行为进行投诉、举报，有关部门应当按照相关规定及时处理。</w:t>
      </w:r>
    </w:p>
    <w:p>
      <w:pPr>
        <w:pStyle w:val="2"/>
        <w:spacing w:line="578" w:lineRule="exact"/>
        <w:rPr>
          <w:rFonts w:ascii="Calibri" w:hAnsi="Calibri" w:cs="Times New Roman"/>
          <w:b w:val="0"/>
          <w:bCs w:val="0"/>
          <w:color w:val="auto"/>
          <w:szCs w:val="22"/>
          <w:u w:val="none"/>
        </w:rPr>
      </w:pPr>
    </w:p>
    <w:p>
      <w:pPr>
        <w:pStyle w:val="4"/>
        <w:keepNext w:val="0"/>
        <w:keepLines w:val="0"/>
        <w:pageBreakBefore w:val="0"/>
        <w:widowControl w:val="0"/>
        <w:kinsoku/>
        <w:wordWrap/>
        <w:overflowPunct/>
        <w:topLinePunct w:val="0"/>
        <w:autoSpaceDE/>
        <w:autoSpaceDN/>
        <w:bidi w:val="0"/>
        <w:adjustRightInd/>
        <w:snapToGrid/>
        <w:spacing w:before="0" w:after="0" w:line="578" w:lineRule="exact"/>
        <w:ind w:firstLine="0" w:firstLineChars="0"/>
        <w:textAlignment w:val="auto"/>
        <w:rPr>
          <w:b w:val="0"/>
          <w:bCs w:val="0"/>
          <w:color w:val="auto"/>
          <w:u w:val="none"/>
        </w:rPr>
      </w:pPr>
      <w:r>
        <w:rPr>
          <w:rFonts w:hint="eastAsia" w:ascii="黑体" w:hAnsi="黑体" w:cs="黑体"/>
          <w:b w:val="0"/>
          <w:bCs w:val="0"/>
          <w:color w:val="auto"/>
          <w:szCs w:val="32"/>
          <w:u w:val="none"/>
        </w:rPr>
        <w:t>第八章</w:t>
      </w:r>
      <w:r>
        <w:rPr>
          <w:rFonts w:ascii="黑体" w:hAnsi="黑体" w:cs="黑体"/>
          <w:b w:val="0"/>
          <w:bCs w:val="0"/>
          <w:color w:val="auto"/>
          <w:szCs w:val="32"/>
          <w:u w:val="none"/>
        </w:rPr>
        <w:t xml:space="preserve"> </w:t>
      </w:r>
      <w:r>
        <w:rPr>
          <w:rFonts w:hint="eastAsia" w:ascii="黑体" w:hAnsi="黑体" w:cs="黑体"/>
          <w:b w:val="0"/>
          <w:bCs w:val="0"/>
          <w:color w:val="auto"/>
          <w:szCs w:val="32"/>
          <w:u w:val="none"/>
        </w:rPr>
        <w:t>附则</w:t>
      </w:r>
    </w:p>
    <w:p>
      <w:pPr>
        <w:pStyle w:val="2"/>
        <w:spacing w:line="578" w:lineRule="exact"/>
        <w:rPr>
          <w:rFonts w:ascii="Calibri" w:eastAsia="仿宋_GB2312"/>
          <w:color w:val="auto"/>
          <w:u w:val="none"/>
        </w:rPr>
      </w:pPr>
    </w:p>
    <w:p>
      <w:pPr>
        <w:keepNext w:val="0"/>
        <w:keepLines w:val="0"/>
        <w:pageBreakBefore w:val="0"/>
        <w:widowControl w:val="0"/>
        <w:tabs>
          <w:tab w:val="left" w:pos="0"/>
        </w:tabs>
        <w:kinsoku/>
        <w:wordWrap/>
        <w:overflowPunct/>
        <w:topLinePunct w:val="0"/>
        <w:autoSpaceDE/>
        <w:autoSpaceDN/>
        <w:bidi w:val="0"/>
        <w:adjustRightInd/>
        <w:snapToGrid/>
        <w:spacing w:line="578" w:lineRule="exact"/>
        <w:ind w:firstLine="640"/>
        <w:textAlignment w:val="auto"/>
        <w:outlineLvl w:val="2"/>
        <w:rPr>
          <w:rStyle w:val="15"/>
          <w:rFonts w:hint="eastAsia" w:ascii="仿宋_GB2312" w:hAnsi="仿宋_GB2312" w:eastAsia="仿宋_GB2312" w:cs="仿宋_GB2312"/>
          <w:color w:val="auto"/>
          <w:u w:val="none"/>
        </w:rPr>
      </w:pPr>
      <w:r>
        <w:rPr>
          <w:rStyle w:val="15"/>
          <w:rFonts w:hint="eastAsia" w:ascii="仿宋_GB2312"/>
          <w:color w:val="auto"/>
          <w:u w:val="none"/>
        </w:rPr>
        <w:t>第</w:t>
      </w:r>
      <w:r>
        <w:rPr>
          <w:rStyle w:val="15"/>
          <w:rFonts w:hint="eastAsia" w:ascii="仿宋_GB2312" w:eastAsia="黑体"/>
          <w:color w:val="auto"/>
          <w:u w:val="none"/>
          <w:lang w:val="en-US" w:eastAsia="zh-CN"/>
        </w:rPr>
        <w:t>四十</w:t>
      </w:r>
      <w:r>
        <w:rPr>
          <w:rStyle w:val="15"/>
          <w:rFonts w:hint="eastAsia" w:ascii="仿宋_GB2312"/>
          <w:color w:val="auto"/>
          <w:u w:val="none"/>
        </w:rPr>
        <w:t>条</w:t>
      </w:r>
      <w:r>
        <w:rPr>
          <w:rStyle w:val="15"/>
          <w:rFonts w:hint="eastAsia" w:ascii="仿宋_GB2312" w:eastAsia="仿宋_GB2312"/>
          <w:color w:val="auto"/>
          <w:u w:val="none"/>
        </w:rPr>
        <w:t>【</w:t>
      </w:r>
      <w:r>
        <w:rPr>
          <w:rStyle w:val="15"/>
          <w:rFonts w:hint="eastAsia" w:ascii="仿宋_GB2312" w:eastAsia="黑体"/>
          <w:color w:val="auto"/>
          <w:u w:val="none"/>
          <w:lang w:val="en-US" w:eastAsia="zh-CN"/>
        </w:rPr>
        <w:t>施行</w:t>
      </w:r>
      <w:r>
        <w:rPr>
          <w:rStyle w:val="15"/>
          <w:rFonts w:hint="eastAsia" w:ascii="仿宋_GB2312"/>
          <w:color w:val="auto"/>
          <w:u w:val="none"/>
        </w:rPr>
        <w:t>日期</w:t>
      </w:r>
      <w:r>
        <w:rPr>
          <w:rStyle w:val="15"/>
          <w:rFonts w:hint="eastAsia" w:ascii="仿宋_GB2312" w:eastAsia="仿宋_GB2312"/>
          <w:color w:val="auto"/>
          <w:u w:val="none"/>
        </w:rPr>
        <w:t>】</w:t>
      </w:r>
      <w:r>
        <w:rPr>
          <w:rFonts w:hint="eastAsia" w:ascii="黑体" w:hAnsi="黑体" w:eastAsia="黑体"/>
          <w:bCs/>
          <w:color w:val="auto"/>
          <w:szCs w:val="32"/>
          <w:highlight w:val="none"/>
          <w:u w:val="none"/>
          <w:lang w:val="en-US" w:eastAsia="zh-CN"/>
        </w:rPr>
        <w:t xml:space="preserve">  </w:t>
      </w:r>
      <w:r>
        <w:rPr>
          <w:rFonts w:ascii="仿宋_GB2312" w:hAnsi="仿宋_GB2312" w:cs="仿宋_GB2312"/>
          <w:color w:val="auto"/>
          <w:szCs w:val="32"/>
          <w:highlight w:val="none"/>
          <w:u w:val="none"/>
        </w:rPr>
        <w:t>本办法自    年</w:t>
      </w:r>
      <w:r>
        <w:rPr>
          <w:rFonts w:hint="eastAsia" w:ascii="仿宋_GB2312" w:hAnsi="仿宋_GB2312" w:cs="仿宋_GB2312"/>
          <w:color w:val="auto"/>
          <w:szCs w:val="32"/>
          <w:highlight w:val="none"/>
          <w:u w:val="none"/>
          <w:lang w:val="en-US" w:eastAsia="zh-CN"/>
        </w:rPr>
        <w:t xml:space="preserve">   </w:t>
      </w:r>
      <w:r>
        <w:rPr>
          <w:rFonts w:ascii="仿宋_GB2312" w:hAnsi="仿宋_GB2312" w:cs="仿宋_GB2312"/>
          <w:color w:val="auto"/>
          <w:szCs w:val="32"/>
          <w:highlight w:val="none"/>
          <w:u w:val="none"/>
        </w:rPr>
        <w:t>月</w:t>
      </w:r>
      <w:r>
        <w:rPr>
          <w:rFonts w:hint="eastAsia" w:ascii="仿宋_GB2312" w:hAnsi="仿宋_GB2312" w:cs="仿宋_GB2312"/>
          <w:color w:val="auto"/>
          <w:szCs w:val="32"/>
          <w:highlight w:val="none"/>
          <w:u w:val="none"/>
          <w:lang w:val="en-US" w:eastAsia="zh-CN"/>
        </w:rPr>
        <w:t xml:space="preserve">   </w:t>
      </w:r>
      <w:r>
        <w:rPr>
          <w:rFonts w:ascii="仿宋_GB2312" w:hAnsi="仿宋_GB2312" w:cs="仿宋_GB2312"/>
          <w:color w:val="auto"/>
          <w:szCs w:val="32"/>
          <w:highlight w:val="none"/>
          <w:u w:val="none"/>
        </w:rPr>
        <w:t>日起施行。</w:t>
      </w:r>
    </w:p>
    <w:p>
      <w:pPr>
        <w:keepNext w:val="0"/>
        <w:keepLines w:val="0"/>
        <w:pageBreakBefore w:val="0"/>
        <w:widowControl w:val="0"/>
        <w:kinsoku/>
        <w:wordWrap/>
        <w:overflowPunct/>
        <w:topLinePunct w:val="0"/>
        <w:autoSpaceDE/>
        <w:autoSpaceDN/>
        <w:bidi w:val="0"/>
        <w:adjustRightInd/>
        <w:snapToGrid/>
        <w:spacing w:after="0" w:line="578" w:lineRule="exact"/>
        <w:ind w:left="0" w:leftChars="0" w:firstLine="0" w:firstLineChars="0"/>
        <w:textAlignment w:val="auto"/>
        <w:rPr>
          <w:rFonts w:hint="eastAsia"/>
          <w:color w:val="auto"/>
          <w:u w:val="none"/>
          <w:lang w:eastAsia="zh-Hans"/>
        </w:rPr>
      </w:pPr>
    </w:p>
    <w:p>
      <w:pPr>
        <w:keepNext w:val="0"/>
        <w:keepLines w:val="0"/>
        <w:pageBreakBefore w:val="0"/>
        <w:widowControl w:val="0"/>
        <w:kinsoku/>
        <w:wordWrap/>
        <w:overflowPunct/>
        <w:topLinePunct w:val="0"/>
        <w:autoSpaceDE/>
        <w:autoSpaceDN/>
        <w:bidi w:val="0"/>
        <w:adjustRightInd/>
        <w:snapToGrid/>
        <w:spacing w:line="578" w:lineRule="exact"/>
        <w:ind w:left="0" w:leftChars="0" w:firstLine="0" w:firstLineChars="0"/>
        <w:textAlignment w:val="auto"/>
        <w:rPr>
          <w:rFonts w:hint="eastAsia" w:eastAsia="文星简小标宋"/>
          <w:color w:val="auto"/>
          <w:u w:val="none"/>
        </w:rPr>
      </w:pPr>
    </w:p>
    <w:sectPr>
      <w:headerReference r:id="rId7" w:type="first"/>
      <w:footerReference r:id="rId10" w:type="first"/>
      <w:headerReference r:id="rId5" w:type="default"/>
      <w:footerReference r:id="rId8" w:type="default"/>
      <w:headerReference r:id="rId6" w:type="even"/>
      <w:footerReference r:id="rId9" w:type="even"/>
      <w:pgSz w:w="11906" w:h="16838"/>
      <w:pgMar w:top="1701" w:right="1474" w:bottom="1701" w:left="1587" w:header="851" w:footer="992" w:gutter="0"/>
      <w:pgNumType w:fmt="numberInDash" w:start="1"/>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文星简小标宋">
    <w:altName w:val="方正小标宋_GBK"/>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bottomMargin">
                <wp:posOffset>144145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textAlignment w:val="auto"/>
                            <w:rPr>
                              <w:rFonts w:hint="eastAsia" w:ascii="仿宋_GB2312" w:hAnsi="仿宋_GB2312" w:eastAsia="仿宋_GB2312" w:cs="仿宋_GB2312"/>
                              <w:sz w:val="28"/>
                              <w:szCs w:val="28"/>
                            </w:rPr>
                          </w:pPr>
                          <w:r>
                            <w:rPr>
                              <w:rFonts w:hint="eastAsia" w:ascii="仿宋_GB2312" w:hAnsi="仿宋_GB2312" w:cs="仿宋_GB2312"/>
                              <w:sz w:val="28"/>
                              <w:szCs w:val="28"/>
                            </w:rPr>
                            <w:fldChar w:fldCharType="begin"/>
                          </w:r>
                          <w:r>
                            <w:rPr>
                              <w:rFonts w:hint="eastAsia" w:ascii="仿宋_GB2312" w:hAnsi="仿宋_GB2312" w:cs="仿宋_GB2312"/>
                              <w:sz w:val="28"/>
                              <w:szCs w:val="28"/>
                            </w:rPr>
                            <w:instrText xml:space="preserve"> PAGE  \* MERGEFORMAT </w:instrText>
                          </w:r>
                          <w:r>
                            <w:rPr>
                              <w:rFonts w:hint="eastAsia" w:ascii="仿宋_GB2312" w:hAnsi="仿宋_GB2312" w:cs="仿宋_GB2312"/>
                              <w:sz w:val="28"/>
                              <w:szCs w:val="28"/>
                            </w:rPr>
                            <w:fldChar w:fldCharType="separate"/>
                          </w:r>
                          <w:r>
                            <w:rPr>
                              <w:rFonts w:hint="eastAsia" w:ascii="仿宋_GB2312" w:hAnsi="仿宋_GB2312" w:cs="仿宋_GB2312"/>
                              <w:sz w:val="28"/>
                              <w:szCs w:val="28"/>
                            </w:rPr>
                            <w:t>1</w:t>
                          </w:r>
                          <w:r>
                            <w:rPr>
                              <w:rFonts w:hint="eastAsia" w:ascii="仿宋_GB2312" w:hAnsi="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86.1pt;margin-top:768.2pt;height:144pt;width:144pt;mso-position-horizontal-relative:page;mso-position-vertical-relative:page;mso-wrap-style:none;z-index:251659264;mso-width-relative:page;mso-height-relative:page;" filled="f" stroked="f" coordsize="21600,21600" o:gfxdata="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kSNd+tUAAAAHAQAADwAAAAAAAAABACAAAAAiAAAAZHJzL2Rvd25yZXYueG1sUEsB&#10;AhQAFAAAAAgAh07iQGuF+fsxAgAAYQQAAA4AAAAAAAAAAQAgAAAAJAEAAGRycy9lMm9Eb2MueG1s&#10;UEsFBgAAAAAGAAYAWQEAAMcFAAAAAA==&#10;">
              <v:fill on="f" focussize="0,0"/>
              <v:stroke on="f" weight="0.5pt"/>
              <v:imagedata o:title=""/>
              <o:lock v:ext="edit" aspectratio="f"/>
              <v:textbox inset="0mm,0mm,0mm,0mm" style="mso-fit-shape-to-text:t;">
                <w:txbxContent>
                  <w:p>
                    <w:pPr>
                      <w:pStyle w:val="11"/>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textAlignment w:val="auto"/>
                      <w:rPr>
                        <w:rFonts w:hint="eastAsia" w:ascii="仿宋_GB2312" w:hAnsi="仿宋_GB2312" w:eastAsia="仿宋_GB2312" w:cs="仿宋_GB2312"/>
                        <w:sz w:val="28"/>
                        <w:szCs w:val="28"/>
                      </w:rPr>
                    </w:pPr>
                    <w:r>
                      <w:rPr>
                        <w:rFonts w:hint="eastAsia" w:ascii="仿宋_GB2312" w:hAnsi="仿宋_GB2312" w:cs="仿宋_GB2312"/>
                        <w:sz w:val="28"/>
                        <w:szCs w:val="28"/>
                      </w:rPr>
                      <w:fldChar w:fldCharType="begin"/>
                    </w:r>
                    <w:r>
                      <w:rPr>
                        <w:rFonts w:hint="eastAsia" w:ascii="仿宋_GB2312" w:hAnsi="仿宋_GB2312" w:cs="仿宋_GB2312"/>
                        <w:sz w:val="28"/>
                        <w:szCs w:val="28"/>
                      </w:rPr>
                      <w:instrText xml:space="preserve"> PAGE  \* MERGEFORMAT </w:instrText>
                    </w:r>
                    <w:r>
                      <w:rPr>
                        <w:rFonts w:hint="eastAsia" w:ascii="仿宋_GB2312" w:hAnsi="仿宋_GB2312" w:cs="仿宋_GB2312"/>
                        <w:sz w:val="28"/>
                        <w:szCs w:val="28"/>
                      </w:rPr>
                      <w:fldChar w:fldCharType="separate"/>
                    </w:r>
                    <w:r>
                      <w:rPr>
                        <w:rFonts w:hint="eastAsia" w:ascii="仿宋_GB2312" w:hAnsi="仿宋_GB2312" w:cs="仿宋_GB2312"/>
                        <w:sz w:val="28"/>
                        <w:szCs w:val="28"/>
                      </w:rPr>
                      <w:t>1</w:t>
                    </w:r>
                    <w:r>
                      <w:rPr>
                        <w:rFonts w:hint="eastAsia" w:ascii="仿宋_GB2312" w:hAnsi="仿宋_GB2312" w:cs="仿宋_GB2312"/>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trackRevisions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dmNmY5ZjcwYmUzNDJlOTJmNGY5MzI4YTdlZjY1OGEifQ=="/>
    <w:docVar w:name="KSO_WPS_MARK_KEY" w:val="7a2e6135-716d-4977-8860-308fdf742929"/>
  </w:docVars>
  <w:rsids>
    <w:rsidRoot w:val="008969BF"/>
    <w:rsid w:val="00012F2C"/>
    <w:rsid w:val="00015677"/>
    <w:rsid w:val="0002013B"/>
    <w:rsid w:val="00022D17"/>
    <w:rsid w:val="0003380C"/>
    <w:rsid w:val="0006154B"/>
    <w:rsid w:val="00076FB5"/>
    <w:rsid w:val="000806DD"/>
    <w:rsid w:val="00092FB5"/>
    <w:rsid w:val="00096618"/>
    <w:rsid w:val="000A3804"/>
    <w:rsid w:val="000A7558"/>
    <w:rsid w:val="000B0AD8"/>
    <w:rsid w:val="00110E73"/>
    <w:rsid w:val="00115FAD"/>
    <w:rsid w:val="0012702E"/>
    <w:rsid w:val="001423A2"/>
    <w:rsid w:val="001502F7"/>
    <w:rsid w:val="00155C04"/>
    <w:rsid w:val="00167B44"/>
    <w:rsid w:val="00170183"/>
    <w:rsid w:val="00175F0F"/>
    <w:rsid w:val="00185FD6"/>
    <w:rsid w:val="001B10A9"/>
    <w:rsid w:val="001B468B"/>
    <w:rsid w:val="001C0C90"/>
    <w:rsid w:val="001C5A55"/>
    <w:rsid w:val="001D5EA8"/>
    <w:rsid w:val="001E6A03"/>
    <w:rsid w:val="00204431"/>
    <w:rsid w:val="00205FDB"/>
    <w:rsid w:val="00227909"/>
    <w:rsid w:val="00266024"/>
    <w:rsid w:val="00271E9F"/>
    <w:rsid w:val="00276C8F"/>
    <w:rsid w:val="002A167F"/>
    <w:rsid w:val="002A7F3E"/>
    <w:rsid w:val="002B2C65"/>
    <w:rsid w:val="002B335C"/>
    <w:rsid w:val="002B4AD7"/>
    <w:rsid w:val="002B5A3A"/>
    <w:rsid w:val="002C4E36"/>
    <w:rsid w:val="002C6F44"/>
    <w:rsid w:val="002D722D"/>
    <w:rsid w:val="002F1384"/>
    <w:rsid w:val="002F59E3"/>
    <w:rsid w:val="00306713"/>
    <w:rsid w:val="003109C8"/>
    <w:rsid w:val="00321349"/>
    <w:rsid w:val="00341A1C"/>
    <w:rsid w:val="00350FC0"/>
    <w:rsid w:val="00361342"/>
    <w:rsid w:val="00361E6F"/>
    <w:rsid w:val="003A5469"/>
    <w:rsid w:val="003E3081"/>
    <w:rsid w:val="003E68BA"/>
    <w:rsid w:val="003F6062"/>
    <w:rsid w:val="0042193A"/>
    <w:rsid w:val="00427FE1"/>
    <w:rsid w:val="0043590C"/>
    <w:rsid w:val="00435D51"/>
    <w:rsid w:val="0043654C"/>
    <w:rsid w:val="004465B2"/>
    <w:rsid w:val="00462BA5"/>
    <w:rsid w:val="004645D2"/>
    <w:rsid w:val="00484E5F"/>
    <w:rsid w:val="00485A0E"/>
    <w:rsid w:val="0049200A"/>
    <w:rsid w:val="0049704B"/>
    <w:rsid w:val="004B2B50"/>
    <w:rsid w:val="004B5985"/>
    <w:rsid w:val="00510642"/>
    <w:rsid w:val="00556991"/>
    <w:rsid w:val="0056266F"/>
    <w:rsid w:val="00565E62"/>
    <w:rsid w:val="005768F2"/>
    <w:rsid w:val="005871B1"/>
    <w:rsid w:val="005B64CB"/>
    <w:rsid w:val="005C7834"/>
    <w:rsid w:val="0062741C"/>
    <w:rsid w:val="006603F3"/>
    <w:rsid w:val="0067225E"/>
    <w:rsid w:val="00674831"/>
    <w:rsid w:val="006B61F6"/>
    <w:rsid w:val="006C2F59"/>
    <w:rsid w:val="006C3553"/>
    <w:rsid w:val="006F420B"/>
    <w:rsid w:val="006F6C03"/>
    <w:rsid w:val="00707F27"/>
    <w:rsid w:val="007100F1"/>
    <w:rsid w:val="007324BB"/>
    <w:rsid w:val="007335FB"/>
    <w:rsid w:val="007356D8"/>
    <w:rsid w:val="00744A41"/>
    <w:rsid w:val="007520E3"/>
    <w:rsid w:val="00752FEF"/>
    <w:rsid w:val="007562B1"/>
    <w:rsid w:val="00782E9F"/>
    <w:rsid w:val="00791115"/>
    <w:rsid w:val="007940F2"/>
    <w:rsid w:val="007A6E71"/>
    <w:rsid w:val="007B627B"/>
    <w:rsid w:val="007B65F7"/>
    <w:rsid w:val="007F0C9F"/>
    <w:rsid w:val="007F3446"/>
    <w:rsid w:val="00805642"/>
    <w:rsid w:val="0082316B"/>
    <w:rsid w:val="00823DED"/>
    <w:rsid w:val="0082693F"/>
    <w:rsid w:val="00846C5D"/>
    <w:rsid w:val="00855B1C"/>
    <w:rsid w:val="00864927"/>
    <w:rsid w:val="008856EC"/>
    <w:rsid w:val="008969BF"/>
    <w:rsid w:val="00896F4D"/>
    <w:rsid w:val="008B0407"/>
    <w:rsid w:val="008E4381"/>
    <w:rsid w:val="008E76CE"/>
    <w:rsid w:val="008F232A"/>
    <w:rsid w:val="008F5F8D"/>
    <w:rsid w:val="00900E39"/>
    <w:rsid w:val="00906B17"/>
    <w:rsid w:val="00914813"/>
    <w:rsid w:val="009153A2"/>
    <w:rsid w:val="00924546"/>
    <w:rsid w:val="00925603"/>
    <w:rsid w:val="00927CC8"/>
    <w:rsid w:val="0093044B"/>
    <w:rsid w:val="009632F5"/>
    <w:rsid w:val="00972745"/>
    <w:rsid w:val="0097463F"/>
    <w:rsid w:val="00990348"/>
    <w:rsid w:val="009A1BEE"/>
    <w:rsid w:val="009D6246"/>
    <w:rsid w:val="009F151D"/>
    <w:rsid w:val="009F406A"/>
    <w:rsid w:val="00A10B15"/>
    <w:rsid w:val="00A12AA7"/>
    <w:rsid w:val="00A21288"/>
    <w:rsid w:val="00A23829"/>
    <w:rsid w:val="00A63E40"/>
    <w:rsid w:val="00A731A4"/>
    <w:rsid w:val="00A75D6F"/>
    <w:rsid w:val="00A854CA"/>
    <w:rsid w:val="00AA308E"/>
    <w:rsid w:val="00AB7980"/>
    <w:rsid w:val="00AC6E71"/>
    <w:rsid w:val="00AC7A6D"/>
    <w:rsid w:val="00AD2C8E"/>
    <w:rsid w:val="00AD6D21"/>
    <w:rsid w:val="00AF4662"/>
    <w:rsid w:val="00AF6C95"/>
    <w:rsid w:val="00B1543C"/>
    <w:rsid w:val="00B1595A"/>
    <w:rsid w:val="00B458E4"/>
    <w:rsid w:val="00B5250D"/>
    <w:rsid w:val="00B70CC0"/>
    <w:rsid w:val="00B85133"/>
    <w:rsid w:val="00B927F6"/>
    <w:rsid w:val="00BA0D8D"/>
    <w:rsid w:val="00BA151E"/>
    <w:rsid w:val="00BA1A8C"/>
    <w:rsid w:val="00BA3C53"/>
    <w:rsid w:val="00BA4B54"/>
    <w:rsid w:val="00BB5F9B"/>
    <w:rsid w:val="00C24844"/>
    <w:rsid w:val="00C2485B"/>
    <w:rsid w:val="00C45583"/>
    <w:rsid w:val="00C455B0"/>
    <w:rsid w:val="00CA4504"/>
    <w:rsid w:val="00CE0E61"/>
    <w:rsid w:val="00CE208F"/>
    <w:rsid w:val="00CE7B31"/>
    <w:rsid w:val="00D01555"/>
    <w:rsid w:val="00D027A0"/>
    <w:rsid w:val="00D02E72"/>
    <w:rsid w:val="00D341F0"/>
    <w:rsid w:val="00D420D3"/>
    <w:rsid w:val="00D43777"/>
    <w:rsid w:val="00D4450C"/>
    <w:rsid w:val="00D524EF"/>
    <w:rsid w:val="00D66A3E"/>
    <w:rsid w:val="00D74C1F"/>
    <w:rsid w:val="00DB3208"/>
    <w:rsid w:val="00DD523E"/>
    <w:rsid w:val="00DF4E02"/>
    <w:rsid w:val="00DF5BE5"/>
    <w:rsid w:val="00E0282B"/>
    <w:rsid w:val="00E07CE8"/>
    <w:rsid w:val="00E20E39"/>
    <w:rsid w:val="00E40239"/>
    <w:rsid w:val="00E46E10"/>
    <w:rsid w:val="00E95F43"/>
    <w:rsid w:val="00EA39C8"/>
    <w:rsid w:val="00EB0284"/>
    <w:rsid w:val="00EB171B"/>
    <w:rsid w:val="00EE3815"/>
    <w:rsid w:val="00EE3AB8"/>
    <w:rsid w:val="00EF0C75"/>
    <w:rsid w:val="00EF25C5"/>
    <w:rsid w:val="00F23027"/>
    <w:rsid w:val="00F336DD"/>
    <w:rsid w:val="00F53113"/>
    <w:rsid w:val="00F53423"/>
    <w:rsid w:val="00F5392F"/>
    <w:rsid w:val="00F61DCE"/>
    <w:rsid w:val="00F8565F"/>
    <w:rsid w:val="00FB236C"/>
    <w:rsid w:val="00FE5173"/>
    <w:rsid w:val="00FF1DD3"/>
    <w:rsid w:val="010E7E8A"/>
    <w:rsid w:val="012D5B0C"/>
    <w:rsid w:val="01347DF6"/>
    <w:rsid w:val="013B64B3"/>
    <w:rsid w:val="013E3E97"/>
    <w:rsid w:val="014518C4"/>
    <w:rsid w:val="016479AD"/>
    <w:rsid w:val="01722330"/>
    <w:rsid w:val="017D4F5C"/>
    <w:rsid w:val="0183467C"/>
    <w:rsid w:val="01843E06"/>
    <w:rsid w:val="0186285C"/>
    <w:rsid w:val="019E141B"/>
    <w:rsid w:val="01A31DBF"/>
    <w:rsid w:val="01AC3A93"/>
    <w:rsid w:val="01AC7292"/>
    <w:rsid w:val="01B92DCA"/>
    <w:rsid w:val="01C17312"/>
    <w:rsid w:val="01C2578C"/>
    <w:rsid w:val="01C709EB"/>
    <w:rsid w:val="01CA3E9B"/>
    <w:rsid w:val="01CB12B7"/>
    <w:rsid w:val="01CB3F46"/>
    <w:rsid w:val="01E366E9"/>
    <w:rsid w:val="02171D80"/>
    <w:rsid w:val="022113AA"/>
    <w:rsid w:val="02334F53"/>
    <w:rsid w:val="023A6E9B"/>
    <w:rsid w:val="02435330"/>
    <w:rsid w:val="02454B0B"/>
    <w:rsid w:val="027450AB"/>
    <w:rsid w:val="0275606B"/>
    <w:rsid w:val="0284231A"/>
    <w:rsid w:val="028E3034"/>
    <w:rsid w:val="028E672B"/>
    <w:rsid w:val="02911CE8"/>
    <w:rsid w:val="029D30E0"/>
    <w:rsid w:val="02A010F1"/>
    <w:rsid w:val="02A01893"/>
    <w:rsid w:val="02A36D3E"/>
    <w:rsid w:val="02AE0F98"/>
    <w:rsid w:val="02C44455"/>
    <w:rsid w:val="02CD5B5D"/>
    <w:rsid w:val="02DB20A9"/>
    <w:rsid w:val="02E441E8"/>
    <w:rsid w:val="02F14132"/>
    <w:rsid w:val="030E2241"/>
    <w:rsid w:val="0311764C"/>
    <w:rsid w:val="031658FE"/>
    <w:rsid w:val="031B0019"/>
    <w:rsid w:val="03333687"/>
    <w:rsid w:val="034D4AA1"/>
    <w:rsid w:val="034F5A9F"/>
    <w:rsid w:val="03523759"/>
    <w:rsid w:val="03523FC4"/>
    <w:rsid w:val="035964C2"/>
    <w:rsid w:val="035C4316"/>
    <w:rsid w:val="035F0C42"/>
    <w:rsid w:val="0375391B"/>
    <w:rsid w:val="037B63ED"/>
    <w:rsid w:val="03800C56"/>
    <w:rsid w:val="03922965"/>
    <w:rsid w:val="03923D0C"/>
    <w:rsid w:val="03926AF0"/>
    <w:rsid w:val="03953208"/>
    <w:rsid w:val="03A02F5D"/>
    <w:rsid w:val="03AF2BC0"/>
    <w:rsid w:val="03B02AB9"/>
    <w:rsid w:val="03CE1A13"/>
    <w:rsid w:val="03DC43AE"/>
    <w:rsid w:val="03E234CE"/>
    <w:rsid w:val="03E71851"/>
    <w:rsid w:val="03EC29AC"/>
    <w:rsid w:val="03F674D2"/>
    <w:rsid w:val="03FE6E57"/>
    <w:rsid w:val="041C1BCE"/>
    <w:rsid w:val="04224D6C"/>
    <w:rsid w:val="04374654"/>
    <w:rsid w:val="04421FF6"/>
    <w:rsid w:val="04436BBF"/>
    <w:rsid w:val="0449381C"/>
    <w:rsid w:val="04523BBA"/>
    <w:rsid w:val="045449FB"/>
    <w:rsid w:val="0461314E"/>
    <w:rsid w:val="047D1717"/>
    <w:rsid w:val="048651FA"/>
    <w:rsid w:val="04871172"/>
    <w:rsid w:val="04896AE8"/>
    <w:rsid w:val="04A5218F"/>
    <w:rsid w:val="04AA717C"/>
    <w:rsid w:val="04C300C3"/>
    <w:rsid w:val="04DA2702"/>
    <w:rsid w:val="04DE7DCB"/>
    <w:rsid w:val="04EE3A38"/>
    <w:rsid w:val="04FA7E4E"/>
    <w:rsid w:val="052208AE"/>
    <w:rsid w:val="05231949"/>
    <w:rsid w:val="054F0B80"/>
    <w:rsid w:val="055036A5"/>
    <w:rsid w:val="05546E4C"/>
    <w:rsid w:val="055A4F6A"/>
    <w:rsid w:val="055B3806"/>
    <w:rsid w:val="055D0B16"/>
    <w:rsid w:val="056379D0"/>
    <w:rsid w:val="05657B05"/>
    <w:rsid w:val="056D3157"/>
    <w:rsid w:val="05703449"/>
    <w:rsid w:val="057B7839"/>
    <w:rsid w:val="058D0B6D"/>
    <w:rsid w:val="058D598A"/>
    <w:rsid w:val="058F3F84"/>
    <w:rsid w:val="05953104"/>
    <w:rsid w:val="05BD46EA"/>
    <w:rsid w:val="05C13842"/>
    <w:rsid w:val="05E1C8A3"/>
    <w:rsid w:val="05F162E8"/>
    <w:rsid w:val="05FB54E8"/>
    <w:rsid w:val="05FD3909"/>
    <w:rsid w:val="060C37BF"/>
    <w:rsid w:val="060E64F0"/>
    <w:rsid w:val="061247C8"/>
    <w:rsid w:val="061D20E9"/>
    <w:rsid w:val="061E74EE"/>
    <w:rsid w:val="06217389"/>
    <w:rsid w:val="06233FAC"/>
    <w:rsid w:val="062460ED"/>
    <w:rsid w:val="062E593D"/>
    <w:rsid w:val="063B4FE7"/>
    <w:rsid w:val="064B5E9C"/>
    <w:rsid w:val="065724C4"/>
    <w:rsid w:val="06594FCA"/>
    <w:rsid w:val="06596340"/>
    <w:rsid w:val="066C6631"/>
    <w:rsid w:val="0673349F"/>
    <w:rsid w:val="06763F69"/>
    <w:rsid w:val="067D427E"/>
    <w:rsid w:val="068D2CEC"/>
    <w:rsid w:val="06956FD0"/>
    <w:rsid w:val="06980C83"/>
    <w:rsid w:val="069A3A0E"/>
    <w:rsid w:val="06A114EC"/>
    <w:rsid w:val="06B5421D"/>
    <w:rsid w:val="06B57181"/>
    <w:rsid w:val="06E65DD9"/>
    <w:rsid w:val="06EE537D"/>
    <w:rsid w:val="06EF2ABA"/>
    <w:rsid w:val="07011E10"/>
    <w:rsid w:val="070E1946"/>
    <w:rsid w:val="0717139C"/>
    <w:rsid w:val="07372C0C"/>
    <w:rsid w:val="07433737"/>
    <w:rsid w:val="076B1679"/>
    <w:rsid w:val="07703CD0"/>
    <w:rsid w:val="07875255"/>
    <w:rsid w:val="07885179"/>
    <w:rsid w:val="078A3916"/>
    <w:rsid w:val="078D1C71"/>
    <w:rsid w:val="079777BC"/>
    <w:rsid w:val="079B7549"/>
    <w:rsid w:val="07AA519C"/>
    <w:rsid w:val="07BD2F5C"/>
    <w:rsid w:val="07BE56AD"/>
    <w:rsid w:val="07BF76BB"/>
    <w:rsid w:val="07C552C7"/>
    <w:rsid w:val="07CB1449"/>
    <w:rsid w:val="07CC279A"/>
    <w:rsid w:val="07E20E9C"/>
    <w:rsid w:val="07E472C4"/>
    <w:rsid w:val="084A4573"/>
    <w:rsid w:val="08787D59"/>
    <w:rsid w:val="087A737C"/>
    <w:rsid w:val="088174A6"/>
    <w:rsid w:val="088A6048"/>
    <w:rsid w:val="08935065"/>
    <w:rsid w:val="08945AB8"/>
    <w:rsid w:val="08946F2F"/>
    <w:rsid w:val="08B6109C"/>
    <w:rsid w:val="08BB146A"/>
    <w:rsid w:val="08BB4639"/>
    <w:rsid w:val="08BF1FAC"/>
    <w:rsid w:val="08C055A4"/>
    <w:rsid w:val="08DB16CD"/>
    <w:rsid w:val="08DC6EAD"/>
    <w:rsid w:val="08DE57AF"/>
    <w:rsid w:val="08EC7AB7"/>
    <w:rsid w:val="08ED2D93"/>
    <w:rsid w:val="08F43459"/>
    <w:rsid w:val="09153EE1"/>
    <w:rsid w:val="094304FB"/>
    <w:rsid w:val="0943661A"/>
    <w:rsid w:val="094F0D1E"/>
    <w:rsid w:val="095A4747"/>
    <w:rsid w:val="095A7944"/>
    <w:rsid w:val="09630EDC"/>
    <w:rsid w:val="0976776B"/>
    <w:rsid w:val="09773723"/>
    <w:rsid w:val="09965FB2"/>
    <w:rsid w:val="09A96726"/>
    <w:rsid w:val="09AB431E"/>
    <w:rsid w:val="09AE62A2"/>
    <w:rsid w:val="09B23F24"/>
    <w:rsid w:val="09B371F6"/>
    <w:rsid w:val="09B43A05"/>
    <w:rsid w:val="09BB1C81"/>
    <w:rsid w:val="09C3073C"/>
    <w:rsid w:val="09CF3816"/>
    <w:rsid w:val="09D3579C"/>
    <w:rsid w:val="09DE7C5F"/>
    <w:rsid w:val="09E81A13"/>
    <w:rsid w:val="09FC5B56"/>
    <w:rsid w:val="0A076586"/>
    <w:rsid w:val="0A1834D7"/>
    <w:rsid w:val="0A217787"/>
    <w:rsid w:val="0A2D6A74"/>
    <w:rsid w:val="0A3B265A"/>
    <w:rsid w:val="0A451C90"/>
    <w:rsid w:val="0A4A796D"/>
    <w:rsid w:val="0A5535BC"/>
    <w:rsid w:val="0A610579"/>
    <w:rsid w:val="0A76332F"/>
    <w:rsid w:val="0A827418"/>
    <w:rsid w:val="0A874A05"/>
    <w:rsid w:val="0A895153"/>
    <w:rsid w:val="0A977B90"/>
    <w:rsid w:val="0A9A2759"/>
    <w:rsid w:val="0AB116E3"/>
    <w:rsid w:val="0ABF65E6"/>
    <w:rsid w:val="0AC9034D"/>
    <w:rsid w:val="0ACC29EA"/>
    <w:rsid w:val="0AE678A3"/>
    <w:rsid w:val="0AE70D7C"/>
    <w:rsid w:val="0AEC312D"/>
    <w:rsid w:val="0AF94FAF"/>
    <w:rsid w:val="0B016658"/>
    <w:rsid w:val="0B0D2B98"/>
    <w:rsid w:val="0B126983"/>
    <w:rsid w:val="0B192000"/>
    <w:rsid w:val="0B1F7FED"/>
    <w:rsid w:val="0B245830"/>
    <w:rsid w:val="0B515865"/>
    <w:rsid w:val="0B534B53"/>
    <w:rsid w:val="0B553365"/>
    <w:rsid w:val="0B5E6C7C"/>
    <w:rsid w:val="0B652198"/>
    <w:rsid w:val="0B6E2F9B"/>
    <w:rsid w:val="0B8D5172"/>
    <w:rsid w:val="0BA46E13"/>
    <w:rsid w:val="0BC051D1"/>
    <w:rsid w:val="0BE3000C"/>
    <w:rsid w:val="0BFA06AB"/>
    <w:rsid w:val="0BFF535A"/>
    <w:rsid w:val="0C0C3726"/>
    <w:rsid w:val="0C210253"/>
    <w:rsid w:val="0C244EF1"/>
    <w:rsid w:val="0C276764"/>
    <w:rsid w:val="0C372769"/>
    <w:rsid w:val="0C462C83"/>
    <w:rsid w:val="0C526BDE"/>
    <w:rsid w:val="0C647658"/>
    <w:rsid w:val="0C6E50B1"/>
    <w:rsid w:val="0C7C3CE4"/>
    <w:rsid w:val="0C8A3D28"/>
    <w:rsid w:val="0C8C5F64"/>
    <w:rsid w:val="0C8D6AA7"/>
    <w:rsid w:val="0C900FB2"/>
    <w:rsid w:val="0C960695"/>
    <w:rsid w:val="0CA4168D"/>
    <w:rsid w:val="0CA502CA"/>
    <w:rsid w:val="0CA676B7"/>
    <w:rsid w:val="0CB2247E"/>
    <w:rsid w:val="0CB4220F"/>
    <w:rsid w:val="0CBA0F45"/>
    <w:rsid w:val="0CC64366"/>
    <w:rsid w:val="0CD45C04"/>
    <w:rsid w:val="0CD6762B"/>
    <w:rsid w:val="0CD9143E"/>
    <w:rsid w:val="0CD923A7"/>
    <w:rsid w:val="0CDA57FD"/>
    <w:rsid w:val="0CDB35E7"/>
    <w:rsid w:val="0CDC2E9F"/>
    <w:rsid w:val="0CE17496"/>
    <w:rsid w:val="0CE41FBE"/>
    <w:rsid w:val="0CF043AA"/>
    <w:rsid w:val="0D093CD3"/>
    <w:rsid w:val="0D113448"/>
    <w:rsid w:val="0D156849"/>
    <w:rsid w:val="0D2627D5"/>
    <w:rsid w:val="0D2F7785"/>
    <w:rsid w:val="0D344FF9"/>
    <w:rsid w:val="0D3D1927"/>
    <w:rsid w:val="0D455A9A"/>
    <w:rsid w:val="0D54133E"/>
    <w:rsid w:val="0D5549DB"/>
    <w:rsid w:val="0D634A8B"/>
    <w:rsid w:val="0D6A6595"/>
    <w:rsid w:val="0D6B3548"/>
    <w:rsid w:val="0D732E9E"/>
    <w:rsid w:val="0D741BAC"/>
    <w:rsid w:val="0D77644E"/>
    <w:rsid w:val="0D7D1679"/>
    <w:rsid w:val="0D7D3F48"/>
    <w:rsid w:val="0D812894"/>
    <w:rsid w:val="0D885229"/>
    <w:rsid w:val="0DB04E7D"/>
    <w:rsid w:val="0DB10ECF"/>
    <w:rsid w:val="0DCF48DE"/>
    <w:rsid w:val="0DDB358D"/>
    <w:rsid w:val="0DF7B43F"/>
    <w:rsid w:val="0E0E0268"/>
    <w:rsid w:val="0E1C7905"/>
    <w:rsid w:val="0E4F70D8"/>
    <w:rsid w:val="0E624C55"/>
    <w:rsid w:val="0E640CD4"/>
    <w:rsid w:val="0E6720DE"/>
    <w:rsid w:val="0E6A6607"/>
    <w:rsid w:val="0E6B1583"/>
    <w:rsid w:val="0E8034D0"/>
    <w:rsid w:val="0E87156F"/>
    <w:rsid w:val="0E8D2F18"/>
    <w:rsid w:val="0E9C1D55"/>
    <w:rsid w:val="0E9D188D"/>
    <w:rsid w:val="0E9D30B6"/>
    <w:rsid w:val="0EA41269"/>
    <w:rsid w:val="0EC55ABF"/>
    <w:rsid w:val="0EC62D65"/>
    <w:rsid w:val="0EC97C2B"/>
    <w:rsid w:val="0EDF70AE"/>
    <w:rsid w:val="0EEE4F13"/>
    <w:rsid w:val="0EFA18D2"/>
    <w:rsid w:val="0EFB39D8"/>
    <w:rsid w:val="0F032819"/>
    <w:rsid w:val="0F03419C"/>
    <w:rsid w:val="0F0A1DF9"/>
    <w:rsid w:val="0F127DD7"/>
    <w:rsid w:val="0F17595B"/>
    <w:rsid w:val="0F226A7B"/>
    <w:rsid w:val="0F254A3C"/>
    <w:rsid w:val="0F285C79"/>
    <w:rsid w:val="0F2B00FE"/>
    <w:rsid w:val="0F3D38B7"/>
    <w:rsid w:val="0F476166"/>
    <w:rsid w:val="0F4916D7"/>
    <w:rsid w:val="0F497EF3"/>
    <w:rsid w:val="0F70592E"/>
    <w:rsid w:val="0F711C77"/>
    <w:rsid w:val="0F8B2CBA"/>
    <w:rsid w:val="0F902DE2"/>
    <w:rsid w:val="0F937F19"/>
    <w:rsid w:val="0FB00546"/>
    <w:rsid w:val="0FB27B3C"/>
    <w:rsid w:val="0FB27BED"/>
    <w:rsid w:val="0FB6796F"/>
    <w:rsid w:val="0FBB06FA"/>
    <w:rsid w:val="0FD82EBD"/>
    <w:rsid w:val="0FDC0C3E"/>
    <w:rsid w:val="0FDC4670"/>
    <w:rsid w:val="0FE3431E"/>
    <w:rsid w:val="0FE95EB3"/>
    <w:rsid w:val="0FEF171B"/>
    <w:rsid w:val="0FF130AD"/>
    <w:rsid w:val="0FF33188"/>
    <w:rsid w:val="0FFA5F3B"/>
    <w:rsid w:val="0FFB735E"/>
    <w:rsid w:val="0FFC19EE"/>
    <w:rsid w:val="100A1047"/>
    <w:rsid w:val="10212FFA"/>
    <w:rsid w:val="102C263B"/>
    <w:rsid w:val="102D34AD"/>
    <w:rsid w:val="102F26BC"/>
    <w:rsid w:val="103F2F21"/>
    <w:rsid w:val="105861F6"/>
    <w:rsid w:val="10712CC5"/>
    <w:rsid w:val="107644B9"/>
    <w:rsid w:val="10783F73"/>
    <w:rsid w:val="108A31F2"/>
    <w:rsid w:val="1090632E"/>
    <w:rsid w:val="10943047"/>
    <w:rsid w:val="109A1BFE"/>
    <w:rsid w:val="10A33C3F"/>
    <w:rsid w:val="10A720C0"/>
    <w:rsid w:val="10B10A38"/>
    <w:rsid w:val="10BA45A8"/>
    <w:rsid w:val="10C10627"/>
    <w:rsid w:val="10DC14B2"/>
    <w:rsid w:val="10DF577C"/>
    <w:rsid w:val="10EE0742"/>
    <w:rsid w:val="10F56841"/>
    <w:rsid w:val="10F816D9"/>
    <w:rsid w:val="11020059"/>
    <w:rsid w:val="11107AE6"/>
    <w:rsid w:val="111C3236"/>
    <w:rsid w:val="111E5F7D"/>
    <w:rsid w:val="11204B7E"/>
    <w:rsid w:val="112627BE"/>
    <w:rsid w:val="112E2F35"/>
    <w:rsid w:val="112E37C7"/>
    <w:rsid w:val="112E3C86"/>
    <w:rsid w:val="11353D58"/>
    <w:rsid w:val="114D060D"/>
    <w:rsid w:val="11571219"/>
    <w:rsid w:val="115F38CD"/>
    <w:rsid w:val="11641C95"/>
    <w:rsid w:val="11655C22"/>
    <w:rsid w:val="116F048B"/>
    <w:rsid w:val="11707F0A"/>
    <w:rsid w:val="1172622E"/>
    <w:rsid w:val="11761E55"/>
    <w:rsid w:val="1184041F"/>
    <w:rsid w:val="11852CC5"/>
    <w:rsid w:val="118A42F1"/>
    <w:rsid w:val="118B546D"/>
    <w:rsid w:val="11940F62"/>
    <w:rsid w:val="11B74E67"/>
    <w:rsid w:val="11B95EE3"/>
    <w:rsid w:val="11C668C5"/>
    <w:rsid w:val="11CB7A74"/>
    <w:rsid w:val="11D85545"/>
    <w:rsid w:val="11DF5A82"/>
    <w:rsid w:val="11E34097"/>
    <w:rsid w:val="11E701BC"/>
    <w:rsid w:val="11EB1BA2"/>
    <w:rsid w:val="11F1525C"/>
    <w:rsid w:val="11F7392C"/>
    <w:rsid w:val="121A71B1"/>
    <w:rsid w:val="121C31D4"/>
    <w:rsid w:val="122C28E1"/>
    <w:rsid w:val="123B491B"/>
    <w:rsid w:val="12480DDC"/>
    <w:rsid w:val="124C24FD"/>
    <w:rsid w:val="12541159"/>
    <w:rsid w:val="12584F73"/>
    <w:rsid w:val="125E5329"/>
    <w:rsid w:val="12705938"/>
    <w:rsid w:val="12734A5B"/>
    <w:rsid w:val="12A90208"/>
    <w:rsid w:val="12AF0115"/>
    <w:rsid w:val="12C15908"/>
    <w:rsid w:val="12C81D2A"/>
    <w:rsid w:val="12CC6A13"/>
    <w:rsid w:val="12CE4B2F"/>
    <w:rsid w:val="12D5480A"/>
    <w:rsid w:val="12EE768B"/>
    <w:rsid w:val="12F025CB"/>
    <w:rsid w:val="12F2507E"/>
    <w:rsid w:val="12F40C3E"/>
    <w:rsid w:val="12F87EAD"/>
    <w:rsid w:val="12FE1C75"/>
    <w:rsid w:val="13272F7A"/>
    <w:rsid w:val="13354E7E"/>
    <w:rsid w:val="13444323"/>
    <w:rsid w:val="1348637D"/>
    <w:rsid w:val="13497989"/>
    <w:rsid w:val="137C23B9"/>
    <w:rsid w:val="139A10AE"/>
    <w:rsid w:val="139E54ED"/>
    <w:rsid w:val="13A368AC"/>
    <w:rsid w:val="13AB4BEC"/>
    <w:rsid w:val="13B609CF"/>
    <w:rsid w:val="13BD2385"/>
    <w:rsid w:val="13C01A03"/>
    <w:rsid w:val="13C93A66"/>
    <w:rsid w:val="13D352C8"/>
    <w:rsid w:val="13DFA0F4"/>
    <w:rsid w:val="13ED18ED"/>
    <w:rsid w:val="13F47213"/>
    <w:rsid w:val="13F4721D"/>
    <w:rsid w:val="13F74A8A"/>
    <w:rsid w:val="140A2C4B"/>
    <w:rsid w:val="1413578D"/>
    <w:rsid w:val="14236408"/>
    <w:rsid w:val="14404CDE"/>
    <w:rsid w:val="144065C9"/>
    <w:rsid w:val="1441302F"/>
    <w:rsid w:val="14491AA8"/>
    <w:rsid w:val="14556697"/>
    <w:rsid w:val="14563E78"/>
    <w:rsid w:val="1466238A"/>
    <w:rsid w:val="146C2DC3"/>
    <w:rsid w:val="14760E43"/>
    <w:rsid w:val="147971BA"/>
    <w:rsid w:val="147A0121"/>
    <w:rsid w:val="148857F7"/>
    <w:rsid w:val="14956FCA"/>
    <w:rsid w:val="14A7731D"/>
    <w:rsid w:val="14B21736"/>
    <w:rsid w:val="14BF5F84"/>
    <w:rsid w:val="14C331EC"/>
    <w:rsid w:val="14C37173"/>
    <w:rsid w:val="14C4767F"/>
    <w:rsid w:val="14C757FD"/>
    <w:rsid w:val="14CD5FA2"/>
    <w:rsid w:val="14D30822"/>
    <w:rsid w:val="14D469D4"/>
    <w:rsid w:val="14DB4E4D"/>
    <w:rsid w:val="14E51ACD"/>
    <w:rsid w:val="14EFF2AD"/>
    <w:rsid w:val="14F13131"/>
    <w:rsid w:val="14F3493A"/>
    <w:rsid w:val="1504598C"/>
    <w:rsid w:val="150F15B3"/>
    <w:rsid w:val="15136DA0"/>
    <w:rsid w:val="151A41C8"/>
    <w:rsid w:val="152F6272"/>
    <w:rsid w:val="153D0141"/>
    <w:rsid w:val="154B072F"/>
    <w:rsid w:val="15572C73"/>
    <w:rsid w:val="156C5057"/>
    <w:rsid w:val="15746F86"/>
    <w:rsid w:val="157B4E14"/>
    <w:rsid w:val="15852899"/>
    <w:rsid w:val="15A630DB"/>
    <w:rsid w:val="15AF4EF3"/>
    <w:rsid w:val="15BBE18B"/>
    <w:rsid w:val="15C85E1F"/>
    <w:rsid w:val="15C9602D"/>
    <w:rsid w:val="15E67493"/>
    <w:rsid w:val="15EE6042"/>
    <w:rsid w:val="15FE75E4"/>
    <w:rsid w:val="160A0A26"/>
    <w:rsid w:val="160A362F"/>
    <w:rsid w:val="160C11CE"/>
    <w:rsid w:val="161F262E"/>
    <w:rsid w:val="16240ED1"/>
    <w:rsid w:val="162536C7"/>
    <w:rsid w:val="162611A0"/>
    <w:rsid w:val="16264C30"/>
    <w:rsid w:val="162A789F"/>
    <w:rsid w:val="162E079F"/>
    <w:rsid w:val="162F41DF"/>
    <w:rsid w:val="16346FC6"/>
    <w:rsid w:val="16375626"/>
    <w:rsid w:val="163D2B2C"/>
    <w:rsid w:val="164478EF"/>
    <w:rsid w:val="16491459"/>
    <w:rsid w:val="16497FB6"/>
    <w:rsid w:val="164C0D05"/>
    <w:rsid w:val="16567295"/>
    <w:rsid w:val="16643D18"/>
    <w:rsid w:val="16655EFA"/>
    <w:rsid w:val="16811618"/>
    <w:rsid w:val="16897AA8"/>
    <w:rsid w:val="16BE16CD"/>
    <w:rsid w:val="16C03BA4"/>
    <w:rsid w:val="16C1039B"/>
    <w:rsid w:val="16D41D3E"/>
    <w:rsid w:val="16D47633"/>
    <w:rsid w:val="16EA436C"/>
    <w:rsid w:val="16EF43A3"/>
    <w:rsid w:val="16EF7DD4"/>
    <w:rsid w:val="16F8164C"/>
    <w:rsid w:val="16F86304"/>
    <w:rsid w:val="16F946C1"/>
    <w:rsid w:val="16FE481C"/>
    <w:rsid w:val="17011746"/>
    <w:rsid w:val="171B3D09"/>
    <w:rsid w:val="1727623F"/>
    <w:rsid w:val="17291707"/>
    <w:rsid w:val="172F19A5"/>
    <w:rsid w:val="17632441"/>
    <w:rsid w:val="176514C2"/>
    <w:rsid w:val="17690411"/>
    <w:rsid w:val="1770511B"/>
    <w:rsid w:val="178B0B08"/>
    <w:rsid w:val="179614EF"/>
    <w:rsid w:val="179A46B2"/>
    <w:rsid w:val="17AC0E46"/>
    <w:rsid w:val="17BA2FA9"/>
    <w:rsid w:val="17C3302D"/>
    <w:rsid w:val="17C342FF"/>
    <w:rsid w:val="17DD0853"/>
    <w:rsid w:val="17EC3936"/>
    <w:rsid w:val="17EF2727"/>
    <w:rsid w:val="17FA6C31"/>
    <w:rsid w:val="17FB3E5B"/>
    <w:rsid w:val="181413F6"/>
    <w:rsid w:val="18221DA8"/>
    <w:rsid w:val="182D552A"/>
    <w:rsid w:val="182F53D3"/>
    <w:rsid w:val="186B56EB"/>
    <w:rsid w:val="186C7681"/>
    <w:rsid w:val="186D1685"/>
    <w:rsid w:val="18700A6F"/>
    <w:rsid w:val="18825C6C"/>
    <w:rsid w:val="188A2997"/>
    <w:rsid w:val="188C6147"/>
    <w:rsid w:val="189C10B5"/>
    <w:rsid w:val="18A321B1"/>
    <w:rsid w:val="18A56E22"/>
    <w:rsid w:val="18D628C9"/>
    <w:rsid w:val="18DC3830"/>
    <w:rsid w:val="18F00852"/>
    <w:rsid w:val="18F72FBD"/>
    <w:rsid w:val="18FE21C4"/>
    <w:rsid w:val="190E7CC0"/>
    <w:rsid w:val="191351F0"/>
    <w:rsid w:val="1918531F"/>
    <w:rsid w:val="192166B5"/>
    <w:rsid w:val="19241D0A"/>
    <w:rsid w:val="192B705A"/>
    <w:rsid w:val="19366576"/>
    <w:rsid w:val="194F15E8"/>
    <w:rsid w:val="195D5924"/>
    <w:rsid w:val="195F7CA8"/>
    <w:rsid w:val="19784A50"/>
    <w:rsid w:val="197C5D82"/>
    <w:rsid w:val="197D2CD5"/>
    <w:rsid w:val="1982000D"/>
    <w:rsid w:val="19873C81"/>
    <w:rsid w:val="199A4623"/>
    <w:rsid w:val="19AF6446"/>
    <w:rsid w:val="19BF7F64"/>
    <w:rsid w:val="19C47866"/>
    <w:rsid w:val="19C76217"/>
    <w:rsid w:val="19CD2F99"/>
    <w:rsid w:val="19DB2945"/>
    <w:rsid w:val="19DB584D"/>
    <w:rsid w:val="19DD1F61"/>
    <w:rsid w:val="19E0366F"/>
    <w:rsid w:val="19E84CE4"/>
    <w:rsid w:val="1A0F3E3B"/>
    <w:rsid w:val="1A116600"/>
    <w:rsid w:val="1A150715"/>
    <w:rsid w:val="1A1D6E85"/>
    <w:rsid w:val="1A4E4E2E"/>
    <w:rsid w:val="1A4E68AC"/>
    <w:rsid w:val="1A515BBF"/>
    <w:rsid w:val="1A6B4DAD"/>
    <w:rsid w:val="1A6D6F6A"/>
    <w:rsid w:val="1A775695"/>
    <w:rsid w:val="1A794DF2"/>
    <w:rsid w:val="1A9A4160"/>
    <w:rsid w:val="1AC754F4"/>
    <w:rsid w:val="1ACA2521"/>
    <w:rsid w:val="1ACC3C44"/>
    <w:rsid w:val="1AD86637"/>
    <w:rsid w:val="1AE3053A"/>
    <w:rsid w:val="1AF2020C"/>
    <w:rsid w:val="1AF37381"/>
    <w:rsid w:val="1AFA0191"/>
    <w:rsid w:val="1B0B6304"/>
    <w:rsid w:val="1B0D0A96"/>
    <w:rsid w:val="1B0E1BF8"/>
    <w:rsid w:val="1B1414CF"/>
    <w:rsid w:val="1B1E0A76"/>
    <w:rsid w:val="1B2B1106"/>
    <w:rsid w:val="1B490DB1"/>
    <w:rsid w:val="1B4A52BB"/>
    <w:rsid w:val="1B4B3FE1"/>
    <w:rsid w:val="1B50220C"/>
    <w:rsid w:val="1B5A66AE"/>
    <w:rsid w:val="1B5B419D"/>
    <w:rsid w:val="1B630BBE"/>
    <w:rsid w:val="1B754BE5"/>
    <w:rsid w:val="1B9A09EE"/>
    <w:rsid w:val="1B9F7869"/>
    <w:rsid w:val="1BB7B3E8"/>
    <w:rsid w:val="1BC91B4A"/>
    <w:rsid w:val="1BCC6FEC"/>
    <w:rsid w:val="1BCF38C7"/>
    <w:rsid w:val="1BDE15CE"/>
    <w:rsid w:val="1BF461FA"/>
    <w:rsid w:val="1BF7744C"/>
    <w:rsid w:val="1BFE7A2A"/>
    <w:rsid w:val="1C0F3715"/>
    <w:rsid w:val="1C1D58AD"/>
    <w:rsid w:val="1C1D6A43"/>
    <w:rsid w:val="1C264B84"/>
    <w:rsid w:val="1C3D60F7"/>
    <w:rsid w:val="1C431F45"/>
    <w:rsid w:val="1C520F8B"/>
    <w:rsid w:val="1C5816EA"/>
    <w:rsid w:val="1C6202FD"/>
    <w:rsid w:val="1C6E7B13"/>
    <w:rsid w:val="1C722B8A"/>
    <w:rsid w:val="1C8C3FD6"/>
    <w:rsid w:val="1C963E44"/>
    <w:rsid w:val="1C9968CD"/>
    <w:rsid w:val="1CB27293"/>
    <w:rsid w:val="1CB5036C"/>
    <w:rsid w:val="1CB5547D"/>
    <w:rsid w:val="1CBD18D4"/>
    <w:rsid w:val="1CBE7D99"/>
    <w:rsid w:val="1CD72D4A"/>
    <w:rsid w:val="1CE65C54"/>
    <w:rsid w:val="1D131510"/>
    <w:rsid w:val="1D1E2BE8"/>
    <w:rsid w:val="1D2672E5"/>
    <w:rsid w:val="1D3313C6"/>
    <w:rsid w:val="1D3A454E"/>
    <w:rsid w:val="1D3D113C"/>
    <w:rsid w:val="1D3E39D8"/>
    <w:rsid w:val="1D521604"/>
    <w:rsid w:val="1D6C76A0"/>
    <w:rsid w:val="1D77F591"/>
    <w:rsid w:val="1D7A1C1D"/>
    <w:rsid w:val="1D7B3E4C"/>
    <w:rsid w:val="1D7B86EE"/>
    <w:rsid w:val="1DA260B7"/>
    <w:rsid w:val="1DA63E8A"/>
    <w:rsid w:val="1DB16BCE"/>
    <w:rsid w:val="1DC95B29"/>
    <w:rsid w:val="1DCF3515"/>
    <w:rsid w:val="1DD116A4"/>
    <w:rsid w:val="1DD17AB6"/>
    <w:rsid w:val="1DD478F8"/>
    <w:rsid w:val="1DE47C89"/>
    <w:rsid w:val="1DE80CA8"/>
    <w:rsid w:val="1DE9231D"/>
    <w:rsid w:val="1DF41667"/>
    <w:rsid w:val="1DF53263"/>
    <w:rsid w:val="1DF70E1F"/>
    <w:rsid w:val="1DF906F1"/>
    <w:rsid w:val="1E15462F"/>
    <w:rsid w:val="1E1A4B84"/>
    <w:rsid w:val="1E285E0F"/>
    <w:rsid w:val="1E293613"/>
    <w:rsid w:val="1E342B3A"/>
    <w:rsid w:val="1E393653"/>
    <w:rsid w:val="1E3E386E"/>
    <w:rsid w:val="1E5946D2"/>
    <w:rsid w:val="1E6049D7"/>
    <w:rsid w:val="1E650C08"/>
    <w:rsid w:val="1E685CD6"/>
    <w:rsid w:val="1E733746"/>
    <w:rsid w:val="1E7E517C"/>
    <w:rsid w:val="1E8B48A5"/>
    <w:rsid w:val="1E8C6387"/>
    <w:rsid w:val="1E9D6E8B"/>
    <w:rsid w:val="1EA461E4"/>
    <w:rsid w:val="1EA47B25"/>
    <w:rsid w:val="1EB27614"/>
    <w:rsid w:val="1ECA5CD9"/>
    <w:rsid w:val="1ED44095"/>
    <w:rsid w:val="1EE83AB0"/>
    <w:rsid w:val="1EE96A3E"/>
    <w:rsid w:val="1EED7C3D"/>
    <w:rsid w:val="1F2D5D45"/>
    <w:rsid w:val="1F322A51"/>
    <w:rsid w:val="1F435EE2"/>
    <w:rsid w:val="1F473552"/>
    <w:rsid w:val="1F4C1206"/>
    <w:rsid w:val="1F5A1CE8"/>
    <w:rsid w:val="1F72D110"/>
    <w:rsid w:val="1F7DAE62"/>
    <w:rsid w:val="1F9F159E"/>
    <w:rsid w:val="1FA72C44"/>
    <w:rsid w:val="1FB74BB5"/>
    <w:rsid w:val="1FC4031B"/>
    <w:rsid w:val="1FCD7A13"/>
    <w:rsid w:val="1FD66616"/>
    <w:rsid w:val="1FDFCF66"/>
    <w:rsid w:val="1FE41610"/>
    <w:rsid w:val="1FE44BDD"/>
    <w:rsid w:val="1FE54865"/>
    <w:rsid w:val="1FE87F35"/>
    <w:rsid w:val="1FED65C9"/>
    <w:rsid w:val="1FF7C2B9"/>
    <w:rsid w:val="1FF7E591"/>
    <w:rsid w:val="1FF90420"/>
    <w:rsid w:val="1FFD2801"/>
    <w:rsid w:val="1FFFA62B"/>
    <w:rsid w:val="2027075B"/>
    <w:rsid w:val="202C7E22"/>
    <w:rsid w:val="202F16C0"/>
    <w:rsid w:val="202F4EB1"/>
    <w:rsid w:val="20370B2F"/>
    <w:rsid w:val="20735A50"/>
    <w:rsid w:val="208C6E7F"/>
    <w:rsid w:val="209832EA"/>
    <w:rsid w:val="209B392A"/>
    <w:rsid w:val="209C2A01"/>
    <w:rsid w:val="20A92654"/>
    <w:rsid w:val="20D30894"/>
    <w:rsid w:val="20D34304"/>
    <w:rsid w:val="20DB5423"/>
    <w:rsid w:val="20E915D8"/>
    <w:rsid w:val="20EB5BFF"/>
    <w:rsid w:val="20EC77C5"/>
    <w:rsid w:val="21094127"/>
    <w:rsid w:val="210B03EF"/>
    <w:rsid w:val="210D1046"/>
    <w:rsid w:val="21167B32"/>
    <w:rsid w:val="211A1256"/>
    <w:rsid w:val="212451BB"/>
    <w:rsid w:val="2133175E"/>
    <w:rsid w:val="21377641"/>
    <w:rsid w:val="214127A3"/>
    <w:rsid w:val="218D0E0C"/>
    <w:rsid w:val="219601CA"/>
    <w:rsid w:val="21A25DD1"/>
    <w:rsid w:val="21B3042A"/>
    <w:rsid w:val="21C124ED"/>
    <w:rsid w:val="21CE2EE3"/>
    <w:rsid w:val="21D1720A"/>
    <w:rsid w:val="21DF2B82"/>
    <w:rsid w:val="21ED0875"/>
    <w:rsid w:val="21F140A1"/>
    <w:rsid w:val="22090E92"/>
    <w:rsid w:val="220B1CB9"/>
    <w:rsid w:val="221A2C33"/>
    <w:rsid w:val="221F1485"/>
    <w:rsid w:val="22352702"/>
    <w:rsid w:val="224C7A72"/>
    <w:rsid w:val="2262362E"/>
    <w:rsid w:val="227D0BB6"/>
    <w:rsid w:val="22840D98"/>
    <w:rsid w:val="228467B6"/>
    <w:rsid w:val="22951A09"/>
    <w:rsid w:val="229F5757"/>
    <w:rsid w:val="22B235B3"/>
    <w:rsid w:val="22BB37DF"/>
    <w:rsid w:val="22BE7791"/>
    <w:rsid w:val="22C3588E"/>
    <w:rsid w:val="22C64D27"/>
    <w:rsid w:val="22D7479E"/>
    <w:rsid w:val="22E06EE4"/>
    <w:rsid w:val="22EE7548"/>
    <w:rsid w:val="22F05E44"/>
    <w:rsid w:val="22F070E7"/>
    <w:rsid w:val="22F24EC1"/>
    <w:rsid w:val="22F35EFA"/>
    <w:rsid w:val="23145605"/>
    <w:rsid w:val="231E6C12"/>
    <w:rsid w:val="232E468D"/>
    <w:rsid w:val="233228DB"/>
    <w:rsid w:val="2335523F"/>
    <w:rsid w:val="233B3B97"/>
    <w:rsid w:val="234D6D29"/>
    <w:rsid w:val="235C0A1E"/>
    <w:rsid w:val="237C4430"/>
    <w:rsid w:val="237D2411"/>
    <w:rsid w:val="237E5BDD"/>
    <w:rsid w:val="237F674D"/>
    <w:rsid w:val="23880F72"/>
    <w:rsid w:val="239F4DAE"/>
    <w:rsid w:val="23B32CF3"/>
    <w:rsid w:val="23B36098"/>
    <w:rsid w:val="23CC2736"/>
    <w:rsid w:val="23CD2A8D"/>
    <w:rsid w:val="23E0076A"/>
    <w:rsid w:val="23E84605"/>
    <w:rsid w:val="23F05448"/>
    <w:rsid w:val="23F735E0"/>
    <w:rsid w:val="23FD4DD6"/>
    <w:rsid w:val="240F5615"/>
    <w:rsid w:val="24306881"/>
    <w:rsid w:val="24312590"/>
    <w:rsid w:val="24397510"/>
    <w:rsid w:val="243E6EF5"/>
    <w:rsid w:val="244A736B"/>
    <w:rsid w:val="24552DA7"/>
    <w:rsid w:val="245C7D94"/>
    <w:rsid w:val="2466403B"/>
    <w:rsid w:val="24706F5C"/>
    <w:rsid w:val="247950A5"/>
    <w:rsid w:val="24817724"/>
    <w:rsid w:val="2486696F"/>
    <w:rsid w:val="24972ED0"/>
    <w:rsid w:val="24AA5D34"/>
    <w:rsid w:val="24B212F1"/>
    <w:rsid w:val="24B7562F"/>
    <w:rsid w:val="24B76500"/>
    <w:rsid w:val="24B848FE"/>
    <w:rsid w:val="24C00EDF"/>
    <w:rsid w:val="24C331F0"/>
    <w:rsid w:val="24C90A4F"/>
    <w:rsid w:val="24C95A66"/>
    <w:rsid w:val="24D5474B"/>
    <w:rsid w:val="24DF7FE5"/>
    <w:rsid w:val="24F06020"/>
    <w:rsid w:val="24F60740"/>
    <w:rsid w:val="24F667F1"/>
    <w:rsid w:val="250D607D"/>
    <w:rsid w:val="251A6779"/>
    <w:rsid w:val="251B1CC4"/>
    <w:rsid w:val="251F7798"/>
    <w:rsid w:val="25237462"/>
    <w:rsid w:val="25305463"/>
    <w:rsid w:val="253464FD"/>
    <w:rsid w:val="254316A3"/>
    <w:rsid w:val="25436883"/>
    <w:rsid w:val="25455FB4"/>
    <w:rsid w:val="254A454C"/>
    <w:rsid w:val="254E21D5"/>
    <w:rsid w:val="255008D8"/>
    <w:rsid w:val="255A56B4"/>
    <w:rsid w:val="256F1139"/>
    <w:rsid w:val="25774DF0"/>
    <w:rsid w:val="257909BF"/>
    <w:rsid w:val="25925B8D"/>
    <w:rsid w:val="259668DD"/>
    <w:rsid w:val="259E2A2D"/>
    <w:rsid w:val="25BD7FCA"/>
    <w:rsid w:val="25CB21CC"/>
    <w:rsid w:val="25E106F2"/>
    <w:rsid w:val="25EB37EE"/>
    <w:rsid w:val="25ED67AF"/>
    <w:rsid w:val="25FF342C"/>
    <w:rsid w:val="26072A06"/>
    <w:rsid w:val="260A1617"/>
    <w:rsid w:val="26170A66"/>
    <w:rsid w:val="26321B69"/>
    <w:rsid w:val="263712CE"/>
    <w:rsid w:val="26375519"/>
    <w:rsid w:val="263C60AB"/>
    <w:rsid w:val="264D17AA"/>
    <w:rsid w:val="265C369E"/>
    <w:rsid w:val="266151B7"/>
    <w:rsid w:val="267E4809"/>
    <w:rsid w:val="26833C50"/>
    <w:rsid w:val="26875EA2"/>
    <w:rsid w:val="269520BD"/>
    <w:rsid w:val="26A751E4"/>
    <w:rsid w:val="26B3172D"/>
    <w:rsid w:val="26D31B19"/>
    <w:rsid w:val="26D336D1"/>
    <w:rsid w:val="26DE1547"/>
    <w:rsid w:val="26E01F37"/>
    <w:rsid w:val="26E47E42"/>
    <w:rsid w:val="26E8396A"/>
    <w:rsid w:val="26F471BF"/>
    <w:rsid w:val="26FAFF09"/>
    <w:rsid w:val="270D0BA4"/>
    <w:rsid w:val="27133C44"/>
    <w:rsid w:val="271517D7"/>
    <w:rsid w:val="272D16A5"/>
    <w:rsid w:val="27493A6E"/>
    <w:rsid w:val="275075A7"/>
    <w:rsid w:val="2756052B"/>
    <w:rsid w:val="275D035B"/>
    <w:rsid w:val="27611053"/>
    <w:rsid w:val="2763222C"/>
    <w:rsid w:val="27633399"/>
    <w:rsid w:val="27660549"/>
    <w:rsid w:val="2778707A"/>
    <w:rsid w:val="278114B6"/>
    <w:rsid w:val="2785270F"/>
    <w:rsid w:val="27983BDF"/>
    <w:rsid w:val="27A1688A"/>
    <w:rsid w:val="27A70083"/>
    <w:rsid w:val="27BAC75F"/>
    <w:rsid w:val="27C17834"/>
    <w:rsid w:val="27C64EEA"/>
    <w:rsid w:val="27CB1D6B"/>
    <w:rsid w:val="27CE6089"/>
    <w:rsid w:val="27CF6C5D"/>
    <w:rsid w:val="27D30432"/>
    <w:rsid w:val="27D7474C"/>
    <w:rsid w:val="27D96C1F"/>
    <w:rsid w:val="27E02B10"/>
    <w:rsid w:val="27E255B7"/>
    <w:rsid w:val="27EE1E60"/>
    <w:rsid w:val="27FA6B96"/>
    <w:rsid w:val="27FD20A3"/>
    <w:rsid w:val="28205596"/>
    <w:rsid w:val="282D0B1D"/>
    <w:rsid w:val="283B3949"/>
    <w:rsid w:val="283C456F"/>
    <w:rsid w:val="284D1DA8"/>
    <w:rsid w:val="285A5748"/>
    <w:rsid w:val="285B711D"/>
    <w:rsid w:val="286B3542"/>
    <w:rsid w:val="28993C9D"/>
    <w:rsid w:val="289E73E3"/>
    <w:rsid w:val="28A03026"/>
    <w:rsid w:val="28A119B2"/>
    <w:rsid w:val="28A2523C"/>
    <w:rsid w:val="28A352A7"/>
    <w:rsid w:val="28A50CAD"/>
    <w:rsid w:val="28CB6EC8"/>
    <w:rsid w:val="28CD5477"/>
    <w:rsid w:val="28D93BD3"/>
    <w:rsid w:val="28E87297"/>
    <w:rsid w:val="28EE5802"/>
    <w:rsid w:val="29171ED1"/>
    <w:rsid w:val="2924446F"/>
    <w:rsid w:val="29275831"/>
    <w:rsid w:val="293B57A2"/>
    <w:rsid w:val="295265A0"/>
    <w:rsid w:val="298138C6"/>
    <w:rsid w:val="29905153"/>
    <w:rsid w:val="29957FA4"/>
    <w:rsid w:val="299C6071"/>
    <w:rsid w:val="299D769A"/>
    <w:rsid w:val="299F7632"/>
    <w:rsid w:val="29A20127"/>
    <w:rsid w:val="29A3512E"/>
    <w:rsid w:val="29A429CB"/>
    <w:rsid w:val="29AC7FBF"/>
    <w:rsid w:val="29B726C7"/>
    <w:rsid w:val="29B8D3CB"/>
    <w:rsid w:val="29BD1AEA"/>
    <w:rsid w:val="29DE11AB"/>
    <w:rsid w:val="29ED4AEE"/>
    <w:rsid w:val="2A03219A"/>
    <w:rsid w:val="2A0E506C"/>
    <w:rsid w:val="2A146FDC"/>
    <w:rsid w:val="2A1E2507"/>
    <w:rsid w:val="2A213DE2"/>
    <w:rsid w:val="2A65421A"/>
    <w:rsid w:val="2A65433F"/>
    <w:rsid w:val="2A6E1E28"/>
    <w:rsid w:val="2A933E66"/>
    <w:rsid w:val="2A9B1059"/>
    <w:rsid w:val="2A9D0757"/>
    <w:rsid w:val="2AAB1B4B"/>
    <w:rsid w:val="2AC33659"/>
    <w:rsid w:val="2ACE1205"/>
    <w:rsid w:val="2AD758E5"/>
    <w:rsid w:val="2ADE289B"/>
    <w:rsid w:val="2ADE51D1"/>
    <w:rsid w:val="2ADE6072"/>
    <w:rsid w:val="2AE46E41"/>
    <w:rsid w:val="2AE614CF"/>
    <w:rsid w:val="2AF3701B"/>
    <w:rsid w:val="2AFE01D6"/>
    <w:rsid w:val="2B003CA3"/>
    <w:rsid w:val="2B0A3F1F"/>
    <w:rsid w:val="2B116628"/>
    <w:rsid w:val="2B15325B"/>
    <w:rsid w:val="2B1E6789"/>
    <w:rsid w:val="2B2C24D0"/>
    <w:rsid w:val="2B3E7F25"/>
    <w:rsid w:val="2B3F055B"/>
    <w:rsid w:val="2B516D0E"/>
    <w:rsid w:val="2B5FFB20"/>
    <w:rsid w:val="2B677027"/>
    <w:rsid w:val="2B6C2BC3"/>
    <w:rsid w:val="2B722264"/>
    <w:rsid w:val="2B73CD57"/>
    <w:rsid w:val="2B741509"/>
    <w:rsid w:val="2B7F1D95"/>
    <w:rsid w:val="2B8D63DD"/>
    <w:rsid w:val="2B9F6330"/>
    <w:rsid w:val="2BB56286"/>
    <w:rsid w:val="2BB5BA59"/>
    <w:rsid w:val="2BBF9F16"/>
    <w:rsid w:val="2BDC353E"/>
    <w:rsid w:val="2BEA3710"/>
    <w:rsid w:val="2BED07C2"/>
    <w:rsid w:val="2BF87279"/>
    <w:rsid w:val="2BFE646F"/>
    <w:rsid w:val="2C03479A"/>
    <w:rsid w:val="2C0B33DD"/>
    <w:rsid w:val="2C1F2155"/>
    <w:rsid w:val="2C2831FF"/>
    <w:rsid w:val="2C2D0302"/>
    <w:rsid w:val="2C3A6B4A"/>
    <w:rsid w:val="2C406E45"/>
    <w:rsid w:val="2C43628A"/>
    <w:rsid w:val="2C486955"/>
    <w:rsid w:val="2C5067F9"/>
    <w:rsid w:val="2C577CE7"/>
    <w:rsid w:val="2C593F67"/>
    <w:rsid w:val="2C62061D"/>
    <w:rsid w:val="2C6C77F8"/>
    <w:rsid w:val="2C7341FA"/>
    <w:rsid w:val="2C8B41CD"/>
    <w:rsid w:val="2CA900CB"/>
    <w:rsid w:val="2CAC0DA1"/>
    <w:rsid w:val="2CB726C7"/>
    <w:rsid w:val="2CB871A1"/>
    <w:rsid w:val="2CBD7CD3"/>
    <w:rsid w:val="2CD53F2A"/>
    <w:rsid w:val="2CE75476"/>
    <w:rsid w:val="2CEA0F2D"/>
    <w:rsid w:val="2CEA54BE"/>
    <w:rsid w:val="2CEA665C"/>
    <w:rsid w:val="2CEB68FE"/>
    <w:rsid w:val="2CFA250A"/>
    <w:rsid w:val="2CFA35A7"/>
    <w:rsid w:val="2D095B88"/>
    <w:rsid w:val="2D10402E"/>
    <w:rsid w:val="2D1343B5"/>
    <w:rsid w:val="2D1E0AF2"/>
    <w:rsid w:val="2D391DA7"/>
    <w:rsid w:val="2D4349FC"/>
    <w:rsid w:val="2D5C2E0F"/>
    <w:rsid w:val="2D8D6215"/>
    <w:rsid w:val="2D945030"/>
    <w:rsid w:val="2D9A0AAE"/>
    <w:rsid w:val="2D9A2A37"/>
    <w:rsid w:val="2DA4056C"/>
    <w:rsid w:val="2DAE9BED"/>
    <w:rsid w:val="2DB3208C"/>
    <w:rsid w:val="2DC04371"/>
    <w:rsid w:val="2DC10B4E"/>
    <w:rsid w:val="2DCF1903"/>
    <w:rsid w:val="2DD45684"/>
    <w:rsid w:val="2DDC3F04"/>
    <w:rsid w:val="2DEA00C1"/>
    <w:rsid w:val="2DEA6CF3"/>
    <w:rsid w:val="2DF74CB1"/>
    <w:rsid w:val="2DF91F02"/>
    <w:rsid w:val="2E076DD8"/>
    <w:rsid w:val="2E314A4B"/>
    <w:rsid w:val="2E357A01"/>
    <w:rsid w:val="2E47BF4E"/>
    <w:rsid w:val="2E54555A"/>
    <w:rsid w:val="2E5C9F73"/>
    <w:rsid w:val="2E607341"/>
    <w:rsid w:val="2E64466E"/>
    <w:rsid w:val="2E670E36"/>
    <w:rsid w:val="2E852ACB"/>
    <w:rsid w:val="2E855E64"/>
    <w:rsid w:val="2EAA57AC"/>
    <w:rsid w:val="2EAFB135"/>
    <w:rsid w:val="2EB439B4"/>
    <w:rsid w:val="2EB925C0"/>
    <w:rsid w:val="2EC44959"/>
    <w:rsid w:val="2EE41F55"/>
    <w:rsid w:val="2EF148A6"/>
    <w:rsid w:val="2EF33E12"/>
    <w:rsid w:val="2EF77F11"/>
    <w:rsid w:val="2F0378E5"/>
    <w:rsid w:val="2F09672F"/>
    <w:rsid w:val="2F203569"/>
    <w:rsid w:val="2F2C4D94"/>
    <w:rsid w:val="2F2D5433"/>
    <w:rsid w:val="2F4B5DEA"/>
    <w:rsid w:val="2F4E31BB"/>
    <w:rsid w:val="2F4F2911"/>
    <w:rsid w:val="2F511240"/>
    <w:rsid w:val="2F630D40"/>
    <w:rsid w:val="2F674A2D"/>
    <w:rsid w:val="2F6851FB"/>
    <w:rsid w:val="2F686F8D"/>
    <w:rsid w:val="2F6A257A"/>
    <w:rsid w:val="2F6F79A3"/>
    <w:rsid w:val="2F7F0F85"/>
    <w:rsid w:val="2F7F653B"/>
    <w:rsid w:val="2F802AD7"/>
    <w:rsid w:val="2F8948FA"/>
    <w:rsid w:val="2F990291"/>
    <w:rsid w:val="2F9A038F"/>
    <w:rsid w:val="2F9B09B6"/>
    <w:rsid w:val="2F9D1E68"/>
    <w:rsid w:val="2F9F5F54"/>
    <w:rsid w:val="2FA3541C"/>
    <w:rsid w:val="2FA63BD6"/>
    <w:rsid w:val="2FA848EB"/>
    <w:rsid w:val="2FA959F8"/>
    <w:rsid w:val="2FB072C1"/>
    <w:rsid w:val="2FB325B4"/>
    <w:rsid w:val="2FC62DCF"/>
    <w:rsid w:val="2FD3DA7F"/>
    <w:rsid w:val="2FD5161A"/>
    <w:rsid w:val="2FD97C8D"/>
    <w:rsid w:val="2FDE8EBA"/>
    <w:rsid w:val="2FE53907"/>
    <w:rsid w:val="2FE77911"/>
    <w:rsid w:val="2FF344B8"/>
    <w:rsid w:val="2FF72798"/>
    <w:rsid w:val="2FF9788B"/>
    <w:rsid w:val="2FFC265B"/>
    <w:rsid w:val="30063AAE"/>
    <w:rsid w:val="300E6C90"/>
    <w:rsid w:val="30160A47"/>
    <w:rsid w:val="301F1E32"/>
    <w:rsid w:val="30415246"/>
    <w:rsid w:val="304C38D7"/>
    <w:rsid w:val="30517A1B"/>
    <w:rsid w:val="30613E66"/>
    <w:rsid w:val="30644561"/>
    <w:rsid w:val="3069608C"/>
    <w:rsid w:val="3070486F"/>
    <w:rsid w:val="307A0CF3"/>
    <w:rsid w:val="308B0B94"/>
    <w:rsid w:val="308E429B"/>
    <w:rsid w:val="30915252"/>
    <w:rsid w:val="30960CA9"/>
    <w:rsid w:val="30A32682"/>
    <w:rsid w:val="30C44372"/>
    <w:rsid w:val="30DA176B"/>
    <w:rsid w:val="30E00B27"/>
    <w:rsid w:val="30E97E42"/>
    <w:rsid w:val="30F5108D"/>
    <w:rsid w:val="30FC536F"/>
    <w:rsid w:val="310B3905"/>
    <w:rsid w:val="311F2407"/>
    <w:rsid w:val="313A66C1"/>
    <w:rsid w:val="315A2582"/>
    <w:rsid w:val="317C1F01"/>
    <w:rsid w:val="31867F0D"/>
    <w:rsid w:val="319A34B0"/>
    <w:rsid w:val="31B226AF"/>
    <w:rsid w:val="31E75553"/>
    <w:rsid w:val="31F16660"/>
    <w:rsid w:val="32003506"/>
    <w:rsid w:val="3202125B"/>
    <w:rsid w:val="320F472A"/>
    <w:rsid w:val="32105F69"/>
    <w:rsid w:val="32107686"/>
    <w:rsid w:val="322E23DB"/>
    <w:rsid w:val="322E3FB1"/>
    <w:rsid w:val="324745B0"/>
    <w:rsid w:val="32493AB9"/>
    <w:rsid w:val="324C10F6"/>
    <w:rsid w:val="32611C7D"/>
    <w:rsid w:val="326935C3"/>
    <w:rsid w:val="326E67E5"/>
    <w:rsid w:val="32774C91"/>
    <w:rsid w:val="328911B2"/>
    <w:rsid w:val="328F0B9E"/>
    <w:rsid w:val="329D54AA"/>
    <w:rsid w:val="32A079DD"/>
    <w:rsid w:val="32AC001E"/>
    <w:rsid w:val="32AF6F73"/>
    <w:rsid w:val="32D96B91"/>
    <w:rsid w:val="32DA7AB5"/>
    <w:rsid w:val="32E04A05"/>
    <w:rsid w:val="32EE1A0C"/>
    <w:rsid w:val="32F94C4D"/>
    <w:rsid w:val="33016265"/>
    <w:rsid w:val="33036B98"/>
    <w:rsid w:val="331B2904"/>
    <w:rsid w:val="33284DD3"/>
    <w:rsid w:val="33294F44"/>
    <w:rsid w:val="332C473E"/>
    <w:rsid w:val="334F378C"/>
    <w:rsid w:val="335059B5"/>
    <w:rsid w:val="3354616F"/>
    <w:rsid w:val="336313C5"/>
    <w:rsid w:val="3363296B"/>
    <w:rsid w:val="336D443A"/>
    <w:rsid w:val="33704004"/>
    <w:rsid w:val="33730D70"/>
    <w:rsid w:val="33826319"/>
    <w:rsid w:val="339A46AD"/>
    <w:rsid w:val="33A278CB"/>
    <w:rsid w:val="33CBD64A"/>
    <w:rsid w:val="33D68F6A"/>
    <w:rsid w:val="33E53284"/>
    <w:rsid w:val="33FB3404"/>
    <w:rsid w:val="33FB42EE"/>
    <w:rsid w:val="33FC5905"/>
    <w:rsid w:val="33FF4E87"/>
    <w:rsid w:val="33FF513D"/>
    <w:rsid w:val="341E5E46"/>
    <w:rsid w:val="341FF0B2"/>
    <w:rsid w:val="34227AE9"/>
    <w:rsid w:val="34282E27"/>
    <w:rsid w:val="342918A0"/>
    <w:rsid w:val="342D6C61"/>
    <w:rsid w:val="34321373"/>
    <w:rsid w:val="34500C26"/>
    <w:rsid w:val="3466390F"/>
    <w:rsid w:val="346B79F7"/>
    <w:rsid w:val="34835596"/>
    <w:rsid w:val="34844573"/>
    <w:rsid w:val="349E076A"/>
    <w:rsid w:val="34A84C4B"/>
    <w:rsid w:val="34B80D4D"/>
    <w:rsid w:val="34B908DF"/>
    <w:rsid w:val="34BF0057"/>
    <w:rsid w:val="34C44714"/>
    <w:rsid w:val="34EC3BCC"/>
    <w:rsid w:val="34F39722"/>
    <w:rsid w:val="34FE78AE"/>
    <w:rsid w:val="35011D28"/>
    <w:rsid w:val="35087251"/>
    <w:rsid w:val="35173C26"/>
    <w:rsid w:val="3532541C"/>
    <w:rsid w:val="3536502F"/>
    <w:rsid w:val="354F79B6"/>
    <w:rsid w:val="355406E2"/>
    <w:rsid w:val="35561C43"/>
    <w:rsid w:val="35645C72"/>
    <w:rsid w:val="356D6408"/>
    <w:rsid w:val="35711ECB"/>
    <w:rsid w:val="3575767A"/>
    <w:rsid w:val="357B6527"/>
    <w:rsid w:val="359362A8"/>
    <w:rsid w:val="35AA32DF"/>
    <w:rsid w:val="35B33404"/>
    <w:rsid w:val="35B51414"/>
    <w:rsid w:val="35BE20FC"/>
    <w:rsid w:val="35BF179B"/>
    <w:rsid w:val="35C056CA"/>
    <w:rsid w:val="35C71516"/>
    <w:rsid w:val="35C91161"/>
    <w:rsid w:val="35E05740"/>
    <w:rsid w:val="35E05830"/>
    <w:rsid w:val="35EF1332"/>
    <w:rsid w:val="35F44AE6"/>
    <w:rsid w:val="35F82176"/>
    <w:rsid w:val="35FD24D4"/>
    <w:rsid w:val="360212A6"/>
    <w:rsid w:val="36050606"/>
    <w:rsid w:val="36184C11"/>
    <w:rsid w:val="361F580A"/>
    <w:rsid w:val="362D1CCA"/>
    <w:rsid w:val="363B5302"/>
    <w:rsid w:val="364E1203"/>
    <w:rsid w:val="365D75DD"/>
    <w:rsid w:val="36605FD2"/>
    <w:rsid w:val="36741EF9"/>
    <w:rsid w:val="368805D3"/>
    <w:rsid w:val="368F5D0B"/>
    <w:rsid w:val="369E52A5"/>
    <w:rsid w:val="36B51DB9"/>
    <w:rsid w:val="36BA60B7"/>
    <w:rsid w:val="36BE6EA2"/>
    <w:rsid w:val="36C044F6"/>
    <w:rsid w:val="36D300FA"/>
    <w:rsid w:val="36E05FC2"/>
    <w:rsid w:val="36E45F0B"/>
    <w:rsid w:val="36E949D5"/>
    <w:rsid w:val="36F73119"/>
    <w:rsid w:val="37087E2E"/>
    <w:rsid w:val="370C647A"/>
    <w:rsid w:val="370C697F"/>
    <w:rsid w:val="371753F7"/>
    <w:rsid w:val="37203367"/>
    <w:rsid w:val="37282110"/>
    <w:rsid w:val="372A3CEE"/>
    <w:rsid w:val="37379DF9"/>
    <w:rsid w:val="37465815"/>
    <w:rsid w:val="374837C7"/>
    <w:rsid w:val="37503251"/>
    <w:rsid w:val="37520EE5"/>
    <w:rsid w:val="37541D8D"/>
    <w:rsid w:val="37545E8B"/>
    <w:rsid w:val="375FF9A7"/>
    <w:rsid w:val="3773024B"/>
    <w:rsid w:val="37775FF0"/>
    <w:rsid w:val="37780513"/>
    <w:rsid w:val="377AA4D1"/>
    <w:rsid w:val="377CA805"/>
    <w:rsid w:val="3793B32C"/>
    <w:rsid w:val="37943DF8"/>
    <w:rsid w:val="37A30F31"/>
    <w:rsid w:val="37A72A39"/>
    <w:rsid w:val="37AC4D26"/>
    <w:rsid w:val="37B13247"/>
    <w:rsid w:val="37B55F71"/>
    <w:rsid w:val="37C563E3"/>
    <w:rsid w:val="37C67B15"/>
    <w:rsid w:val="37CA041B"/>
    <w:rsid w:val="37CD8E29"/>
    <w:rsid w:val="37DB488E"/>
    <w:rsid w:val="37DF3574"/>
    <w:rsid w:val="37EF53CC"/>
    <w:rsid w:val="37F22497"/>
    <w:rsid w:val="37F30FE7"/>
    <w:rsid w:val="37F74C56"/>
    <w:rsid w:val="37FAF3C7"/>
    <w:rsid w:val="37FC2A1E"/>
    <w:rsid w:val="37FF871C"/>
    <w:rsid w:val="3815013F"/>
    <w:rsid w:val="38162793"/>
    <w:rsid w:val="382F5BBE"/>
    <w:rsid w:val="38333A28"/>
    <w:rsid w:val="38392A2B"/>
    <w:rsid w:val="38582111"/>
    <w:rsid w:val="387571C9"/>
    <w:rsid w:val="387625C3"/>
    <w:rsid w:val="387E9E93"/>
    <w:rsid w:val="38964DFC"/>
    <w:rsid w:val="389D2810"/>
    <w:rsid w:val="38BA0656"/>
    <w:rsid w:val="38C2746A"/>
    <w:rsid w:val="38CA4BA5"/>
    <w:rsid w:val="38DF1C0A"/>
    <w:rsid w:val="38DF4BA0"/>
    <w:rsid w:val="38E01B82"/>
    <w:rsid w:val="38E405C1"/>
    <w:rsid w:val="38E91F4F"/>
    <w:rsid w:val="38EE4EE8"/>
    <w:rsid w:val="38F003D7"/>
    <w:rsid w:val="38F819D1"/>
    <w:rsid w:val="38FA08BB"/>
    <w:rsid w:val="38FC5D7D"/>
    <w:rsid w:val="38FD134E"/>
    <w:rsid w:val="38FE5C7B"/>
    <w:rsid w:val="390D2369"/>
    <w:rsid w:val="391A4DE6"/>
    <w:rsid w:val="391D6677"/>
    <w:rsid w:val="392867AC"/>
    <w:rsid w:val="392A1850"/>
    <w:rsid w:val="392A1D55"/>
    <w:rsid w:val="392F1256"/>
    <w:rsid w:val="393623EA"/>
    <w:rsid w:val="39363C83"/>
    <w:rsid w:val="39365C13"/>
    <w:rsid w:val="393D3726"/>
    <w:rsid w:val="393D3C31"/>
    <w:rsid w:val="393E1DB6"/>
    <w:rsid w:val="394150C4"/>
    <w:rsid w:val="3942673D"/>
    <w:rsid w:val="394455D4"/>
    <w:rsid w:val="39566D8E"/>
    <w:rsid w:val="395F7F87"/>
    <w:rsid w:val="396B4922"/>
    <w:rsid w:val="397B46B2"/>
    <w:rsid w:val="397C6595"/>
    <w:rsid w:val="397F34FB"/>
    <w:rsid w:val="398D2FB9"/>
    <w:rsid w:val="39954C91"/>
    <w:rsid w:val="39983292"/>
    <w:rsid w:val="39A23A7D"/>
    <w:rsid w:val="39A75603"/>
    <w:rsid w:val="39B1686F"/>
    <w:rsid w:val="39B536FB"/>
    <w:rsid w:val="39BC398C"/>
    <w:rsid w:val="39BC6CC9"/>
    <w:rsid w:val="39C75C68"/>
    <w:rsid w:val="39E050AE"/>
    <w:rsid w:val="39F432F7"/>
    <w:rsid w:val="39FB00F0"/>
    <w:rsid w:val="3A0D60FE"/>
    <w:rsid w:val="3A16787F"/>
    <w:rsid w:val="3A256B11"/>
    <w:rsid w:val="3A2B62B5"/>
    <w:rsid w:val="3A383335"/>
    <w:rsid w:val="3A502507"/>
    <w:rsid w:val="3A5D587F"/>
    <w:rsid w:val="3A657B6A"/>
    <w:rsid w:val="3A665C05"/>
    <w:rsid w:val="3A666C25"/>
    <w:rsid w:val="3A6C3235"/>
    <w:rsid w:val="3A7B3A28"/>
    <w:rsid w:val="3A7ECBA6"/>
    <w:rsid w:val="3A8543C0"/>
    <w:rsid w:val="3A890F75"/>
    <w:rsid w:val="3A9B66C7"/>
    <w:rsid w:val="3ABCCE8C"/>
    <w:rsid w:val="3AC13477"/>
    <w:rsid w:val="3AC27B22"/>
    <w:rsid w:val="3AD036F4"/>
    <w:rsid w:val="3AD5538D"/>
    <w:rsid w:val="3ADF1DF8"/>
    <w:rsid w:val="3AEB3258"/>
    <w:rsid w:val="3AF9D3EC"/>
    <w:rsid w:val="3AFD9029"/>
    <w:rsid w:val="3B044AB8"/>
    <w:rsid w:val="3B165FB8"/>
    <w:rsid w:val="3B196622"/>
    <w:rsid w:val="3B3435F5"/>
    <w:rsid w:val="3B3555E6"/>
    <w:rsid w:val="3B37F7A8"/>
    <w:rsid w:val="3B544948"/>
    <w:rsid w:val="3B610CB2"/>
    <w:rsid w:val="3B6A3B79"/>
    <w:rsid w:val="3B736C5A"/>
    <w:rsid w:val="3B7A45AF"/>
    <w:rsid w:val="3B7ED7CA"/>
    <w:rsid w:val="3B8E002E"/>
    <w:rsid w:val="3B912774"/>
    <w:rsid w:val="3B91504E"/>
    <w:rsid w:val="3B9F782C"/>
    <w:rsid w:val="3BB05A5A"/>
    <w:rsid w:val="3BB82993"/>
    <w:rsid w:val="3BC61BB4"/>
    <w:rsid w:val="3BC94C1F"/>
    <w:rsid w:val="3BCAF89C"/>
    <w:rsid w:val="3BD90F4F"/>
    <w:rsid w:val="3BDC2F3F"/>
    <w:rsid w:val="3BDF02B9"/>
    <w:rsid w:val="3BE0749D"/>
    <w:rsid w:val="3BE56285"/>
    <w:rsid w:val="3BEC2B09"/>
    <w:rsid w:val="3BF345C1"/>
    <w:rsid w:val="3BF4009F"/>
    <w:rsid w:val="3BFBC107"/>
    <w:rsid w:val="3BFE87F1"/>
    <w:rsid w:val="3BFF2003"/>
    <w:rsid w:val="3BFF9517"/>
    <w:rsid w:val="3C0A5FBC"/>
    <w:rsid w:val="3C1E4AA4"/>
    <w:rsid w:val="3C2646A7"/>
    <w:rsid w:val="3C362F48"/>
    <w:rsid w:val="3C372258"/>
    <w:rsid w:val="3C387B1B"/>
    <w:rsid w:val="3C3E2F5F"/>
    <w:rsid w:val="3C462AED"/>
    <w:rsid w:val="3C4C3DC2"/>
    <w:rsid w:val="3C53195C"/>
    <w:rsid w:val="3C5A7D27"/>
    <w:rsid w:val="3C601346"/>
    <w:rsid w:val="3C6592CB"/>
    <w:rsid w:val="3C6B5357"/>
    <w:rsid w:val="3C6E4EC6"/>
    <w:rsid w:val="3C770620"/>
    <w:rsid w:val="3C9736B7"/>
    <w:rsid w:val="3C9B7E15"/>
    <w:rsid w:val="3CAD0BBB"/>
    <w:rsid w:val="3CB4F3AF"/>
    <w:rsid w:val="3CBA789B"/>
    <w:rsid w:val="3CBE1B2F"/>
    <w:rsid w:val="3CBF4EB7"/>
    <w:rsid w:val="3CDB954A"/>
    <w:rsid w:val="3CDC51C7"/>
    <w:rsid w:val="3CDE219E"/>
    <w:rsid w:val="3CE0528B"/>
    <w:rsid w:val="3CE07F3A"/>
    <w:rsid w:val="3CE27DA0"/>
    <w:rsid w:val="3CF4478A"/>
    <w:rsid w:val="3CF817DD"/>
    <w:rsid w:val="3CF92AC7"/>
    <w:rsid w:val="3CFA5E3A"/>
    <w:rsid w:val="3CFD4BC8"/>
    <w:rsid w:val="3CFF2311"/>
    <w:rsid w:val="3D097275"/>
    <w:rsid w:val="3D112421"/>
    <w:rsid w:val="3D141F11"/>
    <w:rsid w:val="3D2A49E5"/>
    <w:rsid w:val="3D35C96C"/>
    <w:rsid w:val="3D3B42E9"/>
    <w:rsid w:val="3D3D7F9F"/>
    <w:rsid w:val="3D47678B"/>
    <w:rsid w:val="3D510FD6"/>
    <w:rsid w:val="3D524285"/>
    <w:rsid w:val="3D73478D"/>
    <w:rsid w:val="3D745333"/>
    <w:rsid w:val="3D756BA9"/>
    <w:rsid w:val="3D7C0AE1"/>
    <w:rsid w:val="3D805179"/>
    <w:rsid w:val="3D9BD774"/>
    <w:rsid w:val="3D9E2F69"/>
    <w:rsid w:val="3D9F63EC"/>
    <w:rsid w:val="3DB45D13"/>
    <w:rsid w:val="3DBF0475"/>
    <w:rsid w:val="3DBF7CE7"/>
    <w:rsid w:val="3DCC5A50"/>
    <w:rsid w:val="3DCE7FF4"/>
    <w:rsid w:val="3DD03FE3"/>
    <w:rsid w:val="3DDF4F6B"/>
    <w:rsid w:val="3DE00B24"/>
    <w:rsid w:val="3DE3709A"/>
    <w:rsid w:val="3DE970ED"/>
    <w:rsid w:val="3DEC8548"/>
    <w:rsid w:val="3DF52FDA"/>
    <w:rsid w:val="3DF74104"/>
    <w:rsid w:val="3DFE9BB5"/>
    <w:rsid w:val="3DFF010B"/>
    <w:rsid w:val="3DFF1936"/>
    <w:rsid w:val="3DFF41C5"/>
    <w:rsid w:val="3E013586"/>
    <w:rsid w:val="3E0C78ED"/>
    <w:rsid w:val="3E1D2B4E"/>
    <w:rsid w:val="3E1D4AF1"/>
    <w:rsid w:val="3E1E0639"/>
    <w:rsid w:val="3E275C5A"/>
    <w:rsid w:val="3E2A628E"/>
    <w:rsid w:val="3E2C6E50"/>
    <w:rsid w:val="3E324E48"/>
    <w:rsid w:val="3E37073E"/>
    <w:rsid w:val="3E3E3CC5"/>
    <w:rsid w:val="3E544F2D"/>
    <w:rsid w:val="3E54629E"/>
    <w:rsid w:val="3E681087"/>
    <w:rsid w:val="3E6D013A"/>
    <w:rsid w:val="3E6F6746"/>
    <w:rsid w:val="3E7509CC"/>
    <w:rsid w:val="3E787B01"/>
    <w:rsid w:val="3E7F5986"/>
    <w:rsid w:val="3E821F4B"/>
    <w:rsid w:val="3E871D6E"/>
    <w:rsid w:val="3E89000C"/>
    <w:rsid w:val="3E8F5734"/>
    <w:rsid w:val="3E9F3A86"/>
    <w:rsid w:val="3EA1274E"/>
    <w:rsid w:val="3EA55172"/>
    <w:rsid w:val="3EAD08AD"/>
    <w:rsid w:val="3EB1128E"/>
    <w:rsid w:val="3EBB0726"/>
    <w:rsid w:val="3EBE565E"/>
    <w:rsid w:val="3EC75080"/>
    <w:rsid w:val="3ECD018D"/>
    <w:rsid w:val="3EDDA969"/>
    <w:rsid w:val="3EDECA83"/>
    <w:rsid w:val="3EDF6AF7"/>
    <w:rsid w:val="3EEFB80A"/>
    <w:rsid w:val="3EF02C06"/>
    <w:rsid w:val="3EFB0E6C"/>
    <w:rsid w:val="3EFDE71B"/>
    <w:rsid w:val="3EFFB529"/>
    <w:rsid w:val="3F21578A"/>
    <w:rsid w:val="3F2B29E4"/>
    <w:rsid w:val="3F2FBF15"/>
    <w:rsid w:val="3F3532A1"/>
    <w:rsid w:val="3F56C250"/>
    <w:rsid w:val="3F5E04B9"/>
    <w:rsid w:val="3F5E3E51"/>
    <w:rsid w:val="3F5F400C"/>
    <w:rsid w:val="3F6F1BAF"/>
    <w:rsid w:val="3F6F4425"/>
    <w:rsid w:val="3F6FADE7"/>
    <w:rsid w:val="3F732F1F"/>
    <w:rsid w:val="3F747358"/>
    <w:rsid w:val="3F758997"/>
    <w:rsid w:val="3F786DB5"/>
    <w:rsid w:val="3F7FF889"/>
    <w:rsid w:val="3F8224D8"/>
    <w:rsid w:val="3F8745DD"/>
    <w:rsid w:val="3F92CED7"/>
    <w:rsid w:val="3FAC5499"/>
    <w:rsid w:val="3FAE5F16"/>
    <w:rsid w:val="3FB356B9"/>
    <w:rsid w:val="3FB556F0"/>
    <w:rsid w:val="3FB94101"/>
    <w:rsid w:val="3FBB36AC"/>
    <w:rsid w:val="3FBF2F76"/>
    <w:rsid w:val="3FC804A5"/>
    <w:rsid w:val="3FD39026"/>
    <w:rsid w:val="3FD9462A"/>
    <w:rsid w:val="3FDA1A0E"/>
    <w:rsid w:val="3FDA48FD"/>
    <w:rsid w:val="3FDB77F7"/>
    <w:rsid w:val="3FEE7AA1"/>
    <w:rsid w:val="3FEF492A"/>
    <w:rsid w:val="3FEF8A82"/>
    <w:rsid w:val="3FF437C6"/>
    <w:rsid w:val="3FFB3FAE"/>
    <w:rsid w:val="3FFD36D6"/>
    <w:rsid w:val="3FFE750F"/>
    <w:rsid w:val="3FFFA93B"/>
    <w:rsid w:val="3FFFBEF1"/>
    <w:rsid w:val="40050344"/>
    <w:rsid w:val="400C3F90"/>
    <w:rsid w:val="40144CEF"/>
    <w:rsid w:val="40263572"/>
    <w:rsid w:val="403700F7"/>
    <w:rsid w:val="40586CC5"/>
    <w:rsid w:val="406376C0"/>
    <w:rsid w:val="406803E9"/>
    <w:rsid w:val="406A1FBA"/>
    <w:rsid w:val="4072176D"/>
    <w:rsid w:val="407B73A7"/>
    <w:rsid w:val="40814BDB"/>
    <w:rsid w:val="40821756"/>
    <w:rsid w:val="40876ACA"/>
    <w:rsid w:val="4089278D"/>
    <w:rsid w:val="408D7E80"/>
    <w:rsid w:val="408E1F3E"/>
    <w:rsid w:val="409B036A"/>
    <w:rsid w:val="409F49F8"/>
    <w:rsid w:val="40AC22AA"/>
    <w:rsid w:val="40BD0553"/>
    <w:rsid w:val="40C6692D"/>
    <w:rsid w:val="40E30632"/>
    <w:rsid w:val="40EF044B"/>
    <w:rsid w:val="410416CE"/>
    <w:rsid w:val="411D2FBD"/>
    <w:rsid w:val="4129466F"/>
    <w:rsid w:val="41321AEC"/>
    <w:rsid w:val="414925F5"/>
    <w:rsid w:val="41545196"/>
    <w:rsid w:val="415733CF"/>
    <w:rsid w:val="415D72A2"/>
    <w:rsid w:val="416B3515"/>
    <w:rsid w:val="416C40CA"/>
    <w:rsid w:val="417912E1"/>
    <w:rsid w:val="41971457"/>
    <w:rsid w:val="41AB1F55"/>
    <w:rsid w:val="41AC66BB"/>
    <w:rsid w:val="41C36078"/>
    <w:rsid w:val="41C757A4"/>
    <w:rsid w:val="41CA7043"/>
    <w:rsid w:val="41DD6D76"/>
    <w:rsid w:val="41EA460B"/>
    <w:rsid w:val="41EB2A55"/>
    <w:rsid w:val="42024A2E"/>
    <w:rsid w:val="42050F24"/>
    <w:rsid w:val="422745DD"/>
    <w:rsid w:val="422D1324"/>
    <w:rsid w:val="42394997"/>
    <w:rsid w:val="42441141"/>
    <w:rsid w:val="425A30CD"/>
    <w:rsid w:val="4265714D"/>
    <w:rsid w:val="42676224"/>
    <w:rsid w:val="426B4031"/>
    <w:rsid w:val="427D60FE"/>
    <w:rsid w:val="42875D82"/>
    <w:rsid w:val="42925D43"/>
    <w:rsid w:val="42957756"/>
    <w:rsid w:val="429A4C67"/>
    <w:rsid w:val="429D2ED9"/>
    <w:rsid w:val="429E58F0"/>
    <w:rsid w:val="42A00B38"/>
    <w:rsid w:val="42AA6297"/>
    <w:rsid w:val="42C83582"/>
    <w:rsid w:val="42CA332C"/>
    <w:rsid w:val="42D24401"/>
    <w:rsid w:val="42D558A9"/>
    <w:rsid w:val="42D773CB"/>
    <w:rsid w:val="42E52380"/>
    <w:rsid w:val="42EE7109"/>
    <w:rsid w:val="42F660B6"/>
    <w:rsid w:val="43013FE0"/>
    <w:rsid w:val="430C7372"/>
    <w:rsid w:val="432244EB"/>
    <w:rsid w:val="43280FF8"/>
    <w:rsid w:val="432B0BB9"/>
    <w:rsid w:val="43344515"/>
    <w:rsid w:val="433B758D"/>
    <w:rsid w:val="433C2FF6"/>
    <w:rsid w:val="435E5A6A"/>
    <w:rsid w:val="43634967"/>
    <w:rsid w:val="43685875"/>
    <w:rsid w:val="438D40B4"/>
    <w:rsid w:val="438E5FC6"/>
    <w:rsid w:val="43913554"/>
    <w:rsid w:val="43A0371C"/>
    <w:rsid w:val="43A05EF7"/>
    <w:rsid w:val="43AF2EE9"/>
    <w:rsid w:val="43B73CD0"/>
    <w:rsid w:val="43C40732"/>
    <w:rsid w:val="43D805AB"/>
    <w:rsid w:val="43D8223F"/>
    <w:rsid w:val="43D96E6A"/>
    <w:rsid w:val="43DB12C2"/>
    <w:rsid w:val="43DC1355"/>
    <w:rsid w:val="43EA07E6"/>
    <w:rsid w:val="44017128"/>
    <w:rsid w:val="44027545"/>
    <w:rsid w:val="44173D20"/>
    <w:rsid w:val="44225B0C"/>
    <w:rsid w:val="442965E7"/>
    <w:rsid w:val="44404BE4"/>
    <w:rsid w:val="44465EE4"/>
    <w:rsid w:val="444758F3"/>
    <w:rsid w:val="4452148C"/>
    <w:rsid w:val="44646549"/>
    <w:rsid w:val="44671DAC"/>
    <w:rsid w:val="446E63AB"/>
    <w:rsid w:val="44707FD6"/>
    <w:rsid w:val="447A5CD4"/>
    <w:rsid w:val="449B748A"/>
    <w:rsid w:val="44AF7994"/>
    <w:rsid w:val="44C52AFC"/>
    <w:rsid w:val="44C77D97"/>
    <w:rsid w:val="44D501D8"/>
    <w:rsid w:val="44DC54D7"/>
    <w:rsid w:val="44E67569"/>
    <w:rsid w:val="44E76DE6"/>
    <w:rsid w:val="45132AAF"/>
    <w:rsid w:val="45176CDB"/>
    <w:rsid w:val="451A35D7"/>
    <w:rsid w:val="452E6A3F"/>
    <w:rsid w:val="45364412"/>
    <w:rsid w:val="453E19E3"/>
    <w:rsid w:val="453E4EFD"/>
    <w:rsid w:val="45722AE2"/>
    <w:rsid w:val="4577007C"/>
    <w:rsid w:val="45AA3413"/>
    <w:rsid w:val="45AB5A95"/>
    <w:rsid w:val="45B9467B"/>
    <w:rsid w:val="45D241B8"/>
    <w:rsid w:val="45DA0DC9"/>
    <w:rsid w:val="45F46D8C"/>
    <w:rsid w:val="45FA6289"/>
    <w:rsid w:val="46010557"/>
    <w:rsid w:val="46096098"/>
    <w:rsid w:val="460A6939"/>
    <w:rsid w:val="460B6582"/>
    <w:rsid w:val="46142AE4"/>
    <w:rsid w:val="461E6A54"/>
    <w:rsid w:val="46283AA3"/>
    <w:rsid w:val="4639042A"/>
    <w:rsid w:val="463D13A3"/>
    <w:rsid w:val="465C4027"/>
    <w:rsid w:val="466276A6"/>
    <w:rsid w:val="466B4B37"/>
    <w:rsid w:val="46794297"/>
    <w:rsid w:val="468B2302"/>
    <w:rsid w:val="46935EC0"/>
    <w:rsid w:val="46976E0F"/>
    <w:rsid w:val="46BF390D"/>
    <w:rsid w:val="46C20BE1"/>
    <w:rsid w:val="46E669A8"/>
    <w:rsid w:val="46EC68A8"/>
    <w:rsid w:val="46F47BD6"/>
    <w:rsid w:val="46F71656"/>
    <w:rsid w:val="46F76686"/>
    <w:rsid w:val="470B61A9"/>
    <w:rsid w:val="470E26B8"/>
    <w:rsid w:val="47586DBA"/>
    <w:rsid w:val="475876CB"/>
    <w:rsid w:val="475B301B"/>
    <w:rsid w:val="477DAD6D"/>
    <w:rsid w:val="478C2501"/>
    <w:rsid w:val="479310C7"/>
    <w:rsid w:val="479471C7"/>
    <w:rsid w:val="4797FC53"/>
    <w:rsid w:val="47A25CBE"/>
    <w:rsid w:val="47A5378E"/>
    <w:rsid w:val="47BD0156"/>
    <w:rsid w:val="47C15856"/>
    <w:rsid w:val="47C35903"/>
    <w:rsid w:val="47D4783B"/>
    <w:rsid w:val="47E42C81"/>
    <w:rsid w:val="47E8360F"/>
    <w:rsid w:val="47EE5690"/>
    <w:rsid w:val="47EE7D01"/>
    <w:rsid w:val="47F2537A"/>
    <w:rsid w:val="47F36BF7"/>
    <w:rsid w:val="47FA1CB7"/>
    <w:rsid w:val="48011FC0"/>
    <w:rsid w:val="480A5535"/>
    <w:rsid w:val="481B4154"/>
    <w:rsid w:val="48231EE8"/>
    <w:rsid w:val="483430C1"/>
    <w:rsid w:val="48377346"/>
    <w:rsid w:val="483F32F6"/>
    <w:rsid w:val="48454C26"/>
    <w:rsid w:val="48471880"/>
    <w:rsid w:val="484C7AA5"/>
    <w:rsid w:val="48566BC8"/>
    <w:rsid w:val="486E4A01"/>
    <w:rsid w:val="48737ABF"/>
    <w:rsid w:val="487D2873"/>
    <w:rsid w:val="48820A82"/>
    <w:rsid w:val="48864E42"/>
    <w:rsid w:val="48980A0C"/>
    <w:rsid w:val="48B646FC"/>
    <w:rsid w:val="48C04CFB"/>
    <w:rsid w:val="48CD7346"/>
    <w:rsid w:val="48F43A1B"/>
    <w:rsid w:val="491515B1"/>
    <w:rsid w:val="49161F12"/>
    <w:rsid w:val="491B1DB9"/>
    <w:rsid w:val="4924193C"/>
    <w:rsid w:val="493C454D"/>
    <w:rsid w:val="4962546A"/>
    <w:rsid w:val="49907D86"/>
    <w:rsid w:val="499B0AD6"/>
    <w:rsid w:val="499B1F7F"/>
    <w:rsid w:val="499C71C7"/>
    <w:rsid w:val="49A22EA5"/>
    <w:rsid w:val="49A33561"/>
    <w:rsid w:val="49A53816"/>
    <w:rsid w:val="49A86BB0"/>
    <w:rsid w:val="49AF43C5"/>
    <w:rsid w:val="49B7448D"/>
    <w:rsid w:val="49B9574B"/>
    <w:rsid w:val="49BC7904"/>
    <w:rsid w:val="49BD1072"/>
    <w:rsid w:val="49C02945"/>
    <w:rsid w:val="49D77DE5"/>
    <w:rsid w:val="49DC6A4D"/>
    <w:rsid w:val="49E30228"/>
    <w:rsid w:val="49E8743E"/>
    <w:rsid w:val="49FC154B"/>
    <w:rsid w:val="4A045C67"/>
    <w:rsid w:val="4A0650BA"/>
    <w:rsid w:val="4A132E07"/>
    <w:rsid w:val="4A1C568D"/>
    <w:rsid w:val="4A3268DC"/>
    <w:rsid w:val="4A35578F"/>
    <w:rsid w:val="4A3F6974"/>
    <w:rsid w:val="4A4759DD"/>
    <w:rsid w:val="4A495E98"/>
    <w:rsid w:val="4A4C5BA5"/>
    <w:rsid w:val="4A510115"/>
    <w:rsid w:val="4A526281"/>
    <w:rsid w:val="4A545E9B"/>
    <w:rsid w:val="4A5C09A8"/>
    <w:rsid w:val="4A5E26D1"/>
    <w:rsid w:val="4A5F2773"/>
    <w:rsid w:val="4A6907BE"/>
    <w:rsid w:val="4A6A721D"/>
    <w:rsid w:val="4A724173"/>
    <w:rsid w:val="4A7B20C8"/>
    <w:rsid w:val="4A7D5ECE"/>
    <w:rsid w:val="4A9577AA"/>
    <w:rsid w:val="4AAA201F"/>
    <w:rsid w:val="4AC069BC"/>
    <w:rsid w:val="4AC35EB0"/>
    <w:rsid w:val="4AC4496C"/>
    <w:rsid w:val="4AC61D53"/>
    <w:rsid w:val="4AD308A7"/>
    <w:rsid w:val="4AD95474"/>
    <w:rsid w:val="4AD956CC"/>
    <w:rsid w:val="4AFE0531"/>
    <w:rsid w:val="4B063EB0"/>
    <w:rsid w:val="4B0C4C6E"/>
    <w:rsid w:val="4B217975"/>
    <w:rsid w:val="4B236C79"/>
    <w:rsid w:val="4B356AE0"/>
    <w:rsid w:val="4B397F16"/>
    <w:rsid w:val="4B4614E8"/>
    <w:rsid w:val="4B5D2CAC"/>
    <w:rsid w:val="4B6266F1"/>
    <w:rsid w:val="4B6978CC"/>
    <w:rsid w:val="4B6A30AC"/>
    <w:rsid w:val="4B71272F"/>
    <w:rsid w:val="4B72704F"/>
    <w:rsid w:val="4B81341F"/>
    <w:rsid w:val="4B843EA3"/>
    <w:rsid w:val="4B895C39"/>
    <w:rsid w:val="4B9D0D91"/>
    <w:rsid w:val="4BA84718"/>
    <w:rsid w:val="4BA84B94"/>
    <w:rsid w:val="4BAE1A8F"/>
    <w:rsid w:val="4BAE6E72"/>
    <w:rsid w:val="4BB249BB"/>
    <w:rsid w:val="4BB26EF4"/>
    <w:rsid w:val="4BBC72A9"/>
    <w:rsid w:val="4BBF78CE"/>
    <w:rsid w:val="4BCA4E6D"/>
    <w:rsid w:val="4BCF7E04"/>
    <w:rsid w:val="4BD74864"/>
    <w:rsid w:val="4BEF529E"/>
    <w:rsid w:val="4BF7369C"/>
    <w:rsid w:val="4BFCD935"/>
    <w:rsid w:val="4C0635C9"/>
    <w:rsid w:val="4C072528"/>
    <w:rsid w:val="4C111694"/>
    <w:rsid w:val="4C141EDF"/>
    <w:rsid w:val="4C1A68AB"/>
    <w:rsid w:val="4C2F19FA"/>
    <w:rsid w:val="4C3E0133"/>
    <w:rsid w:val="4C3E3796"/>
    <w:rsid w:val="4C456FDD"/>
    <w:rsid w:val="4C523022"/>
    <w:rsid w:val="4C53681E"/>
    <w:rsid w:val="4C572DEC"/>
    <w:rsid w:val="4C68472D"/>
    <w:rsid w:val="4C6F47CE"/>
    <w:rsid w:val="4C707970"/>
    <w:rsid w:val="4C721A69"/>
    <w:rsid w:val="4C836B2E"/>
    <w:rsid w:val="4C8D06C4"/>
    <w:rsid w:val="4C955E4A"/>
    <w:rsid w:val="4C9868BC"/>
    <w:rsid w:val="4C9D7E83"/>
    <w:rsid w:val="4CA24E44"/>
    <w:rsid w:val="4CBF382F"/>
    <w:rsid w:val="4CCB74FF"/>
    <w:rsid w:val="4CDF15C3"/>
    <w:rsid w:val="4CDF328D"/>
    <w:rsid w:val="4CFA16F6"/>
    <w:rsid w:val="4D041A4B"/>
    <w:rsid w:val="4D2138A5"/>
    <w:rsid w:val="4D2A4B15"/>
    <w:rsid w:val="4D38209C"/>
    <w:rsid w:val="4D42121A"/>
    <w:rsid w:val="4D546DD0"/>
    <w:rsid w:val="4D562F46"/>
    <w:rsid w:val="4D5A32BF"/>
    <w:rsid w:val="4D624CFC"/>
    <w:rsid w:val="4D6D23A5"/>
    <w:rsid w:val="4D802FD1"/>
    <w:rsid w:val="4D8B3B2A"/>
    <w:rsid w:val="4DA82FC3"/>
    <w:rsid w:val="4DAB306B"/>
    <w:rsid w:val="4DAB799E"/>
    <w:rsid w:val="4DB7E076"/>
    <w:rsid w:val="4DB96B9D"/>
    <w:rsid w:val="4DBB417E"/>
    <w:rsid w:val="4DBD1546"/>
    <w:rsid w:val="4DC27820"/>
    <w:rsid w:val="4DD76C0F"/>
    <w:rsid w:val="4DE3F4BC"/>
    <w:rsid w:val="4DEE48A7"/>
    <w:rsid w:val="4DEE7491"/>
    <w:rsid w:val="4DF01658"/>
    <w:rsid w:val="4DF25570"/>
    <w:rsid w:val="4DF55A70"/>
    <w:rsid w:val="4DF95BD2"/>
    <w:rsid w:val="4E0174A9"/>
    <w:rsid w:val="4E050ED7"/>
    <w:rsid w:val="4E0768AA"/>
    <w:rsid w:val="4E146010"/>
    <w:rsid w:val="4E311729"/>
    <w:rsid w:val="4E484B21"/>
    <w:rsid w:val="4E4F78BB"/>
    <w:rsid w:val="4E57426F"/>
    <w:rsid w:val="4E61077B"/>
    <w:rsid w:val="4E707CE5"/>
    <w:rsid w:val="4E78711B"/>
    <w:rsid w:val="4E7D455E"/>
    <w:rsid w:val="4E814CDF"/>
    <w:rsid w:val="4E952923"/>
    <w:rsid w:val="4E9C132B"/>
    <w:rsid w:val="4E9D133A"/>
    <w:rsid w:val="4E9D6E47"/>
    <w:rsid w:val="4E9E0E13"/>
    <w:rsid w:val="4EA54C44"/>
    <w:rsid w:val="4EA6A223"/>
    <w:rsid w:val="4EAA03CC"/>
    <w:rsid w:val="4EB32E66"/>
    <w:rsid w:val="4EBD7522"/>
    <w:rsid w:val="4EC90DB9"/>
    <w:rsid w:val="4ECA5C94"/>
    <w:rsid w:val="4ECC02D5"/>
    <w:rsid w:val="4ED32D4B"/>
    <w:rsid w:val="4EF62430"/>
    <w:rsid w:val="4EF72129"/>
    <w:rsid w:val="4F0953F9"/>
    <w:rsid w:val="4F1F25C4"/>
    <w:rsid w:val="4F341846"/>
    <w:rsid w:val="4F400C0B"/>
    <w:rsid w:val="4F5739A6"/>
    <w:rsid w:val="4F583B47"/>
    <w:rsid w:val="4F5B568C"/>
    <w:rsid w:val="4F61300D"/>
    <w:rsid w:val="4F7C19ED"/>
    <w:rsid w:val="4F8E2AA3"/>
    <w:rsid w:val="4F902DF4"/>
    <w:rsid w:val="4F961D06"/>
    <w:rsid w:val="4F9836C5"/>
    <w:rsid w:val="4F9B5F8B"/>
    <w:rsid w:val="4F9F7441"/>
    <w:rsid w:val="4FA2799B"/>
    <w:rsid w:val="4FA75E47"/>
    <w:rsid w:val="4FA86DD9"/>
    <w:rsid w:val="4FAA5538"/>
    <w:rsid w:val="4FB6281E"/>
    <w:rsid w:val="4FB8672C"/>
    <w:rsid w:val="4FB91FB5"/>
    <w:rsid w:val="4FBB0421"/>
    <w:rsid w:val="4FBB6C91"/>
    <w:rsid w:val="4FBF3078"/>
    <w:rsid w:val="4FBF4A75"/>
    <w:rsid w:val="4FDB086F"/>
    <w:rsid w:val="4FDD1694"/>
    <w:rsid w:val="4FE34D9E"/>
    <w:rsid w:val="4FF0A361"/>
    <w:rsid w:val="4FF11AE4"/>
    <w:rsid w:val="4FF65D73"/>
    <w:rsid w:val="4FF792FF"/>
    <w:rsid w:val="4FFB2186"/>
    <w:rsid w:val="4FFF5610"/>
    <w:rsid w:val="50070D44"/>
    <w:rsid w:val="501920FF"/>
    <w:rsid w:val="50285231"/>
    <w:rsid w:val="502A4169"/>
    <w:rsid w:val="502F2714"/>
    <w:rsid w:val="50343934"/>
    <w:rsid w:val="503A7E2D"/>
    <w:rsid w:val="50534377"/>
    <w:rsid w:val="50611CA2"/>
    <w:rsid w:val="506B7B8A"/>
    <w:rsid w:val="5075458C"/>
    <w:rsid w:val="50954210"/>
    <w:rsid w:val="509C5777"/>
    <w:rsid w:val="50A80F9E"/>
    <w:rsid w:val="50DB6B76"/>
    <w:rsid w:val="50E166A2"/>
    <w:rsid w:val="50E8092C"/>
    <w:rsid w:val="50E9482F"/>
    <w:rsid w:val="50F46A56"/>
    <w:rsid w:val="51070FC1"/>
    <w:rsid w:val="510F7D12"/>
    <w:rsid w:val="51106249"/>
    <w:rsid w:val="51120A9F"/>
    <w:rsid w:val="5119085D"/>
    <w:rsid w:val="511C14EF"/>
    <w:rsid w:val="511E670F"/>
    <w:rsid w:val="51202D88"/>
    <w:rsid w:val="51410B8E"/>
    <w:rsid w:val="515065FC"/>
    <w:rsid w:val="51540445"/>
    <w:rsid w:val="515D0313"/>
    <w:rsid w:val="515F77AC"/>
    <w:rsid w:val="51767A4A"/>
    <w:rsid w:val="51A027A2"/>
    <w:rsid w:val="51A2262F"/>
    <w:rsid w:val="51AA7F44"/>
    <w:rsid w:val="51AF2ABC"/>
    <w:rsid w:val="51C92EA1"/>
    <w:rsid w:val="51D22CEE"/>
    <w:rsid w:val="51D814B1"/>
    <w:rsid w:val="51DD691E"/>
    <w:rsid w:val="51EF22DD"/>
    <w:rsid w:val="51FD48CA"/>
    <w:rsid w:val="52001891"/>
    <w:rsid w:val="52053998"/>
    <w:rsid w:val="52094244"/>
    <w:rsid w:val="520A6E48"/>
    <w:rsid w:val="520D39AB"/>
    <w:rsid w:val="52162AC7"/>
    <w:rsid w:val="5228300C"/>
    <w:rsid w:val="52484488"/>
    <w:rsid w:val="524C5B01"/>
    <w:rsid w:val="52514EBA"/>
    <w:rsid w:val="52650DED"/>
    <w:rsid w:val="527248A7"/>
    <w:rsid w:val="528E7CE2"/>
    <w:rsid w:val="52B458D1"/>
    <w:rsid w:val="52BF4C76"/>
    <w:rsid w:val="52C9369E"/>
    <w:rsid w:val="52D15898"/>
    <w:rsid w:val="52D36841"/>
    <w:rsid w:val="52E053E2"/>
    <w:rsid w:val="52E4754D"/>
    <w:rsid w:val="52F225F0"/>
    <w:rsid w:val="52F9558C"/>
    <w:rsid w:val="530C33F9"/>
    <w:rsid w:val="53111229"/>
    <w:rsid w:val="532D6D64"/>
    <w:rsid w:val="533047C8"/>
    <w:rsid w:val="53332A44"/>
    <w:rsid w:val="534A4DDF"/>
    <w:rsid w:val="53514FC3"/>
    <w:rsid w:val="53553EA2"/>
    <w:rsid w:val="53601504"/>
    <w:rsid w:val="5369355F"/>
    <w:rsid w:val="536F48BC"/>
    <w:rsid w:val="538D67F4"/>
    <w:rsid w:val="538E1234"/>
    <w:rsid w:val="53970255"/>
    <w:rsid w:val="539976D9"/>
    <w:rsid w:val="53A532EE"/>
    <w:rsid w:val="53AB3C9E"/>
    <w:rsid w:val="53AE116B"/>
    <w:rsid w:val="53C74EFD"/>
    <w:rsid w:val="53CD7023"/>
    <w:rsid w:val="53D75EC5"/>
    <w:rsid w:val="53D856BF"/>
    <w:rsid w:val="53DE4887"/>
    <w:rsid w:val="53FF6309"/>
    <w:rsid w:val="54025E6B"/>
    <w:rsid w:val="54086571"/>
    <w:rsid w:val="540C61EF"/>
    <w:rsid w:val="540F4B23"/>
    <w:rsid w:val="541708AB"/>
    <w:rsid w:val="54386E2E"/>
    <w:rsid w:val="543A0144"/>
    <w:rsid w:val="54434614"/>
    <w:rsid w:val="54505185"/>
    <w:rsid w:val="545231C6"/>
    <w:rsid w:val="54563C4B"/>
    <w:rsid w:val="54566ECD"/>
    <w:rsid w:val="54614FD9"/>
    <w:rsid w:val="546430EE"/>
    <w:rsid w:val="5467321C"/>
    <w:rsid w:val="54695337"/>
    <w:rsid w:val="546A3AD6"/>
    <w:rsid w:val="546E6B86"/>
    <w:rsid w:val="547B7F98"/>
    <w:rsid w:val="548B6018"/>
    <w:rsid w:val="548F67F8"/>
    <w:rsid w:val="54931001"/>
    <w:rsid w:val="54B858D7"/>
    <w:rsid w:val="54BC61F5"/>
    <w:rsid w:val="54BD0D4E"/>
    <w:rsid w:val="54C379EA"/>
    <w:rsid w:val="54C909EB"/>
    <w:rsid w:val="54C95DAE"/>
    <w:rsid w:val="54DC4ECE"/>
    <w:rsid w:val="54F175DA"/>
    <w:rsid w:val="54F50973"/>
    <w:rsid w:val="54FC4C3E"/>
    <w:rsid w:val="550765EA"/>
    <w:rsid w:val="550C261B"/>
    <w:rsid w:val="550E1B65"/>
    <w:rsid w:val="5515367B"/>
    <w:rsid w:val="551D1599"/>
    <w:rsid w:val="553E2F08"/>
    <w:rsid w:val="554943CB"/>
    <w:rsid w:val="554CD314"/>
    <w:rsid w:val="55524EEB"/>
    <w:rsid w:val="555B778C"/>
    <w:rsid w:val="555B7AF0"/>
    <w:rsid w:val="55601F49"/>
    <w:rsid w:val="556027D7"/>
    <w:rsid w:val="55676008"/>
    <w:rsid w:val="55825812"/>
    <w:rsid w:val="55841541"/>
    <w:rsid w:val="55856C82"/>
    <w:rsid w:val="558E35F6"/>
    <w:rsid w:val="55956AB3"/>
    <w:rsid w:val="559B6C44"/>
    <w:rsid w:val="55C17A03"/>
    <w:rsid w:val="55C27E66"/>
    <w:rsid w:val="55C9798C"/>
    <w:rsid w:val="55DA4C04"/>
    <w:rsid w:val="55E36CD6"/>
    <w:rsid w:val="55FA27CA"/>
    <w:rsid w:val="560C53E8"/>
    <w:rsid w:val="560E7088"/>
    <w:rsid w:val="56112513"/>
    <w:rsid w:val="562562D9"/>
    <w:rsid w:val="5627536B"/>
    <w:rsid w:val="56286693"/>
    <w:rsid w:val="56462469"/>
    <w:rsid w:val="565037D8"/>
    <w:rsid w:val="56504A3C"/>
    <w:rsid w:val="566605BB"/>
    <w:rsid w:val="567264D2"/>
    <w:rsid w:val="567F381E"/>
    <w:rsid w:val="569774DE"/>
    <w:rsid w:val="569B077E"/>
    <w:rsid w:val="56A84FA3"/>
    <w:rsid w:val="56A96C29"/>
    <w:rsid w:val="56AE4330"/>
    <w:rsid w:val="56BDB786"/>
    <w:rsid w:val="56C62F50"/>
    <w:rsid w:val="56C64AD1"/>
    <w:rsid w:val="56C770EB"/>
    <w:rsid w:val="56CC40F2"/>
    <w:rsid w:val="56DC4DE4"/>
    <w:rsid w:val="56DE0C3B"/>
    <w:rsid w:val="56EEB8FF"/>
    <w:rsid w:val="570021F2"/>
    <w:rsid w:val="570024EE"/>
    <w:rsid w:val="57007337"/>
    <w:rsid w:val="570A787D"/>
    <w:rsid w:val="57122CEA"/>
    <w:rsid w:val="571E2189"/>
    <w:rsid w:val="571FB7BE"/>
    <w:rsid w:val="57202FF3"/>
    <w:rsid w:val="57211F70"/>
    <w:rsid w:val="57264B8F"/>
    <w:rsid w:val="572D5943"/>
    <w:rsid w:val="57366DA1"/>
    <w:rsid w:val="573C7C9E"/>
    <w:rsid w:val="574427FE"/>
    <w:rsid w:val="57442AB7"/>
    <w:rsid w:val="574F01CE"/>
    <w:rsid w:val="576A356B"/>
    <w:rsid w:val="577D0D27"/>
    <w:rsid w:val="577D42D2"/>
    <w:rsid w:val="577F046A"/>
    <w:rsid w:val="57965F4E"/>
    <w:rsid w:val="57991988"/>
    <w:rsid w:val="579A41C0"/>
    <w:rsid w:val="57A67158"/>
    <w:rsid w:val="57B552CD"/>
    <w:rsid w:val="57B559FF"/>
    <w:rsid w:val="57BED1E4"/>
    <w:rsid w:val="57BF525E"/>
    <w:rsid w:val="57E37DC2"/>
    <w:rsid w:val="57E722A5"/>
    <w:rsid w:val="57EC26E2"/>
    <w:rsid w:val="57F62B93"/>
    <w:rsid w:val="57FF62B9"/>
    <w:rsid w:val="580343E8"/>
    <w:rsid w:val="58152A55"/>
    <w:rsid w:val="581921B1"/>
    <w:rsid w:val="582A7569"/>
    <w:rsid w:val="582D7192"/>
    <w:rsid w:val="582D7648"/>
    <w:rsid w:val="58300386"/>
    <w:rsid w:val="58354E01"/>
    <w:rsid w:val="58367F00"/>
    <w:rsid w:val="584452CE"/>
    <w:rsid w:val="58452653"/>
    <w:rsid w:val="58467820"/>
    <w:rsid w:val="58484E9C"/>
    <w:rsid w:val="584A0C48"/>
    <w:rsid w:val="58584509"/>
    <w:rsid w:val="58750C84"/>
    <w:rsid w:val="587720B3"/>
    <w:rsid w:val="58774BF9"/>
    <w:rsid w:val="5877518B"/>
    <w:rsid w:val="587D3CF7"/>
    <w:rsid w:val="58863E6C"/>
    <w:rsid w:val="589E6808"/>
    <w:rsid w:val="58A16FF1"/>
    <w:rsid w:val="58B320A0"/>
    <w:rsid w:val="58B82EBE"/>
    <w:rsid w:val="58C362E1"/>
    <w:rsid w:val="58C77D3D"/>
    <w:rsid w:val="58E05B58"/>
    <w:rsid w:val="58E63187"/>
    <w:rsid w:val="58EBFD4B"/>
    <w:rsid w:val="58F46513"/>
    <w:rsid w:val="58F77A3B"/>
    <w:rsid w:val="59047B77"/>
    <w:rsid w:val="5917211C"/>
    <w:rsid w:val="592F5138"/>
    <w:rsid w:val="594A8571"/>
    <w:rsid w:val="594F6DE4"/>
    <w:rsid w:val="5952679B"/>
    <w:rsid w:val="59550962"/>
    <w:rsid w:val="595C24DE"/>
    <w:rsid w:val="596857FE"/>
    <w:rsid w:val="59686A90"/>
    <w:rsid w:val="597563D0"/>
    <w:rsid w:val="597A1153"/>
    <w:rsid w:val="597C74C0"/>
    <w:rsid w:val="597E469F"/>
    <w:rsid w:val="59DD72C0"/>
    <w:rsid w:val="59DF47E6"/>
    <w:rsid w:val="59ED4897"/>
    <w:rsid w:val="59F073CB"/>
    <w:rsid w:val="59F56D2E"/>
    <w:rsid w:val="59F77318"/>
    <w:rsid w:val="59FD5A09"/>
    <w:rsid w:val="59FF052F"/>
    <w:rsid w:val="5A094A2F"/>
    <w:rsid w:val="5A0F6387"/>
    <w:rsid w:val="5A1D3AA5"/>
    <w:rsid w:val="5A2667C5"/>
    <w:rsid w:val="5A344070"/>
    <w:rsid w:val="5A3C64FF"/>
    <w:rsid w:val="5A3C7EB9"/>
    <w:rsid w:val="5A3E7765"/>
    <w:rsid w:val="5A3F4409"/>
    <w:rsid w:val="5A497C11"/>
    <w:rsid w:val="5A6850D6"/>
    <w:rsid w:val="5A6B2FEB"/>
    <w:rsid w:val="5A786CEE"/>
    <w:rsid w:val="5A7C7E28"/>
    <w:rsid w:val="5A825412"/>
    <w:rsid w:val="5A8A453E"/>
    <w:rsid w:val="5A8F38EE"/>
    <w:rsid w:val="5A952D47"/>
    <w:rsid w:val="5A9A0B63"/>
    <w:rsid w:val="5AB442BC"/>
    <w:rsid w:val="5ABF0B65"/>
    <w:rsid w:val="5ABF3C3A"/>
    <w:rsid w:val="5AC27476"/>
    <w:rsid w:val="5AD44EA2"/>
    <w:rsid w:val="5AD6521C"/>
    <w:rsid w:val="5ADB6BC7"/>
    <w:rsid w:val="5AE4508B"/>
    <w:rsid w:val="5AF06747"/>
    <w:rsid w:val="5AF1B5AE"/>
    <w:rsid w:val="5AF57D0D"/>
    <w:rsid w:val="5AF8454E"/>
    <w:rsid w:val="5AF94B0F"/>
    <w:rsid w:val="5AFF0D96"/>
    <w:rsid w:val="5AFFB89C"/>
    <w:rsid w:val="5B0345E9"/>
    <w:rsid w:val="5B117482"/>
    <w:rsid w:val="5B176FBC"/>
    <w:rsid w:val="5B1C1295"/>
    <w:rsid w:val="5B2A4DAE"/>
    <w:rsid w:val="5B2C40AA"/>
    <w:rsid w:val="5B362377"/>
    <w:rsid w:val="5B3F525F"/>
    <w:rsid w:val="5B483955"/>
    <w:rsid w:val="5B506829"/>
    <w:rsid w:val="5B611231"/>
    <w:rsid w:val="5B7A3BBA"/>
    <w:rsid w:val="5B80038A"/>
    <w:rsid w:val="5B8FA5BD"/>
    <w:rsid w:val="5BA94EF9"/>
    <w:rsid w:val="5BAD5194"/>
    <w:rsid w:val="5BAF0C0C"/>
    <w:rsid w:val="5BBA1C14"/>
    <w:rsid w:val="5BBB1D85"/>
    <w:rsid w:val="5BBCB97D"/>
    <w:rsid w:val="5BC75144"/>
    <w:rsid w:val="5BC9738E"/>
    <w:rsid w:val="5BCF4BF5"/>
    <w:rsid w:val="5BD473E2"/>
    <w:rsid w:val="5BD729BA"/>
    <w:rsid w:val="5BDB46AF"/>
    <w:rsid w:val="5BDE2F5A"/>
    <w:rsid w:val="5BE03293"/>
    <w:rsid w:val="5BE75537"/>
    <w:rsid w:val="5BF724DE"/>
    <w:rsid w:val="5BF837BF"/>
    <w:rsid w:val="5BFF7678"/>
    <w:rsid w:val="5C060B6C"/>
    <w:rsid w:val="5C096D93"/>
    <w:rsid w:val="5C0C7957"/>
    <w:rsid w:val="5C2B0843"/>
    <w:rsid w:val="5C3171AF"/>
    <w:rsid w:val="5C336A88"/>
    <w:rsid w:val="5C346B74"/>
    <w:rsid w:val="5C3D3618"/>
    <w:rsid w:val="5C40756A"/>
    <w:rsid w:val="5C427A2A"/>
    <w:rsid w:val="5C451825"/>
    <w:rsid w:val="5C4D6F79"/>
    <w:rsid w:val="5C4F0418"/>
    <w:rsid w:val="5C5101BB"/>
    <w:rsid w:val="5C531A11"/>
    <w:rsid w:val="5C6C554C"/>
    <w:rsid w:val="5C6F3393"/>
    <w:rsid w:val="5C860C56"/>
    <w:rsid w:val="5C89374C"/>
    <w:rsid w:val="5C994A8D"/>
    <w:rsid w:val="5C9B4F60"/>
    <w:rsid w:val="5C9C305A"/>
    <w:rsid w:val="5CA47102"/>
    <w:rsid w:val="5CF34678"/>
    <w:rsid w:val="5CF670F0"/>
    <w:rsid w:val="5CFF689B"/>
    <w:rsid w:val="5D0E3D5A"/>
    <w:rsid w:val="5D242AC7"/>
    <w:rsid w:val="5D5356C0"/>
    <w:rsid w:val="5D634985"/>
    <w:rsid w:val="5D6C3591"/>
    <w:rsid w:val="5D754472"/>
    <w:rsid w:val="5D963CB1"/>
    <w:rsid w:val="5DB87B32"/>
    <w:rsid w:val="5DC61AD0"/>
    <w:rsid w:val="5DC724E8"/>
    <w:rsid w:val="5DCD4720"/>
    <w:rsid w:val="5DDD8D17"/>
    <w:rsid w:val="5DDE5C0C"/>
    <w:rsid w:val="5DE05BC0"/>
    <w:rsid w:val="5DE2616C"/>
    <w:rsid w:val="5DED7B3A"/>
    <w:rsid w:val="5DEE3E37"/>
    <w:rsid w:val="5DF27CF7"/>
    <w:rsid w:val="5DF7D05B"/>
    <w:rsid w:val="5DFEEBC5"/>
    <w:rsid w:val="5DFF127F"/>
    <w:rsid w:val="5DFFC7DF"/>
    <w:rsid w:val="5E044477"/>
    <w:rsid w:val="5E056A4F"/>
    <w:rsid w:val="5E0B108A"/>
    <w:rsid w:val="5E1B4EC9"/>
    <w:rsid w:val="5E27211C"/>
    <w:rsid w:val="5E2E66A9"/>
    <w:rsid w:val="5E675639"/>
    <w:rsid w:val="5E6FD575"/>
    <w:rsid w:val="5E7E1F9B"/>
    <w:rsid w:val="5E867D6A"/>
    <w:rsid w:val="5E8B4551"/>
    <w:rsid w:val="5E9A30FE"/>
    <w:rsid w:val="5E9D71E2"/>
    <w:rsid w:val="5EAA64E7"/>
    <w:rsid w:val="5EAD32C6"/>
    <w:rsid w:val="5EB63209"/>
    <w:rsid w:val="5EBC103E"/>
    <w:rsid w:val="5EBF50BB"/>
    <w:rsid w:val="5ECB56C5"/>
    <w:rsid w:val="5ED78E8B"/>
    <w:rsid w:val="5ED937B7"/>
    <w:rsid w:val="5ED9760D"/>
    <w:rsid w:val="5EDB426D"/>
    <w:rsid w:val="5EDE3924"/>
    <w:rsid w:val="5EE00C62"/>
    <w:rsid w:val="5EE12FAB"/>
    <w:rsid w:val="5EE574FD"/>
    <w:rsid w:val="5EEA29B9"/>
    <w:rsid w:val="5EEA7377"/>
    <w:rsid w:val="5EEE5197"/>
    <w:rsid w:val="5EEF0C2D"/>
    <w:rsid w:val="5EFF6B78"/>
    <w:rsid w:val="5F03565F"/>
    <w:rsid w:val="5F071980"/>
    <w:rsid w:val="5F26474D"/>
    <w:rsid w:val="5F2853C1"/>
    <w:rsid w:val="5F3629C0"/>
    <w:rsid w:val="5F3833E6"/>
    <w:rsid w:val="5F3C9872"/>
    <w:rsid w:val="5F432C1E"/>
    <w:rsid w:val="5F496C59"/>
    <w:rsid w:val="5F4E43C4"/>
    <w:rsid w:val="5F547C1E"/>
    <w:rsid w:val="5F5A3183"/>
    <w:rsid w:val="5F5BC44D"/>
    <w:rsid w:val="5F5FDE68"/>
    <w:rsid w:val="5F635848"/>
    <w:rsid w:val="5F6433AF"/>
    <w:rsid w:val="5F6FC197"/>
    <w:rsid w:val="5F6FC827"/>
    <w:rsid w:val="5F745AAB"/>
    <w:rsid w:val="5F7EA507"/>
    <w:rsid w:val="5F7FEF3D"/>
    <w:rsid w:val="5F7FFAFC"/>
    <w:rsid w:val="5F945858"/>
    <w:rsid w:val="5F974C26"/>
    <w:rsid w:val="5F9C6727"/>
    <w:rsid w:val="5F9FB819"/>
    <w:rsid w:val="5F9FC809"/>
    <w:rsid w:val="5FA2118F"/>
    <w:rsid w:val="5FA9256E"/>
    <w:rsid w:val="5FAD6BAB"/>
    <w:rsid w:val="5FBF07B1"/>
    <w:rsid w:val="5FC8501D"/>
    <w:rsid w:val="5FCDF34E"/>
    <w:rsid w:val="5FD501ED"/>
    <w:rsid w:val="5FD650D9"/>
    <w:rsid w:val="5FDC0215"/>
    <w:rsid w:val="5FDEFC6A"/>
    <w:rsid w:val="5FE33FEF"/>
    <w:rsid w:val="5FE71AEC"/>
    <w:rsid w:val="5FE803AD"/>
    <w:rsid w:val="5FE9F9F8"/>
    <w:rsid w:val="5FEE3106"/>
    <w:rsid w:val="5FEF3DED"/>
    <w:rsid w:val="5FEF7611"/>
    <w:rsid w:val="5FEFEA08"/>
    <w:rsid w:val="5FF34D14"/>
    <w:rsid w:val="5FF40F9A"/>
    <w:rsid w:val="5FF612E0"/>
    <w:rsid w:val="5FFA7B59"/>
    <w:rsid w:val="5FFBED44"/>
    <w:rsid w:val="5FFF1C58"/>
    <w:rsid w:val="5FFF891E"/>
    <w:rsid w:val="60003F04"/>
    <w:rsid w:val="60020785"/>
    <w:rsid w:val="600210AD"/>
    <w:rsid w:val="60154F6E"/>
    <w:rsid w:val="601671B8"/>
    <w:rsid w:val="6017411C"/>
    <w:rsid w:val="602025FC"/>
    <w:rsid w:val="60282DD9"/>
    <w:rsid w:val="60315865"/>
    <w:rsid w:val="60442CE9"/>
    <w:rsid w:val="604702ED"/>
    <w:rsid w:val="60500569"/>
    <w:rsid w:val="60536594"/>
    <w:rsid w:val="6058006F"/>
    <w:rsid w:val="605B207B"/>
    <w:rsid w:val="60661212"/>
    <w:rsid w:val="607428D8"/>
    <w:rsid w:val="607F3A9E"/>
    <w:rsid w:val="6080657A"/>
    <w:rsid w:val="609C1D95"/>
    <w:rsid w:val="609D60E3"/>
    <w:rsid w:val="60BD384C"/>
    <w:rsid w:val="60C115A7"/>
    <w:rsid w:val="60CE4781"/>
    <w:rsid w:val="60D67EA0"/>
    <w:rsid w:val="60E02B3D"/>
    <w:rsid w:val="60E3537D"/>
    <w:rsid w:val="60E359F8"/>
    <w:rsid w:val="60E512B5"/>
    <w:rsid w:val="60F62C3D"/>
    <w:rsid w:val="60FA0712"/>
    <w:rsid w:val="60FA6217"/>
    <w:rsid w:val="610434F9"/>
    <w:rsid w:val="610443A7"/>
    <w:rsid w:val="61192CF4"/>
    <w:rsid w:val="61304CC7"/>
    <w:rsid w:val="61323B54"/>
    <w:rsid w:val="61492037"/>
    <w:rsid w:val="61492963"/>
    <w:rsid w:val="615106D0"/>
    <w:rsid w:val="61572B87"/>
    <w:rsid w:val="6166191F"/>
    <w:rsid w:val="61663EBF"/>
    <w:rsid w:val="616C1C92"/>
    <w:rsid w:val="616C201C"/>
    <w:rsid w:val="619329AB"/>
    <w:rsid w:val="619435E0"/>
    <w:rsid w:val="619A3CFE"/>
    <w:rsid w:val="61A44A71"/>
    <w:rsid w:val="61BD4895"/>
    <w:rsid w:val="61C83892"/>
    <w:rsid w:val="61CE1FBE"/>
    <w:rsid w:val="61D532E3"/>
    <w:rsid w:val="61D94C8A"/>
    <w:rsid w:val="61D958D2"/>
    <w:rsid w:val="61E7000F"/>
    <w:rsid w:val="61EC4986"/>
    <w:rsid w:val="61FF513E"/>
    <w:rsid w:val="62060289"/>
    <w:rsid w:val="62113654"/>
    <w:rsid w:val="62150846"/>
    <w:rsid w:val="622F5F20"/>
    <w:rsid w:val="62342B45"/>
    <w:rsid w:val="625D4602"/>
    <w:rsid w:val="62722FDB"/>
    <w:rsid w:val="62732011"/>
    <w:rsid w:val="62806DD3"/>
    <w:rsid w:val="62880DD8"/>
    <w:rsid w:val="628B4F58"/>
    <w:rsid w:val="62A9150E"/>
    <w:rsid w:val="62B43A99"/>
    <w:rsid w:val="62C34F55"/>
    <w:rsid w:val="62C61107"/>
    <w:rsid w:val="62CB77F1"/>
    <w:rsid w:val="62D06CB4"/>
    <w:rsid w:val="62D714E6"/>
    <w:rsid w:val="62D86861"/>
    <w:rsid w:val="62ED1260"/>
    <w:rsid w:val="62F7F3CD"/>
    <w:rsid w:val="62F93E29"/>
    <w:rsid w:val="62FA3CC8"/>
    <w:rsid w:val="62FC1743"/>
    <w:rsid w:val="62FE7490"/>
    <w:rsid w:val="63130D7F"/>
    <w:rsid w:val="63152AF9"/>
    <w:rsid w:val="63316ACA"/>
    <w:rsid w:val="633E49A8"/>
    <w:rsid w:val="63414F5F"/>
    <w:rsid w:val="634F3566"/>
    <w:rsid w:val="637135B5"/>
    <w:rsid w:val="63787590"/>
    <w:rsid w:val="637B7452"/>
    <w:rsid w:val="63876DB6"/>
    <w:rsid w:val="638C63D0"/>
    <w:rsid w:val="638D56F7"/>
    <w:rsid w:val="63A202DE"/>
    <w:rsid w:val="63B822E1"/>
    <w:rsid w:val="63BF4126"/>
    <w:rsid w:val="63DA3AAA"/>
    <w:rsid w:val="63DD55BC"/>
    <w:rsid w:val="63DE68C6"/>
    <w:rsid w:val="63E46C18"/>
    <w:rsid w:val="63EB7B37"/>
    <w:rsid w:val="63EF758B"/>
    <w:rsid w:val="63EFB51C"/>
    <w:rsid w:val="63F01FFE"/>
    <w:rsid w:val="63F17874"/>
    <w:rsid w:val="63F45D2E"/>
    <w:rsid w:val="63F718B2"/>
    <w:rsid w:val="63FE779D"/>
    <w:rsid w:val="6405479B"/>
    <w:rsid w:val="64172409"/>
    <w:rsid w:val="642127E9"/>
    <w:rsid w:val="64377052"/>
    <w:rsid w:val="643F3FDC"/>
    <w:rsid w:val="6441595D"/>
    <w:rsid w:val="644C3971"/>
    <w:rsid w:val="645D30AD"/>
    <w:rsid w:val="645D566E"/>
    <w:rsid w:val="646148E3"/>
    <w:rsid w:val="64686856"/>
    <w:rsid w:val="646B206C"/>
    <w:rsid w:val="648D1D7E"/>
    <w:rsid w:val="649237EA"/>
    <w:rsid w:val="649B06FD"/>
    <w:rsid w:val="64A41933"/>
    <w:rsid w:val="64A5507F"/>
    <w:rsid w:val="64B37928"/>
    <w:rsid w:val="64BB426B"/>
    <w:rsid w:val="64BBE8B9"/>
    <w:rsid w:val="64BC4E83"/>
    <w:rsid w:val="64C86FBA"/>
    <w:rsid w:val="64C94036"/>
    <w:rsid w:val="64D1137A"/>
    <w:rsid w:val="64D8647B"/>
    <w:rsid w:val="64E13561"/>
    <w:rsid w:val="64E62E30"/>
    <w:rsid w:val="64EC3DF5"/>
    <w:rsid w:val="64F83817"/>
    <w:rsid w:val="64FF7BAD"/>
    <w:rsid w:val="650317EE"/>
    <w:rsid w:val="650F1616"/>
    <w:rsid w:val="651B17E0"/>
    <w:rsid w:val="652933DC"/>
    <w:rsid w:val="65374960"/>
    <w:rsid w:val="653A6DA4"/>
    <w:rsid w:val="65406132"/>
    <w:rsid w:val="65424E75"/>
    <w:rsid w:val="654D0865"/>
    <w:rsid w:val="65541DD1"/>
    <w:rsid w:val="655D6708"/>
    <w:rsid w:val="65756AF3"/>
    <w:rsid w:val="658214E8"/>
    <w:rsid w:val="658232F7"/>
    <w:rsid w:val="65884034"/>
    <w:rsid w:val="6589384C"/>
    <w:rsid w:val="658D20D6"/>
    <w:rsid w:val="659508AF"/>
    <w:rsid w:val="659C31D0"/>
    <w:rsid w:val="65A06E4F"/>
    <w:rsid w:val="65AC47A6"/>
    <w:rsid w:val="65BC72E6"/>
    <w:rsid w:val="65CA37DA"/>
    <w:rsid w:val="65CB297B"/>
    <w:rsid w:val="65DA2752"/>
    <w:rsid w:val="65DA5EAE"/>
    <w:rsid w:val="65E200C4"/>
    <w:rsid w:val="65F46148"/>
    <w:rsid w:val="65FB6303"/>
    <w:rsid w:val="6606131C"/>
    <w:rsid w:val="66076DA6"/>
    <w:rsid w:val="661D5C29"/>
    <w:rsid w:val="66252720"/>
    <w:rsid w:val="66263A1F"/>
    <w:rsid w:val="66430FEE"/>
    <w:rsid w:val="66434E1C"/>
    <w:rsid w:val="665656BC"/>
    <w:rsid w:val="665C6388"/>
    <w:rsid w:val="66616249"/>
    <w:rsid w:val="667172B9"/>
    <w:rsid w:val="667C1A30"/>
    <w:rsid w:val="66855CD1"/>
    <w:rsid w:val="66890C87"/>
    <w:rsid w:val="668B188B"/>
    <w:rsid w:val="66942CFC"/>
    <w:rsid w:val="669D7B00"/>
    <w:rsid w:val="669FA64C"/>
    <w:rsid w:val="66A60189"/>
    <w:rsid w:val="66BC66B4"/>
    <w:rsid w:val="66C15038"/>
    <w:rsid w:val="66C37ADE"/>
    <w:rsid w:val="66C86873"/>
    <w:rsid w:val="66D371CE"/>
    <w:rsid w:val="66E210F1"/>
    <w:rsid w:val="66E53F34"/>
    <w:rsid w:val="66EB8496"/>
    <w:rsid w:val="66F121EA"/>
    <w:rsid w:val="66FD09A7"/>
    <w:rsid w:val="67000C8D"/>
    <w:rsid w:val="67067376"/>
    <w:rsid w:val="67150860"/>
    <w:rsid w:val="671B3E62"/>
    <w:rsid w:val="67234970"/>
    <w:rsid w:val="673261AA"/>
    <w:rsid w:val="675474B9"/>
    <w:rsid w:val="675A4D6C"/>
    <w:rsid w:val="675FCFA4"/>
    <w:rsid w:val="67670E09"/>
    <w:rsid w:val="677945D5"/>
    <w:rsid w:val="679D26E1"/>
    <w:rsid w:val="679FDD75"/>
    <w:rsid w:val="67B005F2"/>
    <w:rsid w:val="67B32D4E"/>
    <w:rsid w:val="67BA3B76"/>
    <w:rsid w:val="67BF641A"/>
    <w:rsid w:val="67CEEA01"/>
    <w:rsid w:val="67D133A9"/>
    <w:rsid w:val="67D84719"/>
    <w:rsid w:val="67DA6D0F"/>
    <w:rsid w:val="67DE37AF"/>
    <w:rsid w:val="67E608D4"/>
    <w:rsid w:val="67EF206C"/>
    <w:rsid w:val="67F70204"/>
    <w:rsid w:val="67F9617A"/>
    <w:rsid w:val="67FAE8CA"/>
    <w:rsid w:val="67FD3F95"/>
    <w:rsid w:val="682747E0"/>
    <w:rsid w:val="682F2505"/>
    <w:rsid w:val="684641FD"/>
    <w:rsid w:val="68562A00"/>
    <w:rsid w:val="685B73F0"/>
    <w:rsid w:val="685D72BF"/>
    <w:rsid w:val="686040ED"/>
    <w:rsid w:val="68990017"/>
    <w:rsid w:val="68B25D1A"/>
    <w:rsid w:val="68B52B22"/>
    <w:rsid w:val="68DE4634"/>
    <w:rsid w:val="68E54546"/>
    <w:rsid w:val="68EE0627"/>
    <w:rsid w:val="68F11FE4"/>
    <w:rsid w:val="68F17512"/>
    <w:rsid w:val="68F5A40E"/>
    <w:rsid w:val="68FE260D"/>
    <w:rsid w:val="69040983"/>
    <w:rsid w:val="69090736"/>
    <w:rsid w:val="690F2903"/>
    <w:rsid w:val="691E4A79"/>
    <w:rsid w:val="69290F1F"/>
    <w:rsid w:val="693A711F"/>
    <w:rsid w:val="693E45D7"/>
    <w:rsid w:val="694251AF"/>
    <w:rsid w:val="6950643C"/>
    <w:rsid w:val="69587366"/>
    <w:rsid w:val="695A61C6"/>
    <w:rsid w:val="696372DE"/>
    <w:rsid w:val="69662244"/>
    <w:rsid w:val="696F52DD"/>
    <w:rsid w:val="69745209"/>
    <w:rsid w:val="69796D47"/>
    <w:rsid w:val="697A0079"/>
    <w:rsid w:val="697EF6F9"/>
    <w:rsid w:val="698A4867"/>
    <w:rsid w:val="6992772A"/>
    <w:rsid w:val="69980BEB"/>
    <w:rsid w:val="699851AD"/>
    <w:rsid w:val="69A54943"/>
    <w:rsid w:val="69BA76DC"/>
    <w:rsid w:val="69CA748C"/>
    <w:rsid w:val="69CD5CB3"/>
    <w:rsid w:val="69E37167"/>
    <w:rsid w:val="69FA0733"/>
    <w:rsid w:val="69FB742E"/>
    <w:rsid w:val="6A040A94"/>
    <w:rsid w:val="6A08197F"/>
    <w:rsid w:val="6A0A363D"/>
    <w:rsid w:val="6A14196E"/>
    <w:rsid w:val="6A1B0A14"/>
    <w:rsid w:val="6A1F057A"/>
    <w:rsid w:val="6A2829D5"/>
    <w:rsid w:val="6A2E1831"/>
    <w:rsid w:val="6A364067"/>
    <w:rsid w:val="6A37241A"/>
    <w:rsid w:val="6A487A80"/>
    <w:rsid w:val="6A4F25FE"/>
    <w:rsid w:val="6A6072A3"/>
    <w:rsid w:val="6A664BF9"/>
    <w:rsid w:val="6A750C7F"/>
    <w:rsid w:val="6A787821"/>
    <w:rsid w:val="6A812262"/>
    <w:rsid w:val="6A820111"/>
    <w:rsid w:val="6A836BF8"/>
    <w:rsid w:val="6A837DE2"/>
    <w:rsid w:val="6A846914"/>
    <w:rsid w:val="6A857B84"/>
    <w:rsid w:val="6A874B57"/>
    <w:rsid w:val="6AA069AB"/>
    <w:rsid w:val="6AB768C6"/>
    <w:rsid w:val="6ABC69E5"/>
    <w:rsid w:val="6AD16383"/>
    <w:rsid w:val="6AD70044"/>
    <w:rsid w:val="6ADC1444"/>
    <w:rsid w:val="6ADC72F6"/>
    <w:rsid w:val="6AEC583D"/>
    <w:rsid w:val="6AF63538"/>
    <w:rsid w:val="6AFE52C2"/>
    <w:rsid w:val="6B0E1D7F"/>
    <w:rsid w:val="6B14021A"/>
    <w:rsid w:val="6B187537"/>
    <w:rsid w:val="6B1A53D6"/>
    <w:rsid w:val="6B2748F1"/>
    <w:rsid w:val="6B290097"/>
    <w:rsid w:val="6B2E585C"/>
    <w:rsid w:val="6B41366F"/>
    <w:rsid w:val="6B4C64FA"/>
    <w:rsid w:val="6B540888"/>
    <w:rsid w:val="6B5D2B26"/>
    <w:rsid w:val="6B6F7F18"/>
    <w:rsid w:val="6B7CED69"/>
    <w:rsid w:val="6B856246"/>
    <w:rsid w:val="6B8F7817"/>
    <w:rsid w:val="6B9A310E"/>
    <w:rsid w:val="6BA10155"/>
    <w:rsid w:val="6BA72C42"/>
    <w:rsid w:val="6BB360CE"/>
    <w:rsid w:val="6BB379CA"/>
    <w:rsid w:val="6BBF4B41"/>
    <w:rsid w:val="6BC00DC6"/>
    <w:rsid w:val="6BC33182"/>
    <w:rsid w:val="6BCB6CA3"/>
    <w:rsid w:val="6BCE255A"/>
    <w:rsid w:val="6BD51999"/>
    <w:rsid w:val="6BE25126"/>
    <w:rsid w:val="6BEF0EFC"/>
    <w:rsid w:val="6BF7CAAC"/>
    <w:rsid w:val="6BFAF11E"/>
    <w:rsid w:val="6BFB5EC7"/>
    <w:rsid w:val="6C0F68DC"/>
    <w:rsid w:val="6C12037B"/>
    <w:rsid w:val="6C1C4A0E"/>
    <w:rsid w:val="6C28678D"/>
    <w:rsid w:val="6C3C343E"/>
    <w:rsid w:val="6C49252F"/>
    <w:rsid w:val="6C497C32"/>
    <w:rsid w:val="6C6F240C"/>
    <w:rsid w:val="6C89379E"/>
    <w:rsid w:val="6C90390D"/>
    <w:rsid w:val="6C920451"/>
    <w:rsid w:val="6C975A22"/>
    <w:rsid w:val="6C9C50D8"/>
    <w:rsid w:val="6C9E492C"/>
    <w:rsid w:val="6CA81699"/>
    <w:rsid w:val="6CB228C3"/>
    <w:rsid w:val="6CB731A6"/>
    <w:rsid w:val="6CBC70FB"/>
    <w:rsid w:val="6CC31E5B"/>
    <w:rsid w:val="6CCB34BE"/>
    <w:rsid w:val="6CCC2D47"/>
    <w:rsid w:val="6CCF0FD0"/>
    <w:rsid w:val="6CD60B9A"/>
    <w:rsid w:val="6CF84172"/>
    <w:rsid w:val="6CFE2F78"/>
    <w:rsid w:val="6CFEF5FF"/>
    <w:rsid w:val="6D036489"/>
    <w:rsid w:val="6D0A1E01"/>
    <w:rsid w:val="6D1A3167"/>
    <w:rsid w:val="6D1C26A4"/>
    <w:rsid w:val="6D211C30"/>
    <w:rsid w:val="6D222AAF"/>
    <w:rsid w:val="6D243D56"/>
    <w:rsid w:val="6D306F69"/>
    <w:rsid w:val="6D324FF7"/>
    <w:rsid w:val="6D475090"/>
    <w:rsid w:val="6D4B1CF2"/>
    <w:rsid w:val="6D4D6D67"/>
    <w:rsid w:val="6D5838D0"/>
    <w:rsid w:val="6D5B3CCC"/>
    <w:rsid w:val="6D5F7DD8"/>
    <w:rsid w:val="6D6C38E2"/>
    <w:rsid w:val="6D7258F5"/>
    <w:rsid w:val="6D78427A"/>
    <w:rsid w:val="6D8E6A80"/>
    <w:rsid w:val="6D901E82"/>
    <w:rsid w:val="6D9C5D22"/>
    <w:rsid w:val="6DA77DB7"/>
    <w:rsid w:val="6DAD582D"/>
    <w:rsid w:val="6DBB4F6D"/>
    <w:rsid w:val="6DBFF329"/>
    <w:rsid w:val="6DBFF6A2"/>
    <w:rsid w:val="6DC351AF"/>
    <w:rsid w:val="6DC36F0C"/>
    <w:rsid w:val="6DD32D59"/>
    <w:rsid w:val="6DED7B47"/>
    <w:rsid w:val="6DF63EDE"/>
    <w:rsid w:val="6DFD7E13"/>
    <w:rsid w:val="6DFF841F"/>
    <w:rsid w:val="6E066759"/>
    <w:rsid w:val="6E0F71D1"/>
    <w:rsid w:val="6E1C3D20"/>
    <w:rsid w:val="6E401FF3"/>
    <w:rsid w:val="6E4A783A"/>
    <w:rsid w:val="6E515598"/>
    <w:rsid w:val="6E5C098E"/>
    <w:rsid w:val="6E5D6AB8"/>
    <w:rsid w:val="6E7408B5"/>
    <w:rsid w:val="6E7610CD"/>
    <w:rsid w:val="6E77AD02"/>
    <w:rsid w:val="6E7E211A"/>
    <w:rsid w:val="6E7F9AFF"/>
    <w:rsid w:val="6E8B20A1"/>
    <w:rsid w:val="6E9B6687"/>
    <w:rsid w:val="6EA75E92"/>
    <w:rsid w:val="6EA842CD"/>
    <w:rsid w:val="6EAB4F92"/>
    <w:rsid w:val="6EB07E5E"/>
    <w:rsid w:val="6EB6A7A8"/>
    <w:rsid w:val="6EC46A44"/>
    <w:rsid w:val="6EC5826E"/>
    <w:rsid w:val="6EC76551"/>
    <w:rsid w:val="6ED62D60"/>
    <w:rsid w:val="6EDCD131"/>
    <w:rsid w:val="6EDD052A"/>
    <w:rsid w:val="6EE93A17"/>
    <w:rsid w:val="6EEA451B"/>
    <w:rsid w:val="6EED39A6"/>
    <w:rsid w:val="6EFC337E"/>
    <w:rsid w:val="6EFF894C"/>
    <w:rsid w:val="6EFF8E78"/>
    <w:rsid w:val="6F011448"/>
    <w:rsid w:val="6F0D2963"/>
    <w:rsid w:val="6F18715E"/>
    <w:rsid w:val="6F223543"/>
    <w:rsid w:val="6F2DA71D"/>
    <w:rsid w:val="6F47052C"/>
    <w:rsid w:val="6F4B4F12"/>
    <w:rsid w:val="6F570A95"/>
    <w:rsid w:val="6F5D6EE6"/>
    <w:rsid w:val="6F5F0428"/>
    <w:rsid w:val="6F67E201"/>
    <w:rsid w:val="6F7238DA"/>
    <w:rsid w:val="6F7660B5"/>
    <w:rsid w:val="6F7878CF"/>
    <w:rsid w:val="6F7A3100"/>
    <w:rsid w:val="6F7A71D9"/>
    <w:rsid w:val="6F7B0F60"/>
    <w:rsid w:val="6F873ECD"/>
    <w:rsid w:val="6F9F0631"/>
    <w:rsid w:val="6FAC7964"/>
    <w:rsid w:val="6FAD0580"/>
    <w:rsid w:val="6FB008FF"/>
    <w:rsid w:val="6FB24B51"/>
    <w:rsid w:val="6FBC08C1"/>
    <w:rsid w:val="6FBC1634"/>
    <w:rsid w:val="6FBC99CE"/>
    <w:rsid w:val="6FBED1AB"/>
    <w:rsid w:val="6FBEE7FB"/>
    <w:rsid w:val="6FC677AD"/>
    <w:rsid w:val="6FC8BDAF"/>
    <w:rsid w:val="6FD77FD5"/>
    <w:rsid w:val="6FDDE29C"/>
    <w:rsid w:val="6FDDFACC"/>
    <w:rsid w:val="6FDE319B"/>
    <w:rsid w:val="6FE9F4E5"/>
    <w:rsid w:val="6FEB3F5B"/>
    <w:rsid w:val="6FF15A48"/>
    <w:rsid w:val="6FF67161"/>
    <w:rsid w:val="6FF78EE6"/>
    <w:rsid w:val="6FF936F3"/>
    <w:rsid w:val="6FFBC7D2"/>
    <w:rsid w:val="6FFCA940"/>
    <w:rsid w:val="6FFE10DE"/>
    <w:rsid w:val="6FFE1ABF"/>
    <w:rsid w:val="6FFF1A60"/>
    <w:rsid w:val="6FFF44A9"/>
    <w:rsid w:val="6FFFC1CD"/>
    <w:rsid w:val="70011DB5"/>
    <w:rsid w:val="700B247A"/>
    <w:rsid w:val="702071E4"/>
    <w:rsid w:val="70321433"/>
    <w:rsid w:val="70604491"/>
    <w:rsid w:val="7060735B"/>
    <w:rsid w:val="706E5116"/>
    <w:rsid w:val="707240A6"/>
    <w:rsid w:val="707949FA"/>
    <w:rsid w:val="707D11EB"/>
    <w:rsid w:val="70850A14"/>
    <w:rsid w:val="708842A6"/>
    <w:rsid w:val="708B26D8"/>
    <w:rsid w:val="708E52BA"/>
    <w:rsid w:val="70B12276"/>
    <w:rsid w:val="70C417CD"/>
    <w:rsid w:val="70CF74E9"/>
    <w:rsid w:val="70D43689"/>
    <w:rsid w:val="70DE5C1C"/>
    <w:rsid w:val="70E066B8"/>
    <w:rsid w:val="70EE19DD"/>
    <w:rsid w:val="70F166E7"/>
    <w:rsid w:val="70F91EC9"/>
    <w:rsid w:val="70FC4733"/>
    <w:rsid w:val="70FE143E"/>
    <w:rsid w:val="71013948"/>
    <w:rsid w:val="711A657E"/>
    <w:rsid w:val="712B07B1"/>
    <w:rsid w:val="714A1A4B"/>
    <w:rsid w:val="71545D81"/>
    <w:rsid w:val="7156384C"/>
    <w:rsid w:val="715FEBEB"/>
    <w:rsid w:val="716102FE"/>
    <w:rsid w:val="716C487C"/>
    <w:rsid w:val="71711304"/>
    <w:rsid w:val="7178395D"/>
    <w:rsid w:val="717856C1"/>
    <w:rsid w:val="718A01D7"/>
    <w:rsid w:val="71946BA2"/>
    <w:rsid w:val="7195303B"/>
    <w:rsid w:val="71955010"/>
    <w:rsid w:val="71A229E7"/>
    <w:rsid w:val="71B56659"/>
    <w:rsid w:val="71BB480E"/>
    <w:rsid w:val="71C3DF5D"/>
    <w:rsid w:val="71C616B0"/>
    <w:rsid w:val="71C66381"/>
    <w:rsid w:val="71CD5CF8"/>
    <w:rsid w:val="71D16446"/>
    <w:rsid w:val="71D72207"/>
    <w:rsid w:val="71D84FED"/>
    <w:rsid w:val="71DBEE08"/>
    <w:rsid w:val="71DF84C6"/>
    <w:rsid w:val="71F80B60"/>
    <w:rsid w:val="71F875E7"/>
    <w:rsid w:val="71FC2667"/>
    <w:rsid w:val="71FC60B1"/>
    <w:rsid w:val="720D7BB7"/>
    <w:rsid w:val="72215AF8"/>
    <w:rsid w:val="72420679"/>
    <w:rsid w:val="72423E19"/>
    <w:rsid w:val="72587BCF"/>
    <w:rsid w:val="72684DB9"/>
    <w:rsid w:val="727770DF"/>
    <w:rsid w:val="727A37D0"/>
    <w:rsid w:val="7287288F"/>
    <w:rsid w:val="72921F78"/>
    <w:rsid w:val="729940E3"/>
    <w:rsid w:val="72DB0B26"/>
    <w:rsid w:val="72DB4815"/>
    <w:rsid w:val="72DF67CD"/>
    <w:rsid w:val="72EC2711"/>
    <w:rsid w:val="72F62470"/>
    <w:rsid w:val="72F85807"/>
    <w:rsid w:val="72FC76C3"/>
    <w:rsid w:val="730C3DC6"/>
    <w:rsid w:val="7318735E"/>
    <w:rsid w:val="733135D1"/>
    <w:rsid w:val="73313B5A"/>
    <w:rsid w:val="7339453B"/>
    <w:rsid w:val="733989F7"/>
    <w:rsid w:val="733E7A70"/>
    <w:rsid w:val="733FFA79"/>
    <w:rsid w:val="73461172"/>
    <w:rsid w:val="735B2203"/>
    <w:rsid w:val="73665C7E"/>
    <w:rsid w:val="73682C18"/>
    <w:rsid w:val="736F88C0"/>
    <w:rsid w:val="73796737"/>
    <w:rsid w:val="737F04E5"/>
    <w:rsid w:val="738806F1"/>
    <w:rsid w:val="73895699"/>
    <w:rsid w:val="739136BC"/>
    <w:rsid w:val="73954C5B"/>
    <w:rsid w:val="73A51874"/>
    <w:rsid w:val="73AF5D0B"/>
    <w:rsid w:val="73B56DFE"/>
    <w:rsid w:val="73BF3E69"/>
    <w:rsid w:val="73C3955F"/>
    <w:rsid w:val="73C7093A"/>
    <w:rsid w:val="73DF38BB"/>
    <w:rsid w:val="73EFC858"/>
    <w:rsid w:val="73F5EF84"/>
    <w:rsid w:val="73F7570F"/>
    <w:rsid w:val="73FF2DE8"/>
    <w:rsid w:val="73FFCB2D"/>
    <w:rsid w:val="740D0550"/>
    <w:rsid w:val="741E5DAF"/>
    <w:rsid w:val="742851F4"/>
    <w:rsid w:val="742E27CA"/>
    <w:rsid w:val="74394624"/>
    <w:rsid w:val="743F4B11"/>
    <w:rsid w:val="74557603"/>
    <w:rsid w:val="74883ECE"/>
    <w:rsid w:val="748F359C"/>
    <w:rsid w:val="74936D17"/>
    <w:rsid w:val="74A079FA"/>
    <w:rsid w:val="74A63D69"/>
    <w:rsid w:val="74A748F8"/>
    <w:rsid w:val="74A92964"/>
    <w:rsid w:val="74AA677A"/>
    <w:rsid w:val="74BE0AE2"/>
    <w:rsid w:val="74C0122B"/>
    <w:rsid w:val="74C1D4EC"/>
    <w:rsid w:val="74CF0954"/>
    <w:rsid w:val="74D222ED"/>
    <w:rsid w:val="74D765A7"/>
    <w:rsid w:val="74D91C08"/>
    <w:rsid w:val="74D95F09"/>
    <w:rsid w:val="74E60216"/>
    <w:rsid w:val="74EA4FA5"/>
    <w:rsid w:val="75047488"/>
    <w:rsid w:val="7506056E"/>
    <w:rsid w:val="750740F0"/>
    <w:rsid w:val="750F3552"/>
    <w:rsid w:val="75182997"/>
    <w:rsid w:val="751A61D2"/>
    <w:rsid w:val="751B47E6"/>
    <w:rsid w:val="75260A05"/>
    <w:rsid w:val="75373A85"/>
    <w:rsid w:val="75580665"/>
    <w:rsid w:val="75593BE8"/>
    <w:rsid w:val="755EE72D"/>
    <w:rsid w:val="75663904"/>
    <w:rsid w:val="756D8BA5"/>
    <w:rsid w:val="757135B4"/>
    <w:rsid w:val="757B0CF3"/>
    <w:rsid w:val="757E298D"/>
    <w:rsid w:val="757F5F1A"/>
    <w:rsid w:val="759E136D"/>
    <w:rsid w:val="75A7FB72"/>
    <w:rsid w:val="75A82C1C"/>
    <w:rsid w:val="75B7DF3C"/>
    <w:rsid w:val="75BC06C2"/>
    <w:rsid w:val="75CF01A8"/>
    <w:rsid w:val="75D00F64"/>
    <w:rsid w:val="75D233C7"/>
    <w:rsid w:val="75D7591D"/>
    <w:rsid w:val="75E27ED2"/>
    <w:rsid w:val="75E345DA"/>
    <w:rsid w:val="75E8146C"/>
    <w:rsid w:val="75E92BD6"/>
    <w:rsid w:val="75ED5B13"/>
    <w:rsid w:val="75F70470"/>
    <w:rsid w:val="75F98C97"/>
    <w:rsid w:val="75FE0A8D"/>
    <w:rsid w:val="75FEE72B"/>
    <w:rsid w:val="761348AC"/>
    <w:rsid w:val="76141A8A"/>
    <w:rsid w:val="761C33C4"/>
    <w:rsid w:val="761C7167"/>
    <w:rsid w:val="761E3E69"/>
    <w:rsid w:val="76284CD0"/>
    <w:rsid w:val="762E2176"/>
    <w:rsid w:val="76357C7A"/>
    <w:rsid w:val="763C0C59"/>
    <w:rsid w:val="763F89FD"/>
    <w:rsid w:val="76421126"/>
    <w:rsid w:val="7656577C"/>
    <w:rsid w:val="76680BC2"/>
    <w:rsid w:val="766D324D"/>
    <w:rsid w:val="7677056F"/>
    <w:rsid w:val="767D1B98"/>
    <w:rsid w:val="767F5885"/>
    <w:rsid w:val="7685757A"/>
    <w:rsid w:val="768947FB"/>
    <w:rsid w:val="768A3492"/>
    <w:rsid w:val="768C2637"/>
    <w:rsid w:val="76900656"/>
    <w:rsid w:val="76905A97"/>
    <w:rsid w:val="76A450E2"/>
    <w:rsid w:val="76AC04E9"/>
    <w:rsid w:val="76B46036"/>
    <w:rsid w:val="76B4C50D"/>
    <w:rsid w:val="76C12765"/>
    <w:rsid w:val="76CC3E26"/>
    <w:rsid w:val="76D114AB"/>
    <w:rsid w:val="76D64230"/>
    <w:rsid w:val="76D703BA"/>
    <w:rsid w:val="76DA27BE"/>
    <w:rsid w:val="76DFD606"/>
    <w:rsid w:val="76E82722"/>
    <w:rsid w:val="76EBAD22"/>
    <w:rsid w:val="76F73814"/>
    <w:rsid w:val="76F79220"/>
    <w:rsid w:val="76FBF1E2"/>
    <w:rsid w:val="76FC3F15"/>
    <w:rsid w:val="76FF23C2"/>
    <w:rsid w:val="76FF4A6F"/>
    <w:rsid w:val="76FF7CF5"/>
    <w:rsid w:val="7705589B"/>
    <w:rsid w:val="770A14E0"/>
    <w:rsid w:val="7712432C"/>
    <w:rsid w:val="771C2A13"/>
    <w:rsid w:val="77210106"/>
    <w:rsid w:val="772A187F"/>
    <w:rsid w:val="772E2163"/>
    <w:rsid w:val="7732121E"/>
    <w:rsid w:val="7747CD43"/>
    <w:rsid w:val="77617CD5"/>
    <w:rsid w:val="77640DC4"/>
    <w:rsid w:val="77653618"/>
    <w:rsid w:val="776A47A6"/>
    <w:rsid w:val="776B20D9"/>
    <w:rsid w:val="776B5DCE"/>
    <w:rsid w:val="776C4A76"/>
    <w:rsid w:val="7776C131"/>
    <w:rsid w:val="777C7B82"/>
    <w:rsid w:val="777E74C4"/>
    <w:rsid w:val="77873EE6"/>
    <w:rsid w:val="778B9736"/>
    <w:rsid w:val="778F3B98"/>
    <w:rsid w:val="77925931"/>
    <w:rsid w:val="779F8153"/>
    <w:rsid w:val="77A17B19"/>
    <w:rsid w:val="77A84A28"/>
    <w:rsid w:val="77AAA3F9"/>
    <w:rsid w:val="77B05641"/>
    <w:rsid w:val="77B15FA9"/>
    <w:rsid w:val="77B74C48"/>
    <w:rsid w:val="77B803DE"/>
    <w:rsid w:val="77BA2DB3"/>
    <w:rsid w:val="77BE00CB"/>
    <w:rsid w:val="77BE17DB"/>
    <w:rsid w:val="77BEE00F"/>
    <w:rsid w:val="77BEF8FB"/>
    <w:rsid w:val="77C14158"/>
    <w:rsid w:val="77C957EA"/>
    <w:rsid w:val="77D208FD"/>
    <w:rsid w:val="77D74BAF"/>
    <w:rsid w:val="77D9777B"/>
    <w:rsid w:val="77DF5E88"/>
    <w:rsid w:val="77DF8B96"/>
    <w:rsid w:val="77E7EB86"/>
    <w:rsid w:val="77EB0C29"/>
    <w:rsid w:val="77EB2FAA"/>
    <w:rsid w:val="77EBBB1B"/>
    <w:rsid w:val="77EC7909"/>
    <w:rsid w:val="77EE257A"/>
    <w:rsid w:val="77F33367"/>
    <w:rsid w:val="77F5918F"/>
    <w:rsid w:val="77F74A87"/>
    <w:rsid w:val="77F7AC37"/>
    <w:rsid w:val="77F97DD1"/>
    <w:rsid w:val="77F98843"/>
    <w:rsid w:val="77F9A0A4"/>
    <w:rsid w:val="77FBECDC"/>
    <w:rsid w:val="77FCD4AA"/>
    <w:rsid w:val="77FEC850"/>
    <w:rsid w:val="77FF2115"/>
    <w:rsid w:val="77FF7A08"/>
    <w:rsid w:val="780C4409"/>
    <w:rsid w:val="780F4339"/>
    <w:rsid w:val="7815138F"/>
    <w:rsid w:val="781C3788"/>
    <w:rsid w:val="782E0588"/>
    <w:rsid w:val="78454812"/>
    <w:rsid w:val="784C2334"/>
    <w:rsid w:val="785A28AB"/>
    <w:rsid w:val="78696227"/>
    <w:rsid w:val="787D0D30"/>
    <w:rsid w:val="788709B7"/>
    <w:rsid w:val="788B5698"/>
    <w:rsid w:val="788B66AC"/>
    <w:rsid w:val="789B3388"/>
    <w:rsid w:val="789B45C2"/>
    <w:rsid w:val="78AD59DD"/>
    <w:rsid w:val="78B42CB4"/>
    <w:rsid w:val="78B67E58"/>
    <w:rsid w:val="78B95C37"/>
    <w:rsid w:val="78BC3A68"/>
    <w:rsid w:val="78CA5AC5"/>
    <w:rsid w:val="78CE1C90"/>
    <w:rsid w:val="78DA71F9"/>
    <w:rsid w:val="78DF1E4C"/>
    <w:rsid w:val="78E63CE7"/>
    <w:rsid w:val="78E939E5"/>
    <w:rsid w:val="78F71505"/>
    <w:rsid w:val="78FFF049"/>
    <w:rsid w:val="790E602B"/>
    <w:rsid w:val="79210173"/>
    <w:rsid w:val="79234C0B"/>
    <w:rsid w:val="792C4CCA"/>
    <w:rsid w:val="792D4498"/>
    <w:rsid w:val="792F4063"/>
    <w:rsid w:val="79446D82"/>
    <w:rsid w:val="794F6471"/>
    <w:rsid w:val="795333E5"/>
    <w:rsid w:val="795D7214"/>
    <w:rsid w:val="795E0FE2"/>
    <w:rsid w:val="796332E0"/>
    <w:rsid w:val="796474FC"/>
    <w:rsid w:val="79661FF3"/>
    <w:rsid w:val="796D6F45"/>
    <w:rsid w:val="796D7121"/>
    <w:rsid w:val="7972501E"/>
    <w:rsid w:val="797F69EF"/>
    <w:rsid w:val="798A3C64"/>
    <w:rsid w:val="799C0995"/>
    <w:rsid w:val="799EAB4B"/>
    <w:rsid w:val="79AF322F"/>
    <w:rsid w:val="79B75C03"/>
    <w:rsid w:val="79BF257F"/>
    <w:rsid w:val="79C06F5B"/>
    <w:rsid w:val="79C16B02"/>
    <w:rsid w:val="79CF16E3"/>
    <w:rsid w:val="79DD2708"/>
    <w:rsid w:val="79DD6248"/>
    <w:rsid w:val="79DE7676"/>
    <w:rsid w:val="79F398BD"/>
    <w:rsid w:val="79FB9B16"/>
    <w:rsid w:val="7A054EF6"/>
    <w:rsid w:val="7A346B3D"/>
    <w:rsid w:val="7A3D3208"/>
    <w:rsid w:val="7A3D72D4"/>
    <w:rsid w:val="7A4924CA"/>
    <w:rsid w:val="7A5B1CA2"/>
    <w:rsid w:val="7A5B5DAB"/>
    <w:rsid w:val="7A5C6251"/>
    <w:rsid w:val="7A687804"/>
    <w:rsid w:val="7A6D46AF"/>
    <w:rsid w:val="7A7F9348"/>
    <w:rsid w:val="7A7FE0AF"/>
    <w:rsid w:val="7A8D4A12"/>
    <w:rsid w:val="7A8E3936"/>
    <w:rsid w:val="7AA2285D"/>
    <w:rsid w:val="7AAF67DE"/>
    <w:rsid w:val="7ABF48EC"/>
    <w:rsid w:val="7AD52AB9"/>
    <w:rsid w:val="7ADF30AB"/>
    <w:rsid w:val="7AE0528D"/>
    <w:rsid w:val="7AE275E3"/>
    <w:rsid w:val="7AE70C58"/>
    <w:rsid w:val="7AE78EAE"/>
    <w:rsid w:val="7AEA2533"/>
    <w:rsid w:val="7AF1296F"/>
    <w:rsid w:val="7AFDD9AC"/>
    <w:rsid w:val="7AFF7F93"/>
    <w:rsid w:val="7B0935C7"/>
    <w:rsid w:val="7B1A70E7"/>
    <w:rsid w:val="7B2953AE"/>
    <w:rsid w:val="7B3632E4"/>
    <w:rsid w:val="7B37568A"/>
    <w:rsid w:val="7B3A55AB"/>
    <w:rsid w:val="7B3B7B6D"/>
    <w:rsid w:val="7B3C51E4"/>
    <w:rsid w:val="7B411B46"/>
    <w:rsid w:val="7B4B43CF"/>
    <w:rsid w:val="7B5E7BEE"/>
    <w:rsid w:val="7B6475E5"/>
    <w:rsid w:val="7B6F2B67"/>
    <w:rsid w:val="7B6F36D0"/>
    <w:rsid w:val="7B7C18E1"/>
    <w:rsid w:val="7B7C2CDC"/>
    <w:rsid w:val="7B7E5184"/>
    <w:rsid w:val="7B7F1388"/>
    <w:rsid w:val="7B7F5D13"/>
    <w:rsid w:val="7B7F6A35"/>
    <w:rsid w:val="7B7FAE3E"/>
    <w:rsid w:val="7B885564"/>
    <w:rsid w:val="7B8E02A5"/>
    <w:rsid w:val="7B927F45"/>
    <w:rsid w:val="7B96268A"/>
    <w:rsid w:val="7B9E0384"/>
    <w:rsid w:val="7BAC3A47"/>
    <w:rsid w:val="7BAC5B0E"/>
    <w:rsid w:val="7BBAD735"/>
    <w:rsid w:val="7BBEB8C2"/>
    <w:rsid w:val="7BBEC125"/>
    <w:rsid w:val="7BBFCF9A"/>
    <w:rsid w:val="7BC67CE1"/>
    <w:rsid w:val="7BC794FF"/>
    <w:rsid w:val="7BCF897C"/>
    <w:rsid w:val="7BD77DB7"/>
    <w:rsid w:val="7BD9058D"/>
    <w:rsid w:val="7BDD8014"/>
    <w:rsid w:val="7BDFB048"/>
    <w:rsid w:val="7BE21B22"/>
    <w:rsid w:val="7BE231F7"/>
    <w:rsid w:val="7BE28B11"/>
    <w:rsid w:val="7BE72420"/>
    <w:rsid w:val="7BE76DCA"/>
    <w:rsid w:val="7BE7935E"/>
    <w:rsid w:val="7BEECCAC"/>
    <w:rsid w:val="7BEFDCB5"/>
    <w:rsid w:val="7BEFEC19"/>
    <w:rsid w:val="7BF0329F"/>
    <w:rsid w:val="7BF37149"/>
    <w:rsid w:val="7BF55BEF"/>
    <w:rsid w:val="7BF71CAA"/>
    <w:rsid w:val="7BFA53D0"/>
    <w:rsid w:val="7BFB343F"/>
    <w:rsid w:val="7BFB5920"/>
    <w:rsid w:val="7BFD3D9C"/>
    <w:rsid w:val="7BFEA480"/>
    <w:rsid w:val="7BFF8046"/>
    <w:rsid w:val="7BFF8987"/>
    <w:rsid w:val="7BFF89BD"/>
    <w:rsid w:val="7BFFDE4D"/>
    <w:rsid w:val="7BFFF610"/>
    <w:rsid w:val="7C0B63C2"/>
    <w:rsid w:val="7C245976"/>
    <w:rsid w:val="7C383ED8"/>
    <w:rsid w:val="7C64C798"/>
    <w:rsid w:val="7C67E1DB"/>
    <w:rsid w:val="7C757CB4"/>
    <w:rsid w:val="7C778FB3"/>
    <w:rsid w:val="7C800381"/>
    <w:rsid w:val="7C8903B4"/>
    <w:rsid w:val="7C8A4E4A"/>
    <w:rsid w:val="7C9015A1"/>
    <w:rsid w:val="7CA20A79"/>
    <w:rsid w:val="7CA4504E"/>
    <w:rsid w:val="7CAD44C3"/>
    <w:rsid w:val="7CB30091"/>
    <w:rsid w:val="7CB71D7C"/>
    <w:rsid w:val="7CB80B19"/>
    <w:rsid w:val="7CBF60EF"/>
    <w:rsid w:val="7CC01C02"/>
    <w:rsid w:val="7CC11DC0"/>
    <w:rsid w:val="7CC723A7"/>
    <w:rsid w:val="7CCB0F28"/>
    <w:rsid w:val="7CDB611F"/>
    <w:rsid w:val="7CDF6F81"/>
    <w:rsid w:val="7CE5D579"/>
    <w:rsid w:val="7CECB3E6"/>
    <w:rsid w:val="7CED6684"/>
    <w:rsid w:val="7CFC638C"/>
    <w:rsid w:val="7CFD5206"/>
    <w:rsid w:val="7CFF2D2F"/>
    <w:rsid w:val="7D095633"/>
    <w:rsid w:val="7D1F4AA1"/>
    <w:rsid w:val="7D245515"/>
    <w:rsid w:val="7D3B9E70"/>
    <w:rsid w:val="7D4D361E"/>
    <w:rsid w:val="7D52C04D"/>
    <w:rsid w:val="7D579C97"/>
    <w:rsid w:val="7D602696"/>
    <w:rsid w:val="7D67F889"/>
    <w:rsid w:val="7D6E494F"/>
    <w:rsid w:val="7D731D38"/>
    <w:rsid w:val="7D79046B"/>
    <w:rsid w:val="7D7E3895"/>
    <w:rsid w:val="7D7F46F4"/>
    <w:rsid w:val="7D814167"/>
    <w:rsid w:val="7D872CA4"/>
    <w:rsid w:val="7D8D4B9A"/>
    <w:rsid w:val="7D8FAE25"/>
    <w:rsid w:val="7D96531D"/>
    <w:rsid w:val="7DA268B5"/>
    <w:rsid w:val="7DB78FAD"/>
    <w:rsid w:val="7DBB3554"/>
    <w:rsid w:val="7DC96D3B"/>
    <w:rsid w:val="7DCB5323"/>
    <w:rsid w:val="7DD76F28"/>
    <w:rsid w:val="7DDC6DCE"/>
    <w:rsid w:val="7DDF1151"/>
    <w:rsid w:val="7DDFBFB2"/>
    <w:rsid w:val="7DEB5935"/>
    <w:rsid w:val="7DEF03E6"/>
    <w:rsid w:val="7DEFFF07"/>
    <w:rsid w:val="7DF3294C"/>
    <w:rsid w:val="7DF3F01C"/>
    <w:rsid w:val="7DF53473"/>
    <w:rsid w:val="7DF63BDB"/>
    <w:rsid w:val="7DF73943"/>
    <w:rsid w:val="7DFC50EA"/>
    <w:rsid w:val="7DFCE109"/>
    <w:rsid w:val="7DFD2820"/>
    <w:rsid w:val="7DFD3CC2"/>
    <w:rsid w:val="7DFE1077"/>
    <w:rsid w:val="7DFE5B70"/>
    <w:rsid w:val="7DFE5FB6"/>
    <w:rsid w:val="7DFF0A96"/>
    <w:rsid w:val="7DFF850E"/>
    <w:rsid w:val="7E1376FA"/>
    <w:rsid w:val="7E196931"/>
    <w:rsid w:val="7E312C40"/>
    <w:rsid w:val="7E366D8D"/>
    <w:rsid w:val="7E3A196D"/>
    <w:rsid w:val="7E3A7521"/>
    <w:rsid w:val="7E4725AB"/>
    <w:rsid w:val="7E483934"/>
    <w:rsid w:val="7E4D25B2"/>
    <w:rsid w:val="7E4D497D"/>
    <w:rsid w:val="7E5349ED"/>
    <w:rsid w:val="7E5C88D4"/>
    <w:rsid w:val="7E6769F3"/>
    <w:rsid w:val="7E6D4695"/>
    <w:rsid w:val="7E7B8B27"/>
    <w:rsid w:val="7E7DB890"/>
    <w:rsid w:val="7E7EA2A4"/>
    <w:rsid w:val="7E7F7B98"/>
    <w:rsid w:val="7E8B5B1B"/>
    <w:rsid w:val="7E9FE0B1"/>
    <w:rsid w:val="7EA3A2DB"/>
    <w:rsid w:val="7EAA4D1A"/>
    <w:rsid w:val="7EAAEACE"/>
    <w:rsid w:val="7EB81A26"/>
    <w:rsid w:val="7EC429B5"/>
    <w:rsid w:val="7EC73222"/>
    <w:rsid w:val="7EDAA6A4"/>
    <w:rsid w:val="7EDB03C8"/>
    <w:rsid w:val="7EDD60B0"/>
    <w:rsid w:val="7EDE2AB0"/>
    <w:rsid w:val="7EE6159E"/>
    <w:rsid w:val="7EE654E0"/>
    <w:rsid w:val="7EEA4374"/>
    <w:rsid w:val="7EEC602F"/>
    <w:rsid w:val="7EEF608C"/>
    <w:rsid w:val="7EEFCE0F"/>
    <w:rsid w:val="7EF7076F"/>
    <w:rsid w:val="7EF7785A"/>
    <w:rsid w:val="7EFB5DDD"/>
    <w:rsid w:val="7EFBDBAA"/>
    <w:rsid w:val="7EFCF95E"/>
    <w:rsid w:val="7EFE03F3"/>
    <w:rsid w:val="7EFE5A16"/>
    <w:rsid w:val="7EFF29B2"/>
    <w:rsid w:val="7EFF3EF2"/>
    <w:rsid w:val="7EFFBA12"/>
    <w:rsid w:val="7EFFD6B3"/>
    <w:rsid w:val="7F01EAED"/>
    <w:rsid w:val="7F05435E"/>
    <w:rsid w:val="7F1E5CC7"/>
    <w:rsid w:val="7F2105E6"/>
    <w:rsid w:val="7F220731"/>
    <w:rsid w:val="7F310B92"/>
    <w:rsid w:val="7F3D51E8"/>
    <w:rsid w:val="7F3F6C10"/>
    <w:rsid w:val="7F3FC453"/>
    <w:rsid w:val="7F4105C9"/>
    <w:rsid w:val="7F4B73B3"/>
    <w:rsid w:val="7F4BB613"/>
    <w:rsid w:val="7F4FF196"/>
    <w:rsid w:val="7F565028"/>
    <w:rsid w:val="7F5DAC86"/>
    <w:rsid w:val="7F693AD3"/>
    <w:rsid w:val="7F6BC04E"/>
    <w:rsid w:val="7F6C37A9"/>
    <w:rsid w:val="7F7705D1"/>
    <w:rsid w:val="7F774B6B"/>
    <w:rsid w:val="7F77A0F9"/>
    <w:rsid w:val="7F77F652"/>
    <w:rsid w:val="7F7F9E8E"/>
    <w:rsid w:val="7F7FF97D"/>
    <w:rsid w:val="7F836118"/>
    <w:rsid w:val="7F861D20"/>
    <w:rsid w:val="7F99BE28"/>
    <w:rsid w:val="7F9F4FCA"/>
    <w:rsid w:val="7F9F5A98"/>
    <w:rsid w:val="7F9F6386"/>
    <w:rsid w:val="7FA86B1E"/>
    <w:rsid w:val="7FA934B1"/>
    <w:rsid w:val="7FABC628"/>
    <w:rsid w:val="7FAF6F53"/>
    <w:rsid w:val="7FAFD0E6"/>
    <w:rsid w:val="7FAFF67C"/>
    <w:rsid w:val="7FB3D8DC"/>
    <w:rsid w:val="7FB4042D"/>
    <w:rsid w:val="7FB78540"/>
    <w:rsid w:val="7FBA3DEB"/>
    <w:rsid w:val="7FBB196C"/>
    <w:rsid w:val="7FBF3CEF"/>
    <w:rsid w:val="7FBFE1B0"/>
    <w:rsid w:val="7FBFF486"/>
    <w:rsid w:val="7FC37277"/>
    <w:rsid w:val="7FC5279A"/>
    <w:rsid w:val="7FC73804"/>
    <w:rsid w:val="7FC7B596"/>
    <w:rsid w:val="7FCE0B81"/>
    <w:rsid w:val="7FCE6B1C"/>
    <w:rsid w:val="7FCE6EB8"/>
    <w:rsid w:val="7FCEE91E"/>
    <w:rsid w:val="7FCEFBCC"/>
    <w:rsid w:val="7FCF0A4E"/>
    <w:rsid w:val="7FCF2975"/>
    <w:rsid w:val="7FCF5F0C"/>
    <w:rsid w:val="7FCFEDAD"/>
    <w:rsid w:val="7FD59622"/>
    <w:rsid w:val="7FD65137"/>
    <w:rsid w:val="7FD69A09"/>
    <w:rsid w:val="7FDAD99B"/>
    <w:rsid w:val="7FDB7951"/>
    <w:rsid w:val="7FDE26AB"/>
    <w:rsid w:val="7FDE8512"/>
    <w:rsid w:val="7FDEF07E"/>
    <w:rsid w:val="7FDF2557"/>
    <w:rsid w:val="7FDF3173"/>
    <w:rsid w:val="7FDF3D1F"/>
    <w:rsid w:val="7FDF48E1"/>
    <w:rsid w:val="7FDF85C5"/>
    <w:rsid w:val="7FE1609F"/>
    <w:rsid w:val="7FE1CE68"/>
    <w:rsid w:val="7FE6FB89"/>
    <w:rsid w:val="7FE865C7"/>
    <w:rsid w:val="7FE94ADF"/>
    <w:rsid w:val="7FE97837"/>
    <w:rsid w:val="7FE9DAB6"/>
    <w:rsid w:val="7FED7CC7"/>
    <w:rsid w:val="7FEF54B9"/>
    <w:rsid w:val="7FEF9A54"/>
    <w:rsid w:val="7FEFA7EE"/>
    <w:rsid w:val="7FEFD294"/>
    <w:rsid w:val="7FF3276B"/>
    <w:rsid w:val="7FF32CE5"/>
    <w:rsid w:val="7FF620A0"/>
    <w:rsid w:val="7FF7591F"/>
    <w:rsid w:val="7FF7633F"/>
    <w:rsid w:val="7FF7B501"/>
    <w:rsid w:val="7FF7F689"/>
    <w:rsid w:val="7FFA1659"/>
    <w:rsid w:val="7FFA1786"/>
    <w:rsid w:val="7FFAD7D9"/>
    <w:rsid w:val="7FFB6CA8"/>
    <w:rsid w:val="7FFC56B7"/>
    <w:rsid w:val="7FFE3B20"/>
    <w:rsid w:val="7FFE4D62"/>
    <w:rsid w:val="7FFE9BC4"/>
    <w:rsid w:val="7FFED4BD"/>
    <w:rsid w:val="7FFF06AD"/>
    <w:rsid w:val="7FFF0BC1"/>
    <w:rsid w:val="7FFF1340"/>
    <w:rsid w:val="7FFF1857"/>
    <w:rsid w:val="7FFF3C47"/>
    <w:rsid w:val="7FFF58AE"/>
    <w:rsid w:val="7FFF64AE"/>
    <w:rsid w:val="7FFF6C04"/>
    <w:rsid w:val="7FFF7809"/>
    <w:rsid w:val="7FFF95BD"/>
    <w:rsid w:val="7FFFB4F6"/>
    <w:rsid w:val="7FFFBDB9"/>
    <w:rsid w:val="7FFFF5B2"/>
    <w:rsid w:val="826FBE41"/>
    <w:rsid w:val="833F6F6C"/>
    <w:rsid w:val="87D30E7A"/>
    <w:rsid w:val="8DFB6FEC"/>
    <w:rsid w:val="8FD4BB2C"/>
    <w:rsid w:val="8FF7FDA5"/>
    <w:rsid w:val="8FFEB39A"/>
    <w:rsid w:val="91A1F600"/>
    <w:rsid w:val="92F8821E"/>
    <w:rsid w:val="93EE97AF"/>
    <w:rsid w:val="93EF3702"/>
    <w:rsid w:val="93EF8322"/>
    <w:rsid w:val="95FAC037"/>
    <w:rsid w:val="97443014"/>
    <w:rsid w:val="97E53E04"/>
    <w:rsid w:val="97E7DD0B"/>
    <w:rsid w:val="9B7E46D4"/>
    <w:rsid w:val="9BEF8B59"/>
    <w:rsid w:val="9BEFB99A"/>
    <w:rsid w:val="9C3A0C3E"/>
    <w:rsid w:val="9CFFBAB6"/>
    <w:rsid w:val="9D5B0EAC"/>
    <w:rsid w:val="9DFCA3AE"/>
    <w:rsid w:val="9DFFF95B"/>
    <w:rsid w:val="9EFF0E39"/>
    <w:rsid w:val="9EFFCC9E"/>
    <w:rsid w:val="9F04EAA1"/>
    <w:rsid w:val="9F6EBF76"/>
    <w:rsid w:val="9F716AF2"/>
    <w:rsid w:val="9FBDF8BB"/>
    <w:rsid w:val="9FE2AB4A"/>
    <w:rsid w:val="9FEAF5DC"/>
    <w:rsid w:val="9FEFE383"/>
    <w:rsid w:val="9FF40A9E"/>
    <w:rsid w:val="9FFB46AD"/>
    <w:rsid w:val="9FFBB93D"/>
    <w:rsid w:val="9FFF9460"/>
    <w:rsid w:val="A4FEC40F"/>
    <w:rsid w:val="A7DA54AF"/>
    <w:rsid w:val="A7F1937B"/>
    <w:rsid w:val="A7FFF20A"/>
    <w:rsid w:val="A877AAF5"/>
    <w:rsid w:val="A9ADAD19"/>
    <w:rsid w:val="AB3FB882"/>
    <w:rsid w:val="ABDFD2E4"/>
    <w:rsid w:val="ADE981BA"/>
    <w:rsid w:val="ADFFF0E7"/>
    <w:rsid w:val="ADFFF9B9"/>
    <w:rsid w:val="AE767394"/>
    <w:rsid w:val="AE7D63DB"/>
    <w:rsid w:val="AEF977EF"/>
    <w:rsid w:val="AEFB317F"/>
    <w:rsid w:val="AEFF4BFC"/>
    <w:rsid w:val="AF5F514A"/>
    <w:rsid w:val="AF77A84B"/>
    <w:rsid w:val="AF7D07AC"/>
    <w:rsid w:val="AFBF0FB3"/>
    <w:rsid w:val="AFCD23DE"/>
    <w:rsid w:val="AFD7C84A"/>
    <w:rsid w:val="AFEC39BB"/>
    <w:rsid w:val="AFEF1052"/>
    <w:rsid w:val="AFEF337C"/>
    <w:rsid w:val="AFFF5016"/>
    <w:rsid w:val="AFFF7CE9"/>
    <w:rsid w:val="AFFF9341"/>
    <w:rsid w:val="AFFFA0D2"/>
    <w:rsid w:val="AFFFD38A"/>
    <w:rsid w:val="B0E7AC2B"/>
    <w:rsid w:val="B17F822B"/>
    <w:rsid w:val="B19F7B38"/>
    <w:rsid w:val="B34BE631"/>
    <w:rsid w:val="B3EECE67"/>
    <w:rsid w:val="B3FDA6FA"/>
    <w:rsid w:val="B3FED6CF"/>
    <w:rsid w:val="B4DFB014"/>
    <w:rsid w:val="B4F71924"/>
    <w:rsid w:val="B4FFB0EE"/>
    <w:rsid w:val="B5BB6B11"/>
    <w:rsid w:val="B5FAEB3C"/>
    <w:rsid w:val="B63F47A9"/>
    <w:rsid w:val="B6AFD8B4"/>
    <w:rsid w:val="B6CFED5F"/>
    <w:rsid w:val="B6E64AA3"/>
    <w:rsid w:val="B6EF7189"/>
    <w:rsid w:val="B75FF6BE"/>
    <w:rsid w:val="B775A608"/>
    <w:rsid w:val="B77F16D9"/>
    <w:rsid w:val="B7BF70B6"/>
    <w:rsid w:val="B7DE1F97"/>
    <w:rsid w:val="B7DFF656"/>
    <w:rsid w:val="B7FF56B2"/>
    <w:rsid w:val="B7FF8A1B"/>
    <w:rsid w:val="B975359E"/>
    <w:rsid w:val="B97B043B"/>
    <w:rsid w:val="B9FF9066"/>
    <w:rsid w:val="BA7389B9"/>
    <w:rsid w:val="BAEFAF08"/>
    <w:rsid w:val="BAFADF32"/>
    <w:rsid w:val="BB3725E3"/>
    <w:rsid w:val="BB76E59B"/>
    <w:rsid w:val="BB77EA4B"/>
    <w:rsid w:val="BB975F99"/>
    <w:rsid w:val="BBE39314"/>
    <w:rsid w:val="BBEDB58B"/>
    <w:rsid w:val="BBF60C05"/>
    <w:rsid w:val="BBF9FBBA"/>
    <w:rsid w:val="BBFA5B86"/>
    <w:rsid w:val="BBFBEFE6"/>
    <w:rsid w:val="BBFD64FB"/>
    <w:rsid w:val="BC7B396E"/>
    <w:rsid w:val="BCC6193C"/>
    <w:rsid w:val="BCFE7D3C"/>
    <w:rsid w:val="BD570DA1"/>
    <w:rsid w:val="BD6EEE45"/>
    <w:rsid w:val="BD7FE3E0"/>
    <w:rsid w:val="BDBFA4C0"/>
    <w:rsid w:val="BDC776E7"/>
    <w:rsid w:val="BDF7B4A1"/>
    <w:rsid w:val="BDFBB602"/>
    <w:rsid w:val="BED75413"/>
    <w:rsid w:val="BED9D1C5"/>
    <w:rsid w:val="BEF07D4F"/>
    <w:rsid w:val="BEFB1DAC"/>
    <w:rsid w:val="BEFD1E60"/>
    <w:rsid w:val="BF091874"/>
    <w:rsid w:val="BF3FA2C1"/>
    <w:rsid w:val="BF4FD42B"/>
    <w:rsid w:val="BF7118E8"/>
    <w:rsid w:val="BF74AD71"/>
    <w:rsid w:val="BF7F3C46"/>
    <w:rsid w:val="BF9F6ADB"/>
    <w:rsid w:val="BFAD864F"/>
    <w:rsid w:val="BFBAE1B3"/>
    <w:rsid w:val="BFBE5C77"/>
    <w:rsid w:val="BFBF04C0"/>
    <w:rsid w:val="BFC78731"/>
    <w:rsid w:val="BFC7D490"/>
    <w:rsid w:val="BFDF6E52"/>
    <w:rsid w:val="BFEB786D"/>
    <w:rsid w:val="BFEE2808"/>
    <w:rsid w:val="BFEF1888"/>
    <w:rsid w:val="BFF538DC"/>
    <w:rsid w:val="BFFB1A60"/>
    <w:rsid w:val="BFFDCAD3"/>
    <w:rsid w:val="BFFDEE17"/>
    <w:rsid w:val="BFFE0917"/>
    <w:rsid w:val="BFFE18D5"/>
    <w:rsid w:val="BFFE254F"/>
    <w:rsid w:val="BFFE733D"/>
    <w:rsid w:val="BFFE7B46"/>
    <w:rsid w:val="BFFEF7D0"/>
    <w:rsid w:val="BFFF3511"/>
    <w:rsid w:val="BFFF424F"/>
    <w:rsid w:val="BFFFC90F"/>
    <w:rsid w:val="C3ECBB9D"/>
    <w:rsid w:val="C5FC391B"/>
    <w:rsid w:val="C6FD587A"/>
    <w:rsid w:val="C752B8C1"/>
    <w:rsid w:val="C7D2A577"/>
    <w:rsid w:val="C7E4B29B"/>
    <w:rsid w:val="CB3FBB5F"/>
    <w:rsid w:val="CB7B3590"/>
    <w:rsid w:val="CB7F4824"/>
    <w:rsid w:val="CBDCE54D"/>
    <w:rsid w:val="CBDDC1C5"/>
    <w:rsid w:val="CBDE2263"/>
    <w:rsid w:val="CBFFEE41"/>
    <w:rsid w:val="CD7AA140"/>
    <w:rsid w:val="CDBD2441"/>
    <w:rsid w:val="CDD7D0A4"/>
    <w:rsid w:val="CDFB0B55"/>
    <w:rsid w:val="CDFEF336"/>
    <w:rsid w:val="CDFFD391"/>
    <w:rsid w:val="CDFFDA4C"/>
    <w:rsid w:val="CE7762CC"/>
    <w:rsid w:val="CE9AD272"/>
    <w:rsid w:val="CEFB695E"/>
    <w:rsid w:val="CF394190"/>
    <w:rsid w:val="CF6DD48C"/>
    <w:rsid w:val="CF7A083F"/>
    <w:rsid w:val="CF9ED0A0"/>
    <w:rsid w:val="CFAE7486"/>
    <w:rsid w:val="CFBE11FE"/>
    <w:rsid w:val="CFBF89CA"/>
    <w:rsid w:val="CFD32648"/>
    <w:rsid w:val="CFEF2DD5"/>
    <w:rsid w:val="CFEF6ADF"/>
    <w:rsid w:val="CFFBE05E"/>
    <w:rsid w:val="CFFFB49A"/>
    <w:rsid w:val="CFFFE404"/>
    <w:rsid w:val="D37DDA72"/>
    <w:rsid w:val="D3B78C96"/>
    <w:rsid w:val="D3DD79E2"/>
    <w:rsid w:val="D53723C4"/>
    <w:rsid w:val="D5BF453F"/>
    <w:rsid w:val="D5EECE60"/>
    <w:rsid w:val="D6B93156"/>
    <w:rsid w:val="D6DE225B"/>
    <w:rsid w:val="D73EB2C2"/>
    <w:rsid w:val="D79F950E"/>
    <w:rsid w:val="D7AE353A"/>
    <w:rsid w:val="D7B71FFE"/>
    <w:rsid w:val="D7D504A3"/>
    <w:rsid w:val="D7EBC8F6"/>
    <w:rsid w:val="D7FDB61C"/>
    <w:rsid w:val="D8F9656B"/>
    <w:rsid w:val="D927AC2B"/>
    <w:rsid w:val="D93D6864"/>
    <w:rsid w:val="D975933D"/>
    <w:rsid w:val="D98EE5E8"/>
    <w:rsid w:val="D9EEF674"/>
    <w:rsid w:val="D9F60CD0"/>
    <w:rsid w:val="DA6F6514"/>
    <w:rsid w:val="DAAE60BA"/>
    <w:rsid w:val="DAB36C99"/>
    <w:rsid w:val="DAFB4CE9"/>
    <w:rsid w:val="DAFB8CCE"/>
    <w:rsid w:val="DAFF8153"/>
    <w:rsid w:val="DAFF94BD"/>
    <w:rsid w:val="DB3321C4"/>
    <w:rsid w:val="DB387EE6"/>
    <w:rsid w:val="DB3F5E15"/>
    <w:rsid w:val="DB5EEC18"/>
    <w:rsid w:val="DB6E4FBF"/>
    <w:rsid w:val="DB6F27F9"/>
    <w:rsid w:val="DB9ECF51"/>
    <w:rsid w:val="DBBF9509"/>
    <w:rsid w:val="DBBF98E3"/>
    <w:rsid w:val="DBC3BA5F"/>
    <w:rsid w:val="DBCAF494"/>
    <w:rsid w:val="DBFA66D7"/>
    <w:rsid w:val="DBFCC127"/>
    <w:rsid w:val="DBFE991B"/>
    <w:rsid w:val="DBFF6A4B"/>
    <w:rsid w:val="DBFFBA46"/>
    <w:rsid w:val="DC55177A"/>
    <w:rsid w:val="DC9B2A99"/>
    <w:rsid w:val="DCFD6BB7"/>
    <w:rsid w:val="DCFF11BA"/>
    <w:rsid w:val="DD7DE630"/>
    <w:rsid w:val="DD7F3D9C"/>
    <w:rsid w:val="DDBDFDDF"/>
    <w:rsid w:val="DDBFB59F"/>
    <w:rsid w:val="DDD33913"/>
    <w:rsid w:val="DDDB3173"/>
    <w:rsid w:val="DDE6CB67"/>
    <w:rsid w:val="DDFB81A9"/>
    <w:rsid w:val="DDFC3F62"/>
    <w:rsid w:val="DDFD25C5"/>
    <w:rsid w:val="DDFDCC61"/>
    <w:rsid w:val="DDFF5F38"/>
    <w:rsid w:val="DE476987"/>
    <w:rsid w:val="DE7F580B"/>
    <w:rsid w:val="DE9E8D3E"/>
    <w:rsid w:val="DEA26EC3"/>
    <w:rsid w:val="DEDBE118"/>
    <w:rsid w:val="DEDEA7AD"/>
    <w:rsid w:val="DEEC3B11"/>
    <w:rsid w:val="DEEEADF5"/>
    <w:rsid w:val="DF1DD3BB"/>
    <w:rsid w:val="DF555584"/>
    <w:rsid w:val="DF5A769A"/>
    <w:rsid w:val="DF5DACE8"/>
    <w:rsid w:val="DF5FA571"/>
    <w:rsid w:val="DF77648A"/>
    <w:rsid w:val="DF7D0627"/>
    <w:rsid w:val="DFD703D6"/>
    <w:rsid w:val="DFDD00F9"/>
    <w:rsid w:val="DFDE6E3B"/>
    <w:rsid w:val="DFDE9C98"/>
    <w:rsid w:val="DFE5191F"/>
    <w:rsid w:val="DFE540C8"/>
    <w:rsid w:val="DFEFEFBE"/>
    <w:rsid w:val="DFF34A6D"/>
    <w:rsid w:val="DFF554B1"/>
    <w:rsid w:val="DFF62F47"/>
    <w:rsid w:val="DFF7396F"/>
    <w:rsid w:val="DFF76268"/>
    <w:rsid w:val="DFFBAF3B"/>
    <w:rsid w:val="DFFD9F18"/>
    <w:rsid w:val="DFFDB433"/>
    <w:rsid w:val="E08B3944"/>
    <w:rsid w:val="E25FF91C"/>
    <w:rsid w:val="E27F1511"/>
    <w:rsid w:val="E2FF8CD0"/>
    <w:rsid w:val="E398D080"/>
    <w:rsid w:val="E3E70E88"/>
    <w:rsid w:val="E3F6AD2B"/>
    <w:rsid w:val="E6F6518E"/>
    <w:rsid w:val="E6FC5B0A"/>
    <w:rsid w:val="E6FEE201"/>
    <w:rsid w:val="E76FB0A7"/>
    <w:rsid w:val="E77F6B82"/>
    <w:rsid w:val="E7BEA795"/>
    <w:rsid w:val="E7C6DBCF"/>
    <w:rsid w:val="E7D77CF7"/>
    <w:rsid w:val="E7DFEF7B"/>
    <w:rsid w:val="E7FF1A52"/>
    <w:rsid w:val="E7FF2A0B"/>
    <w:rsid w:val="E92F10CD"/>
    <w:rsid w:val="E96D9370"/>
    <w:rsid w:val="E9AFCD8E"/>
    <w:rsid w:val="E9BDD23A"/>
    <w:rsid w:val="E9C34E79"/>
    <w:rsid w:val="EA3F2962"/>
    <w:rsid w:val="EB750C62"/>
    <w:rsid w:val="EB8E8311"/>
    <w:rsid w:val="EBCBE70D"/>
    <w:rsid w:val="EBEC4E36"/>
    <w:rsid w:val="EBEF65E4"/>
    <w:rsid w:val="EC161AA0"/>
    <w:rsid w:val="EC7B246F"/>
    <w:rsid w:val="ECD76D10"/>
    <w:rsid w:val="ECFB0C6A"/>
    <w:rsid w:val="ECFC7C57"/>
    <w:rsid w:val="ECFF7C89"/>
    <w:rsid w:val="ED57FA5F"/>
    <w:rsid w:val="ED62FC5D"/>
    <w:rsid w:val="ED7FCBC0"/>
    <w:rsid w:val="EDAD8D00"/>
    <w:rsid w:val="EDDA8E25"/>
    <w:rsid w:val="EDDFAEB4"/>
    <w:rsid w:val="EDFFF633"/>
    <w:rsid w:val="EE3FD5F0"/>
    <w:rsid w:val="EE670A32"/>
    <w:rsid w:val="EE77D62F"/>
    <w:rsid w:val="EEA6263C"/>
    <w:rsid w:val="EEA7A527"/>
    <w:rsid w:val="EED7976A"/>
    <w:rsid w:val="EEDF6117"/>
    <w:rsid w:val="EEFD60C1"/>
    <w:rsid w:val="EF27148E"/>
    <w:rsid w:val="EF37277C"/>
    <w:rsid w:val="EF3BD3F8"/>
    <w:rsid w:val="EF3FA8DF"/>
    <w:rsid w:val="EF5F4819"/>
    <w:rsid w:val="EF6FE894"/>
    <w:rsid w:val="EF7DBD87"/>
    <w:rsid w:val="EF7EDA20"/>
    <w:rsid w:val="EF9BE677"/>
    <w:rsid w:val="EFA503E8"/>
    <w:rsid w:val="EFBBE2CC"/>
    <w:rsid w:val="EFBFB9CC"/>
    <w:rsid w:val="EFCFFC06"/>
    <w:rsid w:val="EFD7C05E"/>
    <w:rsid w:val="EFDD2E04"/>
    <w:rsid w:val="EFDE27EE"/>
    <w:rsid w:val="EFDEDDA1"/>
    <w:rsid w:val="EFE86605"/>
    <w:rsid w:val="EFEF0481"/>
    <w:rsid w:val="EFEF17A3"/>
    <w:rsid w:val="EFF20061"/>
    <w:rsid w:val="EFF25C68"/>
    <w:rsid w:val="EFF55DA9"/>
    <w:rsid w:val="EFF73324"/>
    <w:rsid w:val="EFF75679"/>
    <w:rsid w:val="EFF7B03A"/>
    <w:rsid w:val="EFF976E7"/>
    <w:rsid w:val="EFFBC82E"/>
    <w:rsid w:val="EFFED4E6"/>
    <w:rsid w:val="F0AFF1BF"/>
    <w:rsid w:val="F29FF5CF"/>
    <w:rsid w:val="F2D6815E"/>
    <w:rsid w:val="F2D7EFCF"/>
    <w:rsid w:val="F2D99D51"/>
    <w:rsid w:val="F2DD8786"/>
    <w:rsid w:val="F2E3ED76"/>
    <w:rsid w:val="F2F90960"/>
    <w:rsid w:val="F33F510E"/>
    <w:rsid w:val="F37F4B75"/>
    <w:rsid w:val="F3DB5EF1"/>
    <w:rsid w:val="F3EF95EC"/>
    <w:rsid w:val="F3F51783"/>
    <w:rsid w:val="F3F7886B"/>
    <w:rsid w:val="F3FF0658"/>
    <w:rsid w:val="F3FF94BA"/>
    <w:rsid w:val="F4779B04"/>
    <w:rsid w:val="F4FFC920"/>
    <w:rsid w:val="F55254B9"/>
    <w:rsid w:val="F57C0537"/>
    <w:rsid w:val="F57FDCA9"/>
    <w:rsid w:val="F58A4D17"/>
    <w:rsid w:val="F5A3A3F9"/>
    <w:rsid w:val="F5A71E54"/>
    <w:rsid w:val="F5B738C2"/>
    <w:rsid w:val="F5EFBC21"/>
    <w:rsid w:val="F5FB095B"/>
    <w:rsid w:val="F5FC258C"/>
    <w:rsid w:val="F5FD2CDB"/>
    <w:rsid w:val="F5FFD1B9"/>
    <w:rsid w:val="F65F0538"/>
    <w:rsid w:val="F67EB108"/>
    <w:rsid w:val="F69FAA1D"/>
    <w:rsid w:val="F6AFE3FA"/>
    <w:rsid w:val="F6DF3F2C"/>
    <w:rsid w:val="F6DF7E07"/>
    <w:rsid w:val="F6F869B0"/>
    <w:rsid w:val="F6FF6566"/>
    <w:rsid w:val="F717B6B5"/>
    <w:rsid w:val="F72FCAF3"/>
    <w:rsid w:val="F75F4957"/>
    <w:rsid w:val="F767A02A"/>
    <w:rsid w:val="F7696DDF"/>
    <w:rsid w:val="F7731C01"/>
    <w:rsid w:val="F7744902"/>
    <w:rsid w:val="F7779517"/>
    <w:rsid w:val="F77C916F"/>
    <w:rsid w:val="F77DF7F7"/>
    <w:rsid w:val="F77FAB71"/>
    <w:rsid w:val="F79D352A"/>
    <w:rsid w:val="F7A75E46"/>
    <w:rsid w:val="F7A95B27"/>
    <w:rsid w:val="F7ABF000"/>
    <w:rsid w:val="F7AD227A"/>
    <w:rsid w:val="F7AE4E03"/>
    <w:rsid w:val="F7AF42DE"/>
    <w:rsid w:val="F7B0E124"/>
    <w:rsid w:val="F7B6B018"/>
    <w:rsid w:val="F7B7AB3A"/>
    <w:rsid w:val="F7BB4A65"/>
    <w:rsid w:val="F7BBD435"/>
    <w:rsid w:val="F7BD2779"/>
    <w:rsid w:val="F7BF7434"/>
    <w:rsid w:val="F7BFA743"/>
    <w:rsid w:val="F7CDA351"/>
    <w:rsid w:val="F7CE5B93"/>
    <w:rsid w:val="F7D0A1F1"/>
    <w:rsid w:val="F7D7CACC"/>
    <w:rsid w:val="F7DB2F35"/>
    <w:rsid w:val="F7DECD6B"/>
    <w:rsid w:val="F7DFFA65"/>
    <w:rsid w:val="F7EA8427"/>
    <w:rsid w:val="F7EBC490"/>
    <w:rsid w:val="F7EE4DF3"/>
    <w:rsid w:val="F7EF923E"/>
    <w:rsid w:val="F7F145FC"/>
    <w:rsid w:val="F7F591B3"/>
    <w:rsid w:val="F7FEA375"/>
    <w:rsid w:val="F7FF2607"/>
    <w:rsid w:val="F7FFEA95"/>
    <w:rsid w:val="F879FF3C"/>
    <w:rsid w:val="F8D9A930"/>
    <w:rsid w:val="F8FE6D62"/>
    <w:rsid w:val="F91D1FA0"/>
    <w:rsid w:val="F96AA402"/>
    <w:rsid w:val="F97C0FC4"/>
    <w:rsid w:val="F97FEC91"/>
    <w:rsid w:val="F995990A"/>
    <w:rsid w:val="F9BB3330"/>
    <w:rsid w:val="F9CFB8C2"/>
    <w:rsid w:val="F9DFED42"/>
    <w:rsid w:val="F9ECC877"/>
    <w:rsid w:val="F9F51875"/>
    <w:rsid w:val="F9F755FE"/>
    <w:rsid w:val="F9F93E92"/>
    <w:rsid w:val="F9FB4B52"/>
    <w:rsid w:val="F9FB815E"/>
    <w:rsid w:val="F9FE9702"/>
    <w:rsid w:val="F9FF3C63"/>
    <w:rsid w:val="FABBA467"/>
    <w:rsid w:val="FABBD6D8"/>
    <w:rsid w:val="FABF9147"/>
    <w:rsid w:val="FADF3AEA"/>
    <w:rsid w:val="FAFA25D8"/>
    <w:rsid w:val="FAFAC412"/>
    <w:rsid w:val="FAFF2DCA"/>
    <w:rsid w:val="FAFF4F79"/>
    <w:rsid w:val="FAFF8A10"/>
    <w:rsid w:val="FB2D1504"/>
    <w:rsid w:val="FB2FAED5"/>
    <w:rsid w:val="FB4F3251"/>
    <w:rsid w:val="FB5449DD"/>
    <w:rsid w:val="FB5FE7AA"/>
    <w:rsid w:val="FB6DDDAC"/>
    <w:rsid w:val="FB730A0D"/>
    <w:rsid w:val="FB7D17D4"/>
    <w:rsid w:val="FB7D7C60"/>
    <w:rsid w:val="FB7DEBAC"/>
    <w:rsid w:val="FB7F88A4"/>
    <w:rsid w:val="FB7FC441"/>
    <w:rsid w:val="FB9D906C"/>
    <w:rsid w:val="FBA74905"/>
    <w:rsid w:val="FBB962AE"/>
    <w:rsid w:val="FBBA127C"/>
    <w:rsid w:val="FBBDF945"/>
    <w:rsid w:val="FBBE8765"/>
    <w:rsid w:val="FBBF7AE0"/>
    <w:rsid w:val="FBCA67B4"/>
    <w:rsid w:val="FBCFBBC3"/>
    <w:rsid w:val="FBD1113F"/>
    <w:rsid w:val="FBDEED20"/>
    <w:rsid w:val="FBE7509C"/>
    <w:rsid w:val="FBEB4914"/>
    <w:rsid w:val="FBF126E3"/>
    <w:rsid w:val="FBF3928A"/>
    <w:rsid w:val="FBFEF434"/>
    <w:rsid w:val="FBFEF70A"/>
    <w:rsid w:val="FBFF4240"/>
    <w:rsid w:val="FBFFD46E"/>
    <w:rsid w:val="FCD75DF3"/>
    <w:rsid w:val="FCD788D4"/>
    <w:rsid w:val="FCDFC22C"/>
    <w:rsid w:val="FCEB9F42"/>
    <w:rsid w:val="FCEF0464"/>
    <w:rsid w:val="FCEF1973"/>
    <w:rsid w:val="FCF71D0B"/>
    <w:rsid w:val="FCFB6473"/>
    <w:rsid w:val="FD37B5F8"/>
    <w:rsid w:val="FD3FB19B"/>
    <w:rsid w:val="FD4F9E8E"/>
    <w:rsid w:val="FD726EBA"/>
    <w:rsid w:val="FDADD6BA"/>
    <w:rsid w:val="FDB977A6"/>
    <w:rsid w:val="FDBFDFB2"/>
    <w:rsid w:val="FDBFED50"/>
    <w:rsid w:val="FDC5EC43"/>
    <w:rsid w:val="FDD8B7A7"/>
    <w:rsid w:val="FDE32BEC"/>
    <w:rsid w:val="FDE6D772"/>
    <w:rsid w:val="FDE99F6A"/>
    <w:rsid w:val="FDEFC2C3"/>
    <w:rsid w:val="FDEFEA7F"/>
    <w:rsid w:val="FDEFF9E4"/>
    <w:rsid w:val="FDF3751E"/>
    <w:rsid w:val="FDF70AEE"/>
    <w:rsid w:val="FDFBE65E"/>
    <w:rsid w:val="FDFBFBC0"/>
    <w:rsid w:val="FDFD0938"/>
    <w:rsid w:val="FDFD171A"/>
    <w:rsid w:val="FDFD52D9"/>
    <w:rsid w:val="FDFEA964"/>
    <w:rsid w:val="FDFED070"/>
    <w:rsid w:val="FDFFA8CB"/>
    <w:rsid w:val="FDFFC4EB"/>
    <w:rsid w:val="FDFFC9A0"/>
    <w:rsid w:val="FDFFEB5B"/>
    <w:rsid w:val="FE4E7DCE"/>
    <w:rsid w:val="FE5D3EDF"/>
    <w:rsid w:val="FE6676AD"/>
    <w:rsid w:val="FE76D032"/>
    <w:rsid w:val="FE7903D8"/>
    <w:rsid w:val="FE7BB981"/>
    <w:rsid w:val="FE7DF51D"/>
    <w:rsid w:val="FE7E010C"/>
    <w:rsid w:val="FE8A9B88"/>
    <w:rsid w:val="FE9F7CB3"/>
    <w:rsid w:val="FE9FE92E"/>
    <w:rsid w:val="FEBF8CA7"/>
    <w:rsid w:val="FECFE52A"/>
    <w:rsid w:val="FEDB35EB"/>
    <w:rsid w:val="FEDB3905"/>
    <w:rsid w:val="FEDF14E9"/>
    <w:rsid w:val="FEDF58D1"/>
    <w:rsid w:val="FEDFC0A0"/>
    <w:rsid w:val="FEEF9996"/>
    <w:rsid w:val="FEFB2262"/>
    <w:rsid w:val="FEFB6F68"/>
    <w:rsid w:val="FEFD5D00"/>
    <w:rsid w:val="FEFD74F2"/>
    <w:rsid w:val="FEFDF746"/>
    <w:rsid w:val="FEFE561F"/>
    <w:rsid w:val="FEFF0795"/>
    <w:rsid w:val="FEFF9C36"/>
    <w:rsid w:val="FEFF9D9B"/>
    <w:rsid w:val="FEFFBABA"/>
    <w:rsid w:val="FF09F101"/>
    <w:rsid w:val="FF1DC70B"/>
    <w:rsid w:val="FF1F83D0"/>
    <w:rsid w:val="FF2DF597"/>
    <w:rsid w:val="FF3BCDFD"/>
    <w:rsid w:val="FF3DE256"/>
    <w:rsid w:val="FF3E54C4"/>
    <w:rsid w:val="FF3F68AA"/>
    <w:rsid w:val="FF463788"/>
    <w:rsid w:val="FF49784F"/>
    <w:rsid w:val="FF4CE81D"/>
    <w:rsid w:val="FF5BCB09"/>
    <w:rsid w:val="FF675D00"/>
    <w:rsid w:val="FF6D2AD0"/>
    <w:rsid w:val="FF6F05FF"/>
    <w:rsid w:val="FF6F3152"/>
    <w:rsid w:val="FF71BBDB"/>
    <w:rsid w:val="FF73F270"/>
    <w:rsid w:val="FF7C61E8"/>
    <w:rsid w:val="FF7D55FD"/>
    <w:rsid w:val="FF7E6BFD"/>
    <w:rsid w:val="FF7EC828"/>
    <w:rsid w:val="FF7FF2BC"/>
    <w:rsid w:val="FF971E5A"/>
    <w:rsid w:val="FF9D3817"/>
    <w:rsid w:val="FF9E7B05"/>
    <w:rsid w:val="FFA8BAEA"/>
    <w:rsid w:val="FFAA7ED0"/>
    <w:rsid w:val="FFAAA604"/>
    <w:rsid w:val="FFAFF821"/>
    <w:rsid w:val="FFB15C37"/>
    <w:rsid w:val="FFBEF537"/>
    <w:rsid w:val="FFBF1817"/>
    <w:rsid w:val="FFCBCA39"/>
    <w:rsid w:val="FFCD0E96"/>
    <w:rsid w:val="FFCEC626"/>
    <w:rsid w:val="FFD30A9B"/>
    <w:rsid w:val="FFD74F50"/>
    <w:rsid w:val="FFDB142F"/>
    <w:rsid w:val="FFDB4F49"/>
    <w:rsid w:val="FFDBF0E5"/>
    <w:rsid w:val="FFDD7A68"/>
    <w:rsid w:val="FFDE9EDF"/>
    <w:rsid w:val="FFDEFA29"/>
    <w:rsid w:val="FFDFB74C"/>
    <w:rsid w:val="FFDFBF25"/>
    <w:rsid w:val="FFDFFA8A"/>
    <w:rsid w:val="FFE14A14"/>
    <w:rsid w:val="FFE354AE"/>
    <w:rsid w:val="FFE704BE"/>
    <w:rsid w:val="FFE734B5"/>
    <w:rsid w:val="FFEF05FB"/>
    <w:rsid w:val="FFEF4C5C"/>
    <w:rsid w:val="FFEF73E9"/>
    <w:rsid w:val="FFF18586"/>
    <w:rsid w:val="FFF340E5"/>
    <w:rsid w:val="FFF70BBA"/>
    <w:rsid w:val="FFF7CD45"/>
    <w:rsid w:val="FFF7F6D1"/>
    <w:rsid w:val="FFF9863E"/>
    <w:rsid w:val="FFFA8104"/>
    <w:rsid w:val="FFFC2DC7"/>
    <w:rsid w:val="FFFC5BB1"/>
    <w:rsid w:val="FFFDAA61"/>
    <w:rsid w:val="FFFEAF1C"/>
    <w:rsid w:val="FFFEEA89"/>
    <w:rsid w:val="FFFF0323"/>
    <w:rsid w:val="FFFF3C5E"/>
    <w:rsid w:val="FFFF718E"/>
    <w:rsid w:val="FFFFCA9C"/>
    <w:rsid w:val="FFFFE4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200" w:firstLineChars="200"/>
      <w:jc w:val="both"/>
    </w:pPr>
    <w:rPr>
      <w:rFonts w:ascii="Calibri" w:hAnsi="Calibri" w:eastAsia="仿宋_GB2312" w:cs="Times New Roman"/>
      <w:kern w:val="2"/>
      <w:sz w:val="32"/>
      <w:szCs w:val="22"/>
      <w:lang w:val="en-US" w:eastAsia="zh-CN" w:bidi="ar-SA"/>
    </w:rPr>
  </w:style>
  <w:style w:type="paragraph" w:styleId="4">
    <w:name w:val="heading 1"/>
    <w:basedOn w:val="1"/>
    <w:next w:val="1"/>
    <w:qFormat/>
    <w:uiPriority w:val="0"/>
    <w:pPr>
      <w:keepNext/>
      <w:keepLines/>
      <w:spacing w:before="312" w:after="312"/>
      <w:jc w:val="center"/>
      <w:outlineLvl w:val="0"/>
    </w:pPr>
    <w:rPr>
      <w:rFonts w:ascii="Times New Roman" w:hAnsi="Times New Roman" w:eastAsia="黑体"/>
      <w:b/>
      <w:bCs/>
      <w:kern w:val="44"/>
      <w:szCs w:val="44"/>
    </w:rPr>
  </w:style>
  <w:style w:type="paragraph" w:styleId="5">
    <w:name w:val="heading 2"/>
    <w:basedOn w:val="1"/>
    <w:next w:val="1"/>
    <w:qFormat/>
    <w:uiPriority w:val="0"/>
    <w:pPr>
      <w:keepNext/>
      <w:keepLines/>
      <w:spacing w:before="187" w:after="187"/>
      <w:jc w:val="center"/>
      <w:outlineLvl w:val="1"/>
    </w:pPr>
    <w:rPr>
      <w:rFonts w:ascii="等线 Light" w:hAnsi="等线 Light" w:eastAsia="黑体"/>
      <w:bCs/>
      <w:szCs w:val="32"/>
    </w:rPr>
  </w:style>
  <w:style w:type="paragraph" w:styleId="6">
    <w:name w:val="heading 3"/>
    <w:basedOn w:val="1"/>
    <w:next w:val="1"/>
    <w:link w:val="15"/>
    <w:qFormat/>
    <w:uiPriority w:val="0"/>
    <w:pPr>
      <w:keepNext/>
      <w:keepLines/>
      <w:outlineLvl w:val="2"/>
    </w:pPr>
    <w:rPr>
      <w:rFonts w:eastAsia="黑体"/>
      <w:bCs/>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Body Text First Indent"/>
    <w:basedOn w:val="2"/>
    <w:qFormat/>
    <w:uiPriority w:val="0"/>
    <w:pPr>
      <w:ind w:firstLine="100" w:firstLineChars="100"/>
    </w:pPr>
    <w:rPr>
      <w:rFonts w:eastAsia="文星简小标宋"/>
      <w:sz w:val="44"/>
      <w:szCs w:val="20"/>
    </w:rPr>
  </w:style>
  <w:style w:type="paragraph" w:styleId="7">
    <w:name w:val="table of authorities"/>
    <w:basedOn w:val="1"/>
    <w:next w:val="1"/>
    <w:qFormat/>
    <w:uiPriority w:val="0"/>
    <w:pPr>
      <w:ind w:left="420" w:leftChars="200"/>
    </w:pPr>
    <w:rPr>
      <w:rFonts w:ascii="Times New Roman" w:hAnsi="Times New Roman"/>
    </w:rPr>
  </w:style>
  <w:style w:type="paragraph" w:styleId="8">
    <w:name w:val="Normal Indent"/>
    <w:basedOn w:val="1"/>
    <w:unhideWhenUsed/>
    <w:qFormat/>
    <w:uiPriority w:val="99"/>
    <w:pPr>
      <w:ind w:firstLine="420"/>
    </w:pPr>
  </w:style>
  <w:style w:type="paragraph" w:styleId="9">
    <w:name w:val="Body Text Indent 2"/>
    <w:basedOn w:val="1"/>
    <w:qFormat/>
    <w:uiPriority w:val="99"/>
    <w:pPr>
      <w:spacing w:after="120" w:line="480" w:lineRule="auto"/>
      <w:ind w:left="420" w:leftChars="200"/>
    </w:pPr>
  </w:style>
  <w:style w:type="paragraph" w:styleId="10">
    <w:name w:val="Balloon Text"/>
    <w:basedOn w:val="1"/>
    <w:link w:val="20"/>
    <w:qFormat/>
    <w:uiPriority w:val="0"/>
    <w:pPr>
      <w:spacing w:line="240" w:lineRule="auto"/>
    </w:pPr>
    <w:rPr>
      <w:sz w:val="18"/>
      <w:szCs w:val="18"/>
    </w:rPr>
  </w:style>
  <w:style w:type="paragraph" w:styleId="11">
    <w:name w:val="footer"/>
    <w:basedOn w:val="1"/>
    <w:link w:val="18"/>
    <w:qFormat/>
    <w:uiPriority w:val="0"/>
    <w:pPr>
      <w:tabs>
        <w:tab w:val="center" w:pos="4153"/>
        <w:tab w:val="right" w:pos="8306"/>
      </w:tabs>
      <w:snapToGrid w:val="0"/>
      <w:spacing w:line="240" w:lineRule="atLeast"/>
      <w:jc w:val="left"/>
    </w:pPr>
    <w:rPr>
      <w:sz w:val="18"/>
      <w:szCs w:val="18"/>
    </w:rPr>
  </w:style>
  <w:style w:type="paragraph" w:styleId="12">
    <w:name w:val="header"/>
    <w:basedOn w:val="1"/>
    <w:link w:val="17"/>
    <w:qFormat/>
    <w:uiPriority w:val="0"/>
    <w:pPr>
      <w:pBdr>
        <w:bottom w:val="single" w:color="auto" w:sz="6" w:space="1"/>
      </w:pBdr>
      <w:tabs>
        <w:tab w:val="center" w:pos="4153"/>
        <w:tab w:val="right" w:pos="8306"/>
      </w:tabs>
      <w:snapToGrid w:val="0"/>
      <w:spacing w:line="240" w:lineRule="atLeast"/>
      <w:jc w:val="center"/>
    </w:pPr>
    <w:rPr>
      <w:sz w:val="18"/>
      <w:szCs w:val="18"/>
    </w:rPr>
  </w:style>
  <w:style w:type="character" w:customStyle="1" w:styleId="15">
    <w:name w:val="标题 3 字符"/>
    <w:basedOn w:val="14"/>
    <w:link w:val="6"/>
    <w:qFormat/>
    <w:uiPriority w:val="0"/>
    <w:rPr>
      <w:rFonts w:eastAsia="黑体"/>
      <w:bCs/>
      <w:szCs w:val="32"/>
    </w:rPr>
  </w:style>
  <w:style w:type="character" w:customStyle="1" w:styleId="16">
    <w:name w:val="标题 3 字符2"/>
    <w:basedOn w:val="14"/>
    <w:qFormat/>
    <w:uiPriority w:val="0"/>
    <w:rPr>
      <w:rFonts w:eastAsia="黑体"/>
      <w:sz w:val="32"/>
    </w:rPr>
  </w:style>
  <w:style w:type="character" w:customStyle="1" w:styleId="17">
    <w:name w:val="页眉 字符"/>
    <w:basedOn w:val="14"/>
    <w:link w:val="12"/>
    <w:qFormat/>
    <w:uiPriority w:val="0"/>
    <w:rPr>
      <w:rFonts w:ascii="Calibri" w:hAnsi="Calibri" w:eastAsia="仿宋_GB2312"/>
      <w:kern w:val="2"/>
      <w:sz w:val="18"/>
      <w:szCs w:val="18"/>
    </w:rPr>
  </w:style>
  <w:style w:type="character" w:customStyle="1" w:styleId="18">
    <w:name w:val="页脚 字符"/>
    <w:basedOn w:val="14"/>
    <w:link w:val="11"/>
    <w:qFormat/>
    <w:uiPriority w:val="0"/>
    <w:rPr>
      <w:rFonts w:ascii="Calibri" w:hAnsi="Calibri" w:eastAsia="仿宋_GB2312"/>
      <w:kern w:val="2"/>
      <w:sz w:val="18"/>
      <w:szCs w:val="18"/>
    </w:rPr>
  </w:style>
  <w:style w:type="paragraph" w:customStyle="1" w:styleId="19">
    <w:name w:val="修订1"/>
    <w:hidden/>
    <w:semiHidden/>
    <w:qFormat/>
    <w:uiPriority w:val="99"/>
    <w:rPr>
      <w:rFonts w:ascii="Calibri" w:hAnsi="Calibri" w:eastAsia="仿宋_GB2312" w:cs="Times New Roman"/>
      <w:kern w:val="2"/>
      <w:sz w:val="32"/>
      <w:szCs w:val="22"/>
      <w:lang w:val="en-US" w:eastAsia="zh-CN" w:bidi="ar-SA"/>
    </w:rPr>
  </w:style>
  <w:style w:type="character" w:customStyle="1" w:styleId="20">
    <w:name w:val="批注框文本 字符"/>
    <w:basedOn w:val="14"/>
    <w:link w:val="10"/>
    <w:qFormat/>
    <w:uiPriority w:val="0"/>
    <w:rPr>
      <w:rFonts w:ascii="Calibri" w:hAnsi="Calibri"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7680</Words>
  <Characters>7696</Characters>
  <Lines>87</Lines>
  <Paragraphs>24</Paragraphs>
  <TotalTime>14</TotalTime>
  <ScaleCrop>false</ScaleCrop>
  <LinksUpToDate>false</LinksUpToDate>
  <CharactersWithSpaces>7794</CharactersWithSpaces>
  <Application>WPS Office_11.1.0.13012_F1E327BC-269C-435d-A152-05C5408002CA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2022-03-27T09:06:00Z</dcterms:created>
  <dc:creator>邓士文</dc:creator>
  <cp:lastModifiedBy>CYH</cp:lastModifiedBy>
  <cp:lastPrinted>2023-01-16T01:19:00Z</cp:lastPrinted>
  <dcterms:modified xsi:type="dcterms:W3CDTF">2023-01-16T09:48:31Z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2052-11.1.0.13012</vt:lpwstr>
  </property>
  <property fmtid="{D5CDD505-2E9C-101B-9397-08002B2CF9AE}" pid="3" name="ICV">
    <vt:lpwstr>464ABC0C30C94D3FAE8157E0BDDD0AD2</vt:lpwstr>
  </property>
</Properties>
</file>