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8" w:lineRule="exact"/>
        <w:ind w:firstLine="0" w:firstLineChars="0"/>
        <w:textAlignment w:val="auto"/>
        <w:rPr>
          <w:rFonts w:hint="eastAsia" w:ascii="黑体" w:hAnsi="黑体" w:eastAsia="黑体"/>
          <w:color w:val="auto"/>
          <w:sz w:val="32"/>
          <w:szCs w:val="32"/>
          <w:highlight w:val="none"/>
          <w:u w:val="none"/>
          <w:lang w:val="en-US" w:eastAsia="zh-CN"/>
        </w:rPr>
      </w:pPr>
      <w:bookmarkStart w:id="0" w:name="_Hlk17792905"/>
      <w:bookmarkStart w:id="1" w:name="_Hlk22399405"/>
      <w:bookmarkStart w:id="25" w:name="_GoBack"/>
      <w:bookmarkEnd w:id="25"/>
      <w:r>
        <w:rPr>
          <w:rFonts w:hint="eastAsia" w:ascii="黑体" w:hAnsi="黑体" w:eastAsia="黑体"/>
          <w:color w:val="auto"/>
          <w:sz w:val="32"/>
          <w:szCs w:val="32"/>
          <w:highlight w:val="none"/>
          <w:u w:val="none"/>
        </w:rPr>
        <w:t>附件</w:t>
      </w:r>
      <w:r>
        <w:rPr>
          <w:rFonts w:hint="eastAsia" w:ascii="黑体" w:hAnsi="黑体" w:eastAsia="黑体"/>
          <w:color w:val="auto"/>
          <w:sz w:val="32"/>
          <w:szCs w:val="32"/>
          <w:highlight w:val="none"/>
          <w:u w:val="none"/>
          <w:lang w:val="en-US" w:eastAsia="zh-CN"/>
        </w:rPr>
        <w:t>3</w:t>
      </w:r>
    </w:p>
    <w:p>
      <w:pPr>
        <w:pStyle w:val="3"/>
        <w:keepNext w:val="0"/>
        <w:keepLines w:val="0"/>
        <w:pageBreakBefore w:val="0"/>
        <w:widowControl w:val="0"/>
        <w:kinsoku/>
        <w:wordWrap/>
        <w:overflowPunct/>
        <w:topLinePunct w:val="0"/>
        <w:autoSpaceDE/>
        <w:autoSpaceDN/>
        <w:bidi w:val="0"/>
        <w:spacing w:after="0" w:line="578" w:lineRule="exact"/>
        <w:ind w:firstLine="0" w:firstLineChars="0"/>
        <w:textAlignment w:val="auto"/>
        <w:rPr>
          <w:rFonts w:hint="eastAsia" w:ascii="黑体" w:hAnsi="黑体" w:eastAsia="黑体"/>
          <w:color w:val="000000" w:themeColor="text1"/>
          <w:sz w:val="44"/>
          <w:szCs w:val="44"/>
          <w:highlight w:val="none"/>
          <w:u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578" w:lineRule="exact"/>
        <w:ind w:firstLine="0" w:firstLineChars="0"/>
        <w:jc w:val="center"/>
        <w:textAlignment w:val="auto"/>
        <w:rPr>
          <w:rFonts w:ascii="宋体" w:hAnsi="宋体" w:eastAsia="宋体"/>
          <w:b/>
          <w:bCs/>
          <w:color w:val="000000" w:themeColor="text1"/>
          <w:sz w:val="44"/>
          <w:szCs w:val="44"/>
          <w:highlight w:val="none"/>
          <w:u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u w:val="none"/>
          <w14:textFill>
            <w14:solidFill>
              <w14:schemeClr w14:val="tx1"/>
            </w14:solidFill>
          </w14:textFill>
        </w:rPr>
        <w:t>深圳市公共租赁住房管理办法</w:t>
      </w:r>
    </w:p>
    <w:p>
      <w:pPr>
        <w:keepNext w:val="0"/>
        <w:keepLines w:val="0"/>
        <w:pageBreakBefore w:val="0"/>
        <w:widowControl w:val="0"/>
        <w:kinsoku/>
        <w:wordWrap/>
        <w:overflowPunct/>
        <w:topLinePunct w:val="0"/>
        <w:autoSpaceDE/>
        <w:autoSpaceDN/>
        <w:bidi w:val="0"/>
        <w:spacing w:line="578" w:lineRule="exact"/>
        <w:ind w:firstLine="0" w:firstLineChars="0"/>
        <w:jc w:val="center"/>
        <w:textAlignment w:val="auto"/>
        <w:rPr>
          <w:rFonts w:ascii="楷体_GB2312" w:hAnsi="楷体_GB2312" w:eastAsia="楷体_GB2312"/>
          <w:color w:val="000000" w:themeColor="text1"/>
          <w:szCs w:val="32"/>
          <w:highlight w:val="none"/>
          <w:u w:val="none"/>
          <w14:textFill>
            <w14:solidFill>
              <w14:schemeClr w14:val="tx1"/>
            </w14:solidFill>
          </w14:textFill>
        </w:rPr>
      </w:pPr>
      <w:r>
        <w:rPr>
          <w:rFonts w:hint="eastAsia" w:ascii="楷体_GB2312" w:hAnsi="楷体_GB2312" w:eastAsia="楷体_GB2312"/>
          <w:color w:val="000000" w:themeColor="text1"/>
          <w:szCs w:val="32"/>
          <w:highlight w:val="none"/>
          <w:u w:val="none"/>
          <w14:textFill>
            <w14:solidFill>
              <w14:schemeClr w14:val="tx1"/>
            </w14:solidFill>
          </w14:textFill>
        </w:rPr>
        <w:t>（</w:t>
      </w:r>
      <w:r>
        <w:rPr>
          <w:rFonts w:hint="eastAsia" w:ascii="楷体_GB2312" w:hAnsi="楷体_GB2312" w:eastAsia="楷体_GB2312"/>
          <w:color w:val="000000" w:themeColor="text1"/>
          <w:szCs w:val="32"/>
          <w:highlight w:val="none"/>
          <w:u w:val="none"/>
          <w:lang w:val="en-US" w:eastAsia="zh-CN"/>
          <w14:textFill>
            <w14:solidFill>
              <w14:schemeClr w14:val="tx1"/>
            </w14:solidFill>
          </w14:textFill>
        </w:rPr>
        <w:t>征求意见稿</w:t>
      </w:r>
      <w:r>
        <w:rPr>
          <w:rFonts w:hint="eastAsia" w:ascii="楷体_GB2312" w:hAnsi="楷体_GB2312" w:eastAsia="楷体_GB2312"/>
          <w:color w:val="000000" w:themeColor="text1"/>
          <w:szCs w:val="32"/>
          <w:highlight w:val="none"/>
          <w:u w:val="none"/>
          <w14:textFill>
            <w14:solidFill>
              <w14:schemeClr w14:val="tx1"/>
            </w14:solidFill>
          </w14:textFill>
        </w:rPr>
        <w:t>）</w:t>
      </w:r>
    </w:p>
    <w:bookmarkEnd w:id="0"/>
    <w:p>
      <w:pPr>
        <w:keepNext w:val="0"/>
        <w:keepLines w:val="0"/>
        <w:pageBreakBefore w:val="0"/>
        <w:widowControl w:val="0"/>
        <w:kinsoku/>
        <w:wordWrap/>
        <w:overflowPunct/>
        <w:topLinePunct w:val="0"/>
        <w:autoSpaceDE/>
        <w:autoSpaceDN/>
        <w:bidi w:val="0"/>
        <w:spacing w:line="578" w:lineRule="exact"/>
        <w:ind w:firstLine="422"/>
        <w:jc w:val="left"/>
        <w:textAlignment w:val="auto"/>
        <w:rPr>
          <w:rStyle w:val="10"/>
          <w:rFonts w:ascii="仿宋_GB2312" w:hAnsi="仿宋_GB2312" w:eastAsia="仿宋_GB2312" w:cs="仿宋_GB2312"/>
          <w:color w:val="000000" w:themeColor="text1"/>
          <w:sz w:val="21"/>
          <w:szCs w:val="32"/>
          <w:highlight w:val="none"/>
          <w:u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spacing w:before="0" w:after="0" w:line="578" w:lineRule="exact"/>
        <w:ind w:firstLine="0" w:firstLineChars="0"/>
        <w:textAlignment w:val="auto"/>
        <w:rPr>
          <w:rFonts w:hint="eastAsia" w:ascii="黑体" w:hAnsi="黑体"/>
          <w:b w:val="0"/>
          <w:bCs w:val="0"/>
          <w:color w:val="000000" w:themeColor="text1"/>
          <w:highlight w:val="none"/>
          <w:u w:val="none"/>
          <w14:textFill>
            <w14:solidFill>
              <w14:schemeClr w14:val="tx1"/>
            </w14:solidFill>
          </w14:textFill>
        </w:rPr>
      </w:pPr>
      <w:r>
        <w:rPr>
          <w:rFonts w:hint="eastAsia" w:ascii="黑体" w:hAnsi="黑体"/>
          <w:b w:val="0"/>
          <w:bCs w:val="0"/>
          <w:color w:val="000000" w:themeColor="text1"/>
          <w:highlight w:val="none"/>
          <w:u w:val="none"/>
          <w14:textFill>
            <w14:solidFill>
              <w14:schemeClr w14:val="tx1"/>
            </w14:solidFill>
          </w14:textFill>
        </w:rPr>
        <w:t>第一章</w:t>
      </w:r>
      <w:r>
        <w:rPr>
          <w:rFonts w:ascii="黑体" w:hAnsi="黑体"/>
          <w:b w:val="0"/>
          <w:bCs w:val="0"/>
          <w:color w:val="000000" w:themeColor="text1"/>
          <w:highlight w:val="none"/>
          <w:u w:val="none"/>
          <w14:textFill>
            <w14:solidFill>
              <w14:schemeClr w14:val="tx1"/>
            </w14:solidFill>
          </w14:textFill>
        </w:rPr>
        <w:t xml:space="preserve"> </w:t>
      </w:r>
      <w:r>
        <w:rPr>
          <w:rFonts w:hint="eastAsia" w:ascii="黑体" w:hAnsi="黑体"/>
          <w:b w:val="0"/>
          <w:bCs w:val="0"/>
          <w:color w:val="000000" w:themeColor="text1"/>
          <w:highlight w:val="none"/>
          <w:u w:val="none"/>
          <w14:textFill>
            <w14:solidFill>
              <w14:schemeClr w14:val="tx1"/>
            </w14:solidFill>
          </w14:textFill>
        </w:rPr>
        <w:t>总则</w:t>
      </w:r>
    </w:p>
    <w:p>
      <w:pPr>
        <w:keepNext w:val="0"/>
        <w:keepLines w:val="0"/>
        <w:pageBreakBefore w:val="0"/>
        <w:widowControl w:val="0"/>
        <w:kinsoku/>
        <w:wordWrap/>
        <w:overflowPunct/>
        <w:topLinePunct w:val="0"/>
        <w:autoSpaceDE/>
        <w:autoSpaceDN/>
        <w:bidi w:val="0"/>
        <w:spacing w:line="578" w:lineRule="exact"/>
        <w:textAlignment w:val="auto"/>
        <w:rPr>
          <w:color w:val="000000" w:themeColor="text1"/>
          <w:u w:val="none"/>
          <w14:textFill>
            <w14:solidFill>
              <w14:schemeClr w14:val="tx1"/>
            </w14:solidFill>
          </w14:textFill>
        </w:rPr>
      </w:pP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color w:val="000000" w:themeColor="text1"/>
          <w:highlight w:val="none"/>
          <w:u w:val="none"/>
          <w14:textFill>
            <w14:solidFill>
              <w14:schemeClr w14:val="tx1"/>
            </w14:solidFill>
          </w14:textFill>
        </w:rPr>
      </w:pP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立法目的</w:t>
      </w:r>
      <w:r>
        <w:rPr>
          <w:rStyle w:val="11"/>
          <w:rFonts w:hint="eastAsia" w:ascii="仿宋_GB2312" w:eastAsia="仿宋_GB2312"/>
          <w:color w:val="000000" w:themeColor="text1"/>
          <w:highlight w:val="none"/>
          <w:u w:val="none"/>
          <w14:textFill>
            <w14:solidFill>
              <w14:schemeClr w14:val="tx1"/>
            </w14:solidFill>
          </w14:textFill>
        </w:rPr>
        <w:t>】</w:t>
      </w:r>
      <w:bookmarkStart w:id="2" w:name="_Hlk17793259"/>
      <w:r>
        <w:rPr>
          <w:rStyle w:val="11"/>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s="仿宋_GB2312"/>
          <w:color w:val="000000" w:themeColor="text1"/>
          <w:szCs w:val="32"/>
          <w:highlight w:val="none"/>
          <w:u w:val="none"/>
          <w14:textFill>
            <w14:solidFill>
              <w14:schemeClr w14:val="tx1"/>
            </w14:solidFill>
          </w14:textFill>
        </w:rPr>
        <w:t>为了规范公共租赁住房的租赁管理，根据</w:t>
      </w:r>
      <w:r>
        <w:rPr>
          <w:rFonts w:hint="eastAsia" w:ascii="仿宋_GB2312" w:hAnsi="仿宋_GB2312" w:eastAsia="仿宋_GB2312" w:cs="仿宋_GB2312"/>
          <w:color w:val="000000" w:themeColor="text1"/>
          <w:sz w:val="32"/>
          <w:szCs w:val="32"/>
          <w:u w:val="none"/>
          <w14:textFill>
            <w14:solidFill>
              <w14:schemeClr w14:val="tx1"/>
            </w14:solidFill>
          </w14:textFill>
        </w:rPr>
        <w:t>《公共租赁住房管理办法》</w:t>
      </w:r>
      <w:r>
        <w:rPr>
          <w:rFonts w:hint="eastAsia" w:ascii="仿宋_GB2312" w:hAnsi="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住房和城乡建设部令第11号</w:t>
      </w:r>
      <w:r>
        <w:rPr>
          <w:rFonts w:hint="eastAsia" w:ascii="仿宋_GB2312" w:hAnsi="仿宋_GB2312" w:cs="仿宋_GB2312"/>
          <w:color w:val="000000" w:themeColor="text1"/>
          <w:sz w:val="32"/>
          <w:szCs w:val="32"/>
          <w:u w:val="none"/>
          <w:lang w:eastAsia="zh-CN"/>
          <w14:textFill>
            <w14:solidFill>
              <w14:schemeClr w14:val="tx1"/>
            </w14:solidFill>
          </w14:textFill>
        </w:rPr>
        <w:t>）、</w:t>
      </w:r>
      <w:r>
        <w:rPr>
          <w:rFonts w:hint="eastAsia" w:ascii="仿宋_GB2312" w:hAnsi="仿宋_GB2312" w:cs="仿宋_GB2312"/>
          <w:color w:val="000000" w:themeColor="text1"/>
          <w:szCs w:val="32"/>
          <w:highlight w:val="none"/>
          <w:u w:val="none"/>
          <w14:textFill>
            <w14:solidFill>
              <w14:schemeClr w14:val="tx1"/>
            </w14:solidFill>
          </w14:textFill>
        </w:rPr>
        <w:t>《深圳市保障性住房条例》等规定，结合本市实际，制定本办法。</w:t>
      </w:r>
      <w:bookmarkEnd w:id="2"/>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color w:val="000000" w:themeColor="text1"/>
          <w:highlight w:val="none"/>
          <w:u w:val="none"/>
          <w14:textFill>
            <w14:solidFill>
              <w14:schemeClr w14:val="tx1"/>
            </w14:solidFill>
          </w14:textFill>
        </w:rPr>
      </w:pP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适用范围</w:t>
      </w:r>
      <w:r>
        <w:rPr>
          <w:rStyle w:val="11"/>
          <w:rFonts w:hint="eastAsia" w:ascii="仿宋_GB2312" w:eastAsia="仿宋_GB2312"/>
          <w:color w:val="000000" w:themeColor="text1"/>
          <w:highlight w:val="none"/>
          <w:u w:val="none"/>
          <w14:textFill>
            <w14:solidFill>
              <w14:schemeClr w14:val="tx1"/>
            </w14:solidFill>
          </w14:textFill>
        </w:rPr>
        <w:t>】</w:t>
      </w:r>
      <w:bookmarkStart w:id="3" w:name="_Hlk17793310"/>
      <w:r>
        <w:rPr>
          <w:rStyle w:val="11"/>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color w:val="000000" w:themeColor="text1"/>
          <w:highlight w:val="none"/>
          <w:u w:val="none"/>
          <w14:textFill>
            <w14:solidFill>
              <w14:schemeClr w14:val="tx1"/>
            </w14:solidFill>
          </w14:textFill>
        </w:rPr>
        <w:t>本办法适用于本市公共租赁住房的供应分配、</w:t>
      </w:r>
      <w:r>
        <w:rPr>
          <w:rFonts w:hint="eastAsia" w:ascii="仿宋_GB2312"/>
          <w:color w:val="000000" w:themeColor="text1"/>
          <w:highlight w:val="none"/>
          <w:u w:val="none"/>
          <w:lang w:val="en-US" w:eastAsia="zh-CN"/>
          <w14:textFill>
            <w14:solidFill>
              <w14:schemeClr w14:val="tx1"/>
            </w14:solidFill>
          </w14:textFill>
        </w:rPr>
        <w:t>使用、</w:t>
      </w:r>
      <w:r>
        <w:rPr>
          <w:rFonts w:hint="eastAsia" w:ascii="仿宋_GB2312"/>
          <w:color w:val="000000" w:themeColor="text1"/>
          <w:highlight w:val="none"/>
          <w:u w:val="none"/>
          <w14:textFill>
            <w14:solidFill>
              <w14:schemeClr w14:val="tx1"/>
            </w14:solidFill>
          </w14:textFill>
        </w:rPr>
        <w:t>监督管理等活动。</w:t>
      </w: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color w:val="000000" w:themeColor="text1"/>
          <w:highlight w:val="none"/>
          <w:u w:val="none"/>
          <w14:textFill>
            <w14:solidFill>
              <w14:schemeClr w14:val="tx1"/>
            </w14:solidFill>
          </w14:textFill>
        </w:rPr>
      </w:pPr>
      <w:r>
        <w:rPr>
          <w:rFonts w:hint="eastAsia" w:ascii="黑体" w:hAnsi="黑体" w:cs="黑体"/>
          <w:color w:val="000000" w:themeColor="text1"/>
          <w:highlight w:val="none"/>
          <w:u w:val="none"/>
          <w14:textFill>
            <w14:solidFill>
              <w14:schemeClr w14:val="tx1"/>
            </w14:solidFill>
          </w14:textFill>
        </w:rPr>
        <w:t>【</w:t>
      </w:r>
      <w:r>
        <w:rPr>
          <w:rFonts w:hint="eastAsia" w:ascii="黑体" w:hAnsi="黑体" w:eastAsia="黑体" w:cs="黑体"/>
          <w:color w:val="000000" w:themeColor="text1"/>
          <w:highlight w:val="none"/>
          <w:u w:val="none"/>
          <w14:textFill>
            <w14:solidFill>
              <w14:schemeClr w14:val="tx1"/>
            </w14:solidFill>
          </w14:textFill>
        </w:rPr>
        <w:t>定义</w:t>
      </w:r>
      <w:r>
        <w:rPr>
          <w:rFonts w:hint="eastAsia" w:ascii="黑体" w:hAnsi="黑体" w:cs="黑体"/>
          <w:color w:val="000000" w:themeColor="text1"/>
          <w:highlight w:val="none"/>
          <w:u w:val="none"/>
          <w14:textFill>
            <w14:solidFill>
              <w14:schemeClr w14:val="tx1"/>
            </w14:solidFill>
          </w14:textFill>
        </w:rPr>
        <w:t>】</w:t>
      </w:r>
      <w:r>
        <w:rPr>
          <w:rFonts w:hint="eastAsia" w:ascii="黑体" w:hAnsi="黑体" w:cs="黑体"/>
          <w:color w:val="000000" w:themeColor="text1"/>
          <w:highlight w:val="none"/>
          <w:u w:val="none"/>
          <w:lang w:val="en-US" w:eastAsia="zh-CN"/>
          <w14:textFill>
            <w14:solidFill>
              <w14:schemeClr w14:val="tx1"/>
            </w14:solidFill>
          </w14:textFill>
        </w:rPr>
        <w:t xml:space="preserve">  </w:t>
      </w:r>
      <w:r>
        <w:rPr>
          <w:rFonts w:hint="eastAsia" w:ascii="仿宋_GB2312"/>
          <w:color w:val="000000" w:themeColor="text1"/>
          <w:highlight w:val="none"/>
          <w:u w:val="none"/>
          <w14:textFill>
            <w14:solidFill>
              <w14:schemeClr w14:val="tx1"/>
            </w14:solidFill>
          </w14:textFill>
        </w:rPr>
        <w:t>本办法所称公共租赁住房，是指政府提供政策优惠，限定建设标准和租金水平，面向符合条件的住房困难户籍居民和为社会提供基本公共服务的一线职工出租的住房。</w:t>
      </w:r>
    </w:p>
    <w:bookmarkEnd w:id="3"/>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Style w:val="11"/>
          <w:rFonts w:ascii="仿宋_GB2312"/>
          <w:color w:val="000000" w:themeColor="text1"/>
          <w:highlight w:val="none"/>
          <w:u w:val="none"/>
          <w14:textFill>
            <w14:solidFill>
              <w14:schemeClr w14:val="tx1"/>
            </w14:solidFill>
          </w14:textFill>
        </w:rPr>
      </w:pP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基本原则</w:t>
      </w: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仿宋_GB2312"/>
          <w:color w:val="000000" w:themeColor="text1"/>
          <w:highlight w:val="none"/>
          <w:u w:val="none"/>
          <w:lang w:val="en-US" w:eastAsia="zh-CN"/>
          <w14:textFill>
            <w14:solidFill>
              <w14:schemeClr w14:val="tx1"/>
            </w14:solidFill>
          </w14:textFill>
        </w:rPr>
        <w:t xml:space="preserve">  </w:t>
      </w:r>
      <w:r>
        <w:rPr>
          <w:rStyle w:val="11"/>
          <w:rFonts w:hint="eastAsia" w:ascii="仿宋_GB2312" w:eastAsia="仿宋_GB2312"/>
          <w:color w:val="000000" w:themeColor="text1"/>
          <w:highlight w:val="none"/>
          <w:u w:val="none"/>
          <w14:textFill>
            <w14:solidFill>
              <w14:schemeClr w14:val="tx1"/>
            </w14:solidFill>
          </w14:textFill>
        </w:rPr>
        <w:t>公共租赁住房租赁管理遵循政府主导、属地负责、公开透明和诚实信用的原则。</w:t>
      </w: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color w:val="000000" w:themeColor="text1"/>
          <w:highlight w:val="none"/>
          <w:u w:val="none"/>
          <w14:textFill>
            <w14:solidFill>
              <w14:schemeClr w14:val="tx1"/>
            </w14:solidFill>
          </w14:textFill>
        </w:rPr>
      </w:pPr>
      <w:r>
        <w:rPr>
          <w:rFonts w:hint="eastAsia" w:ascii="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市级部门职责</w:t>
      </w:r>
      <w:r>
        <w:rPr>
          <w:rFonts w:hint="eastAsia" w:ascii="仿宋_GB2312"/>
          <w:color w:val="000000" w:themeColor="text1"/>
          <w:highlight w:val="none"/>
          <w:u w:val="none"/>
          <w14:textFill>
            <w14:solidFill>
              <w14:schemeClr w14:val="tx1"/>
            </w14:solidFill>
          </w14:textFill>
        </w:rPr>
        <w:t>】</w:t>
      </w:r>
      <w:bookmarkStart w:id="4" w:name="_Hlk17793461"/>
      <w:r>
        <w:rPr>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color w:val="000000" w:themeColor="text1"/>
          <w:highlight w:val="none"/>
          <w:u w:val="none"/>
          <w14:textFill>
            <w14:solidFill>
              <w14:schemeClr w14:val="tx1"/>
            </w14:solidFill>
          </w14:textFill>
        </w:rPr>
        <w:t>市住房主管部门（以下简称市主管部门）是本市公共租赁住房租赁管理工作的行政主管部门，</w:t>
      </w:r>
      <w:r>
        <w:rPr>
          <w:rFonts w:hint="eastAsia" w:ascii="仿宋_GB2312"/>
          <w:color w:val="000000" w:themeColor="text1"/>
          <w:highlight w:val="none"/>
          <w:u w:val="none"/>
          <w:lang w:val="en-US" w:eastAsia="zh-CN"/>
          <w14:textFill>
            <w14:solidFill>
              <w14:schemeClr w14:val="tx1"/>
            </w14:solidFill>
          </w14:textFill>
        </w:rPr>
        <w:t>制定</w:t>
      </w:r>
      <w:r>
        <w:rPr>
          <w:rFonts w:hint="eastAsia" w:ascii="仿宋_GB2312"/>
          <w:color w:val="000000" w:themeColor="text1"/>
          <w:highlight w:val="none"/>
          <w:u w:val="none"/>
          <w14:textFill>
            <w14:solidFill>
              <w14:schemeClr w14:val="tx1"/>
            </w14:solidFill>
          </w14:textFill>
        </w:rPr>
        <w:t>配套政策</w:t>
      </w:r>
      <w:r>
        <w:rPr>
          <w:rFonts w:hint="eastAsia" w:ascii="仿宋_GB2312"/>
          <w:color w:val="000000" w:themeColor="text1"/>
          <w:highlight w:val="none"/>
          <w:u w:val="none"/>
          <w:lang w:eastAsia="zh-CN"/>
          <w14:textFill>
            <w14:solidFill>
              <w14:schemeClr w14:val="tx1"/>
            </w14:solidFill>
          </w14:textFill>
        </w:rPr>
        <w:t>，</w:t>
      </w:r>
      <w:r>
        <w:rPr>
          <w:rFonts w:hint="eastAsia" w:ascii="仿宋_GB2312"/>
          <w:color w:val="000000" w:themeColor="text1"/>
          <w:highlight w:val="none"/>
          <w:u w:val="none"/>
          <w14:textFill>
            <w14:solidFill>
              <w14:schemeClr w14:val="tx1"/>
            </w14:solidFill>
          </w14:textFill>
        </w:rPr>
        <w:t>拟定全市公共租赁住房供应计划；统筹调配全市公共租赁住房房源；指导、监督</w:t>
      </w:r>
      <w:r>
        <w:rPr>
          <w:rFonts w:hint="eastAsia" w:ascii="仿宋_GB2312"/>
          <w:color w:val="000000" w:themeColor="text1"/>
          <w:highlight w:val="none"/>
          <w:u w:val="none"/>
          <w:lang w:val="en-US" w:eastAsia="zh-CN"/>
          <w14:textFill>
            <w14:solidFill>
              <w14:schemeClr w14:val="tx1"/>
            </w14:solidFill>
          </w14:textFill>
        </w:rPr>
        <w:t>全市开展公共租赁住房供应分配</w:t>
      </w:r>
      <w:r>
        <w:rPr>
          <w:rFonts w:hint="eastAsia" w:ascii="仿宋_GB2312"/>
          <w:color w:val="000000" w:themeColor="text1"/>
          <w:highlight w:val="none"/>
          <w:u w:val="none"/>
          <w14:textFill>
            <w14:solidFill>
              <w14:schemeClr w14:val="tx1"/>
            </w14:solidFill>
          </w14:textFill>
        </w:rPr>
        <w:t>相关工作</w:t>
      </w:r>
      <w:r>
        <w:rPr>
          <w:rFonts w:hint="eastAsia" w:ascii="仿宋_GB2312"/>
          <w:color w:val="000000" w:themeColor="text1"/>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市发展改革部门负责划定申请家庭和单身居民的收入财产限额</w:t>
      </w:r>
      <w:r>
        <w:rPr>
          <w:rFonts w:hint="eastAsia" w:ascii="仿宋_GB2312" w:hAnsi="仿宋_GB2312" w:cs="仿宋_GB2312"/>
          <w:color w:val="000000" w:themeColor="text1"/>
          <w:szCs w:val="32"/>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市民政部门负责核对和认定申请家庭和单身居民的收入财产状况。</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市公安、财政、人力资源保障、</w:t>
      </w:r>
      <w:bookmarkStart w:id="5" w:name="_Hlk22114035"/>
      <w:r>
        <w:rPr>
          <w:rFonts w:hint="eastAsia" w:ascii="仿宋_GB2312" w:hAnsi="仿宋_GB2312"/>
          <w:color w:val="000000" w:themeColor="text1"/>
          <w:highlight w:val="none"/>
          <w:u w:val="none"/>
          <w14:textFill>
            <w14:solidFill>
              <w14:schemeClr w14:val="tx1"/>
            </w14:solidFill>
          </w14:textFill>
        </w:rPr>
        <w:t>规划和自然资源</w:t>
      </w:r>
      <w:bookmarkEnd w:id="5"/>
      <w:bookmarkStart w:id="6" w:name="_Hlk22115341"/>
      <w:r>
        <w:rPr>
          <w:rFonts w:hint="eastAsia" w:ascii="仿宋_GB2312" w:hAnsi="仿宋_GB2312"/>
          <w:color w:val="000000" w:themeColor="text1"/>
          <w:highlight w:val="none"/>
          <w:u w:val="none"/>
          <w14:textFill>
            <w14:solidFill>
              <w14:schemeClr w14:val="tx1"/>
            </w14:solidFill>
          </w14:textFill>
        </w:rPr>
        <w:t>、市场监督管理</w:t>
      </w:r>
      <w:bookmarkEnd w:id="6"/>
      <w:r>
        <w:rPr>
          <w:rFonts w:hint="eastAsia" w:ascii="仿宋_GB2312" w:hAnsi="仿宋_GB2312"/>
          <w:color w:val="000000" w:themeColor="text1"/>
          <w:highlight w:val="none"/>
          <w:u w:val="none"/>
          <w14:textFill>
            <w14:solidFill>
              <w14:schemeClr w14:val="tx1"/>
            </w14:solidFill>
          </w14:textFill>
        </w:rPr>
        <w:t>等部门应当在各自职责范围内做好公共租赁住房的租赁管理相关工作。</w:t>
      </w: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hAnsi="仿宋_GB2312" w:cs="仿宋_GB2312"/>
          <w:color w:val="000000" w:themeColor="text1"/>
          <w:highlight w:val="none"/>
          <w:u w:val="none"/>
          <w14:textFill>
            <w14:solidFill>
              <w14:schemeClr w14:val="tx1"/>
            </w14:solidFill>
          </w14:textFill>
        </w:rPr>
      </w:pPr>
      <w:r>
        <w:rPr>
          <w:rFonts w:hint="eastAsia" w:ascii="黑体" w:hAnsi="黑体" w:eastAsia="黑体" w:cs="黑体"/>
          <w:color w:val="000000" w:themeColor="text1"/>
          <w:highlight w:val="none"/>
          <w:u w:val="none"/>
          <w14:textFill>
            <w14:solidFill>
              <w14:schemeClr w14:val="tx1"/>
            </w14:solidFill>
          </w14:textFill>
        </w:rPr>
        <w:t>【区政府及部门职责】</w:t>
      </w:r>
      <w:bookmarkStart w:id="7" w:name="_Hlk22311338"/>
      <w:r>
        <w:rPr>
          <w:rFonts w:hint="eastAsia" w:ascii="黑体" w:hAnsi="黑体" w:eastAsia="黑体" w:cs="黑体"/>
          <w:color w:val="000000" w:themeColor="text1"/>
          <w:highlight w:val="none"/>
          <w:u w:val="none"/>
          <w:lang w:val="en-US" w:eastAsia="zh-CN"/>
          <w14:textFill>
            <w14:solidFill>
              <w14:schemeClr w14:val="tx1"/>
            </w14:solidFill>
          </w14:textFill>
        </w:rPr>
        <w:t xml:space="preserve">  </w:t>
      </w:r>
      <w:r>
        <w:rPr>
          <w:rFonts w:hint="eastAsia" w:ascii="仿宋_GB2312" w:hAnsi="仿宋_GB2312" w:cs="仿宋_GB2312"/>
          <w:color w:val="000000" w:themeColor="text1"/>
          <w:highlight w:val="none"/>
          <w:u w:val="none"/>
          <w14:textFill>
            <w14:solidFill>
              <w14:schemeClr w14:val="tx1"/>
            </w14:solidFill>
          </w14:textFill>
        </w:rPr>
        <w:t>区政府</w:t>
      </w:r>
      <w:bookmarkEnd w:id="7"/>
      <w:r>
        <w:rPr>
          <w:rFonts w:hint="eastAsia" w:ascii="仿宋_GB2312" w:hAnsi="仿宋_GB2312" w:cs="仿宋_GB2312"/>
          <w:color w:val="000000" w:themeColor="text1"/>
          <w:highlight w:val="none"/>
          <w:u w:val="none"/>
          <w14:textFill>
            <w14:solidFill>
              <w14:schemeClr w14:val="tx1"/>
            </w14:solidFill>
          </w14:textFill>
        </w:rPr>
        <w:t>（含新区管理机构，下同）负责组织实施本区公共租赁住房租赁管理工作。</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区住房主管部门（以下简称区主管部门）负责本区公共租赁住房的供应分配、监督管理等工作</w:t>
      </w:r>
      <w:r>
        <w:rPr>
          <w:rFonts w:hint="eastAsia" w:ascii="仿宋_GB2312" w:hAnsi="仿宋_GB2312"/>
          <w:color w:val="000000" w:themeColor="text1"/>
          <w:highlight w:val="none"/>
          <w:u w:val="none"/>
          <w:lang w:eastAsia="zh-CN"/>
          <w14:textFill>
            <w14:solidFill>
              <w14:schemeClr w14:val="tx1"/>
            </w14:solidFill>
          </w14:textFill>
        </w:rPr>
        <w:t>，</w:t>
      </w:r>
      <w:r>
        <w:rPr>
          <w:rFonts w:hint="eastAsia" w:ascii="仿宋_GB2312" w:hAnsi="仿宋_GB2312"/>
          <w:color w:val="000000" w:themeColor="text1"/>
          <w:highlight w:val="none"/>
          <w:u w:val="none"/>
          <w:lang w:val="en-US" w:eastAsia="zh-CN"/>
          <w14:textFill>
            <w14:solidFill>
              <w14:schemeClr w14:val="tx1"/>
            </w14:solidFill>
          </w14:textFill>
        </w:rPr>
        <w:t>可以委托区住房保障实施机构开展行政执法及其他事务性工作</w:t>
      </w:r>
      <w:r>
        <w:rPr>
          <w:rFonts w:hint="eastAsia" w:ascii="仿宋_GB2312" w:hAnsi="仿宋_GB2312"/>
          <w:color w:val="000000" w:themeColor="text1"/>
          <w:highlight w:val="none"/>
          <w:u w:val="none"/>
          <w14:textFill>
            <w14:solidFill>
              <w14:schemeClr w14:val="tx1"/>
            </w14:solidFill>
          </w14:textFill>
        </w:rPr>
        <w:t>。区相关部门按照职责分工做好相关工作。</w:t>
      </w: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color w:val="000000" w:themeColor="text1"/>
          <w:highlight w:val="none"/>
          <w:u w:val="none"/>
          <w14:textFill>
            <w14:solidFill>
              <w14:schemeClr w14:val="tx1"/>
            </w14:solidFill>
          </w14:textFill>
        </w:rPr>
      </w:pPr>
      <w:r>
        <w:rPr>
          <w:rFonts w:hint="eastAsia" w:ascii="仿宋_GB2312"/>
          <w:bCs/>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信息平台</w:t>
      </w:r>
      <w:r>
        <w:rPr>
          <w:rFonts w:hint="eastAsia" w:ascii="仿宋_GB2312"/>
          <w:bCs/>
          <w:color w:val="000000" w:themeColor="text1"/>
          <w:highlight w:val="none"/>
          <w:u w:val="none"/>
          <w14:textFill>
            <w14:solidFill>
              <w14:schemeClr w14:val="tx1"/>
            </w14:solidFill>
          </w14:textFill>
        </w:rPr>
        <w:t>】</w:t>
      </w:r>
      <w:r>
        <w:rPr>
          <w:rFonts w:hint="eastAsia" w:ascii="仿宋_GB2312"/>
          <w:bCs/>
          <w:color w:val="000000" w:themeColor="text1"/>
          <w:highlight w:val="none"/>
          <w:u w:val="none"/>
          <w:lang w:val="en-US" w:eastAsia="zh-CN"/>
          <w14:textFill>
            <w14:solidFill>
              <w14:schemeClr w14:val="tx1"/>
            </w14:solidFill>
          </w14:textFill>
        </w:rPr>
        <w:t xml:space="preserve">  </w:t>
      </w:r>
      <w:r>
        <w:rPr>
          <w:rFonts w:hint="eastAsia" w:ascii="仿宋_GB2312"/>
          <w:color w:val="000000" w:themeColor="text1"/>
          <w:highlight w:val="none"/>
          <w:u w:val="none"/>
          <w14:textFill>
            <w14:solidFill>
              <w14:schemeClr w14:val="tx1"/>
            </w14:solidFill>
          </w14:textFill>
        </w:rPr>
        <w:t>市主管部门统筹建立和完善全市统一的住房信息平台（以下简称信息平台），公共租赁住房的租赁管理活动应当纳入信息平台管理。</w:t>
      </w:r>
    </w:p>
    <w:p>
      <w:pPr>
        <w:keepNext w:val="0"/>
        <w:keepLines w:val="0"/>
        <w:pageBreakBefore w:val="0"/>
        <w:widowControl w:val="0"/>
        <w:kinsoku/>
        <w:wordWrap/>
        <w:overflowPunct/>
        <w:topLinePunct w:val="0"/>
        <w:autoSpaceDE/>
        <w:autoSpaceDN/>
        <w:bidi w:val="0"/>
        <w:spacing w:line="578" w:lineRule="exact"/>
        <w:ind w:firstLine="640"/>
        <w:textAlignment w:val="auto"/>
        <w:rPr>
          <w:rFonts w:hint="eastAsia" w:ascii="仿宋_GB2312"/>
          <w:bCs/>
          <w:color w:val="000000" w:themeColor="text1"/>
          <w:highlight w:val="none"/>
          <w:u w:val="none"/>
          <w14:textFill>
            <w14:solidFill>
              <w14:schemeClr w14:val="tx1"/>
            </w14:solidFill>
          </w14:textFill>
        </w:rPr>
      </w:pPr>
      <w:r>
        <w:rPr>
          <w:rFonts w:hint="eastAsia" w:ascii="仿宋_GB2312"/>
          <w:bCs/>
          <w:color w:val="000000" w:themeColor="text1"/>
          <w:highlight w:val="none"/>
          <w:u w:val="none"/>
          <w14:textFill>
            <w14:solidFill>
              <w14:schemeClr w14:val="tx1"/>
            </w14:solidFill>
          </w14:textFill>
        </w:rPr>
        <w:t>公安、民政、人力资源保障、规划和自然资源、退役军人事务、市场监督管理、税务等部门应当协同配合，实现信息平台与户籍、婚姻、居民收入财产状况核对、学历、技术技能水平、社会保险、不动产登记、退役军人、征信、税收等信息化平台互联互通，信息共享。</w:t>
      </w:r>
      <w:bookmarkEnd w:id="4"/>
    </w:p>
    <w:p>
      <w:pPr>
        <w:pStyle w:val="2"/>
        <w:keepNext w:val="0"/>
        <w:keepLines w:val="0"/>
        <w:pageBreakBefore w:val="0"/>
        <w:widowControl w:val="0"/>
        <w:kinsoku/>
        <w:wordWrap/>
        <w:overflowPunct/>
        <w:topLinePunct w:val="0"/>
        <w:autoSpaceDE/>
        <w:autoSpaceDN/>
        <w:bidi w:val="0"/>
        <w:spacing w:after="0" w:line="578" w:lineRule="exact"/>
        <w:textAlignment w:val="auto"/>
        <w:rPr>
          <w:color w:val="000000" w:themeColor="text1"/>
          <w:u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spacing w:before="0" w:after="0" w:line="578" w:lineRule="exact"/>
        <w:ind w:firstLine="0" w:firstLineChars="0"/>
        <w:textAlignment w:val="auto"/>
        <w:rPr>
          <w:rFonts w:hint="eastAsia" w:ascii="黑体" w:hAnsi="黑体"/>
          <w:b w:val="0"/>
          <w:bCs w:val="0"/>
          <w:color w:val="000000" w:themeColor="text1"/>
          <w:highlight w:val="none"/>
          <w:u w:val="none"/>
          <w14:textFill>
            <w14:solidFill>
              <w14:schemeClr w14:val="tx1"/>
            </w14:solidFill>
          </w14:textFill>
        </w:rPr>
      </w:pPr>
      <w:r>
        <w:rPr>
          <w:rFonts w:hint="eastAsia" w:ascii="黑体" w:hAnsi="黑体"/>
          <w:b w:val="0"/>
          <w:bCs w:val="0"/>
          <w:color w:val="000000" w:themeColor="text1"/>
          <w:highlight w:val="none"/>
          <w:u w:val="none"/>
          <w14:textFill>
            <w14:solidFill>
              <w14:schemeClr w14:val="tx1"/>
            </w14:solidFill>
          </w14:textFill>
        </w:rPr>
        <w:t>第二章</w:t>
      </w:r>
      <w:r>
        <w:rPr>
          <w:rFonts w:ascii="黑体" w:hAnsi="黑体"/>
          <w:b w:val="0"/>
          <w:bCs w:val="0"/>
          <w:color w:val="000000" w:themeColor="text1"/>
          <w:highlight w:val="none"/>
          <w:u w:val="none"/>
          <w14:textFill>
            <w14:solidFill>
              <w14:schemeClr w14:val="tx1"/>
            </w14:solidFill>
          </w14:textFill>
        </w:rPr>
        <w:t xml:space="preserve"> </w:t>
      </w:r>
      <w:r>
        <w:rPr>
          <w:rFonts w:hint="eastAsia" w:ascii="黑体" w:hAnsi="黑体"/>
          <w:b w:val="0"/>
          <w:bCs w:val="0"/>
          <w:color w:val="000000" w:themeColor="text1"/>
          <w:highlight w:val="none"/>
          <w:u w:val="none"/>
          <w14:textFill>
            <w14:solidFill>
              <w14:schemeClr w14:val="tx1"/>
            </w14:solidFill>
          </w14:textFill>
        </w:rPr>
        <w:t>轮候与配租</w:t>
      </w:r>
    </w:p>
    <w:p>
      <w:pPr>
        <w:keepNext w:val="0"/>
        <w:keepLines w:val="0"/>
        <w:pageBreakBefore w:val="0"/>
        <w:widowControl w:val="0"/>
        <w:kinsoku/>
        <w:wordWrap/>
        <w:overflowPunct/>
        <w:topLinePunct w:val="0"/>
        <w:autoSpaceDE/>
        <w:autoSpaceDN/>
        <w:bidi w:val="0"/>
        <w:spacing w:line="578" w:lineRule="exact"/>
        <w:textAlignment w:val="auto"/>
        <w:rPr>
          <w:color w:val="000000" w:themeColor="text1"/>
          <w:u w:val="none"/>
          <w14:textFill>
            <w14:solidFill>
              <w14:schemeClr w14:val="tx1"/>
            </w14:solidFill>
          </w14:textFill>
        </w:rPr>
      </w:pPr>
    </w:p>
    <w:p>
      <w:pPr>
        <w:keepNext w:val="0"/>
        <w:keepLines w:val="0"/>
        <w:pageBreakBefore w:val="0"/>
        <w:widowControl w:val="0"/>
        <w:numPr>
          <w:ilvl w:val="2"/>
          <w:numId w:val="1"/>
        </w:numPr>
        <w:kinsoku/>
        <w:wordWrap/>
        <w:overflowPunct/>
        <w:topLinePunct w:val="0"/>
        <w:autoSpaceDE/>
        <w:autoSpaceDN/>
        <w:bidi w:val="0"/>
        <w:spacing w:line="578" w:lineRule="exact"/>
        <w:ind w:leftChars="0" w:firstLine="640"/>
        <w:textAlignment w:val="auto"/>
        <w:outlineLvl w:val="2"/>
        <w:rPr>
          <w:rFonts w:ascii="仿宋_GB2312"/>
          <w:color w:val="000000" w:themeColor="text1"/>
          <w:highlight w:val="none"/>
          <w:u w:val="none"/>
          <w14:textFill>
            <w14:solidFill>
              <w14:schemeClr w14:val="tx1"/>
            </w14:solidFill>
          </w14:textFill>
        </w:rPr>
      </w:pPr>
      <w:r>
        <w:rPr>
          <w:rStyle w:val="11"/>
          <w:rFonts w:hint="eastAsia" w:ascii="仿宋_GB2312"/>
          <w:color w:val="000000" w:themeColor="text1"/>
          <w:highlight w:val="none"/>
          <w:u w:val="none"/>
          <w14:textFill>
            <w14:solidFill>
              <w14:schemeClr w14:val="tx1"/>
            </w14:solidFill>
          </w14:textFill>
        </w:rPr>
        <w:t>【配租计划】</w:t>
      </w:r>
      <w:r>
        <w:rPr>
          <w:rStyle w:val="11"/>
          <w:rFonts w:hint="eastAsia" w:ascii="仿宋_GB2312" w:eastAsia="黑体"/>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区主管部门应当根据全市年度实施计划，结合本区公共租赁住房房源和住房需求等情况，制定本区公共租赁住房年度配租计划，经区政府批准后报市主管部门备案，并通过政府网站和信息平台发布。</w:t>
      </w:r>
    </w:p>
    <w:p>
      <w:pPr>
        <w:keepNext w:val="0"/>
        <w:keepLines w:val="0"/>
        <w:pageBreakBefore w:val="0"/>
        <w:widowControl w:val="0"/>
        <w:numPr>
          <w:ilvl w:val="255"/>
          <w:numId w:val="0"/>
        </w:numPr>
        <w:kinsoku/>
        <w:wordWrap/>
        <w:overflowPunct/>
        <w:topLinePunct w:val="0"/>
        <w:autoSpaceDE/>
        <w:autoSpaceDN/>
        <w:bidi w:val="0"/>
        <w:spacing w:line="578" w:lineRule="exact"/>
        <w:ind w:left="0" w:leftChars="0" w:firstLine="640"/>
        <w:textAlignment w:val="auto"/>
        <w:outlineLvl w:val="9"/>
        <w:rPr>
          <w:rStyle w:val="11"/>
          <w:rFonts w:ascii="仿宋_GB2312" w:eastAsia="仿宋_GB2312"/>
          <w:color w:val="000000" w:themeColor="text1"/>
          <w:highlight w:val="none"/>
          <w:u w:val="none"/>
          <w14:textFill>
            <w14:solidFill>
              <w14:schemeClr w14:val="tx1"/>
            </w14:solidFill>
          </w14:textFill>
        </w:rPr>
      </w:pPr>
      <w:r>
        <w:rPr>
          <w:rFonts w:hint="eastAsia" w:ascii="仿宋_GB2312" w:hAnsi="仿宋_GB2312" w:eastAsia="仿宋_GB2312"/>
          <w:bCs w:val="0"/>
          <w:color w:val="000000" w:themeColor="text1"/>
          <w:szCs w:val="22"/>
          <w:highlight w:val="none"/>
          <w:u w:val="none"/>
          <w14:textFill>
            <w14:solidFill>
              <w14:schemeClr w14:val="tx1"/>
            </w14:solidFill>
          </w14:textFill>
        </w:rPr>
        <w:t>鼓励房源充足的区面向本区以外的在册轮候人配租。</w:t>
      </w:r>
    </w:p>
    <w:p>
      <w:pPr>
        <w:keepNext w:val="0"/>
        <w:keepLines w:val="0"/>
        <w:pageBreakBefore w:val="0"/>
        <w:widowControl w:val="0"/>
        <w:numPr>
          <w:ilvl w:val="2"/>
          <w:numId w:val="1"/>
        </w:numPr>
        <w:kinsoku/>
        <w:wordWrap/>
        <w:overflowPunct/>
        <w:topLinePunct w:val="0"/>
        <w:autoSpaceDE/>
        <w:autoSpaceDN/>
        <w:bidi w:val="0"/>
        <w:spacing w:line="578" w:lineRule="exact"/>
        <w:ind w:leftChars="0" w:firstLine="640"/>
        <w:textAlignment w:val="auto"/>
        <w:outlineLvl w:val="2"/>
        <w:rPr>
          <w:rStyle w:val="11"/>
          <w:rFonts w:ascii="仿宋_GB2312" w:eastAsia="仿宋_GB2312"/>
          <w:color w:val="000000" w:themeColor="text1"/>
          <w:highlight w:val="none"/>
          <w:u w:val="none"/>
          <w14:textFill>
            <w14:solidFill>
              <w14:schemeClr w14:val="tx1"/>
            </w14:solidFill>
          </w14:textFill>
        </w:rPr>
      </w:pP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分配方式</w:t>
      </w: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lang w:eastAsia="zh-CN"/>
          <w14:textFill>
            <w14:solidFill>
              <w14:schemeClr w14:val="tx1"/>
            </w14:solidFill>
          </w14:textFill>
        </w:rPr>
        <w:t>公共租赁住房采取日常轮候</w:t>
      </w:r>
      <w:r>
        <w:rPr>
          <w:rFonts w:hint="eastAsia" w:ascii="仿宋_GB2312" w:hAnsi="仿宋_GB2312"/>
          <w:color w:val="000000" w:themeColor="text1"/>
          <w:highlight w:val="none"/>
          <w:u w:val="none"/>
          <w:lang w:val="en-US" w:eastAsia="zh-CN"/>
          <w14:textFill>
            <w14:solidFill>
              <w14:schemeClr w14:val="tx1"/>
            </w14:solidFill>
          </w14:textFill>
        </w:rPr>
        <w:t>和定向配租方式分配</w:t>
      </w:r>
      <w:r>
        <w:rPr>
          <w:rFonts w:hint="eastAsia" w:ascii="仿宋_GB2312" w:hAnsi="仿宋_GB2312"/>
          <w:color w:val="000000" w:themeColor="text1"/>
          <w:highlight w:val="none"/>
          <w:u w:val="none"/>
          <w14:textFill>
            <w14:solidFill>
              <w14:schemeClr w14:val="tx1"/>
            </w14:solidFill>
          </w14:textFill>
        </w:rPr>
        <w:t>。</w:t>
      </w:r>
    </w:p>
    <w:p>
      <w:pPr>
        <w:keepNext w:val="0"/>
        <w:keepLines w:val="0"/>
        <w:pageBreakBefore w:val="0"/>
        <w:widowControl w:val="0"/>
        <w:numPr>
          <w:ilvl w:val="2"/>
          <w:numId w:val="1"/>
        </w:numPr>
        <w:kinsoku/>
        <w:wordWrap/>
        <w:overflowPunct/>
        <w:topLinePunct w:val="0"/>
        <w:autoSpaceDE/>
        <w:autoSpaceDN/>
        <w:bidi w:val="0"/>
        <w:spacing w:line="578" w:lineRule="exact"/>
        <w:ind w:leftChars="0" w:firstLine="640" w:firstLineChars="200"/>
        <w:textAlignment w:val="auto"/>
        <w:outlineLvl w:val="2"/>
        <w:rPr>
          <w:rFonts w:hint="eastAsia" w:ascii="仿宋_GB2312" w:hAnsi="黑体"/>
          <w:color w:val="000000" w:themeColor="text1"/>
          <w:highlight w:val="none"/>
          <w:u w:val="none"/>
          <w14:textFill>
            <w14:solidFill>
              <w14:schemeClr w14:val="tx1"/>
            </w14:solidFill>
          </w14:textFill>
        </w:rPr>
      </w:pPr>
      <w:r>
        <w:rPr>
          <w:rFonts w:hint="eastAsia" w:ascii="仿宋_GB2312"/>
          <w:color w:val="000000" w:themeColor="text1"/>
          <w:highlight w:val="none"/>
          <w:u w:val="none"/>
          <w14:textFill>
            <w14:solidFill>
              <w14:schemeClr w14:val="tx1"/>
            </w14:solidFill>
          </w14:textFill>
        </w:rPr>
        <w:t>【</w:t>
      </w:r>
      <w:r>
        <w:rPr>
          <w:rFonts w:hint="eastAsia" w:ascii="黑体" w:hAnsi="黑体" w:eastAsia="黑体" w:cs="黑体"/>
          <w:color w:val="000000" w:themeColor="text1"/>
          <w:highlight w:val="none"/>
          <w:u w:val="none"/>
          <w14:textFill>
            <w14:solidFill>
              <w14:schemeClr w14:val="tx1"/>
            </w14:solidFill>
          </w14:textFill>
        </w:rPr>
        <w:t>轮候申请主体</w:t>
      </w:r>
      <w:r>
        <w:rPr>
          <w:rFonts w:hint="eastAsia" w:ascii="仿宋_GB2312"/>
          <w:color w:val="000000" w:themeColor="text1"/>
          <w:highlight w:val="none"/>
          <w:u w:val="none"/>
          <w14:textFill>
            <w14:solidFill>
              <w14:schemeClr w14:val="tx1"/>
            </w14:solidFill>
          </w14:textFill>
        </w:rPr>
        <w:t>】</w:t>
      </w:r>
      <w:r>
        <w:rPr>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黑体"/>
          <w:color w:val="000000" w:themeColor="text1"/>
          <w:highlight w:val="none"/>
          <w:u w:val="none"/>
          <w14:textFill>
            <w14:solidFill>
              <w14:schemeClr w14:val="tx1"/>
            </w14:solidFill>
          </w14:textFill>
        </w:rPr>
        <w:t>申请人已经组建家庭的，应当以家庭为单位提出轮候申请，申请人配偶、未满十八周岁的子女应当列为共同申请人。申请人父母、申请人配偶父母、年满十八周岁的子女可以作为共同申请人。未满十八周岁的子女列为共同申请人的，不影响其达到规定年龄后享受住房保障优惠政策。</w:t>
      </w:r>
    </w:p>
    <w:p>
      <w:pPr>
        <w:keepNext w:val="0"/>
        <w:keepLines w:val="0"/>
        <w:pageBreakBefore w:val="0"/>
        <w:widowControl w:val="0"/>
        <w:numPr>
          <w:ilvl w:val="0"/>
          <w:numId w:val="0"/>
        </w:numPr>
        <w:tabs>
          <w:tab w:val="left" w:pos="0"/>
        </w:tabs>
        <w:kinsoku/>
        <w:wordWrap/>
        <w:overflowPunct/>
        <w:topLinePunct w:val="0"/>
        <w:autoSpaceDE/>
        <w:autoSpaceDN/>
        <w:bidi w:val="0"/>
        <w:spacing w:line="578" w:lineRule="exact"/>
        <w:ind w:left="0" w:leftChars="0" w:firstLine="640" w:firstLineChars="200"/>
        <w:textAlignment w:val="auto"/>
        <w:outlineLvl w:val="2"/>
        <w:rPr>
          <w:color w:val="000000" w:themeColor="text1"/>
          <w:u w:val="none"/>
          <w14:textFill>
            <w14:solidFill>
              <w14:schemeClr w14:val="tx1"/>
            </w14:solidFill>
          </w14:textFill>
        </w:rPr>
      </w:pPr>
      <w:r>
        <w:rPr>
          <w:rFonts w:hint="eastAsia" w:ascii="仿宋_GB2312" w:hAnsi="黑体"/>
          <w:color w:val="000000" w:themeColor="text1"/>
          <w:highlight w:val="none"/>
          <w:u w:val="none"/>
          <w14:textFill>
            <w14:solidFill>
              <w14:schemeClr w14:val="tx1"/>
            </w14:solidFill>
          </w14:textFill>
        </w:rPr>
        <w:t>申请人年满十八周岁未组建家庭的，可以个人名义提出轮候申请。申请人父母可以作为共同申请人。</w:t>
      </w:r>
    </w:p>
    <w:p>
      <w:pPr>
        <w:keepNext w:val="0"/>
        <w:keepLines w:val="0"/>
        <w:pageBreakBefore w:val="0"/>
        <w:widowControl w:val="0"/>
        <w:numPr>
          <w:ilvl w:val="255"/>
          <w:numId w:val="0"/>
        </w:numPr>
        <w:tabs>
          <w:tab w:val="left" w:pos="0"/>
        </w:tabs>
        <w:kinsoku/>
        <w:wordWrap/>
        <w:overflowPunct/>
        <w:topLinePunct w:val="0"/>
        <w:autoSpaceDE/>
        <w:autoSpaceDN/>
        <w:bidi w:val="0"/>
        <w:spacing w:line="578" w:lineRule="exact"/>
        <w:ind w:left="0" w:leftChars="0" w:firstLine="640" w:firstLineChars="200"/>
        <w:textAlignment w:val="auto"/>
        <w:outlineLvl w:val="2"/>
        <w:rPr>
          <w:color w:val="000000" w:themeColor="text1"/>
          <w:highlight w:val="none"/>
          <w:u w:val="none"/>
          <w14:textFill>
            <w14:solidFill>
              <w14:schemeClr w14:val="tx1"/>
            </w14:solidFill>
          </w14:textFill>
        </w:rPr>
      </w:pPr>
      <w:r>
        <w:rPr>
          <w:rFonts w:hint="eastAsia" w:ascii="仿宋_GB2312" w:hAnsi="黑体"/>
          <w:color w:val="000000" w:themeColor="text1"/>
          <w:highlight w:val="none"/>
          <w:u w:val="none"/>
          <w14:textFill>
            <w14:solidFill>
              <w14:schemeClr w14:val="tx1"/>
            </w14:solidFill>
          </w14:textFill>
        </w:rPr>
        <w:t>投靠子女取得本市户籍的居民，不能作为申请人</w:t>
      </w:r>
      <w:r>
        <w:rPr>
          <w:rFonts w:hint="eastAsia" w:ascii="仿宋_GB2312" w:hAnsi="仿宋_GB2312"/>
          <w:color w:val="000000" w:themeColor="text1"/>
          <w:highlight w:val="none"/>
          <w:u w:val="none"/>
          <w14:textFill>
            <w14:solidFill>
              <w14:schemeClr w14:val="tx1"/>
            </w14:solidFill>
          </w14:textFill>
        </w:rPr>
        <w:t>。</w:t>
      </w:r>
    </w:p>
    <w:p>
      <w:pPr>
        <w:keepNext w:val="0"/>
        <w:keepLines w:val="0"/>
        <w:pageBreakBefore w:val="0"/>
        <w:widowControl w:val="0"/>
        <w:numPr>
          <w:ilvl w:val="2"/>
          <w:numId w:val="1"/>
        </w:numPr>
        <w:kinsoku/>
        <w:wordWrap/>
        <w:overflowPunct/>
        <w:topLinePunct w:val="0"/>
        <w:autoSpaceDE/>
        <w:autoSpaceDN/>
        <w:bidi w:val="0"/>
        <w:spacing w:line="578" w:lineRule="exact"/>
        <w:ind w:leftChars="0" w:firstLine="640"/>
        <w:textAlignment w:val="auto"/>
        <w:outlineLvl w:val="2"/>
        <w:rPr>
          <w:rFonts w:ascii="仿宋_GB2312"/>
          <w:color w:val="000000" w:themeColor="text1"/>
          <w:highlight w:val="none"/>
          <w:u w:val="none"/>
          <w14:textFill>
            <w14:solidFill>
              <w14:schemeClr w14:val="tx1"/>
            </w14:solidFill>
          </w14:textFill>
        </w:rPr>
      </w:pPr>
      <w:r>
        <w:rPr>
          <w:rFonts w:hint="eastAsia" w:ascii="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轮候申请条件</w:t>
      </w:r>
      <w:r>
        <w:rPr>
          <w:rFonts w:hint="eastAsia" w:ascii="仿宋_GB2312"/>
          <w:color w:val="000000" w:themeColor="text1"/>
          <w:highlight w:val="none"/>
          <w:u w:val="none"/>
          <w14:textFill>
            <w14:solidFill>
              <w14:schemeClr w14:val="tx1"/>
            </w14:solidFill>
          </w14:textFill>
        </w:rPr>
        <w:t>】</w:t>
      </w:r>
      <w:r>
        <w:rPr>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申请轮候公共租赁住房的，应当同时符合以下条件：</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asci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（一）申请人及共同申请人均未在本市拥有自有住房（含住房建设用地，下同），在申请受理日之前三年</w:t>
      </w:r>
      <w:r>
        <w:rPr>
          <w:rFonts w:hint="eastAsia" w:ascii="仿宋_GB2312" w:hAnsi="仿宋_GB2312"/>
          <w:color w:val="000000" w:themeColor="text1"/>
          <w:highlight w:val="none"/>
          <w:u w:val="none"/>
          <w:lang w:val="en-US" w:eastAsia="zh-CN"/>
          <w14:textFill>
            <w14:solidFill>
              <w14:schemeClr w14:val="tx1"/>
            </w14:solidFill>
          </w14:textFill>
        </w:rPr>
        <w:t>以</w:t>
      </w:r>
      <w:r>
        <w:rPr>
          <w:rFonts w:hint="eastAsia" w:ascii="仿宋_GB2312" w:hAnsi="仿宋_GB2312"/>
          <w:color w:val="000000" w:themeColor="text1"/>
          <w:highlight w:val="none"/>
          <w:u w:val="none"/>
          <w14:textFill>
            <w14:solidFill>
              <w14:schemeClr w14:val="tx1"/>
            </w14:solidFill>
          </w14:textFill>
        </w:rPr>
        <w:t>内未在本市转让过或者因离婚分割过自有住房；</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二）申请人年满十八周岁，且具有本市户籍；作为共同申请人的年满十八周岁的子女、申请人父母、申请人配偶父母，具有本市户籍，但现役军人或者就读全日制学校期间将户籍迁出本市的年满十八周岁的子女，不受户籍限制；</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（三）申请人在本市符合</w:t>
      </w:r>
      <w:r>
        <w:rPr>
          <w:rFonts w:hint="eastAsia" w:ascii="仿宋_GB2312" w:hAnsi="仿宋_GB2312"/>
          <w:color w:val="000000" w:themeColor="text1"/>
          <w:highlight w:val="none"/>
          <w:u w:val="none"/>
          <w:lang w:val="en-US" w:eastAsia="zh-CN"/>
          <w14:textFill>
            <w14:solidFill>
              <w14:schemeClr w14:val="tx1"/>
            </w14:solidFill>
          </w14:textFill>
        </w:rPr>
        <w:t>社会保险</w:t>
      </w:r>
      <w:r>
        <w:rPr>
          <w:rFonts w:hint="eastAsia" w:ascii="仿宋_GB2312" w:hAnsi="仿宋_GB2312"/>
          <w:color w:val="000000" w:themeColor="text1"/>
          <w:highlight w:val="none"/>
          <w:u w:val="none"/>
          <w14:textFill>
            <w14:solidFill>
              <w14:schemeClr w14:val="tx1"/>
            </w14:solidFill>
          </w14:textFill>
        </w:rPr>
        <w:t>规定并正常缴纳（不含少儿医疗保险，下同），但在本市退休的除外；申请人参加本市社会保险累计缴费三年以上，</w:t>
      </w:r>
      <w:r>
        <w:rPr>
          <w:rFonts w:ascii="仿宋_GB2312" w:hAnsi="仿宋_GB2312"/>
          <w:color w:val="000000" w:themeColor="text1"/>
          <w:highlight w:val="none"/>
          <w:u w:val="none"/>
          <w14:textFill>
            <w14:solidFill>
              <w14:schemeClr w14:val="tx1"/>
            </w14:solidFill>
          </w14:textFill>
        </w:rPr>
        <w:t>属于</w:t>
      </w:r>
      <w:r>
        <w:rPr>
          <w:rFonts w:hint="eastAsia" w:ascii="仿宋_GB2312" w:hAnsi="仿宋_GB2312"/>
          <w:color w:val="000000" w:themeColor="text1"/>
          <w:highlight w:val="none"/>
          <w:u w:val="none"/>
          <w14:textFill>
            <w14:solidFill>
              <w14:schemeClr w14:val="tx1"/>
            </w14:solidFill>
          </w14:textFill>
        </w:rPr>
        <w:t>特殊家庭</w:t>
      </w:r>
      <w:r>
        <w:rPr>
          <w:rFonts w:hint="eastAsia" w:ascii="仿宋_GB2312" w:hAnsi="仿宋_GB2312"/>
          <w:color w:val="000000" w:themeColor="text1"/>
          <w:highlight w:val="none"/>
          <w:u w:val="none"/>
          <w:lang w:val="en-US" w:eastAsia="zh-CN"/>
          <w14:textFill>
            <w14:solidFill>
              <w14:schemeClr w14:val="tx1"/>
            </w14:solidFill>
          </w14:textFill>
        </w:rPr>
        <w:t>或者有三个以上</w:t>
      </w:r>
      <w:r>
        <w:rPr>
          <w:rFonts w:hint="eastAsia" w:ascii="仿宋_GB2312" w:hAnsi="仿宋_GB2312"/>
          <w:color w:val="000000" w:themeColor="text1"/>
          <w:highlight w:val="none"/>
          <w:u w:val="none"/>
          <w:lang w:eastAsia="zh-CN"/>
          <w14:textFill>
            <w14:solidFill>
              <w14:schemeClr w14:val="tx1"/>
            </w14:solidFill>
          </w14:textFill>
        </w:rPr>
        <w:t>未满十八周岁子女</w:t>
      </w:r>
      <w:r>
        <w:rPr>
          <w:rFonts w:hint="eastAsia" w:ascii="仿宋_GB2312" w:hAnsi="仿宋_GB2312"/>
          <w:color w:val="000000" w:themeColor="text1"/>
          <w:highlight w:val="none"/>
          <w:u w:val="none"/>
          <w14:textFill>
            <w14:solidFill>
              <w14:schemeClr w14:val="tx1"/>
            </w14:solidFill>
          </w14:textFill>
        </w:rPr>
        <w:t>的家庭，可</w:t>
      </w:r>
      <w:r>
        <w:rPr>
          <w:rFonts w:hint="eastAsia" w:ascii="仿宋_GB2312" w:hAnsi="仿宋_GB2312"/>
          <w:color w:val="000000" w:themeColor="text1"/>
          <w:highlight w:val="none"/>
          <w:u w:val="none"/>
          <w:lang w:val="en-US" w:eastAsia="zh-CN"/>
          <w14:textFill>
            <w14:solidFill>
              <w14:schemeClr w14:val="tx1"/>
            </w14:solidFill>
          </w14:textFill>
        </w:rPr>
        <w:t>以</w:t>
      </w:r>
      <w:r>
        <w:rPr>
          <w:rFonts w:hint="eastAsia" w:ascii="仿宋_GB2312" w:hAnsi="仿宋_GB2312"/>
          <w:color w:val="000000" w:themeColor="text1"/>
          <w:highlight w:val="none"/>
          <w:u w:val="none"/>
          <w14:textFill>
            <w14:solidFill>
              <w14:schemeClr w14:val="tx1"/>
            </w14:solidFill>
          </w14:textFill>
        </w:rPr>
        <w:t>不受社会保险累计缴费时间的限制；</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（四）申请人及共同申请人的家庭</w:t>
      </w:r>
      <w:r>
        <w:rPr>
          <w:rFonts w:ascii="仿宋_GB2312" w:hAnsi="仿宋_GB2312"/>
          <w:color w:val="000000" w:themeColor="text1"/>
          <w:highlight w:val="none"/>
          <w:u w:val="none"/>
          <w14:textFill>
            <w14:solidFill>
              <w14:schemeClr w14:val="tx1"/>
            </w14:solidFill>
          </w14:textFill>
        </w:rPr>
        <w:t>人均年可支配收入和</w:t>
      </w:r>
      <w:r>
        <w:rPr>
          <w:rFonts w:hint="eastAsia" w:ascii="仿宋_GB2312" w:hAnsi="仿宋_GB2312"/>
          <w:color w:val="000000" w:themeColor="text1"/>
          <w:highlight w:val="none"/>
          <w:u w:val="none"/>
          <w14:textFill>
            <w14:solidFill>
              <w14:schemeClr w14:val="tx1"/>
            </w14:solidFill>
          </w14:textFill>
        </w:rPr>
        <w:t>家庭</w:t>
      </w:r>
      <w:r>
        <w:rPr>
          <w:rFonts w:ascii="仿宋_GB2312" w:hAnsi="仿宋_GB2312"/>
          <w:color w:val="000000" w:themeColor="text1"/>
          <w:highlight w:val="none"/>
          <w:u w:val="none"/>
          <w14:textFill>
            <w14:solidFill>
              <w14:schemeClr w14:val="tx1"/>
            </w14:solidFill>
          </w14:textFill>
        </w:rPr>
        <w:t>财产总额</w:t>
      </w:r>
      <w:r>
        <w:rPr>
          <w:rFonts w:hint="eastAsia" w:ascii="仿宋_GB2312" w:hAnsi="仿宋_GB2312"/>
          <w:color w:val="000000" w:themeColor="text1"/>
          <w:highlight w:val="none"/>
          <w:u w:val="none"/>
          <w14:textFill>
            <w14:solidFill>
              <w14:schemeClr w14:val="tx1"/>
            </w14:solidFill>
          </w14:textFill>
        </w:rPr>
        <w:t>均符合本市规定的限额标准；</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（五）申请人及共同申请人均未</w:t>
      </w:r>
      <w:r>
        <w:rPr>
          <w:rFonts w:hint="eastAsia" w:ascii="仿宋_GB2312" w:hAnsi="仿宋_GB2312"/>
          <w:color w:val="000000" w:themeColor="text1"/>
          <w:highlight w:val="none"/>
          <w:u w:val="none"/>
          <w:lang w:val="en-US" w:eastAsia="zh-CN"/>
          <w14:textFill>
            <w14:solidFill>
              <w14:schemeClr w14:val="tx1"/>
            </w14:solidFill>
          </w14:textFill>
        </w:rPr>
        <w:t>正</w:t>
      </w:r>
      <w:r>
        <w:rPr>
          <w:rFonts w:hint="eastAsia" w:ascii="仿宋_GB2312" w:hAnsi="仿宋_GB2312"/>
          <w:color w:val="000000" w:themeColor="text1"/>
          <w:highlight w:val="none"/>
          <w:u w:val="none"/>
          <w14:textFill>
            <w14:solidFill>
              <w14:schemeClr w14:val="tx1"/>
            </w14:solidFill>
          </w14:textFill>
        </w:rPr>
        <w:t>在本市和国内其他地区享受住房保障优惠政策，但承租政府以外其他各类主体出租的保障性租赁住房或者符合本办法第二十九条第一款规定情形的除外；</w:t>
      </w:r>
    </w:p>
    <w:p>
      <w:pPr>
        <w:keepNext w:val="0"/>
        <w:keepLines w:val="0"/>
        <w:pageBreakBefore w:val="0"/>
        <w:widowControl w:val="0"/>
        <w:numPr>
          <w:ilvl w:val="255"/>
          <w:numId w:val="0"/>
        </w:numPr>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（六）法律、法规、规章和市政府规定的其他条件。</w:t>
      </w:r>
    </w:p>
    <w:p>
      <w:pPr>
        <w:keepNext w:val="0"/>
        <w:keepLines w:val="0"/>
        <w:pageBreakBefore w:val="0"/>
        <w:widowControl w:val="0"/>
        <w:numPr>
          <w:ilvl w:val="255"/>
          <w:numId w:val="0"/>
        </w:numPr>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s="仿宋_GB2312"/>
          <w:color w:val="000000" w:themeColor="text1"/>
          <w:szCs w:val="32"/>
          <w:highlight w:val="none"/>
          <w:u w:val="none"/>
          <w14:textFill>
            <w14:solidFill>
              <w14:schemeClr w14:val="tx1"/>
            </w14:solidFill>
          </w14:textFill>
        </w:rPr>
        <w:t>申请人父母、申请人配偶父母在</w:t>
      </w:r>
      <w:r>
        <w:rPr>
          <w:rFonts w:ascii="仿宋_GB2312" w:hAnsi="仿宋_GB2312" w:cs="仿宋_GB2312"/>
          <w:color w:val="000000" w:themeColor="text1"/>
          <w:szCs w:val="32"/>
          <w:highlight w:val="none"/>
          <w:u w:val="none"/>
          <w14:textFill>
            <w14:solidFill>
              <w14:schemeClr w14:val="tx1"/>
            </w14:solidFill>
          </w14:textFill>
        </w:rPr>
        <w:t>婚姻存续期间</w:t>
      </w:r>
      <w:r>
        <w:rPr>
          <w:rFonts w:hint="eastAsia" w:ascii="仿宋_GB2312" w:hAnsi="仿宋_GB2312" w:cs="仿宋_GB2312"/>
          <w:color w:val="000000" w:themeColor="text1"/>
          <w:szCs w:val="32"/>
          <w:highlight w:val="none"/>
          <w:u w:val="none"/>
          <w14:textFill>
            <w14:solidFill>
              <w14:schemeClr w14:val="tx1"/>
            </w14:solidFill>
          </w14:textFill>
        </w:rPr>
        <w:t>，单独一方作为共同申请人的，双方应当同时满足前款第一项、第五项规定的条件。</w:t>
      </w:r>
    </w:p>
    <w:p>
      <w:pPr>
        <w:keepNext w:val="0"/>
        <w:keepLines w:val="0"/>
        <w:pageBreakBefore w:val="0"/>
        <w:widowControl w:val="0"/>
        <w:numPr>
          <w:ilvl w:val="255"/>
          <w:numId w:val="0"/>
        </w:numPr>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市主管部门可以根据实际情况，适时调整本条规定的申请条件，报市政府批准后公布执行。</w:t>
      </w:r>
    </w:p>
    <w:p>
      <w:pPr>
        <w:keepNext w:val="0"/>
        <w:keepLines w:val="0"/>
        <w:pageBreakBefore w:val="0"/>
        <w:widowControl w:val="0"/>
        <w:numPr>
          <w:ilvl w:val="2"/>
          <w:numId w:val="1"/>
        </w:numPr>
        <w:kinsoku/>
        <w:wordWrap/>
        <w:overflowPunct/>
        <w:topLinePunct w:val="0"/>
        <w:autoSpaceDE/>
        <w:autoSpaceDN/>
        <w:bidi w:val="0"/>
        <w:spacing w:line="578" w:lineRule="exact"/>
        <w:ind w:leftChars="0" w:firstLine="640"/>
        <w:textAlignment w:val="auto"/>
        <w:outlineLvl w:val="2"/>
        <w:rPr>
          <w:color w:val="000000" w:themeColor="text1"/>
          <w:u w:val="none"/>
          <w14:textFill>
            <w14:solidFill>
              <w14:schemeClr w14:val="tx1"/>
            </w14:solidFill>
          </w14:textFill>
        </w:rPr>
      </w:pPr>
      <w:r>
        <w:rPr>
          <w:rFonts w:hint="eastAsia" w:ascii="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收入财产限额划定原则</w:t>
      </w:r>
      <w:r>
        <w:rPr>
          <w:rFonts w:hint="eastAsia" w:ascii="仿宋_GB2312"/>
          <w:color w:val="000000" w:themeColor="text1"/>
          <w:highlight w:val="none"/>
          <w:u w:val="none"/>
          <w14:textFill>
            <w14:solidFill>
              <w14:schemeClr w14:val="tx1"/>
            </w14:solidFill>
          </w14:textFill>
        </w:rPr>
        <w:t>】</w:t>
      </w:r>
      <w:r>
        <w:rPr>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市发展改革部门会同市主管部门，根</w:t>
      </w:r>
      <w:r>
        <w:rPr>
          <w:rStyle w:val="11"/>
          <w:rFonts w:hint="eastAsia" w:ascii="仿宋_GB2312" w:eastAsia="仿宋_GB2312"/>
          <w:color w:val="000000" w:themeColor="text1"/>
          <w:highlight w:val="none"/>
          <w:u w:val="none"/>
          <w14:textFill>
            <w14:solidFill>
              <w14:schemeClr w14:val="tx1"/>
            </w14:solidFill>
          </w14:textFill>
        </w:rPr>
        <w:t>据本市</w:t>
      </w:r>
      <w:r>
        <w:rPr>
          <w:rFonts w:hint="eastAsia" w:ascii="仿宋_GB2312" w:hAnsi="仿宋_GB2312"/>
          <w:color w:val="000000" w:themeColor="text1"/>
          <w:highlight w:val="none"/>
          <w:u w:val="none"/>
          <w14:textFill>
            <w14:solidFill>
              <w14:schemeClr w14:val="tx1"/>
            </w14:solidFill>
          </w14:textFill>
        </w:rPr>
        <w:t>居民收入水平、家庭财产状况、住房状况以及财政承受能力、住房市场发展状况等因素划定收入财产限额，报市政府批准后公布执行，并实施动态调整。</w:t>
      </w:r>
    </w:p>
    <w:p>
      <w:pPr>
        <w:keepNext w:val="0"/>
        <w:keepLines w:val="0"/>
        <w:pageBreakBefore w:val="0"/>
        <w:widowControl w:val="0"/>
        <w:numPr>
          <w:ilvl w:val="2"/>
          <w:numId w:val="1"/>
        </w:numPr>
        <w:kinsoku/>
        <w:wordWrap/>
        <w:overflowPunct/>
        <w:topLinePunct w:val="0"/>
        <w:autoSpaceDE/>
        <w:autoSpaceDN/>
        <w:bidi w:val="0"/>
        <w:spacing w:line="578" w:lineRule="exact"/>
        <w:ind w:leftChars="0" w:firstLine="640" w:firstLineChars="200"/>
        <w:textAlignment w:val="auto"/>
        <w:outlineLvl w:val="2"/>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w:t>
      </w:r>
      <w:r>
        <w:rPr>
          <w:rFonts w:hint="eastAsia" w:ascii="黑体" w:hAnsi="黑体" w:eastAsia="黑体" w:cs="黑体"/>
          <w:color w:val="000000" w:themeColor="text1"/>
          <w:highlight w:val="none"/>
          <w:u w:val="none"/>
          <w14:textFill>
            <w14:solidFill>
              <w14:schemeClr w14:val="tx1"/>
            </w14:solidFill>
          </w14:textFill>
        </w:rPr>
        <w:t>轮候申请程序</w:t>
      </w:r>
      <w:r>
        <w:rPr>
          <w:rFonts w:hint="eastAsia" w:ascii="仿宋_GB2312" w:hAnsi="仿宋_GB2312"/>
          <w:color w:val="000000" w:themeColor="text1"/>
          <w:highlight w:val="none"/>
          <w:u w:val="none"/>
          <w14:textFill>
            <w14:solidFill>
              <w14:schemeClr w14:val="tx1"/>
            </w14:solidFill>
          </w14:textFill>
        </w:rPr>
        <w:t>】</w:t>
      </w:r>
      <w:r>
        <w:rPr>
          <w:rFonts w:hint="eastAsia" w:ascii="仿宋_GB2312" w:hAns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公共租赁住房轮候申请，按照以下流程办理：</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（一）申请人</w:t>
      </w:r>
      <w:r>
        <w:rPr>
          <w:rFonts w:hint="eastAsia" w:ascii="仿宋_GB2312" w:hAnsi="仿宋_GB2312" w:cs="仿宋_GB2312"/>
          <w:color w:val="000000" w:themeColor="text1"/>
          <w:szCs w:val="32"/>
          <w:highlight w:val="none"/>
          <w:u w:val="none"/>
          <w14:textFill>
            <w14:solidFill>
              <w14:schemeClr w14:val="tx1"/>
            </w14:solidFill>
          </w14:textFill>
        </w:rPr>
        <w:t>填报申请信息</w:t>
      </w:r>
      <w:r>
        <w:rPr>
          <w:rFonts w:hint="eastAsia" w:ascii="仿宋_GB2312" w:hAnsi="仿宋_GB2312"/>
          <w:color w:val="000000" w:themeColor="text1"/>
          <w:highlight w:val="none"/>
          <w:u w:val="none"/>
          <w14:textFill>
            <w14:solidFill>
              <w14:schemeClr w14:val="tx1"/>
            </w14:solidFill>
          </w14:textFill>
        </w:rPr>
        <w:t>，向区主管部门提交以下申请材料：申请表、收入财产核对授权委托书、身份证明、婚姻状况和特殊家庭证明等</w:t>
      </w:r>
      <w:r>
        <w:rPr>
          <w:rFonts w:hint="eastAsia" w:ascii="仿宋_GB2312" w:hAnsi="仿宋_GB2312" w:cs="仿宋_GB2312"/>
          <w:color w:val="000000" w:themeColor="text1"/>
          <w:szCs w:val="32"/>
          <w:highlight w:val="none"/>
          <w:u w:val="none"/>
          <w14:textFill>
            <w14:solidFill>
              <w14:schemeClr w14:val="tx1"/>
            </w14:solidFill>
          </w14:textFill>
        </w:rPr>
        <w:t>，并</w:t>
      </w:r>
      <w:r>
        <w:rPr>
          <w:rFonts w:hint="eastAsia" w:ascii="仿宋_GB2312" w:hAnsi="仿宋_GB2312"/>
          <w:color w:val="000000" w:themeColor="text1"/>
          <w:highlight w:val="none"/>
          <w:u w:val="none"/>
          <w14:textFill>
            <w14:solidFill>
              <w14:schemeClr w14:val="tx1"/>
            </w14:solidFill>
          </w14:textFill>
        </w:rPr>
        <w:t>签署诚信申报声明；</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（二）区主管部门对申请人及共同申请人是否符合本办法第十一条第一款第一项至三项、第五项、第六项和第二款规定的条件进行审核；</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三）区主管部门将申请人及共同申请人信息推送至市民政部门，市民政部门对申请人及共同申请人的收入财产状况进行核对和认定，向区主管部门出具核对报告，报告应当包括申请人及共同申请人收入和财产的组成和具体金额；</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（四）区主管部门审核合格的，经市主管部门复核后，通过政府网站和信息平台公示相关信息，公示期不少于十五日；审核不合格的，驳回申请并书面告知原因；</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（五）公示期内，申请人可以就审核结果向区主管部门提出异议，由区主管部门处理，其中对收入财产状况核对结果有异议的，由市民政部门处理。</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hint="eastAsia"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区主管部门应当将审核通过并公示合格的申请人及共同申请人纳入公共租赁住房轮候册，并通过政府网站和信息平台向社会公开相关信息。</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color w:val="000000" w:themeColor="text1"/>
          <w:u w:val="none"/>
          <w14:textFill>
            <w14:solidFill>
              <w14:schemeClr w14:val="tx1"/>
            </w14:solidFill>
          </w14:textFill>
        </w:rPr>
      </w:pPr>
      <w:r>
        <w:rPr>
          <w:rFonts w:hint="eastAsia" w:ascii="仿宋_GB2312"/>
          <w:color w:val="000000" w:themeColor="text1"/>
          <w:highlight w:val="none"/>
          <w:u w:val="none"/>
          <w14:textFill>
            <w14:solidFill>
              <w14:schemeClr w14:val="tx1"/>
            </w14:solidFill>
          </w14:textFill>
        </w:rPr>
        <w:t>申请公共租赁住房实行诚信申报制度。申请家庭、单身居民和用人单位对申报信息和申请材料的真实性、准确性、合法性负责</w:t>
      </w:r>
      <w:r>
        <w:rPr>
          <w:rFonts w:hint="eastAsia" w:ascii="仿宋_GB2312"/>
          <w:color w:val="000000" w:themeColor="text1"/>
          <w:highlight w:val="none"/>
          <w:u w:val="none"/>
          <w:lang w:eastAsia="zh-CN"/>
          <w14:textFill>
            <w14:solidFill>
              <w14:schemeClr w14:val="tx1"/>
            </w14:solidFill>
          </w14:textFill>
        </w:rPr>
        <w:t>。</w:t>
      </w:r>
    </w:p>
    <w:p>
      <w:pPr>
        <w:keepNext w:val="0"/>
        <w:keepLines w:val="0"/>
        <w:pageBreakBefore w:val="0"/>
        <w:widowControl w:val="0"/>
        <w:numPr>
          <w:ilvl w:val="2"/>
          <w:numId w:val="1"/>
        </w:numPr>
        <w:kinsoku/>
        <w:wordWrap/>
        <w:overflowPunct/>
        <w:topLinePunct w:val="0"/>
        <w:autoSpaceDE/>
        <w:autoSpaceDN/>
        <w:bidi w:val="0"/>
        <w:spacing w:line="578" w:lineRule="exact"/>
        <w:ind w:leftChars="0" w:firstLine="640"/>
        <w:textAlignment w:val="auto"/>
        <w:outlineLvl w:val="2"/>
        <w:rPr>
          <w:rFonts w:ascii="仿宋_GB2312" w:hAnsi="仿宋_GB2312"/>
          <w:color w:val="000000" w:themeColor="text1"/>
          <w:highlight w:val="none"/>
          <w:u w:val="none"/>
          <w14:textFill>
            <w14:solidFill>
              <w14:schemeClr w14:val="tx1"/>
            </w14:solidFill>
          </w14:textFill>
        </w:rPr>
      </w:pPr>
      <w:r>
        <w:rPr>
          <w:rFonts w:hint="eastAsia" w:ascii="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轮候排序</w:t>
      </w:r>
      <w:r>
        <w:rPr>
          <w:rFonts w:hint="eastAsia" w:ascii="仿宋_GB2312"/>
          <w:color w:val="000000" w:themeColor="text1"/>
          <w:highlight w:val="none"/>
          <w:u w:val="none"/>
          <w14:textFill>
            <w14:solidFill>
              <w14:schemeClr w14:val="tx1"/>
            </w14:solidFill>
          </w14:textFill>
        </w:rPr>
        <w:t>】</w:t>
      </w:r>
      <w:r>
        <w:rPr>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在册轮候人</w:t>
      </w:r>
      <w:r>
        <w:rPr>
          <w:rFonts w:hint="eastAsia" w:ascii="仿宋_GB2312" w:hAnsi="仿宋_GB2312"/>
          <w:color w:val="000000" w:themeColor="text1"/>
          <w:highlight w:val="none"/>
          <w:u w:val="none"/>
          <w:lang w:val="en-US" w:eastAsia="zh-CN"/>
          <w14:textFill>
            <w14:solidFill>
              <w14:schemeClr w14:val="tx1"/>
            </w14:solidFill>
          </w14:textFill>
        </w:rPr>
        <w:t>的</w:t>
      </w:r>
      <w:r>
        <w:rPr>
          <w:rFonts w:hint="eastAsia" w:ascii="仿宋_GB2312" w:hAnsi="仿宋_GB2312"/>
          <w:color w:val="000000" w:themeColor="text1"/>
          <w:highlight w:val="none"/>
          <w:u w:val="none"/>
          <w14:textFill>
            <w14:solidFill>
              <w14:schemeClr w14:val="tx1"/>
            </w14:solidFill>
          </w14:textFill>
        </w:rPr>
        <w:t>轮候排序依照受理回执号的先后顺序确定。受理回执号按照轮候申请时间的先后顺序，由信息平台即时自动生成。申请人户籍在市内跨区迁移后，在户籍迁入区的轮候排序仍按照全市的轮候排序确定。</w:t>
      </w:r>
    </w:p>
    <w:p>
      <w:pPr>
        <w:keepNext w:val="0"/>
        <w:keepLines w:val="0"/>
        <w:pageBreakBefore w:val="0"/>
        <w:widowControl w:val="0"/>
        <w:numPr>
          <w:ilvl w:val="2"/>
          <w:numId w:val="1"/>
        </w:numPr>
        <w:kinsoku/>
        <w:wordWrap/>
        <w:overflowPunct/>
        <w:topLinePunct w:val="0"/>
        <w:autoSpaceDE/>
        <w:autoSpaceDN/>
        <w:bidi w:val="0"/>
        <w:spacing w:line="578" w:lineRule="exact"/>
        <w:ind w:leftChars="0" w:firstLine="640"/>
        <w:textAlignment w:val="auto"/>
        <w:outlineLvl w:val="2"/>
        <w:rPr>
          <w:rFonts w:ascii="仿宋_GB2312"/>
          <w:color w:val="000000" w:themeColor="text1"/>
          <w:highlight w:val="none"/>
          <w:u w:val="none"/>
          <w14:textFill>
            <w14:solidFill>
              <w14:schemeClr w14:val="tx1"/>
            </w14:solidFill>
          </w14:textFill>
        </w:rPr>
      </w:pPr>
      <w:r>
        <w:rPr>
          <w:rFonts w:hint="eastAsia" w:ascii="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轮候期间信息变更</w:t>
      </w:r>
      <w:r>
        <w:rPr>
          <w:rFonts w:hint="eastAsia" w:ascii="仿宋_GB2312"/>
          <w:color w:val="000000" w:themeColor="text1"/>
          <w:highlight w:val="none"/>
          <w:u w:val="none"/>
          <w14:textFill>
            <w14:solidFill>
              <w14:schemeClr w14:val="tx1"/>
            </w14:solidFill>
          </w14:textFill>
        </w:rPr>
        <w:t>】</w:t>
      </w:r>
      <w:r>
        <w:rPr>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轮候期间，在册轮候人的住房、户籍、婚姻、家庭人口、抚恤定补优抚、残疾等情况发生变化的，应当自发生变化之日起三十日</w:t>
      </w:r>
      <w:r>
        <w:rPr>
          <w:rFonts w:hint="eastAsia" w:ascii="仿宋_GB2312" w:hAnsi="仿宋_GB2312"/>
          <w:color w:val="000000" w:themeColor="text1"/>
          <w:highlight w:val="none"/>
          <w:u w:val="none"/>
          <w:lang w:val="en-US" w:eastAsia="zh-CN"/>
          <w14:textFill>
            <w14:solidFill>
              <w14:schemeClr w14:val="tx1"/>
            </w14:solidFill>
          </w14:textFill>
        </w:rPr>
        <w:t>以</w:t>
      </w:r>
      <w:r>
        <w:rPr>
          <w:rFonts w:hint="eastAsia" w:ascii="仿宋_GB2312" w:hAnsi="仿宋_GB2312"/>
          <w:color w:val="000000" w:themeColor="text1"/>
          <w:highlight w:val="none"/>
          <w:u w:val="none"/>
          <w14:textFill>
            <w14:solidFill>
              <w14:schemeClr w14:val="tx1"/>
            </w14:solidFill>
          </w14:textFill>
        </w:rPr>
        <w:t>内办理轮候信息变更。经户籍所在区主管部门核查，符合本办法第十一条规定条件的，变更相关信息后继续轮候；不符合条件的，退出公共租赁住房轮候册，并书面告知原因。</w:t>
      </w:r>
    </w:p>
    <w:p>
      <w:pPr>
        <w:keepNext w:val="0"/>
        <w:keepLines w:val="0"/>
        <w:pageBreakBefore w:val="0"/>
        <w:widowControl w:val="0"/>
        <w:numPr>
          <w:ilvl w:val="2"/>
          <w:numId w:val="1"/>
        </w:numPr>
        <w:kinsoku/>
        <w:wordWrap/>
        <w:overflowPunct/>
        <w:topLinePunct w:val="0"/>
        <w:autoSpaceDE/>
        <w:autoSpaceDN/>
        <w:bidi w:val="0"/>
        <w:spacing w:line="578" w:lineRule="exact"/>
        <w:ind w:leftChars="0" w:firstLine="640"/>
        <w:textAlignment w:val="auto"/>
        <w:outlineLvl w:val="2"/>
        <w:rPr>
          <w:rFonts w:ascii="仿宋_GB2312" w:hAnsi="仿宋_GB2312"/>
          <w:color w:val="000000" w:themeColor="text1"/>
          <w:highlight w:val="none"/>
          <w:u w:val="none"/>
          <w14:textFill>
            <w14:solidFill>
              <w14:schemeClr w14:val="tx1"/>
            </w14:solidFill>
          </w14:textFill>
        </w:rPr>
      </w:pPr>
      <w:r>
        <w:rPr>
          <w:rFonts w:hint="eastAsia" w:ascii="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申请人变更</w:t>
      </w:r>
      <w:r>
        <w:rPr>
          <w:rFonts w:hint="eastAsia" w:ascii="仿宋_GB2312"/>
          <w:color w:val="000000" w:themeColor="text1"/>
          <w:highlight w:val="none"/>
          <w:u w:val="none"/>
          <w14:textFill>
            <w14:solidFill>
              <w14:schemeClr w14:val="tx1"/>
            </w14:solidFill>
          </w14:textFill>
        </w:rPr>
        <w:t>】</w:t>
      </w:r>
      <w:r>
        <w:rPr>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申请人死亡的，</w:t>
      </w:r>
      <w:r>
        <w:rPr>
          <w:rFonts w:hint="eastAsia" w:ascii="仿宋_GB2312"/>
          <w:color w:val="000000" w:themeColor="text1"/>
          <w:highlight w:val="none"/>
          <w:u w:val="none"/>
          <w14:textFill>
            <w14:solidFill>
              <w14:schemeClr w14:val="tx1"/>
            </w14:solidFill>
          </w14:textFill>
        </w:rPr>
        <w:t>在册轮候人</w:t>
      </w:r>
      <w:r>
        <w:rPr>
          <w:rFonts w:hint="eastAsia" w:ascii="仿宋_GB2312" w:hAnsi="仿宋_GB2312"/>
          <w:color w:val="000000" w:themeColor="text1"/>
          <w:highlight w:val="none"/>
          <w:u w:val="none"/>
          <w14:textFill>
            <w14:solidFill>
              <w14:schemeClr w14:val="tx1"/>
            </w14:solidFill>
          </w14:textFill>
        </w:rPr>
        <w:t>应当在共同申请人中重新确定申请人，新确定的申请人符合本办法第十一条规定条件的，保留其轮候排序；不符合本办法第十一条规定条件的，退出公共租赁住房轮候册。</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申请人离异的，由符合本办法第十一条规定条件的一方按照原轮候排序继续轮候；离异双方</w:t>
      </w:r>
      <w:r>
        <w:rPr>
          <w:rFonts w:hint="eastAsia" w:ascii="仿宋_GB2312" w:hAnsi="仿宋_GB2312"/>
          <w:color w:val="000000" w:themeColor="text1"/>
          <w:highlight w:val="none"/>
          <w:u w:val="none"/>
          <w:lang w:val="en-US" w:eastAsia="zh-CN"/>
          <w14:textFill>
            <w14:solidFill>
              <w14:schemeClr w14:val="tx1"/>
            </w14:solidFill>
          </w14:textFill>
        </w:rPr>
        <w:t>均</w:t>
      </w:r>
      <w:r>
        <w:rPr>
          <w:rFonts w:hint="eastAsia" w:ascii="仿宋_GB2312" w:hAnsi="仿宋_GB2312"/>
          <w:color w:val="000000" w:themeColor="text1"/>
          <w:highlight w:val="none"/>
          <w:u w:val="none"/>
          <w14:textFill>
            <w14:solidFill>
              <w14:schemeClr w14:val="tx1"/>
            </w14:solidFill>
          </w14:textFill>
        </w:rPr>
        <w:t>符合本办法第十一条</w:t>
      </w:r>
      <w:r>
        <w:rPr>
          <w:rFonts w:ascii="仿宋_GB2312" w:hAnsi="仿宋_GB2312"/>
          <w:color w:val="000000" w:themeColor="text1"/>
          <w:highlight w:val="none"/>
          <w:u w:val="none"/>
          <w14:textFill>
            <w14:solidFill>
              <w14:schemeClr w14:val="tx1"/>
            </w14:solidFill>
          </w14:textFill>
        </w:rPr>
        <w:t>规定条件的，经</w:t>
      </w:r>
      <w:r>
        <w:rPr>
          <w:rFonts w:hint="eastAsia" w:ascii="仿宋_GB2312" w:hAnsi="仿宋_GB2312"/>
          <w:color w:val="000000" w:themeColor="text1"/>
          <w:highlight w:val="none"/>
          <w:u w:val="none"/>
          <w:lang w:val="en-US" w:eastAsia="zh-CN"/>
          <w14:textFill>
            <w14:solidFill>
              <w14:schemeClr w14:val="tx1"/>
            </w14:solidFill>
          </w14:textFill>
        </w:rPr>
        <w:t>双方</w:t>
      </w:r>
      <w:r>
        <w:rPr>
          <w:rFonts w:ascii="仿宋_GB2312" w:hAnsi="仿宋_GB2312"/>
          <w:color w:val="000000" w:themeColor="text1"/>
          <w:highlight w:val="none"/>
          <w:u w:val="none"/>
          <w14:textFill>
            <w14:solidFill>
              <w14:schemeClr w14:val="tx1"/>
            </w14:solidFill>
          </w14:textFill>
        </w:rPr>
        <w:t>协商</w:t>
      </w:r>
      <w:r>
        <w:rPr>
          <w:rFonts w:hint="eastAsia" w:ascii="仿宋_GB2312" w:hAnsi="仿宋_GB2312"/>
          <w:color w:val="000000" w:themeColor="text1"/>
          <w:highlight w:val="none"/>
          <w:u w:val="none"/>
          <w:lang w:val="en-US" w:eastAsia="zh-CN"/>
          <w14:textFill>
            <w14:solidFill>
              <w14:schemeClr w14:val="tx1"/>
            </w14:solidFill>
          </w14:textFill>
        </w:rPr>
        <w:t>确定后，</w:t>
      </w:r>
      <w:r>
        <w:rPr>
          <w:rFonts w:ascii="仿宋_GB2312" w:hAnsi="仿宋_GB2312"/>
          <w:color w:val="000000" w:themeColor="text1"/>
          <w:highlight w:val="none"/>
          <w:u w:val="none"/>
          <w14:textFill>
            <w14:solidFill>
              <w14:schemeClr w14:val="tx1"/>
            </w14:solidFill>
          </w14:textFill>
        </w:rPr>
        <w:t>由其中一方按照原轮候排序</w:t>
      </w:r>
      <w:r>
        <w:rPr>
          <w:rFonts w:hint="eastAsia" w:ascii="仿宋_GB2312" w:hAnsi="仿宋_GB2312"/>
          <w:color w:val="000000" w:themeColor="text1"/>
          <w:highlight w:val="none"/>
          <w:u w:val="none"/>
          <w14:textFill>
            <w14:solidFill>
              <w14:schemeClr w14:val="tx1"/>
            </w14:solidFill>
          </w14:textFill>
        </w:rPr>
        <w:t>继续轮候</w:t>
      </w:r>
      <w:r>
        <w:rPr>
          <w:rFonts w:hint="eastAsia" w:ascii="仿宋_GB2312" w:hAnsi="仿宋_GB2312"/>
          <w:color w:val="000000" w:themeColor="text1"/>
          <w:highlight w:val="none"/>
          <w:u w:val="none"/>
          <w:lang w:eastAsia="zh-CN"/>
          <w14:textFill>
            <w14:solidFill>
              <w14:schemeClr w14:val="tx1"/>
            </w14:solidFill>
          </w14:textFill>
        </w:rPr>
        <w:t>。</w:t>
      </w:r>
    </w:p>
    <w:p>
      <w:pPr>
        <w:keepNext w:val="0"/>
        <w:keepLines w:val="0"/>
        <w:pageBreakBefore w:val="0"/>
        <w:widowControl w:val="0"/>
        <w:numPr>
          <w:ilvl w:val="2"/>
          <w:numId w:val="1"/>
        </w:numPr>
        <w:kinsoku/>
        <w:wordWrap/>
        <w:overflowPunct/>
        <w:topLinePunct w:val="0"/>
        <w:autoSpaceDE/>
        <w:autoSpaceDN/>
        <w:bidi w:val="0"/>
        <w:spacing w:line="578" w:lineRule="exact"/>
        <w:ind w:leftChars="0" w:firstLine="640"/>
        <w:textAlignment w:val="auto"/>
        <w:outlineLvl w:val="2"/>
        <w:rPr>
          <w:rFonts w:ascii="仿宋_GB2312" w:hAnsi="仿宋_GB2312"/>
          <w:color w:val="000000" w:themeColor="text1"/>
          <w:highlight w:val="none"/>
          <w:u w:val="none"/>
          <w14:textFill>
            <w14:solidFill>
              <w14:schemeClr w14:val="tx1"/>
            </w14:solidFill>
          </w14:textFill>
        </w:rPr>
      </w:pPr>
      <w:r>
        <w:rPr>
          <w:rFonts w:hint="eastAsia" w:ascii="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轮候排序调整</w:t>
      </w:r>
      <w:r>
        <w:rPr>
          <w:rFonts w:hint="eastAsia" w:ascii="仿宋_GB2312"/>
          <w:color w:val="000000" w:themeColor="text1"/>
          <w:highlight w:val="none"/>
          <w:u w:val="none"/>
          <w14:textFill>
            <w14:solidFill>
              <w14:schemeClr w14:val="tx1"/>
            </w14:solidFill>
          </w14:textFill>
        </w:rPr>
        <w:t>】</w:t>
      </w:r>
      <w:r>
        <w:rPr>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在册轮候人发生下列变化，且符合规定条件的，其轮候排序按照以下规则处理：</w:t>
      </w:r>
    </w:p>
    <w:p>
      <w:pPr>
        <w:keepNext w:val="0"/>
        <w:keepLines w:val="0"/>
        <w:pageBreakBefore w:val="0"/>
        <w:widowControl w:val="0"/>
        <w:numPr>
          <w:ilvl w:val="255"/>
          <w:numId w:val="0"/>
        </w:numPr>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（一）因婚姻状况变化等增加配偶、未满十八周岁的子女作为共同申请人的，保留其轮候排序；</w:t>
      </w:r>
    </w:p>
    <w:p>
      <w:pPr>
        <w:keepNext w:val="0"/>
        <w:keepLines w:val="0"/>
        <w:pageBreakBefore w:val="0"/>
        <w:widowControl w:val="0"/>
        <w:numPr>
          <w:ilvl w:val="255"/>
          <w:numId w:val="0"/>
        </w:numPr>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（二）因户籍迁出本市、死亡等导致共同申请人减少的，保留其轮候排序；</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（三）增加申请人父母、申请人配偶父母、年满十八周岁的子女</w:t>
      </w:r>
      <w:r>
        <w:rPr>
          <w:rFonts w:hint="eastAsia" w:ascii="仿宋_GB2312" w:hAnsi="仿宋_GB2312"/>
          <w:color w:val="000000" w:themeColor="text1"/>
          <w:highlight w:val="none"/>
          <w:u w:val="none"/>
          <w:lang w:val="en-US" w:eastAsia="zh-CN"/>
          <w14:textFill>
            <w14:solidFill>
              <w14:schemeClr w14:val="tx1"/>
            </w14:solidFill>
          </w14:textFill>
        </w:rPr>
        <w:t>作</w:t>
      </w:r>
      <w:r>
        <w:rPr>
          <w:rFonts w:hint="eastAsia" w:ascii="仿宋_GB2312" w:hAnsi="仿宋_GB2312"/>
          <w:color w:val="000000" w:themeColor="text1"/>
          <w:highlight w:val="none"/>
          <w:u w:val="none"/>
          <w14:textFill>
            <w14:solidFill>
              <w14:schemeClr w14:val="tx1"/>
            </w14:solidFill>
          </w14:textFill>
        </w:rPr>
        <w:t>为共同申请人的，应当重新申请轮候。</w:t>
      </w:r>
    </w:p>
    <w:p>
      <w:pPr>
        <w:keepNext w:val="0"/>
        <w:keepLines w:val="0"/>
        <w:pageBreakBefore w:val="0"/>
        <w:widowControl w:val="0"/>
        <w:numPr>
          <w:ilvl w:val="2"/>
          <w:numId w:val="1"/>
        </w:numPr>
        <w:kinsoku/>
        <w:wordWrap/>
        <w:overflowPunct/>
        <w:topLinePunct w:val="0"/>
        <w:autoSpaceDE/>
        <w:autoSpaceDN/>
        <w:bidi w:val="0"/>
        <w:spacing w:line="578" w:lineRule="exact"/>
        <w:ind w:leftChars="0" w:firstLine="640"/>
        <w:textAlignment w:val="auto"/>
        <w:outlineLvl w:val="2"/>
        <w:rPr>
          <w:rFonts w:ascii="仿宋_GB2312" w:hAnsi="仿宋_GB2312"/>
          <w:color w:val="000000" w:themeColor="text1"/>
          <w:highlight w:val="none"/>
          <w:u w:val="none"/>
          <w14:textFill>
            <w14:solidFill>
              <w14:schemeClr w14:val="tx1"/>
            </w14:solidFill>
          </w14:textFill>
        </w:rPr>
      </w:pPr>
      <w:r>
        <w:rPr>
          <w:rFonts w:hint="eastAsia" w:ascii="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配租方案</w:t>
      </w:r>
      <w:r>
        <w:rPr>
          <w:rFonts w:hint="eastAsia" w:ascii="仿宋_GB2312"/>
          <w:color w:val="000000" w:themeColor="text1"/>
          <w:highlight w:val="none"/>
          <w:u w:val="none"/>
          <w14:textFill>
            <w14:solidFill>
              <w14:schemeClr w14:val="tx1"/>
            </w14:solidFill>
          </w14:textFill>
        </w:rPr>
        <w:t>】</w:t>
      </w:r>
      <w:r>
        <w:rPr>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区主管部门应当制定项目配租方案，以通告的形式在政府网站和信息平台发布，并及时将配租方案报市主管部门备案。</w:t>
      </w:r>
    </w:p>
    <w:p>
      <w:pPr>
        <w:keepNext w:val="0"/>
        <w:keepLines w:val="0"/>
        <w:pageBreakBefore w:val="0"/>
        <w:widowControl w:val="0"/>
        <w:numPr>
          <w:ilvl w:val="2"/>
          <w:numId w:val="1"/>
        </w:numPr>
        <w:kinsoku/>
        <w:wordWrap/>
        <w:overflowPunct/>
        <w:topLinePunct w:val="0"/>
        <w:autoSpaceDE/>
        <w:autoSpaceDN/>
        <w:bidi w:val="0"/>
        <w:spacing w:line="578" w:lineRule="exact"/>
        <w:ind w:leftChars="0" w:firstLine="640"/>
        <w:textAlignment w:val="auto"/>
        <w:outlineLvl w:val="2"/>
        <w:rPr>
          <w:rFonts w:ascii="仿宋_GB2312"/>
          <w:color w:val="000000" w:themeColor="text1"/>
          <w:highlight w:val="none"/>
          <w:u w:val="none"/>
          <w14:textFill>
            <w14:solidFill>
              <w14:schemeClr w14:val="tx1"/>
            </w14:solidFill>
          </w14:textFill>
        </w:rPr>
      </w:pPr>
      <w:r>
        <w:rPr>
          <w:rFonts w:hint="eastAsia" w:ascii="仿宋_GB2312"/>
          <w:color w:val="000000" w:themeColor="text1"/>
          <w:highlight w:val="none"/>
          <w:u w:val="none"/>
          <w14:textFill>
            <w14:solidFill>
              <w14:schemeClr w14:val="tx1"/>
            </w14:solidFill>
          </w14:textFill>
        </w:rPr>
        <w:t>【</w:t>
      </w:r>
      <w:r>
        <w:rPr>
          <w:rFonts w:hint="eastAsia" w:ascii="黑体" w:hAnsi="黑体" w:eastAsia="黑体" w:cs="黑体"/>
          <w:color w:val="000000" w:themeColor="text1"/>
          <w:highlight w:val="none"/>
          <w:u w:val="none"/>
          <w14:textFill>
            <w14:solidFill>
              <w14:schemeClr w14:val="tx1"/>
            </w14:solidFill>
          </w14:textFill>
        </w:rPr>
        <w:t>选房方式</w:t>
      </w:r>
      <w:r>
        <w:rPr>
          <w:rFonts w:hint="eastAsia" w:ascii="仿宋_GB2312"/>
          <w:color w:val="000000" w:themeColor="text1"/>
          <w:highlight w:val="none"/>
          <w:u w:val="none"/>
          <w14:textFill>
            <w14:solidFill>
              <w14:schemeClr w14:val="tx1"/>
            </w14:solidFill>
          </w14:textFill>
        </w:rPr>
        <w:t>】</w:t>
      </w:r>
      <w:r>
        <w:rPr>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color w:val="000000" w:themeColor="text1"/>
          <w:highlight w:val="none"/>
          <w:u w:val="none"/>
          <w14:textFill>
            <w14:solidFill>
              <w14:schemeClr w14:val="tx1"/>
            </w14:solidFill>
          </w14:textFill>
        </w:rPr>
        <w:t>公共租赁住房的配租应当遵循公开、公平和公正的原则，</w:t>
      </w:r>
      <w:r>
        <w:rPr>
          <w:rFonts w:hint="eastAsia" w:ascii="仿宋_GB2312" w:hAnsi="仿宋_GB2312" w:cs="仿宋_GB2312"/>
          <w:color w:val="000000" w:themeColor="text1"/>
          <w:szCs w:val="32"/>
          <w:highlight w:val="none"/>
          <w:u w:val="none"/>
          <w14:textFill>
            <w14:solidFill>
              <w14:schemeClr w14:val="tx1"/>
            </w14:solidFill>
          </w14:textFill>
        </w:rPr>
        <w:t>根据实际情况采取线上或者线下方式</w:t>
      </w:r>
      <w:r>
        <w:rPr>
          <w:rFonts w:hint="eastAsia" w:ascii="仿宋_GB2312"/>
          <w:color w:val="000000" w:themeColor="text1"/>
          <w:highlight w:val="none"/>
          <w:u w:val="none"/>
          <w14:textFill>
            <w14:solidFill>
              <w14:schemeClr w14:val="tx1"/>
            </w14:solidFill>
          </w14:textFill>
        </w:rPr>
        <w:t>，按照轮候排序依次自主选房、依次抽签选房或者通过计算机自动编配选房等</w:t>
      </w:r>
      <w:r>
        <w:rPr>
          <w:rFonts w:hint="eastAsia" w:ascii="仿宋_GB2312"/>
          <w:color w:val="000000" w:themeColor="text1"/>
          <w:highlight w:val="none"/>
          <w:u w:val="none"/>
          <w:lang w:eastAsia="zh-CN"/>
          <w14:textFill>
            <w14:solidFill>
              <w14:schemeClr w14:val="tx1"/>
            </w14:solidFill>
          </w14:textFill>
        </w:rPr>
        <w:t>。</w:t>
      </w:r>
      <w:r>
        <w:rPr>
          <w:rFonts w:hint="eastAsia" w:ascii="仿宋_GB2312"/>
          <w:color w:val="000000" w:themeColor="text1"/>
          <w:highlight w:val="none"/>
          <w:u w:val="none"/>
          <w14:textFill>
            <w14:solidFill>
              <w14:schemeClr w14:val="tx1"/>
            </w14:solidFill>
          </w14:textFill>
        </w:rPr>
        <w:t>具体选房方式在配租通告中载明。</w:t>
      </w:r>
    </w:p>
    <w:p>
      <w:pPr>
        <w:keepNext w:val="0"/>
        <w:keepLines w:val="0"/>
        <w:pageBreakBefore w:val="0"/>
        <w:widowControl w:val="0"/>
        <w:numPr>
          <w:ilvl w:val="2"/>
          <w:numId w:val="1"/>
        </w:numPr>
        <w:kinsoku/>
        <w:wordWrap/>
        <w:overflowPunct/>
        <w:topLinePunct w:val="0"/>
        <w:autoSpaceDE/>
        <w:autoSpaceDN/>
        <w:bidi w:val="0"/>
        <w:spacing w:line="578" w:lineRule="exact"/>
        <w:ind w:leftChars="0" w:firstLine="640"/>
        <w:textAlignment w:val="auto"/>
        <w:outlineLvl w:val="2"/>
        <w:rPr>
          <w:rFonts w:hint="eastAsia" w:ascii="仿宋_GB2312" w:hAnsi="仿宋_GB2312" w:cs="仿宋_GB2312"/>
          <w:color w:val="000000" w:themeColor="text1"/>
          <w:szCs w:val="32"/>
          <w:highlight w:val="none"/>
          <w:u w:val="none"/>
          <w14:textFill>
            <w14:solidFill>
              <w14:schemeClr w14:val="tx1"/>
            </w14:solidFill>
          </w14:textFill>
        </w:rPr>
      </w:pPr>
      <w:r>
        <w:rPr>
          <w:rFonts w:hint="eastAsia" w:ascii="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租金定价</w:t>
      </w:r>
      <w:r>
        <w:rPr>
          <w:rFonts w:hint="eastAsia" w:ascii="仿宋_GB2312"/>
          <w:color w:val="000000" w:themeColor="text1"/>
          <w:highlight w:val="none"/>
          <w:u w:val="none"/>
          <w14:textFill>
            <w14:solidFill>
              <w14:schemeClr w14:val="tx1"/>
            </w14:solidFill>
          </w14:textFill>
        </w:rPr>
        <w:t>】</w:t>
      </w:r>
      <w:r>
        <w:rPr>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s="仿宋_GB2312"/>
          <w:color w:val="000000" w:themeColor="text1"/>
          <w:szCs w:val="32"/>
          <w:highlight w:val="none"/>
          <w:u w:val="none"/>
          <w14:textFill>
            <w14:solidFill>
              <w14:schemeClr w14:val="tx1"/>
            </w14:solidFill>
          </w14:textFill>
        </w:rPr>
        <w:t>公共租赁住房租金按照</w:t>
      </w:r>
      <w:r>
        <w:rPr>
          <w:rFonts w:hint="eastAsia" w:ascii="仿宋_GB2312" w:hAnsi="仿宋_GB2312" w:cs="仿宋_GB2312"/>
          <w:color w:val="000000" w:themeColor="text1"/>
          <w:szCs w:val="32"/>
          <w:highlight w:val="none"/>
          <w:u w:val="none"/>
          <w:lang w:val="en-US" w:eastAsia="zh-CN"/>
          <w14:textFill>
            <w14:solidFill>
              <w14:schemeClr w14:val="tx1"/>
            </w14:solidFill>
          </w14:textFill>
        </w:rPr>
        <w:t>同期同地段同品质</w:t>
      </w:r>
      <w:r>
        <w:rPr>
          <w:rFonts w:hint="eastAsia" w:ascii="仿宋_GB2312" w:hAnsi="仿宋_GB2312" w:cs="仿宋_GB2312"/>
          <w:color w:val="000000" w:themeColor="text1"/>
          <w:szCs w:val="32"/>
          <w:highlight w:val="none"/>
          <w:u w:val="none"/>
          <w14:textFill>
            <w14:solidFill>
              <w14:schemeClr w14:val="tx1"/>
            </w14:solidFill>
          </w14:textFill>
        </w:rPr>
        <w:t>市场参考租金的百分之三十左右确定，面向特困人员、最低生活保障家庭（以下简称低保家庭）、最低生活保障边缘家庭（以下简称低保边缘家庭）配租的，租金按照</w:t>
      </w:r>
      <w:r>
        <w:rPr>
          <w:rFonts w:hint="eastAsia" w:ascii="仿宋_GB2312" w:hAnsi="仿宋_GB2312" w:cs="仿宋_GB2312"/>
          <w:color w:val="000000" w:themeColor="text1"/>
          <w:szCs w:val="32"/>
          <w:highlight w:val="none"/>
          <w:u w:val="none"/>
          <w:lang w:val="en-US" w:eastAsia="zh-CN"/>
          <w14:textFill>
            <w14:solidFill>
              <w14:schemeClr w14:val="tx1"/>
            </w14:solidFill>
          </w14:textFill>
        </w:rPr>
        <w:t>同期同地段同品质</w:t>
      </w:r>
      <w:r>
        <w:rPr>
          <w:rFonts w:hint="eastAsia" w:ascii="仿宋_GB2312" w:hAnsi="仿宋_GB2312" w:cs="仿宋_GB2312"/>
          <w:color w:val="000000" w:themeColor="text1"/>
          <w:szCs w:val="32"/>
          <w:highlight w:val="none"/>
          <w:u w:val="none"/>
          <w14:textFill>
            <w14:solidFill>
              <w14:schemeClr w14:val="tx1"/>
            </w14:solidFill>
          </w14:textFill>
        </w:rPr>
        <w:t>市场参考租金的百分之三左右确定。</w:t>
      </w:r>
      <w:r>
        <w:rPr>
          <w:rFonts w:hint="eastAsia"/>
          <w:color w:val="000000" w:themeColor="text1"/>
          <w:u w:val="none"/>
          <w:lang w:val="en-US" w:eastAsia="zh-CN"/>
          <w14:textFill>
            <w14:solidFill>
              <w14:schemeClr w14:val="tx1"/>
            </w14:solidFill>
          </w14:textFill>
        </w:rPr>
        <w:t>市主管部门可以适时调整公共租赁住房租金标准，报市人民政府批准后实施。</w:t>
      </w:r>
    </w:p>
    <w:p>
      <w:pPr>
        <w:keepNext w:val="0"/>
        <w:keepLines w:val="0"/>
        <w:pageBreakBefore w:val="0"/>
        <w:widowControl w:val="0"/>
        <w:kinsoku/>
        <w:wordWrap/>
        <w:overflowPunct/>
        <w:topLinePunct w:val="0"/>
        <w:autoSpaceDE/>
        <w:autoSpaceDN/>
        <w:bidi w:val="0"/>
        <w:spacing w:line="578" w:lineRule="exact"/>
        <w:ind w:left="0" w:leftChars="0" w:firstLine="640" w:firstLineChars="200"/>
        <w:textAlignment w:val="auto"/>
        <w:rPr>
          <w:color w:val="000000" w:themeColor="text1"/>
          <w:highlight w:val="none"/>
          <w:u w:val="none"/>
          <w14:textFill>
            <w14:solidFill>
              <w14:schemeClr w14:val="tx1"/>
            </w14:solidFill>
          </w14:textFill>
        </w:rPr>
      </w:pPr>
      <w:r>
        <w:rPr>
          <w:rFonts w:hint="eastAsia" w:ascii="仿宋_GB2312" w:hAnsi="仿宋_GB2312" w:cs="仿宋_GB2312"/>
          <w:color w:val="000000" w:themeColor="text1"/>
          <w:szCs w:val="32"/>
          <w:highlight w:val="none"/>
          <w:u w:val="none"/>
          <w14:textFill>
            <w14:solidFill>
              <w14:schemeClr w14:val="tx1"/>
            </w14:solidFill>
          </w14:textFill>
        </w:rPr>
        <w:t>市场参考租金由市主管部门综合考虑本市经济社会发展状况、物价变动水平、房地产市场发展状况等因素确定。</w:t>
      </w:r>
    </w:p>
    <w:p>
      <w:pPr>
        <w:keepNext w:val="0"/>
        <w:keepLines w:val="0"/>
        <w:pageBreakBefore w:val="0"/>
        <w:widowControl w:val="0"/>
        <w:numPr>
          <w:ilvl w:val="2"/>
          <w:numId w:val="1"/>
        </w:numPr>
        <w:kinsoku/>
        <w:wordWrap/>
        <w:overflowPunct/>
        <w:topLinePunct w:val="0"/>
        <w:autoSpaceDE/>
        <w:autoSpaceDN/>
        <w:bidi w:val="0"/>
        <w:spacing w:line="578" w:lineRule="exact"/>
        <w:ind w:leftChars="0" w:firstLine="640" w:firstLineChars="200"/>
        <w:textAlignment w:val="auto"/>
        <w:outlineLvl w:val="2"/>
        <w:rPr>
          <w:rFonts w:ascii="仿宋_GB2312" w:hAnsi="仿宋_GB2312"/>
          <w:color w:val="000000" w:themeColor="text1"/>
          <w:highlight w:val="none"/>
          <w:u w:val="none"/>
          <w14:textFill>
            <w14:solidFill>
              <w14:schemeClr w14:val="tx1"/>
            </w14:solidFill>
          </w14:textFill>
        </w:rPr>
      </w:pP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配租面积标准</w:t>
      </w:r>
      <w:r>
        <w:rPr>
          <w:rFonts w:hint="eastAsia" w:ascii="仿宋_GB2312"/>
          <w:color w:val="000000" w:themeColor="text1"/>
          <w:highlight w:val="none"/>
          <w:u w:val="none"/>
          <w14:textFill>
            <w14:solidFill>
              <w14:schemeClr w14:val="tx1"/>
            </w14:solidFill>
          </w14:textFill>
        </w:rPr>
        <w:t>】</w:t>
      </w:r>
      <w:r>
        <w:rPr>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公共租赁住房配租建筑面积按照以下</w:t>
      </w:r>
      <w:r>
        <w:rPr>
          <w:rFonts w:hint="eastAsia" w:ascii="仿宋_GB2312" w:hAnsi="仿宋_GB2312"/>
          <w:color w:val="000000" w:themeColor="text1"/>
          <w:highlight w:val="none"/>
          <w:u w:val="none"/>
          <w:lang w:val="en-US" w:eastAsia="zh-CN"/>
          <w14:textFill>
            <w14:solidFill>
              <w14:schemeClr w14:val="tx1"/>
            </w14:solidFill>
          </w14:textFill>
        </w:rPr>
        <w:t>标准</w:t>
      </w:r>
      <w:r>
        <w:rPr>
          <w:rFonts w:hint="eastAsia" w:ascii="仿宋_GB2312" w:hAnsi="仿宋_GB2312"/>
          <w:color w:val="000000" w:themeColor="text1"/>
          <w:highlight w:val="none"/>
          <w:u w:val="none"/>
          <w14:textFill>
            <w14:solidFill>
              <w14:schemeClr w14:val="tx1"/>
            </w14:solidFill>
          </w14:textFill>
        </w:rPr>
        <w:t>确定：</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（一）单身居民配租建筑面积</w:t>
      </w:r>
      <w:r>
        <w:rPr>
          <w:rFonts w:hint="eastAsia" w:ascii="仿宋_GB2312" w:hAnsi="仿宋_GB2312"/>
          <w:color w:val="000000" w:themeColor="text1"/>
          <w:highlight w:val="none"/>
          <w:u w:val="none"/>
          <w:lang w:val="en-US" w:eastAsia="zh-CN"/>
          <w14:textFill>
            <w14:solidFill>
              <w14:schemeClr w14:val="tx1"/>
            </w14:solidFill>
          </w14:textFill>
        </w:rPr>
        <w:t>以</w:t>
      </w:r>
      <w:r>
        <w:rPr>
          <w:rFonts w:hint="eastAsia" w:ascii="仿宋_GB2312" w:hAnsi="仿宋_GB2312"/>
          <w:color w:val="000000" w:themeColor="text1"/>
          <w:highlight w:val="none"/>
          <w:u w:val="none"/>
          <w14:textFill>
            <w14:solidFill>
              <w14:schemeClr w14:val="tx1"/>
            </w14:solidFill>
          </w14:textFill>
        </w:rPr>
        <w:t>不超过三十五平方米为主；</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（二）两人家庭配租建筑面积</w:t>
      </w:r>
      <w:r>
        <w:rPr>
          <w:rFonts w:hint="eastAsia" w:ascii="仿宋_GB2312" w:hAnsi="仿宋_GB2312"/>
          <w:color w:val="000000" w:themeColor="text1"/>
          <w:highlight w:val="none"/>
          <w:u w:val="none"/>
          <w:lang w:val="en-US" w:eastAsia="zh-CN"/>
          <w14:textFill>
            <w14:solidFill>
              <w14:schemeClr w14:val="tx1"/>
            </w14:solidFill>
          </w14:textFill>
        </w:rPr>
        <w:t>以</w:t>
      </w:r>
      <w:r>
        <w:rPr>
          <w:rFonts w:hint="eastAsia" w:ascii="仿宋_GB2312" w:hAnsi="仿宋_GB2312"/>
          <w:color w:val="000000" w:themeColor="text1"/>
          <w:highlight w:val="none"/>
          <w:u w:val="none"/>
          <w14:textFill>
            <w14:solidFill>
              <w14:schemeClr w14:val="tx1"/>
            </w14:solidFill>
          </w14:textFill>
        </w:rPr>
        <w:t>不超过五十平方米为主；</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（三）三人以上家庭配租建筑面积</w:t>
      </w:r>
      <w:r>
        <w:rPr>
          <w:rFonts w:hint="eastAsia" w:ascii="仿宋_GB2312" w:hAnsi="仿宋_GB2312"/>
          <w:color w:val="000000" w:themeColor="text1"/>
          <w:highlight w:val="none"/>
          <w:u w:val="none"/>
          <w:lang w:val="en-US" w:eastAsia="zh-CN"/>
          <w14:textFill>
            <w14:solidFill>
              <w14:schemeClr w14:val="tx1"/>
            </w14:solidFill>
          </w14:textFill>
        </w:rPr>
        <w:t>以</w:t>
      </w:r>
      <w:r>
        <w:rPr>
          <w:rFonts w:hint="eastAsia" w:ascii="仿宋_GB2312" w:hAnsi="仿宋_GB2312"/>
          <w:color w:val="000000" w:themeColor="text1"/>
          <w:highlight w:val="none"/>
          <w:u w:val="none"/>
          <w14:textFill>
            <w14:solidFill>
              <w14:schemeClr w14:val="tx1"/>
            </w14:solidFill>
          </w14:textFill>
        </w:rPr>
        <w:t>不超过六十平方米为主。</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hint="eastAsia" w:ascii="仿宋_GB2312" w:hAnsi="仿宋_GB2312" w:eastAsia="仿宋_GB2312"/>
          <w:color w:val="000000" w:themeColor="text1"/>
          <w:highlight w:val="none"/>
          <w:u w:val="none"/>
          <w:lang w:eastAsia="zh-CN"/>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建筑面积超过七十平方米的房源，</w:t>
      </w:r>
      <w:r>
        <w:rPr>
          <w:rFonts w:hint="eastAsia" w:ascii="仿宋_GB2312" w:hAnsi="仿宋_GB2312"/>
          <w:color w:val="000000" w:themeColor="text1"/>
          <w:highlight w:val="none"/>
          <w:u w:val="none"/>
          <w:lang w:val="en-US" w:eastAsia="zh-CN"/>
          <w14:textFill>
            <w14:solidFill>
              <w14:schemeClr w14:val="tx1"/>
            </w14:solidFill>
          </w14:textFill>
        </w:rPr>
        <w:t>优先</w:t>
      </w:r>
      <w:r>
        <w:rPr>
          <w:rFonts w:hint="eastAsia" w:ascii="仿宋_GB2312" w:hAnsi="仿宋_GB2312"/>
          <w:color w:val="000000" w:themeColor="text1"/>
          <w:highlight w:val="none"/>
          <w:u w:val="none"/>
          <w14:textFill>
            <w14:solidFill>
              <w14:schemeClr w14:val="tx1"/>
            </w14:solidFill>
          </w14:textFill>
        </w:rPr>
        <w:t>面向五人以上家庭配租，根据供需情况也可以面向四人家庭配租</w:t>
      </w:r>
      <w:r>
        <w:rPr>
          <w:rFonts w:hint="eastAsia" w:ascii="仿宋_GB2312" w:hAnsi="仿宋_GB2312"/>
          <w:color w:val="000000" w:themeColor="text1"/>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hint="eastAsia"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lang w:val="en-US" w:eastAsia="zh-CN"/>
          <w14:textFill>
            <w14:solidFill>
              <w14:schemeClr w14:val="tx1"/>
            </w14:solidFill>
          </w14:textFill>
        </w:rPr>
        <w:t>区主管部门</w:t>
      </w:r>
      <w:r>
        <w:rPr>
          <w:rFonts w:hint="eastAsia" w:ascii="仿宋_GB2312" w:hAnsi="仿宋_GB2312"/>
          <w:color w:val="000000" w:themeColor="text1"/>
          <w:highlight w:val="none"/>
          <w:u w:val="none"/>
          <w14:textFill>
            <w14:solidFill>
              <w14:schemeClr w14:val="tx1"/>
            </w14:solidFill>
          </w14:textFill>
        </w:rPr>
        <w:t>可</w:t>
      </w:r>
      <w:r>
        <w:rPr>
          <w:rFonts w:hint="eastAsia" w:ascii="仿宋_GB2312" w:hAnsi="仿宋_GB2312"/>
          <w:color w:val="000000" w:themeColor="text1"/>
          <w:highlight w:val="none"/>
          <w:u w:val="none"/>
          <w:lang w:val="en-US" w:eastAsia="zh-CN"/>
          <w14:textFill>
            <w14:solidFill>
              <w14:schemeClr w14:val="tx1"/>
            </w14:solidFill>
          </w14:textFill>
        </w:rPr>
        <w:t>以结合配租房源情况，对有三个以上</w:t>
      </w:r>
      <w:r>
        <w:rPr>
          <w:rFonts w:hint="eastAsia" w:ascii="仿宋_GB2312" w:hAnsi="仿宋_GB2312"/>
          <w:color w:val="000000" w:themeColor="text1"/>
          <w:highlight w:val="none"/>
          <w:u w:val="none"/>
          <w:lang w:eastAsia="zh-CN"/>
          <w14:textFill>
            <w14:solidFill>
              <w14:schemeClr w14:val="tx1"/>
            </w14:solidFill>
          </w14:textFill>
        </w:rPr>
        <w:t>未满十八周岁子女</w:t>
      </w:r>
      <w:r>
        <w:rPr>
          <w:rFonts w:hint="eastAsia" w:ascii="仿宋_GB2312" w:hAnsi="仿宋_GB2312"/>
          <w:color w:val="000000" w:themeColor="text1"/>
          <w:highlight w:val="none"/>
          <w:u w:val="none"/>
          <w14:textFill>
            <w14:solidFill>
              <w14:schemeClr w14:val="tx1"/>
            </w14:solidFill>
          </w14:textFill>
        </w:rPr>
        <w:t>的家庭在户型选择方面给予适当照顾</w:t>
      </w:r>
      <w:r>
        <w:rPr>
          <w:rFonts w:hint="eastAsia" w:ascii="仿宋_GB2312" w:hAnsi="仿宋_GB2312"/>
          <w:color w:val="000000" w:themeColor="text1"/>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申请人配偶具有本市户籍或者持有本市有效居住证的，享受配租面积；申请人配偶为现役军人或者年满六十周岁以上，以及未满十八周岁的子女享受配租面积，不受户籍或者居住证限制。</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家庭人口数按照符合条件的申请人和共同申请人的总人数予以确定。经卫生健康部门认定的</w:t>
      </w:r>
      <w:r>
        <w:rPr>
          <w:rFonts w:ascii="仿宋_GB2312" w:hAnsi="仿宋_GB2312"/>
          <w:color w:val="000000" w:themeColor="text1"/>
          <w:highlight w:val="none"/>
          <w:u w:val="none"/>
          <w14:textFill>
            <w14:solidFill>
              <w14:schemeClr w14:val="tx1"/>
            </w14:solidFill>
          </w14:textFill>
        </w:rPr>
        <w:t>失独家庭</w:t>
      </w:r>
      <w:r>
        <w:rPr>
          <w:rFonts w:hint="eastAsia" w:ascii="仿宋_GB2312" w:hAnsi="仿宋_GB2312"/>
          <w:color w:val="000000" w:themeColor="text1"/>
          <w:highlight w:val="none"/>
          <w:u w:val="none"/>
          <w14:textFill>
            <w14:solidFill>
              <w14:schemeClr w14:val="tx1"/>
            </w14:solidFill>
          </w14:textFill>
        </w:rPr>
        <w:t>，按照其失独前的家庭人口数确定配租建筑面积。</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在册轮候人自愿认租低于其家庭人口数对应</w:t>
      </w:r>
      <w:r>
        <w:rPr>
          <w:rFonts w:hint="eastAsia" w:ascii="仿宋_GB2312" w:hAnsi="仿宋_GB2312"/>
          <w:color w:val="000000" w:themeColor="text1"/>
          <w:highlight w:val="none"/>
          <w:u w:val="none"/>
          <w:lang w:val="en-US" w:eastAsia="zh-CN"/>
          <w14:textFill>
            <w14:solidFill>
              <w14:schemeClr w14:val="tx1"/>
            </w14:solidFill>
          </w14:textFill>
        </w:rPr>
        <w:t>建筑</w:t>
      </w:r>
      <w:r>
        <w:rPr>
          <w:rFonts w:hint="eastAsia" w:ascii="仿宋_GB2312" w:hAnsi="仿宋_GB2312"/>
          <w:color w:val="000000" w:themeColor="text1"/>
          <w:highlight w:val="none"/>
          <w:u w:val="none"/>
          <w14:textFill>
            <w14:solidFill>
              <w14:schemeClr w14:val="tx1"/>
            </w14:solidFill>
          </w14:textFill>
        </w:rPr>
        <w:t>面积标准住房的，低于</w:t>
      </w:r>
      <w:r>
        <w:rPr>
          <w:rFonts w:hint="eastAsia" w:ascii="仿宋_GB2312" w:hAnsi="仿宋_GB2312"/>
          <w:color w:val="000000" w:themeColor="text1"/>
          <w:highlight w:val="none"/>
          <w:u w:val="none"/>
          <w:lang w:val="en-US" w:eastAsia="zh-CN"/>
          <w14:textFill>
            <w14:solidFill>
              <w14:schemeClr w14:val="tx1"/>
            </w14:solidFill>
          </w14:textFill>
        </w:rPr>
        <w:t>建筑</w:t>
      </w:r>
      <w:r>
        <w:rPr>
          <w:rFonts w:hint="eastAsia" w:ascii="仿宋_GB2312" w:hAnsi="仿宋_GB2312"/>
          <w:color w:val="000000" w:themeColor="text1"/>
          <w:highlight w:val="none"/>
          <w:u w:val="none"/>
          <w14:textFill>
            <w14:solidFill>
              <w14:schemeClr w14:val="tx1"/>
            </w14:solidFill>
          </w14:textFill>
        </w:rPr>
        <w:t>面积标准部分不予补偿。</w:t>
      </w:r>
    </w:p>
    <w:p>
      <w:pPr>
        <w:keepNext w:val="0"/>
        <w:keepLines w:val="0"/>
        <w:pageBreakBefore w:val="0"/>
        <w:widowControl w:val="0"/>
        <w:numPr>
          <w:ilvl w:val="2"/>
          <w:numId w:val="1"/>
        </w:numPr>
        <w:kinsoku/>
        <w:wordWrap/>
        <w:overflowPunct/>
        <w:topLinePunct w:val="0"/>
        <w:autoSpaceDE/>
        <w:autoSpaceDN/>
        <w:bidi w:val="0"/>
        <w:spacing w:line="578" w:lineRule="exact"/>
        <w:ind w:leftChars="0" w:firstLine="640"/>
        <w:textAlignment w:val="auto"/>
        <w:outlineLvl w:val="2"/>
        <w:rPr>
          <w:rFonts w:ascii="仿宋_GB2312" w:hAnsi="仿宋_GB2312"/>
          <w:color w:val="000000" w:themeColor="text1"/>
          <w:highlight w:val="none"/>
          <w:u w:val="none"/>
          <w14:textFill>
            <w14:solidFill>
              <w14:schemeClr w14:val="tx1"/>
            </w14:solidFill>
          </w14:textFill>
        </w:rPr>
      </w:pPr>
      <w:r>
        <w:rPr>
          <w:rFonts w:hint="eastAsia" w:ascii="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认租申请流程</w:t>
      </w:r>
      <w:r>
        <w:rPr>
          <w:rFonts w:hint="eastAsia" w:ascii="仿宋_GB2312" w:hAnsi="黑体" w:cs="黑体"/>
          <w:color w:val="000000" w:themeColor="text1"/>
          <w:highlight w:val="none"/>
          <w:u w:val="none"/>
          <w14:textFill>
            <w14:solidFill>
              <w14:schemeClr w14:val="tx1"/>
            </w14:solidFill>
          </w14:textFill>
        </w:rPr>
        <w:t>】</w:t>
      </w:r>
      <w:r>
        <w:rPr>
          <w:rFonts w:hint="eastAsia" w:ascii="仿宋_GB2312" w:hAnsi="黑体" w:cs="黑体"/>
          <w:color w:val="000000" w:themeColor="text1"/>
          <w:highlight w:val="none"/>
          <w:u w:val="none"/>
          <w:lang w:val="en-US" w:eastAsia="zh-CN"/>
          <w14:textFill>
            <w14:solidFill>
              <w14:schemeClr w14:val="tx1"/>
            </w14:solidFill>
          </w14:textFill>
        </w:rPr>
        <w:t xml:space="preserve">  </w:t>
      </w:r>
      <w:r>
        <w:rPr>
          <w:rFonts w:hint="eastAsia" w:ascii="仿宋_GB2312"/>
          <w:color w:val="000000" w:themeColor="text1"/>
          <w:highlight w:val="none"/>
          <w:u w:val="none"/>
          <w14:textFill>
            <w14:solidFill>
              <w14:schemeClr w14:val="tx1"/>
            </w14:solidFill>
          </w14:textFill>
        </w:rPr>
        <w:t>公共租赁住房面向在册轮候人配租，按照下列程序进行：</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（一）</w:t>
      </w:r>
      <w:r>
        <w:rPr>
          <w:rFonts w:hint="eastAsia" w:ascii="仿宋_GB2312" w:hAnsi="仿宋_GB2312" w:cs="仿宋_GB2312"/>
          <w:color w:val="000000" w:themeColor="text1"/>
          <w:szCs w:val="32"/>
          <w:highlight w:val="none"/>
          <w:u w:val="none"/>
          <w14:textFill>
            <w14:solidFill>
              <w14:schemeClr w14:val="tx1"/>
            </w14:solidFill>
          </w14:textFill>
        </w:rPr>
        <w:t>在政府网站和信息平台发布公共租赁住房配租通告；</w:t>
      </w:r>
    </w:p>
    <w:p>
      <w:pPr>
        <w:keepNext w:val="0"/>
        <w:keepLines w:val="0"/>
        <w:pageBreakBefore w:val="0"/>
        <w:widowControl w:val="0"/>
        <w:numPr>
          <w:ilvl w:val="255"/>
          <w:numId w:val="0"/>
        </w:numPr>
        <w:kinsoku/>
        <w:wordWrap/>
        <w:overflowPunct/>
        <w:topLinePunct w:val="0"/>
        <w:autoSpaceDE/>
        <w:autoSpaceDN/>
        <w:bidi w:val="0"/>
        <w:spacing w:line="578" w:lineRule="exact"/>
        <w:ind w:left="0" w:leftChars="0" w:firstLine="640"/>
        <w:textAlignment w:val="auto"/>
        <w:rPr>
          <w:rFonts w:ascii="仿宋_GB2312" w:hAnsi="仿宋_GB2312" w:cs="仿宋_GB2312"/>
          <w:color w:val="000000" w:themeColor="text1"/>
          <w:szCs w:val="32"/>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（二）在册轮候人按照配租通告的要求，</w:t>
      </w:r>
      <w:r>
        <w:rPr>
          <w:rFonts w:hint="eastAsia" w:ascii="仿宋_GB2312" w:hAnsi="仿宋_GB2312" w:cs="仿宋_GB2312"/>
          <w:color w:val="000000" w:themeColor="text1"/>
          <w:szCs w:val="32"/>
          <w:highlight w:val="none"/>
          <w:u w:val="none"/>
          <w14:textFill>
            <w14:solidFill>
              <w14:schemeClr w14:val="tx1"/>
            </w14:solidFill>
          </w14:textFill>
        </w:rPr>
        <w:t>提交认租申请，并</w:t>
      </w:r>
      <w:r>
        <w:rPr>
          <w:rFonts w:hint="eastAsia" w:ascii="仿宋_GB2312"/>
          <w:bCs/>
          <w:color w:val="000000" w:themeColor="text1"/>
          <w:szCs w:val="32"/>
          <w:highlight w:val="none"/>
          <w:u w:val="none"/>
          <w14:textFill>
            <w14:solidFill>
              <w14:schemeClr w14:val="tx1"/>
            </w14:solidFill>
          </w14:textFill>
        </w:rPr>
        <w:t>签署诚信申报声明</w:t>
      </w:r>
      <w:r>
        <w:rPr>
          <w:rFonts w:hint="eastAsia" w:ascii="仿宋_GB2312" w:hAnsi="仿宋_GB2312" w:cs="仿宋_GB2312"/>
          <w:color w:val="000000" w:themeColor="text1"/>
          <w:szCs w:val="32"/>
          <w:highlight w:val="none"/>
          <w:u w:val="none"/>
          <w14:textFill>
            <w14:solidFill>
              <w14:schemeClr w14:val="tx1"/>
            </w14:solidFill>
          </w14:textFill>
        </w:rPr>
        <w:t>；</w:t>
      </w:r>
    </w:p>
    <w:p>
      <w:pPr>
        <w:keepNext w:val="0"/>
        <w:keepLines w:val="0"/>
        <w:pageBreakBefore w:val="0"/>
        <w:widowControl w:val="0"/>
        <w:numPr>
          <w:ilvl w:val="255"/>
          <w:numId w:val="0"/>
        </w:numPr>
        <w:kinsoku/>
        <w:wordWrap/>
        <w:overflowPunct/>
        <w:topLinePunct w:val="0"/>
        <w:autoSpaceDE/>
        <w:autoSpaceDN/>
        <w:bidi w:val="0"/>
        <w:spacing w:line="578" w:lineRule="exact"/>
        <w:ind w:left="0" w:leftChars="0" w:firstLine="640" w:firstLineChars="20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s="仿宋_GB2312"/>
          <w:color w:val="000000" w:themeColor="text1"/>
          <w:szCs w:val="32"/>
          <w:highlight w:val="none"/>
          <w:u w:val="none"/>
          <w14:textFill>
            <w14:solidFill>
              <w14:schemeClr w14:val="tx1"/>
            </w14:solidFill>
          </w14:textFill>
        </w:rPr>
        <w:t>（三）</w:t>
      </w:r>
      <w:r>
        <w:rPr>
          <w:rFonts w:hint="eastAsia" w:ascii="仿宋_GB2312" w:hAnsi="仿宋_GB2312"/>
          <w:color w:val="000000" w:themeColor="text1"/>
          <w:highlight w:val="none"/>
          <w:u w:val="none"/>
          <w14:textFill>
            <w14:solidFill>
              <w14:schemeClr w14:val="tx1"/>
            </w14:solidFill>
          </w14:textFill>
        </w:rPr>
        <w:t>区主管部门按照配租通告确定的规则，会同相关部门进行资格审核，审核结果在政府网站和信息平台公示五个工作日，公示期满无异议或者异议不成立的，确定选房入围名单；</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ascii="仿宋_GB2312" w:hAnsi="仿宋_GB2312" w:cs="仿宋_GB2312"/>
          <w:color w:val="000000" w:themeColor="text1"/>
          <w:szCs w:val="32"/>
          <w:highlight w:val="none"/>
          <w:u w:val="none"/>
          <w14:textFill>
            <w14:solidFill>
              <w14:schemeClr w14:val="tx1"/>
            </w14:solidFill>
          </w14:textFill>
        </w:rPr>
      </w:pPr>
      <w:r>
        <w:rPr>
          <w:rFonts w:hint="eastAsia" w:ascii="仿宋_GB2312" w:hAnsi="仿宋_GB2312" w:cs="仿宋_GB2312"/>
          <w:color w:val="000000" w:themeColor="text1"/>
          <w:szCs w:val="32"/>
          <w:highlight w:val="none"/>
          <w:u w:val="none"/>
          <w14:textFill>
            <w14:solidFill>
              <w14:schemeClr w14:val="tx1"/>
            </w14:solidFill>
          </w14:textFill>
        </w:rPr>
        <w:t>（四）</w:t>
      </w:r>
      <w:r>
        <w:rPr>
          <w:rFonts w:hint="eastAsia" w:ascii="仿宋_GB2312" w:hAnsi="仿宋_GB2312"/>
          <w:color w:val="000000" w:themeColor="text1"/>
          <w:highlight w:val="none"/>
          <w:u w:val="none"/>
          <w14:textFill>
            <w14:solidFill>
              <w14:schemeClr w14:val="tx1"/>
            </w14:solidFill>
          </w14:textFill>
        </w:rPr>
        <w:t>选房入围名单内的认租申请家庭</w:t>
      </w:r>
      <w:r>
        <w:rPr>
          <w:rFonts w:ascii="仿宋_GB2312" w:hAnsi="仿宋_GB2312" w:cs="仿宋_GB2312"/>
          <w:color w:val="000000" w:themeColor="text1"/>
          <w:szCs w:val="32"/>
          <w:highlight w:val="none"/>
          <w:u w:val="none"/>
          <w14:textFill>
            <w14:solidFill>
              <w14:schemeClr w14:val="tx1"/>
            </w14:solidFill>
          </w14:textFill>
        </w:rPr>
        <w:t>按照配</w:t>
      </w:r>
      <w:r>
        <w:rPr>
          <w:rFonts w:hint="eastAsia" w:ascii="仿宋_GB2312" w:hAnsi="仿宋_GB2312" w:cs="仿宋_GB2312"/>
          <w:color w:val="000000" w:themeColor="text1"/>
          <w:szCs w:val="32"/>
          <w:highlight w:val="none"/>
          <w:u w:val="none"/>
          <w14:textFill>
            <w14:solidFill>
              <w14:schemeClr w14:val="tx1"/>
            </w14:solidFill>
          </w14:textFill>
        </w:rPr>
        <w:t>租</w:t>
      </w:r>
      <w:r>
        <w:rPr>
          <w:rFonts w:ascii="仿宋_GB2312" w:hAnsi="仿宋_GB2312" w:cs="仿宋_GB2312"/>
          <w:color w:val="000000" w:themeColor="text1"/>
          <w:szCs w:val="32"/>
          <w:highlight w:val="none"/>
          <w:u w:val="none"/>
          <w14:textFill>
            <w14:solidFill>
              <w14:schemeClr w14:val="tx1"/>
            </w14:solidFill>
          </w14:textFill>
        </w:rPr>
        <w:t>通告</w:t>
      </w:r>
      <w:r>
        <w:rPr>
          <w:rFonts w:hint="eastAsia" w:ascii="仿宋_GB2312" w:hAnsi="仿宋_GB2312" w:cs="仿宋_GB2312"/>
          <w:color w:val="000000" w:themeColor="text1"/>
          <w:szCs w:val="32"/>
          <w:highlight w:val="none"/>
          <w:u w:val="none"/>
          <w14:textFill>
            <w14:solidFill>
              <w14:schemeClr w14:val="tx1"/>
            </w14:solidFill>
          </w14:textFill>
        </w:rPr>
        <w:t>确定的规则排序，分为入围申请家庭以及候补入围申请家庭。入围申请家庭按照确定的排序选房，放弃选房的，排序在后的依次递补；</w:t>
      </w:r>
    </w:p>
    <w:p>
      <w:pPr>
        <w:keepNext w:val="0"/>
        <w:keepLines w:val="0"/>
        <w:pageBreakBefore w:val="0"/>
        <w:widowControl w:val="0"/>
        <w:numPr>
          <w:ilvl w:val="255"/>
          <w:numId w:val="0"/>
        </w:numPr>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s="仿宋_GB2312"/>
          <w:color w:val="000000" w:themeColor="text1"/>
          <w:szCs w:val="32"/>
          <w:highlight w:val="none"/>
          <w:u w:val="none"/>
          <w14:textFill>
            <w14:solidFill>
              <w14:schemeClr w14:val="tx1"/>
            </w14:solidFill>
          </w14:textFill>
        </w:rPr>
        <w:t>（五）选定住房后，</w:t>
      </w:r>
      <w:r>
        <w:rPr>
          <w:rFonts w:hint="eastAsia" w:ascii="仿宋_GB2312" w:hAnsi="仿宋_GB2312"/>
          <w:color w:val="000000" w:themeColor="text1"/>
          <w:highlight w:val="none"/>
          <w:u w:val="none"/>
          <w14:textFill>
            <w14:solidFill>
              <w14:schemeClr w14:val="tx1"/>
            </w14:solidFill>
          </w14:textFill>
        </w:rPr>
        <w:t>认租申请家庭</w:t>
      </w:r>
      <w:r>
        <w:rPr>
          <w:rFonts w:ascii="仿宋_GB2312" w:hAnsi="仿宋_GB2312" w:cs="仿宋_GB2312"/>
          <w:color w:val="000000" w:themeColor="text1"/>
          <w:szCs w:val="32"/>
          <w:highlight w:val="none"/>
          <w:u w:val="none"/>
          <w14:textFill>
            <w14:solidFill>
              <w14:schemeClr w14:val="tx1"/>
            </w14:solidFill>
          </w14:textFill>
        </w:rPr>
        <w:t>应当在规定时间内</w:t>
      </w:r>
      <w:r>
        <w:rPr>
          <w:rFonts w:hint="eastAsia" w:ascii="仿宋_GB2312" w:hAnsi="仿宋_GB2312"/>
          <w:color w:val="000000" w:themeColor="text1"/>
          <w:highlight w:val="none"/>
          <w:u w:val="none"/>
          <w14:textFill>
            <w14:solidFill>
              <w14:schemeClr w14:val="tx1"/>
            </w14:solidFill>
          </w14:textFill>
        </w:rPr>
        <w:t>与产权单位或者运营管理单位签订租赁合同，合同期限不超过三年。</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认租申请家庭已承租政府以外其他主体出租的保障性租赁住房或者符合本办法第二十九条第一款规定情形的，应当在新签订租赁合同后的规定期限内退出原承租住房。</w:t>
      </w:r>
    </w:p>
    <w:p>
      <w:pPr>
        <w:keepNext w:val="0"/>
        <w:keepLines w:val="0"/>
        <w:pageBreakBefore w:val="0"/>
        <w:widowControl w:val="0"/>
        <w:numPr>
          <w:ilvl w:val="2"/>
          <w:numId w:val="1"/>
        </w:numPr>
        <w:kinsoku/>
        <w:wordWrap/>
        <w:overflowPunct/>
        <w:topLinePunct w:val="0"/>
        <w:autoSpaceDE/>
        <w:autoSpaceDN/>
        <w:bidi w:val="0"/>
        <w:spacing w:line="578" w:lineRule="exact"/>
        <w:ind w:leftChars="0" w:firstLine="640"/>
        <w:textAlignment w:val="auto"/>
        <w:outlineLvl w:val="2"/>
        <w:rPr>
          <w:rFonts w:ascii="仿宋_GB2312" w:hAnsi="仿宋_GB2312"/>
          <w:color w:val="000000" w:themeColor="text1"/>
          <w:highlight w:val="none"/>
          <w:u w:val="none"/>
          <w14:textFill>
            <w14:solidFill>
              <w14:schemeClr w14:val="tx1"/>
            </w14:solidFill>
          </w14:textFill>
        </w:rPr>
      </w:pPr>
      <w:r>
        <w:rPr>
          <w:rFonts w:hint="eastAsia" w:ascii="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优先配租</w:t>
      </w:r>
      <w:r>
        <w:rPr>
          <w:rFonts w:hint="eastAsia" w:ascii="仿宋_GB2312"/>
          <w:color w:val="000000" w:themeColor="text1"/>
          <w:highlight w:val="none"/>
          <w:u w:val="none"/>
          <w14:textFill>
            <w14:solidFill>
              <w14:schemeClr w14:val="tx1"/>
            </w14:solidFill>
          </w14:textFill>
        </w:rPr>
        <w:t>】</w:t>
      </w:r>
      <w:r>
        <w:rPr>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color w:val="000000" w:themeColor="text1"/>
          <w:highlight w:val="none"/>
          <w:u w:val="none"/>
          <w14:textFill>
            <w14:solidFill>
              <w14:schemeClr w14:val="tx1"/>
            </w14:solidFill>
          </w14:textFill>
        </w:rPr>
        <w:t>经</w:t>
      </w:r>
      <w:r>
        <w:rPr>
          <w:rFonts w:hint="eastAsia" w:ascii="仿宋_GB2312" w:hAnsi="仿宋_GB2312"/>
          <w:color w:val="000000" w:themeColor="text1"/>
          <w:highlight w:val="none"/>
          <w:u w:val="none"/>
          <w14:textFill>
            <w14:solidFill>
              <w14:schemeClr w14:val="tx1"/>
            </w14:solidFill>
          </w14:textFill>
        </w:rPr>
        <w:t>认定属于特困人员、低保及低保边缘家庭的，区主管部门应当予以优先配租，或者通过住房租赁补贴应保尽保。</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特殊家庭</w:t>
      </w:r>
      <w:r>
        <w:rPr>
          <w:rFonts w:hint="eastAsia" w:ascii="仿宋_GB2312" w:hAnsi="仿宋_GB2312"/>
          <w:color w:val="000000" w:themeColor="text1"/>
          <w:highlight w:val="none"/>
          <w:u w:val="none"/>
          <w:lang w:val="en-US" w:eastAsia="zh-CN"/>
          <w14:textFill>
            <w14:solidFill>
              <w14:schemeClr w14:val="tx1"/>
            </w14:solidFill>
          </w14:textFill>
        </w:rPr>
        <w:t>和有</w:t>
      </w:r>
      <w:r>
        <w:rPr>
          <w:rFonts w:hint="eastAsia" w:ascii="仿宋_GB2312" w:hAnsi="仿宋_GB2312"/>
          <w:color w:val="000000" w:themeColor="text1"/>
          <w:highlight w:val="none"/>
          <w:u w:val="none"/>
          <w14:textFill>
            <w14:solidFill>
              <w14:schemeClr w14:val="tx1"/>
            </w14:solidFill>
          </w14:textFill>
        </w:rPr>
        <w:t>三个以上</w:t>
      </w:r>
      <w:r>
        <w:rPr>
          <w:rFonts w:hint="eastAsia" w:ascii="仿宋_GB2312" w:hAnsi="仿宋_GB2312"/>
          <w:color w:val="000000" w:themeColor="text1"/>
          <w:highlight w:val="none"/>
          <w:u w:val="none"/>
          <w:lang w:val="en-US" w:eastAsia="zh-CN"/>
          <w14:textFill>
            <w14:solidFill>
              <w14:schemeClr w14:val="tx1"/>
            </w14:solidFill>
          </w14:textFill>
        </w:rPr>
        <w:t>未满十八周岁</w:t>
      </w:r>
      <w:r>
        <w:rPr>
          <w:rFonts w:hint="eastAsia" w:ascii="仿宋_GB2312" w:hAnsi="仿宋_GB2312"/>
          <w:color w:val="000000" w:themeColor="text1"/>
          <w:highlight w:val="none"/>
          <w:u w:val="none"/>
          <w14:textFill>
            <w14:solidFill>
              <w14:schemeClr w14:val="tx1"/>
            </w14:solidFill>
          </w14:textFill>
        </w:rPr>
        <w:t>子女的家庭进入选房入围名单的，区主管部门应当在同等条件下安排优先选房。</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ascii="黑体" w:hAnsi="黑体" w:eastAsia="黑体" w:cs="黑体"/>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区主管部门可以根据房源情况分批安排一定数量的房源</w:t>
      </w:r>
      <w:bookmarkStart w:id="8" w:name="_Hlk22641729"/>
      <w:r>
        <w:rPr>
          <w:rFonts w:hint="eastAsia" w:ascii="仿宋_GB2312" w:hAnsi="仿宋_GB2312"/>
          <w:color w:val="000000" w:themeColor="text1"/>
          <w:highlight w:val="none"/>
          <w:u w:val="none"/>
          <w14:textFill>
            <w14:solidFill>
              <w14:schemeClr w14:val="tx1"/>
            </w14:solidFill>
          </w14:textFill>
        </w:rPr>
        <w:t>面向在册轮候人中的烈士遗属、</w:t>
      </w:r>
      <w:bookmarkEnd w:id="8"/>
      <w:r>
        <w:rPr>
          <w:rFonts w:hint="eastAsia" w:ascii="仿宋_GB2312" w:hAnsi="仿宋_GB2312"/>
          <w:color w:val="000000" w:themeColor="text1"/>
          <w:highlight w:val="none"/>
          <w:u w:val="none"/>
          <w14:textFill>
            <w14:solidFill>
              <w14:schemeClr w14:val="tx1"/>
            </w14:solidFill>
          </w14:textFill>
        </w:rPr>
        <w:t>抚恤定补优抚对象和残疾人优先配租；具备条件的，区主管部门也可以安排一定数量的房源面向在册轮候人中的其他特殊家庭</w:t>
      </w:r>
      <w:r>
        <w:rPr>
          <w:rFonts w:hint="eastAsia" w:ascii="仿宋_GB2312" w:hAnsi="仿宋_GB2312"/>
          <w:color w:val="000000" w:themeColor="text1"/>
          <w:highlight w:val="none"/>
          <w:u w:val="none"/>
          <w:lang w:eastAsia="zh-CN"/>
          <w14:textFill>
            <w14:solidFill>
              <w14:schemeClr w14:val="tx1"/>
            </w14:solidFill>
          </w14:textFill>
        </w:rPr>
        <w:t>、</w:t>
      </w:r>
      <w:r>
        <w:rPr>
          <w:rFonts w:hint="eastAsia" w:ascii="仿宋_GB2312" w:hAnsi="仿宋_GB2312"/>
          <w:color w:val="000000" w:themeColor="text1"/>
          <w:highlight w:val="none"/>
          <w:u w:val="none"/>
          <w:lang w:val="en-US" w:eastAsia="zh-CN"/>
          <w14:textFill>
            <w14:solidFill>
              <w14:schemeClr w14:val="tx1"/>
            </w14:solidFill>
          </w14:textFill>
        </w:rPr>
        <w:t>有</w:t>
      </w:r>
      <w:r>
        <w:rPr>
          <w:rFonts w:hint="eastAsia" w:ascii="仿宋_GB2312" w:hAnsi="仿宋_GB2312"/>
          <w:color w:val="000000" w:themeColor="text1"/>
          <w:highlight w:val="none"/>
          <w:u w:val="none"/>
          <w14:textFill>
            <w14:solidFill>
              <w14:schemeClr w14:val="tx1"/>
            </w14:solidFill>
          </w14:textFill>
        </w:rPr>
        <w:t>三个以上</w:t>
      </w:r>
      <w:r>
        <w:rPr>
          <w:rFonts w:hint="eastAsia" w:ascii="仿宋_GB2312" w:hAnsi="仿宋_GB2312"/>
          <w:color w:val="000000" w:themeColor="text1"/>
          <w:highlight w:val="none"/>
          <w:u w:val="none"/>
          <w:lang w:val="en-US" w:eastAsia="zh-CN"/>
          <w14:textFill>
            <w14:solidFill>
              <w14:schemeClr w14:val="tx1"/>
            </w14:solidFill>
          </w14:textFill>
        </w:rPr>
        <w:t>未满十八周岁</w:t>
      </w:r>
      <w:r>
        <w:rPr>
          <w:rFonts w:hint="eastAsia" w:ascii="仿宋_GB2312" w:hAnsi="仿宋_GB2312"/>
          <w:color w:val="000000" w:themeColor="text1"/>
          <w:highlight w:val="none"/>
          <w:u w:val="none"/>
          <w14:textFill>
            <w14:solidFill>
              <w14:schemeClr w14:val="tx1"/>
            </w14:solidFill>
          </w14:textFill>
        </w:rPr>
        <w:t>子女的家庭优先配租。</w:t>
      </w:r>
    </w:p>
    <w:p>
      <w:pPr>
        <w:keepNext w:val="0"/>
        <w:keepLines w:val="0"/>
        <w:pageBreakBefore w:val="0"/>
        <w:widowControl w:val="0"/>
        <w:numPr>
          <w:ilvl w:val="2"/>
          <w:numId w:val="1"/>
        </w:numPr>
        <w:kinsoku/>
        <w:wordWrap/>
        <w:overflowPunct/>
        <w:topLinePunct w:val="0"/>
        <w:autoSpaceDE/>
        <w:autoSpaceDN/>
        <w:bidi w:val="0"/>
        <w:spacing w:line="578" w:lineRule="exact"/>
        <w:ind w:leftChars="0" w:firstLine="640"/>
        <w:textAlignment w:val="auto"/>
        <w:outlineLvl w:val="2"/>
        <w:rPr>
          <w:rFonts w:ascii="仿宋_GB2312" w:hAnsi="仿宋_GB2312"/>
          <w:color w:val="000000" w:themeColor="text1"/>
          <w:highlight w:val="none"/>
          <w:u w:val="none"/>
          <w14:textFill>
            <w14:solidFill>
              <w14:schemeClr w14:val="tx1"/>
            </w14:solidFill>
          </w14:textFill>
        </w:rPr>
      </w:pPr>
      <w:r>
        <w:rPr>
          <w:rFonts w:hint="eastAsia" w:ascii="黑体" w:hAnsi="黑体" w:eastAsia="黑体" w:cs="黑体"/>
          <w:color w:val="000000" w:themeColor="text1"/>
          <w:highlight w:val="none"/>
          <w:u w:val="none"/>
          <w14:textFill>
            <w14:solidFill>
              <w14:schemeClr w14:val="tx1"/>
            </w14:solidFill>
          </w14:textFill>
        </w:rPr>
        <w:t>【退出轮候册】</w:t>
      </w:r>
      <w:r>
        <w:rPr>
          <w:rFonts w:hint="eastAsia" w:ascii="黑体" w:hAnsi="黑体" w:eastAsia="黑体" w:cs="黑体"/>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在册轮候人有下列情形之一，应当退出公共租赁住房轮候册：</w:t>
      </w:r>
    </w:p>
    <w:p>
      <w:pPr>
        <w:pStyle w:val="2"/>
        <w:keepNext w:val="0"/>
        <w:keepLines w:val="0"/>
        <w:pageBreakBefore w:val="0"/>
        <w:widowControl w:val="0"/>
        <w:kinsoku/>
        <w:wordWrap/>
        <w:overflowPunct/>
        <w:topLinePunct w:val="0"/>
        <w:autoSpaceDE/>
        <w:autoSpaceDN/>
        <w:bidi w:val="0"/>
        <w:spacing w:after="0"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（一）选房排序到位但未选定住房或者选定</w:t>
      </w:r>
      <w:r>
        <w:rPr>
          <w:rFonts w:hint="eastAsia" w:ascii="仿宋_GB2312" w:hAnsi="仿宋_GB2312"/>
          <w:color w:val="000000" w:themeColor="text1"/>
          <w:highlight w:val="none"/>
          <w:u w:val="none"/>
          <w:lang w:val="en-US" w:eastAsia="zh-CN"/>
          <w14:textFill>
            <w14:solidFill>
              <w14:schemeClr w14:val="tx1"/>
            </w14:solidFill>
          </w14:textFill>
        </w:rPr>
        <w:t>住</w:t>
      </w:r>
      <w:r>
        <w:rPr>
          <w:rFonts w:hint="eastAsia" w:ascii="仿宋_GB2312" w:hAnsi="仿宋_GB2312"/>
          <w:color w:val="000000" w:themeColor="text1"/>
          <w:highlight w:val="none"/>
          <w:u w:val="none"/>
          <w14:textFill>
            <w14:solidFill>
              <w14:schemeClr w14:val="tx1"/>
            </w14:solidFill>
          </w14:textFill>
        </w:rPr>
        <w:t>房后未在规定时间内签订租赁合同</w:t>
      </w:r>
      <w:r>
        <w:rPr>
          <w:rFonts w:hint="eastAsia" w:ascii="仿宋_GB2312" w:hAnsi="仿宋_GB2312"/>
          <w:color w:val="000000" w:themeColor="text1"/>
          <w:highlight w:val="none"/>
          <w:u w:val="none"/>
          <w:lang w:eastAsia="zh-CN"/>
          <w14:textFill>
            <w14:solidFill>
              <w14:schemeClr w14:val="tx1"/>
            </w14:solidFill>
          </w14:textFill>
        </w:rPr>
        <w:t>，</w:t>
      </w:r>
      <w:r>
        <w:rPr>
          <w:rFonts w:hint="eastAsia" w:ascii="仿宋_GB2312" w:hAnsi="仿宋_GB2312"/>
          <w:color w:val="000000" w:themeColor="text1"/>
          <w:highlight w:val="none"/>
          <w:u w:val="none"/>
          <w14:textFill>
            <w14:solidFill>
              <w14:schemeClr w14:val="tx1"/>
            </w14:solidFill>
          </w14:textFill>
        </w:rPr>
        <w:t>累计两次；</w:t>
      </w:r>
    </w:p>
    <w:p>
      <w:pPr>
        <w:pStyle w:val="2"/>
        <w:keepNext w:val="0"/>
        <w:keepLines w:val="0"/>
        <w:pageBreakBefore w:val="0"/>
        <w:widowControl w:val="0"/>
        <w:kinsoku/>
        <w:wordWrap/>
        <w:overflowPunct/>
        <w:topLinePunct w:val="0"/>
        <w:autoSpaceDE/>
        <w:autoSpaceDN/>
        <w:bidi w:val="0"/>
        <w:spacing w:after="0"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（二）</w:t>
      </w:r>
      <w:r>
        <w:rPr>
          <w:rFonts w:hint="eastAsia" w:ascii="仿宋_GB2312" w:hAnsi="仿宋_GB2312"/>
          <w:color w:val="000000" w:themeColor="text1"/>
          <w:highlight w:val="none"/>
          <w:u w:val="none"/>
          <w:lang w:val="en-US" w:eastAsia="zh-CN"/>
          <w14:textFill>
            <w14:solidFill>
              <w14:schemeClr w14:val="tx1"/>
            </w14:solidFill>
          </w14:textFill>
        </w:rPr>
        <w:t>已</w:t>
      </w:r>
      <w:r>
        <w:rPr>
          <w:rFonts w:hint="eastAsia" w:ascii="仿宋_GB2312" w:hAnsi="仿宋_GB2312"/>
          <w:color w:val="000000" w:themeColor="text1"/>
          <w:highlight w:val="none"/>
          <w:u w:val="none"/>
          <w14:textFill>
            <w14:solidFill>
              <w14:schemeClr w14:val="tx1"/>
            </w14:solidFill>
          </w14:textFill>
        </w:rPr>
        <w:t>签订公共租赁住房租赁合同；</w:t>
      </w:r>
    </w:p>
    <w:p>
      <w:pPr>
        <w:pStyle w:val="2"/>
        <w:keepNext w:val="0"/>
        <w:keepLines w:val="0"/>
        <w:pageBreakBefore w:val="0"/>
        <w:widowControl w:val="0"/>
        <w:kinsoku/>
        <w:wordWrap/>
        <w:overflowPunct/>
        <w:topLinePunct w:val="0"/>
        <w:autoSpaceDE/>
        <w:autoSpaceDN/>
        <w:bidi w:val="0"/>
        <w:spacing w:after="0"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（三）连续三年未提出认租申请；</w:t>
      </w:r>
    </w:p>
    <w:p>
      <w:pPr>
        <w:pStyle w:val="2"/>
        <w:keepNext w:val="0"/>
        <w:keepLines w:val="0"/>
        <w:pageBreakBefore w:val="0"/>
        <w:widowControl w:val="0"/>
        <w:numPr>
          <w:ilvl w:val="255"/>
          <w:numId w:val="0"/>
        </w:numPr>
        <w:kinsoku/>
        <w:wordWrap/>
        <w:overflowPunct/>
        <w:topLinePunct w:val="0"/>
        <w:autoSpaceDE/>
        <w:autoSpaceDN/>
        <w:bidi w:val="0"/>
        <w:spacing w:after="0" w:line="578" w:lineRule="exact"/>
        <w:ind w:left="0" w:leftChars="0" w:firstLine="640" w:firstLineChars="20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（四）法律、法规、规章和市政府规定的其他情形。</w:t>
      </w:r>
    </w:p>
    <w:p>
      <w:pPr>
        <w:keepNext w:val="0"/>
        <w:keepLines w:val="0"/>
        <w:pageBreakBefore w:val="0"/>
        <w:widowControl w:val="0"/>
        <w:numPr>
          <w:ilvl w:val="2"/>
          <w:numId w:val="1"/>
        </w:numPr>
        <w:kinsoku/>
        <w:wordWrap/>
        <w:overflowPunct/>
        <w:topLinePunct w:val="0"/>
        <w:autoSpaceDE/>
        <w:autoSpaceDN/>
        <w:bidi w:val="0"/>
        <w:spacing w:line="578" w:lineRule="exact"/>
        <w:ind w:leftChars="0" w:firstLine="640"/>
        <w:textAlignment w:val="auto"/>
        <w:outlineLvl w:val="2"/>
        <w:rPr>
          <w:rFonts w:ascii="仿宋_GB2312" w:hAnsi="仿宋_GB2312"/>
          <w:color w:val="000000" w:themeColor="text1"/>
          <w:highlight w:val="none"/>
          <w:u w:val="none"/>
          <w14:textFill>
            <w14:solidFill>
              <w14:schemeClr w14:val="tx1"/>
            </w14:solidFill>
          </w14:textFill>
        </w:rPr>
      </w:pPr>
      <w:r>
        <w:rPr>
          <w:rStyle w:val="11"/>
          <w:rFonts w:hint="eastAsia" w:ascii="黑体" w:hAnsi="黑体"/>
          <w:color w:val="000000" w:themeColor="text1"/>
          <w:highlight w:val="none"/>
          <w:u w:val="none"/>
          <w14:textFill>
            <w14:solidFill>
              <w14:schemeClr w14:val="tx1"/>
            </w14:solidFill>
          </w14:textFill>
        </w:rPr>
        <w:t>【定向配租】</w:t>
      </w:r>
      <w:r>
        <w:rPr>
          <w:rStyle w:val="11"/>
          <w:rFonts w:hint="eastAsia" w:ascii="黑体" w:hAnsi="黑体" w:eastAsia="黑体"/>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主管部门可以安排一定数量的公共租赁住房面向公交、环卫等为社会提供基本公共服务的</w:t>
      </w:r>
      <w:r>
        <w:rPr>
          <w:rFonts w:hint="eastAsia" w:ascii="仿宋_GB2312" w:hAnsi="仿宋_GB2312"/>
          <w:color w:val="000000" w:themeColor="text1"/>
          <w:highlight w:val="none"/>
          <w:u w:val="none"/>
          <w:lang w:val="en-US" w:eastAsia="zh-CN"/>
          <w14:textFill>
            <w14:solidFill>
              <w14:schemeClr w14:val="tx1"/>
            </w14:solidFill>
          </w14:textFill>
        </w:rPr>
        <w:t>单位</w:t>
      </w:r>
      <w:r>
        <w:rPr>
          <w:rFonts w:hint="eastAsia" w:ascii="仿宋_GB2312" w:hAnsi="仿宋_GB2312"/>
          <w:color w:val="000000" w:themeColor="text1"/>
          <w:highlight w:val="none"/>
          <w:u w:val="none"/>
          <w14:textFill>
            <w14:solidFill>
              <w14:schemeClr w14:val="tx1"/>
            </w14:solidFill>
          </w14:textFill>
        </w:rPr>
        <w:t>定向配租</w:t>
      </w:r>
      <w:r>
        <w:rPr>
          <w:rFonts w:hint="eastAsia" w:ascii="仿宋_GB2312" w:hAnsi="仿宋_GB2312"/>
          <w:color w:val="000000" w:themeColor="text1"/>
          <w:highlight w:val="none"/>
          <w:u w:val="none"/>
          <w:lang w:eastAsia="zh-CN"/>
          <w14:textFill>
            <w14:solidFill>
              <w14:schemeClr w14:val="tx1"/>
            </w14:solidFill>
          </w14:textFill>
        </w:rPr>
        <w:t>，</w:t>
      </w:r>
      <w:r>
        <w:rPr>
          <w:rFonts w:hint="eastAsia" w:ascii="仿宋_GB2312" w:hAnsi="仿宋_GB2312"/>
          <w:color w:val="000000" w:themeColor="text1"/>
          <w:highlight w:val="none"/>
          <w:u w:val="none"/>
          <w:lang w:val="en-US" w:eastAsia="zh-CN"/>
          <w14:textFill>
            <w14:solidFill>
              <w14:schemeClr w14:val="tx1"/>
            </w14:solidFill>
          </w14:textFill>
        </w:rPr>
        <w:t>由单位安排给符合条件的一线职工入住</w:t>
      </w:r>
      <w:r>
        <w:rPr>
          <w:rFonts w:hint="eastAsia" w:ascii="仿宋_GB2312" w:hAnsi="仿宋_GB2312"/>
          <w:color w:val="000000" w:themeColor="text1"/>
          <w:highlight w:val="none"/>
          <w:u w:val="none"/>
          <w14:textFill>
            <w14:solidFill>
              <w14:schemeClr w14:val="tx1"/>
            </w14:solidFill>
          </w14:textFill>
        </w:rPr>
        <w:t>。各相关行业的具体分配规则及一线职工认定标准由行业主管部门制定，报同级主管部门备案后组织实施。定向配租公共租赁住房的单次租赁合同期限不超过三年，租赁期满后仍然符合条件的，可以续租。</w:t>
      </w:r>
    </w:p>
    <w:p>
      <w:pPr>
        <w:pStyle w:val="2"/>
        <w:keepNext w:val="0"/>
        <w:keepLines w:val="0"/>
        <w:pageBreakBefore w:val="0"/>
        <w:widowControl w:val="0"/>
        <w:kinsoku/>
        <w:wordWrap/>
        <w:overflowPunct/>
        <w:topLinePunct w:val="0"/>
        <w:autoSpaceDE/>
        <w:autoSpaceDN/>
        <w:bidi w:val="0"/>
        <w:spacing w:after="0" w:line="578" w:lineRule="exact"/>
        <w:ind w:left="0" w:leftChars="0" w:firstLine="640"/>
        <w:textAlignment w:val="auto"/>
        <w:rPr>
          <w:color w:val="000000" w:themeColor="text1"/>
          <w:highlight w:val="none"/>
          <w:u w:val="none"/>
          <w14:textFill>
            <w14:solidFill>
              <w14:schemeClr w14:val="tx1"/>
            </w14:solidFill>
          </w14:textFill>
        </w:rPr>
      </w:pPr>
      <w:r>
        <w:rPr>
          <w:rFonts w:hint="eastAsia"/>
          <w:color w:val="000000" w:themeColor="text1"/>
          <w:highlight w:val="none"/>
          <w:u w:val="none"/>
          <w14:textFill>
            <w14:solidFill>
              <w14:schemeClr w14:val="tx1"/>
            </w14:solidFill>
          </w14:textFill>
        </w:rPr>
        <w:t>定向配租公共租赁住房的配租面积标准原则上不高于本办法第二十一条第一款的规定。同一套住房可以集中居住方式安排多名职工入住，但人均居住建筑面积原则上不超过十五平方米。</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承租定向配租公共租赁住房的用人单位因破产、被吊销营业执照等</w:t>
      </w:r>
      <w:r>
        <w:rPr>
          <w:rFonts w:hint="eastAsia" w:ascii="仿宋_GB2312" w:hAnsi="仿宋_GB2312"/>
          <w:color w:val="000000" w:themeColor="text1"/>
          <w:highlight w:val="none"/>
          <w:u w:val="none"/>
          <w:shd w:val="clear" w:color="auto" w:fill="auto"/>
          <w14:textFill>
            <w14:solidFill>
              <w14:schemeClr w14:val="tx1"/>
            </w14:solidFill>
          </w14:textFill>
        </w:rPr>
        <w:t>不再具备法人资格</w:t>
      </w:r>
      <w:r>
        <w:rPr>
          <w:rFonts w:hint="eastAsia" w:ascii="仿宋_GB2312" w:hAnsi="仿宋_GB2312"/>
          <w:color w:val="000000" w:themeColor="text1"/>
          <w:highlight w:val="none"/>
          <w:u w:val="none"/>
          <w14:textFill>
            <w14:solidFill>
              <w14:schemeClr w14:val="tx1"/>
            </w14:solidFill>
          </w14:textFill>
        </w:rPr>
        <w:t>，或者注册地址迁出本市的，应当在三个月内腾退公共租赁住房。</w:t>
      </w:r>
    </w:p>
    <w:p>
      <w:pPr>
        <w:keepNext w:val="0"/>
        <w:keepLines w:val="0"/>
        <w:pageBreakBefore w:val="0"/>
        <w:widowControl w:val="0"/>
        <w:numPr>
          <w:ilvl w:val="2"/>
          <w:numId w:val="1"/>
        </w:numPr>
        <w:kinsoku/>
        <w:wordWrap/>
        <w:overflowPunct/>
        <w:topLinePunct w:val="0"/>
        <w:autoSpaceDE/>
        <w:autoSpaceDN/>
        <w:bidi w:val="0"/>
        <w:spacing w:line="578" w:lineRule="exact"/>
        <w:ind w:leftChars="0" w:firstLine="640"/>
        <w:textAlignment w:val="auto"/>
        <w:outlineLvl w:val="2"/>
        <w:rPr>
          <w:rFonts w:ascii="仿宋_GB2312"/>
          <w:color w:val="000000" w:themeColor="text1"/>
          <w:highlight w:val="none"/>
          <w:u w:val="none"/>
          <w14:textFill>
            <w14:solidFill>
              <w14:schemeClr w14:val="tx1"/>
            </w14:solidFill>
          </w14:textFill>
        </w:rPr>
      </w:pPr>
      <w:r>
        <w:rPr>
          <w:rStyle w:val="11"/>
          <w:rFonts w:hint="eastAsia" w:ascii="黑体" w:hAnsi="黑体"/>
          <w:color w:val="000000" w:themeColor="text1"/>
          <w:highlight w:val="none"/>
          <w:u w:val="none"/>
          <w14:textFill>
            <w14:solidFill>
              <w14:schemeClr w14:val="tx1"/>
            </w14:solidFill>
          </w14:textFill>
        </w:rPr>
        <w:t>【定向配租房源的入住职工条件及变更】</w:t>
      </w:r>
      <w:r>
        <w:rPr>
          <w:rStyle w:val="11"/>
          <w:rFonts w:hint="eastAsia" w:ascii="黑体" w:hAnsi="黑体" w:eastAsia="黑体"/>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入住定向配租公共租赁住房的，应当同时符合以下条件：</w:t>
      </w:r>
    </w:p>
    <w:p>
      <w:pPr>
        <w:pStyle w:val="2"/>
        <w:keepNext w:val="0"/>
        <w:keepLines w:val="0"/>
        <w:pageBreakBefore w:val="0"/>
        <w:widowControl w:val="0"/>
        <w:numPr>
          <w:ilvl w:val="0"/>
          <w:numId w:val="2"/>
        </w:numPr>
        <w:kinsoku/>
        <w:wordWrap/>
        <w:overflowPunct/>
        <w:topLinePunct w:val="0"/>
        <w:autoSpaceDE/>
        <w:autoSpaceDN/>
        <w:bidi w:val="0"/>
        <w:spacing w:after="0"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职工及其配偶、未满十八周岁的子女均未在本市拥有自有住房，在信息备案前三年</w:t>
      </w:r>
      <w:r>
        <w:rPr>
          <w:rFonts w:hint="eastAsia" w:ascii="仿宋_GB2312" w:hAnsi="仿宋_GB2312"/>
          <w:color w:val="000000" w:themeColor="text1"/>
          <w:highlight w:val="none"/>
          <w:u w:val="none"/>
          <w:lang w:val="en-US" w:eastAsia="zh-CN"/>
          <w14:textFill>
            <w14:solidFill>
              <w14:schemeClr w14:val="tx1"/>
            </w14:solidFill>
          </w14:textFill>
        </w:rPr>
        <w:t>以</w:t>
      </w:r>
      <w:r>
        <w:rPr>
          <w:rFonts w:hint="eastAsia" w:ascii="仿宋_GB2312" w:hAnsi="仿宋_GB2312"/>
          <w:color w:val="000000" w:themeColor="text1"/>
          <w:highlight w:val="none"/>
          <w:u w:val="none"/>
          <w14:textFill>
            <w14:solidFill>
              <w14:schemeClr w14:val="tx1"/>
            </w14:solidFill>
          </w14:textFill>
        </w:rPr>
        <w:t>内未在本市转让过或者因离婚分割过自有住房；</w:t>
      </w:r>
    </w:p>
    <w:p>
      <w:pPr>
        <w:pStyle w:val="2"/>
        <w:keepNext w:val="0"/>
        <w:keepLines w:val="0"/>
        <w:pageBreakBefore w:val="0"/>
        <w:widowControl w:val="0"/>
        <w:numPr>
          <w:ilvl w:val="0"/>
          <w:numId w:val="2"/>
        </w:numPr>
        <w:kinsoku/>
        <w:wordWrap/>
        <w:overflowPunct/>
        <w:topLinePunct w:val="0"/>
        <w:autoSpaceDE/>
        <w:autoSpaceDN/>
        <w:bidi w:val="0"/>
        <w:spacing w:after="0" w:line="578" w:lineRule="exact"/>
        <w:ind w:left="0" w:leftChars="0" w:firstLine="640"/>
        <w:textAlignment w:val="auto"/>
        <w:rPr>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职工及其配偶均未在本市和国内其他地区享受住房保障优惠政策；</w:t>
      </w:r>
    </w:p>
    <w:p>
      <w:pPr>
        <w:keepNext w:val="0"/>
        <w:keepLines w:val="0"/>
        <w:pageBreakBefore w:val="0"/>
        <w:widowControl w:val="0"/>
        <w:kinsoku/>
        <w:wordWrap/>
        <w:overflowPunct/>
        <w:topLinePunct w:val="0"/>
        <w:autoSpaceDE/>
        <w:autoSpaceDN/>
        <w:bidi w:val="0"/>
        <w:spacing w:line="578" w:lineRule="exact"/>
        <w:ind w:left="0" w:leftChars="0"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（三）职工本人在本市正常缴纳社会保险，未在本市缴纳社会保险的，用人单位应当说明原因并出具在本单位全职工作的劳动合同或者工作证明；</w:t>
      </w:r>
    </w:p>
    <w:p>
      <w:pPr>
        <w:pStyle w:val="2"/>
        <w:keepNext w:val="0"/>
        <w:keepLines w:val="0"/>
        <w:pageBreakBefore w:val="0"/>
        <w:widowControl w:val="0"/>
        <w:numPr>
          <w:ilvl w:val="255"/>
          <w:numId w:val="0"/>
        </w:numPr>
        <w:kinsoku/>
        <w:wordWrap/>
        <w:overflowPunct/>
        <w:topLinePunct w:val="0"/>
        <w:autoSpaceDE/>
        <w:autoSpaceDN/>
        <w:bidi w:val="0"/>
        <w:spacing w:after="0" w:line="578" w:lineRule="exact"/>
        <w:ind w:left="0" w:leftChars="0" w:firstLine="640" w:firstLineChars="200"/>
        <w:textAlignment w:val="auto"/>
        <w:outlineLvl w:val="2"/>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（四）职工本人符合为社会提供基本公共服务一线职工的相关标准；</w:t>
      </w:r>
    </w:p>
    <w:p>
      <w:pPr>
        <w:pStyle w:val="2"/>
        <w:keepNext w:val="0"/>
        <w:keepLines w:val="0"/>
        <w:pageBreakBefore w:val="0"/>
        <w:widowControl w:val="0"/>
        <w:numPr>
          <w:ilvl w:val="255"/>
          <w:numId w:val="0"/>
        </w:numPr>
        <w:kinsoku/>
        <w:wordWrap/>
        <w:overflowPunct/>
        <w:topLinePunct w:val="0"/>
        <w:autoSpaceDE/>
        <w:autoSpaceDN/>
        <w:bidi w:val="0"/>
        <w:spacing w:after="0" w:line="578" w:lineRule="exact"/>
        <w:ind w:left="0" w:leftChars="0" w:firstLine="640" w:firstLineChars="200"/>
        <w:textAlignment w:val="auto"/>
        <w:outlineLvl w:val="2"/>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（五）申请人的家庭人均年可支配收入符合本市规定的限额标准。</w:t>
      </w:r>
    </w:p>
    <w:p>
      <w:pPr>
        <w:keepNext w:val="0"/>
        <w:keepLines w:val="0"/>
        <w:pageBreakBefore w:val="0"/>
        <w:widowControl w:val="0"/>
        <w:kinsoku/>
        <w:wordWrap/>
        <w:overflowPunct/>
        <w:topLinePunct w:val="0"/>
        <w:autoSpaceDE/>
        <w:autoSpaceDN/>
        <w:bidi w:val="0"/>
        <w:spacing w:line="578" w:lineRule="exact"/>
        <w:ind w:left="0" w:leftChars="0" w:firstLine="640" w:firstLineChars="200"/>
        <w:textAlignment w:val="auto"/>
        <w:rPr>
          <w:rFonts w:hint="eastAsia"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入住职工的住房、婚姻、家庭人口、劳动合同关系等情况发生变化的，其劳动关系所在的用人单位应当自发生变化之日起三十日</w:t>
      </w:r>
      <w:r>
        <w:rPr>
          <w:rFonts w:hint="eastAsia" w:ascii="仿宋_GB2312" w:hAnsi="仿宋_GB2312"/>
          <w:color w:val="000000" w:themeColor="text1"/>
          <w:highlight w:val="none"/>
          <w:u w:val="none"/>
          <w:lang w:val="en-US" w:eastAsia="zh-CN"/>
          <w14:textFill>
            <w14:solidFill>
              <w14:schemeClr w14:val="tx1"/>
            </w14:solidFill>
          </w14:textFill>
        </w:rPr>
        <w:t>以</w:t>
      </w:r>
      <w:r>
        <w:rPr>
          <w:rFonts w:hint="eastAsia" w:ascii="仿宋_GB2312" w:hAnsi="仿宋_GB2312"/>
          <w:color w:val="000000" w:themeColor="text1"/>
          <w:highlight w:val="none"/>
          <w:u w:val="none"/>
          <w14:textFill>
            <w14:solidFill>
              <w14:schemeClr w14:val="tx1"/>
            </w14:solidFill>
          </w14:textFill>
        </w:rPr>
        <w:t>内，通过信息平台办理信息变更。信息变更后不再符合前款规定的，用人单位应当及时要求入住职工腾退住房，重新安排给本单位其他符合条件的职工入住，经</w:t>
      </w:r>
      <w:r>
        <w:rPr>
          <w:rFonts w:ascii="仿宋_GB2312" w:hAnsi="仿宋_GB2312"/>
          <w:color w:val="000000" w:themeColor="text1"/>
          <w:highlight w:val="none"/>
          <w:u w:val="none"/>
          <w14:textFill>
            <w14:solidFill>
              <w14:schemeClr w14:val="tx1"/>
            </w14:solidFill>
          </w14:textFill>
        </w:rPr>
        <w:t>区主管部门</w:t>
      </w:r>
      <w:r>
        <w:rPr>
          <w:rFonts w:hint="eastAsia" w:ascii="仿宋_GB2312" w:hAnsi="仿宋_GB2312"/>
          <w:color w:val="000000" w:themeColor="text1"/>
          <w:highlight w:val="none"/>
          <w:u w:val="none"/>
          <w14:textFill>
            <w14:solidFill>
              <w14:schemeClr w14:val="tx1"/>
            </w14:solidFill>
          </w14:textFill>
        </w:rPr>
        <w:t>审核通过后，向产权单位或者运营管理单位办理变更手续。</w:t>
      </w:r>
    </w:p>
    <w:p>
      <w:pPr>
        <w:pStyle w:val="2"/>
        <w:keepNext w:val="0"/>
        <w:keepLines w:val="0"/>
        <w:pageBreakBefore w:val="0"/>
        <w:widowControl w:val="0"/>
        <w:kinsoku/>
        <w:wordWrap/>
        <w:overflowPunct/>
        <w:topLinePunct w:val="0"/>
        <w:autoSpaceDE/>
        <w:autoSpaceDN/>
        <w:bidi w:val="0"/>
        <w:spacing w:after="0" w:line="578" w:lineRule="exact"/>
        <w:textAlignment w:val="auto"/>
        <w:rPr>
          <w:color w:val="000000" w:themeColor="text1"/>
          <w:u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578" w:lineRule="exact"/>
        <w:ind w:firstLine="0" w:firstLineChars="0"/>
        <w:jc w:val="center"/>
        <w:textAlignment w:val="auto"/>
        <w:rPr>
          <w:rFonts w:hint="eastAsia" w:ascii="黑体" w:hAnsi="黑体" w:eastAsia="黑体" w:cs="黑体"/>
          <w:color w:val="000000" w:themeColor="text1"/>
          <w:highlight w:val="none"/>
          <w:u w:val="none"/>
          <w14:textFill>
            <w14:solidFill>
              <w14:schemeClr w14:val="tx1"/>
            </w14:solidFill>
          </w14:textFill>
        </w:rPr>
      </w:pPr>
      <w:r>
        <w:rPr>
          <w:rFonts w:hint="eastAsia" w:ascii="黑体" w:hAnsi="黑体" w:eastAsia="黑体" w:cs="黑体"/>
          <w:color w:val="000000" w:themeColor="text1"/>
          <w:highlight w:val="none"/>
          <w:u w:val="none"/>
          <w14:textFill>
            <w14:solidFill>
              <w14:schemeClr w14:val="tx1"/>
            </w14:solidFill>
          </w14:textFill>
        </w:rPr>
        <w:t>第三章</w:t>
      </w:r>
      <w:r>
        <w:rPr>
          <w:rFonts w:ascii="黑体" w:hAnsi="黑体" w:eastAsia="黑体" w:cs="黑体"/>
          <w:color w:val="000000" w:themeColor="text1"/>
          <w:highlight w:val="none"/>
          <w:u w:val="none"/>
          <w14:textFill>
            <w14:solidFill>
              <w14:schemeClr w14:val="tx1"/>
            </w14:solidFill>
          </w14:textFill>
        </w:rPr>
        <w:t xml:space="preserve"> </w:t>
      </w:r>
      <w:r>
        <w:rPr>
          <w:rFonts w:hint="eastAsia" w:ascii="黑体" w:hAnsi="黑体" w:eastAsia="黑体" w:cs="黑体"/>
          <w:color w:val="000000" w:themeColor="text1"/>
          <w:highlight w:val="none"/>
          <w:u w:val="none"/>
          <w14:textFill>
            <w14:solidFill>
              <w14:schemeClr w14:val="tx1"/>
            </w14:solidFill>
          </w14:textFill>
        </w:rPr>
        <w:t>租后管理</w:t>
      </w:r>
    </w:p>
    <w:p>
      <w:pPr>
        <w:pStyle w:val="2"/>
        <w:keepNext w:val="0"/>
        <w:keepLines w:val="0"/>
        <w:pageBreakBefore w:val="0"/>
        <w:widowControl w:val="0"/>
        <w:kinsoku/>
        <w:wordWrap/>
        <w:overflowPunct/>
        <w:topLinePunct w:val="0"/>
        <w:autoSpaceDE/>
        <w:autoSpaceDN/>
        <w:bidi w:val="0"/>
        <w:spacing w:after="0" w:line="578" w:lineRule="exact"/>
        <w:textAlignment w:val="auto"/>
        <w:rPr>
          <w:color w:val="000000" w:themeColor="text1"/>
          <w:u w:val="none"/>
          <w14:textFill>
            <w14:solidFill>
              <w14:schemeClr w14:val="tx1"/>
            </w14:solidFill>
          </w14:textFill>
        </w:rPr>
      </w:pP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color w:val="000000" w:themeColor="text1"/>
          <w:highlight w:val="none"/>
          <w:u w:val="none"/>
          <w14:textFill>
            <w14:solidFill>
              <w14:schemeClr w14:val="tx1"/>
            </w14:solidFill>
          </w14:textFill>
        </w:rPr>
      </w:pPr>
      <w:r>
        <w:rPr>
          <w:rFonts w:hint="eastAsia" w:ascii="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续租</w:t>
      </w:r>
      <w:r>
        <w:rPr>
          <w:rFonts w:hint="eastAsia" w:ascii="仿宋_GB2312"/>
          <w:color w:val="000000" w:themeColor="text1"/>
          <w:highlight w:val="none"/>
          <w:u w:val="none"/>
          <w14:textFill>
            <w14:solidFill>
              <w14:schemeClr w14:val="tx1"/>
            </w14:solidFill>
          </w14:textFill>
        </w:rPr>
        <w:t>】</w:t>
      </w:r>
      <w:r>
        <w:rPr>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申请人在租赁合同期限届满后需要续租的，应当在租赁合同期限届满前三个月</w:t>
      </w:r>
      <w:r>
        <w:rPr>
          <w:rFonts w:hint="eastAsia" w:ascii="仿宋_GB2312" w:hAnsi="仿宋_GB2312"/>
          <w:color w:val="000000" w:themeColor="text1"/>
          <w:highlight w:val="none"/>
          <w:u w:val="none"/>
          <w:lang w:val="en-US" w:eastAsia="zh-CN"/>
          <w14:textFill>
            <w14:solidFill>
              <w14:schemeClr w14:val="tx1"/>
            </w14:solidFill>
          </w14:textFill>
        </w:rPr>
        <w:t>以</w:t>
      </w:r>
      <w:r>
        <w:rPr>
          <w:rFonts w:hint="eastAsia" w:ascii="仿宋_GB2312" w:hAnsi="仿宋_GB2312"/>
          <w:color w:val="000000" w:themeColor="text1"/>
          <w:highlight w:val="none"/>
          <w:u w:val="none"/>
          <w14:textFill>
            <w14:solidFill>
              <w14:schemeClr w14:val="tx1"/>
            </w14:solidFill>
          </w14:textFill>
        </w:rPr>
        <w:t>内向产权单位或者运营管理单位提出续租申请。</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区主管部门会同相关部门对申请人和共同申请人续租资格进行审核。经审核符合本办法第十一条规定条件的，予以续租，每次续租期限不超过三年。</w:t>
      </w: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hAnsi="仿宋_GB2312"/>
          <w:color w:val="000000" w:themeColor="text1"/>
          <w:highlight w:val="none"/>
          <w:u w:val="none"/>
          <w14:textFill>
            <w14:solidFill>
              <w14:schemeClr w14:val="tx1"/>
            </w14:solidFill>
          </w14:textFill>
        </w:rPr>
      </w:pPr>
      <w:r>
        <w:rPr>
          <w:rFonts w:hint="eastAsia" w:ascii="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申请人变更</w:t>
      </w:r>
      <w:r>
        <w:rPr>
          <w:rFonts w:hint="eastAsia" w:ascii="仿宋_GB2312"/>
          <w:color w:val="000000" w:themeColor="text1"/>
          <w:highlight w:val="none"/>
          <w:u w:val="none"/>
          <w14:textFill>
            <w14:solidFill>
              <w14:schemeClr w14:val="tx1"/>
            </w14:solidFill>
          </w14:textFill>
        </w:rPr>
        <w:t>】</w:t>
      </w:r>
      <w:r>
        <w:rPr>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申请人在</w:t>
      </w:r>
      <w:r>
        <w:rPr>
          <w:rFonts w:ascii="仿宋_GB2312" w:hAnsi="仿宋_GB2312"/>
          <w:color w:val="000000" w:themeColor="text1"/>
          <w:highlight w:val="none"/>
          <w:u w:val="none"/>
          <w14:textFill>
            <w14:solidFill>
              <w14:schemeClr w14:val="tx1"/>
            </w14:solidFill>
          </w14:textFill>
        </w:rPr>
        <w:t>承租</w:t>
      </w:r>
      <w:r>
        <w:rPr>
          <w:rFonts w:hint="eastAsia" w:ascii="仿宋_GB2312" w:hAnsi="仿宋_GB2312"/>
          <w:color w:val="000000" w:themeColor="text1"/>
          <w:highlight w:val="none"/>
          <w:u w:val="none"/>
          <w14:textFill>
            <w14:solidFill>
              <w14:schemeClr w14:val="tx1"/>
            </w14:solidFill>
          </w14:textFill>
        </w:rPr>
        <w:t>期间</w:t>
      </w:r>
      <w:r>
        <w:rPr>
          <w:rFonts w:ascii="仿宋_GB2312" w:hAnsi="仿宋_GB2312"/>
          <w:color w:val="000000" w:themeColor="text1"/>
          <w:highlight w:val="none"/>
          <w:u w:val="none"/>
          <w14:textFill>
            <w14:solidFill>
              <w14:schemeClr w14:val="tx1"/>
            </w14:solidFill>
          </w14:textFill>
        </w:rPr>
        <w:t>死亡的</w:t>
      </w:r>
      <w:r>
        <w:rPr>
          <w:rFonts w:hint="eastAsia" w:ascii="仿宋_GB2312" w:hAnsi="仿宋_GB2312"/>
          <w:color w:val="000000" w:themeColor="text1"/>
          <w:highlight w:val="none"/>
          <w:u w:val="none"/>
          <w14:textFill>
            <w14:solidFill>
              <w14:schemeClr w14:val="tx1"/>
            </w14:solidFill>
          </w14:textFill>
        </w:rPr>
        <w:t>，共同申请人应当重新确定申请人，新确定的申请人在租赁合同期限内可不受本办法第十一条第一款第二项至四项条件的限制。租赁合同期限届满后，新确定的申请人在续租时可不受本办法第十一条第一款第二项、第三项条件的限制。</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申请</w:t>
      </w:r>
      <w:r>
        <w:rPr>
          <w:rFonts w:ascii="仿宋_GB2312" w:hAnsi="仿宋_GB2312"/>
          <w:color w:val="000000" w:themeColor="text1"/>
          <w:highlight w:val="none"/>
          <w:u w:val="none"/>
          <w14:textFill>
            <w14:solidFill>
              <w14:schemeClr w14:val="tx1"/>
            </w14:solidFill>
          </w14:textFill>
        </w:rPr>
        <w:t>人</w:t>
      </w:r>
      <w:r>
        <w:rPr>
          <w:rFonts w:hint="eastAsia" w:ascii="仿宋_GB2312" w:hAnsi="仿宋_GB2312"/>
          <w:color w:val="000000" w:themeColor="text1"/>
          <w:highlight w:val="none"/>
          <w:u w:val="none"/>
          <w14:textFill>
            <w14:solidFill>
              <w14:schemeClr w14:val="tx1"/>
            </w14:solidFill>
          </w14:textFill>
        </w:rPr>
        <w:t>在</w:t>
      </w:r>
      <w:r>
        <w:rPr>
          <w:rFonts w:ascii="仿宋_GB2312" w:hAnsi="仿宋_GB2312"/>
          <w:color w:val="000000" w:themeColor="text1"/>
          <w:highlight w:val="none"/>
          <w:u w:val="none"/>
          <w14:textFill>
            <w14:solidFill>
              <w14:schemeClr w14:val="tx1"/>
            </w14:solidFill>
          </w14:textFill>
        </w:rPr>
        <w:t>承租</w:t>
      </w:r>
      <w:r>
        <w:rPr>
          <w:rFonts w:hint="eastAsia" w:ascii="仿宋_GB2312" w:hAnsi="仿宋_GB2312"/>
          <w:color w:val="000000" w:themeColor="text1"/>
          <w:highlight w:val="none"/>
          <w:u w:val="none"/>
          <w14:textFill>
            <w14:solidFill>
              <w14:schemeClr w14:val="tx1"/>
            </w14:solidFill>
          </w14:textFill>
        </w:rPr>
        <w:t>期间</w:t>
      </w:r>
      <w:r>
        <w:rPr>
          <w:rFonts w:ascii="仿宋_GB2312" w:hAnsi="仿宋_GB2312"/>
          <w:color w:val="000000" w:themeColor="text1"/>
          <w:highlight w:val="none"/>
          <w:u w:val="none"/>
          <w14:textFill>
            <w14:solidFill>
              <w14:schemeClr w14:val="tx1"/>
            </w14:solidFill>
          </w14:textFill>
        </w:rPr>
        <w:t>离异</w:t>
      </w:r>
      <w:r>
        <w:rPr>
          <w:rFonts w:hint="eastAsia" w:ascii="仿宋_GB2312" w:hAnsi="仿宋_GB2312"/>
          <w:color w:val="000000" w:themeColor="text1"/>
          <w:highlight w:val="none"/>
          <w:u w:val="none"/>
          <w14:textFill>
            <w14:solidFill>
              <w14:schemeClr w14:val="tx1"/>
            </w14:solidFill>
          </w14:textFill>
        </w:rPr>
        <w:t>的，由符合本办法第十一条规定条件的一方继续承租。离异双方均符合本办法第十一条规定条件的，经双方协商</w:t>
      </w:r>
      <w:r>
        <w:rPr>
          <w:rFonts w:hint="eastAsia" w:ascii="仿宋_GB2312" w:hAnsi="仿宋_GB2312"/>
          <w:color w:val="000000" w:themeColor="text1"/>
          <w:highlight w:val="none"/>
          <w:u w:val="none"/>
          <w:lang w:val="en-US" w:eastAsia="zh-CN"/>
          <w14:textFill>
            <w14:solidFill>
              <w14:schemeClr w14:val="tx1"/>
            </w14:solidFill>
          </w14:textFill>
        </w:rPr>
        <w:t>确定</w:t>
      </w:r>
      <w:r>
        <w:rPr>
          <w:rFonts w:hint="eastAsia" w:ascii="仿宋_GB2312" w:hAnsi="仿宋_GB2312"/>
          <w:color w:val="000000" w:themeColor="text1"/>
          <w:highlight w:val="none"/>
          <w:u w:val="none"/>
          <w14:textFill>
            <w14:solidFill>
              <w14:schemeClr w14:val="tx1"/>
            </w14:solidFill>
          </w14:textFill>
        </w:rPr>
        <w:t>后，由其中一方继续承租。</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申请人户籍在市内跨区迁移的，符合本办法第十一条规定条件的可以继续承租原住房。</w:t>
      </w: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hAnsi="仿宋_GB2312"/>
          <w:color w:val="000000" w:themeColor="text1"/>
          <w:highlight w:val="none"/>
          <w:u w:val="none"/>
          <w14:textFill>
            <w14:solidFill>
              <w14:schemeClr w14:val="tx1"/>
            </w14:solidFill>
          </w14:textFill>
        </w:rPr>
      </w:pPr>
      <w:r>
        <w:rPr>
          <w:rFonts w:hint="eastAsia" w:ascii="仿宋_GB2312" w:hAnsi="黑体" w:cs="黑体"/>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住房调换</w:t>
      </w:r>
      <w:r>
        <w:rPr>
          <w:rFonts w:hint="eastAsia" w:ascii="仿宋_GB2312" w:hAnsi="黑体" w:cs="黑体"/>
          <w:color w:val="000000" w:themeColor="text1"/>
          <w:highlight w:val="none"/>
          <w:u w:val="none"/>
          <w14:textFill>
            <w14:solidFill>
              <w14:schemeClr w14:val="tx1"/>
            </w14:solidFill>
          </w14:textFill>
        </w:rPr>
        <w:t>】</w:t>
      </w:r>
      <w:r>
        <w:rPr>
          <w:rFonts w:hint="eastAsia" w:ascii="仿宋_GB2312" w:hAnsi="黑体" w:cs="黑体"/>
          <w:color w:val="000000" w:themeColor="text1"/>
          <w:highlight w:val="none"/>
          <w:u w:val="none"/>
          <w:lang w:val="en-US" w:eastAsia="zh-CN"/>
          <w14:textFill>
            <w14:solidFill>
              <w14:schemeClr w14:val="tx1"/>
            </w14:solidFill>
          </w14:textFill>
        </w:rPr>
        <w:t xml:space="preserve">  </w:t>
      </w:r>
      <w:r>
        <w:rPr>
          <w:rFonts w:hint="eastAsia" w:ascii="仿宋_GB2312" w:hAnsi="仿宋_GB2312" w:eastAsia="仿宋_GB2312" w:cs="Times New Roman"/>
          <w:b w:val="0"/>
          <w:bCs w:val="0"/>
          <w:color w:val="000000" w:themeColor="text1"/>
          <w:kern w:val="2"/>
          <w:sz w:val="32"/>
          <w:szCs w:val="22"/>
          <w:highlight w:val="none"/>
          <w:u w:val="none"/>
          <w:lang w:eastAsia="zh-CN"/>
          <w14:textFill>
            <w14:solidFill>
              <w14:schemeClr w14:val="tx1"/>
            </w14:solidFill>
          </w14:textFill>
        </w:rPr>
        <w:t>承租期间，因申请人家庭人口数增加需要提高配租面积标准的，可以再次申请轮候公共租赁住房。</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承租期间，申请人家庭人口数减少不再符合原住房配租面积标准的，可以继续承租至租赁期限届满。租赁合同期限届满申请续租的，产权单位或者运营管理单位根据情况调整相应面积标准的房源。</w:t>
      </w: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hAnsi="仿宋_GB2312"/>
          <w:color w:val="000000" w:themeColor="text1"/>
          <w:highlight w:val="none"/>
          <w:u w:val="none"/>
          <w14:textFill>
            <w14:solidFill>
              <w14:schemeClr w14:val="tx1"/>
            </w14:solidFill>
          </w14:textFill>
        </w:rPr>
      </w:pP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租金减免</w:t>
      </w: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有下列情形之一的，可以申请减缴公共租赁住房租金的百分之五十：</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（一）</w:t>
      </w:r>
      <w:r>
        <w:rPr>
          <w:rFonts w:hint="eastAsia" w:ascii="仿宋_GB2312" w:hAnsi="仿宋_GB2312" w:eastAsia="仿宋_GB2312" w:cs="Times New Roman"/>
          <w:color w:val="000000" w:themeColor="text1"/>
          <w:sz w:val="32"/>
          <w:szCs w:val="22"/>
          <w:highlight w:val="none"/>
          <w:u w:val="none"/>
          <w:lang w:val="en-US" w:eastAsia="zh-CN"/>
          <w14:textFill>
            <w14:solidFill>
              <w14:schemeClr w14:val="tx1"/>
            </w14:solidFill>
          </w14:textFill>
        </w:rPr>
        <w:t>申请人</w:t>
      </w:r>
      <w:r>
        <w:rPr>
          <w:rFonts w:hint="eastAsia" w:ascii="仿宋_GB2312" w:hAnsi="仿宋_GB2312" w:cs="Times New Roman"/>
          <w:color w:val="000000" w:themeColor="text1"/>
          <w:sz w:val="32"/>
          <w:szCs w:val="22"/>
          <w:highlight w:val="none"/>
          <w:u w:val="none"/>
          <w:lang w:val="en-US" w:eastAsia="zh-CN"/>
          <w14:textFill>
            <w14:solidFill>
              <w14:schemeClr w14:val="tx1"/>
            </w14:solidFill>
          </w14:textFill>
        </w:rPr>
        <w:t>经</w:t>
      </w:r>
      <w:r>
        <w:rPr>
          <w:rFonts w:hint="eastAsia" w:ascii="仿宋_GB2312" w:hAnsi="仿宋_GB2312" w:eastAsia="仿宋_GB2312" w:cs="Times New Roman"/>
          <w:color w:val="000000" w:themeColor="text1"/>
          <w:sz w:val="32"/>
          <w:szCs w:val="22"/>
          <w:highlight w:val="none"/>
          <w:u w:val="none"/>
          <w:lang w:val="en-US" w:eastAsia="zh-CN"/>
          <w14:textFill>
            <w14:solidFill>
              <w14:schemeClr w14:val="tx1"/>
            </w14:solidFill>
          </w14:textFill>
        </w:rPr>
        <w:t>市卫生健康部门认定</w:t>
      </w:r>
      <w:r>
        <w:rPr>
          <w:rFonts w:hint="eastAsia" w:ascii="仿宋_GB2312" w:hAnsi="仿宋_GB2312" w:cs="Times New Roman"/>
          <w:color w:val="000000" w:themeColor="text1"/>
          <w:sz w:val="32"/>
          <w:szCs w:val="22"/>
          <w:highlight w:val="none"/>
          <w:u w:val="none"/>
          <w:lang w:val="en-US" w:eastAsia="zh-CN"/>
          <w14:textFill>
            <w14:solidFill>
              <w14:schemeClr w14:val="tx1"/>
            </w14:solidFill>
          </w14:textFill>
        </w:rPr>
        <w:t>为</w:t>
      </w:r>
      <w:r>
        <w:rPr>
          <w:rFonts w:hint="eastAsia" w:ascii="仿宋_GB2312" w:hAnsi="仿宋_GB2312" w:eastAsia="仿宋_GB2312" w:cs="Times New Roman"/>
          <w:color w:val="000000" w:themeColor="text1"/>
          <w:sz w:val="32"/>
          <w:szCs w:val="22"/>
          <w:highlight w:val="none"/>
          <w:u w:val="none"/>
          <w:lang w:val="en-US" w:eastAsia="zh-CN"/>
          <w14:textFill>
            <w14:solidFill>
              <w14:schemeClr w14:val="tx1"/>
            </w14:solidFill>
          </w14:textFill>
        </w:rPr>
        <w:t>计划生育特殊家庭中生活困难老年人的</w:t>
      </w:r>
      <w:r>
        <w:rPr>
          <w:rFonts w:hint="eastAsia" w:ascii="仿宋_GB2312" w:hAnsi="仿宋_GB2312"/>
          <w:color w:val="000000" w:themeColor="text1"/>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（二）申请人或者共同申请人经本市残疾人联合会认定为残疾人的；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ascii="仿宋_GB2312" w:hAnsi="仿宋_GB2312"/>
          <w:color w:val="000000" w:themeColor="text1"/>
          <w:highlight w:val="none"/>
          <w:u w:val="none"/>
          <w14:textFill>
            <w14:solidFill>
              <w14:schemeClr w14:val="tx1"/>
            </w14:solidFill>
          </w14:textFill>
        </w:rPr>
        <w:t>（</w:t>
      </w:r>
      <w:r>
        <w:rPr>
          <w:rFonts w:hint="eastAsia" w:ascii="仿宋_GB2312" w:hAnsi="仿宋_GB2312"/>
          <w:color w:val="000000" w:themeColor="text1"/>
          <w:highlight w:val="none"/>
          <w:u w:val="none"/>
          <w14:textFill>
            <w14:solidFill>
              <w14:schemeClr w14:val="tx1"/>
            </w14:solidFill>
          </w14:textFill>
        </w:rPr>
        <w:t>三</w:t>
      </w:r>
      <w:r>
        <w:rPr>
          <w:rFonts w:ascii="仿宋_GB2312" w:hAnsi="仿宋_GB2312"/>
          <w:color w:val="000000" w:themeColor="text1"/>
          <w:highlight w:val="none"/>
          <w:u w:val="none"/>
          <w14:textFill>
            <w14:solidFill>
              <w14:schemeClr w14:val="tx1"/>
            </w14:solidFill>
          </w14:textFill>
        </w:rPr>
        <w:t>）</w:t>
      </w:r>
      <w:r>
        <w:rPr>
          <w:rFonts w:hint="eastAsia" w:ascii="仿宋_GB2312" w:hAnsi="仿宋_GB2312"/>
          <w:color w:val="000000" w:themeColor="text1"/>
          <w:highlight w:val="none"/>
          <w:u w:val="none"/>
          <w14:textFill>
            <w14:solidFill>
              <w14:schemeClr w14:val="tx1"/>
            </w14:solidFill>
          </w14:textFill>
        </w:rPr>
        <w:t>申请人或者共同申请人为五至十级残疾军人的；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（四）申请人或者共同申请人经</w:t>
      </w:r>
      <w:r>
        <w:rPr>
          <w:rFonts w:ascii="仿宋_GB2312" w:hAnsi="仿宋_GB2312"/>
          <w:color w:val="000000" w:themeColor="text1"/>
          <w:highlight w:val="none"/>
          <w:u w:val="none"/>
          <w14:textFill>
            <w14:solidFill>
              <w14:schemeClr w14:val="tx1"/>
            </w14:solidFill>
          </w14:textFill>
        </w:rPr>
        <w:t>认定为</w:t>
      </w:r>
      <w:r>
        <w:rPr>
          <w:rFonts w:hint="eastAsia" w:ascii="仿宋_GB2312" w:hAnsi="仿宋_GB2312"/>
          <w:color w:val="000000" w:themeColor="text1"/>
          <w:highlight w:val="none"/>
          <w:u w:val="none"/>
          <w14:textFill>
            <w14:solidFill>
              <w14:schemeClr w14:val="tx1"/>
            </w14:solidFill>
          </w14:textFill>
        </w:rPr>
        <w:t>因公殉职的基层干部家属的，或者</w:t>
      </w:r>
      <w:r>
        <w:rPr>
          <w:rFonts w:ascii="仿宋_GB2312" w:hAnsi="仿宋_GB2312"/>
          <w:color w:val="000000" w:themeColor="text1"/>
          <w:highlight w:val="none"/>
          <w:u w:val="none"/>
          <w14:textFill>
            <w14:solidFill>
              <w14:schemeClr w14:val="tx1"/>
            </w14:solidFill>
          </w14:textFill>
        </w:rPr>
        <w:t>见义勇为牺牲人员配偶的；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（五）申请人或者共同申请人经本市劳动能力鉴定委员会认定为部分丧失劳动能力的；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（六）经市政府认定的其他情形。</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有下列情形之一的，可以申请全额免缴公共租赁住房租金：</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（一）申请人或者共同申请人经本市民政部门认定为特困人员的；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（二）申请人或者共同申请人为烈士遗属或者一至四级残疾军人的；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（三）申请人或者共同申请人经本市民政部门认定为低保家庭且经本市残疾人联合会认定为一至二级残疾人的；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（四）申请人或者共同申请人遭受重大疾病、意外伤害，并经本市劳动能力鉴定委员会认定为完全丧失劳动能力的；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szCs w:val="32"/>
          <w:highlight w:val="none"/>
          <w:u w:val="none"/>
          <w14:textFill>
            <w14:solidFill>
              <w14:schemeClr w14:val="tx1"/>
            </w14:solidFill>
          </w14:textFill>
        </w:rPr>
      </w:pPr>
      <w:r>
        <w:rPr>
          <w:rFonts w:hint="eastAsia" w:ascii="仿宋_GB2312" w:hAnsi="仿宋_GB2312"/>
          <w:color w:val="000000" w:themeColor="text1"/>
          <w:szCs w:val="32"/>
          <w:highlight w:val="none"/>
          <w:u w:val="none"/>
          <w14:textFill>
            <w14:solidFill>
              <w14:schemeClr w14:val="tx1"/>
            </w14:solidFill>
          </w14:textFill>
        </w:rPr>
        <w:t>（五）</w:t>
      </w:r>
      <w:bookmarkStart w:id="9" w:name="_Hlk19135951"/>
      <w:r>
        <w:rPr>
          <w:rFonts w:hint="eastAsia" w:ascii="仿宋_GB2312" w:hAnsi="仿宋_GB2312"/>
          <w:color w:val="000000" w:themeColor="text1"/>
          <w:szCs w:val="32"/>
          <w:highlight w:val="none"/>
          <w:u w:val="none"/>
          <w14:textFill>
            <w14:solidFill>
              <w14:schemeClr w14:val="tx1"/>
            </w14:solidFill>
          </w14:textFill>
        </w:rPr>
        <w:t>法律法规规定的其他情形</w:t>
      </w:r>
      <w:bookmarkEnd w:id="9"/>
      <w:r>
        <w:rPr>
          <w:rFonts w:hint="eastAsia" w:ascii="仿宋_GB2312" w:hAnsi="仿宋_GB2312"/>
          <w:color w:val="000000" w:themeColor="text1"/>
          <w:szCs w:val="32"/>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申请人或者共同申请人为抚恤定补优抚对象的，租金标准按照</w:t>
      </w:r>
      <w:r>
        <w:rPr>
          <w:rFonts w:ascii="仿宋_GB2312" w:hAnsi="仿宋_GB2312"/>
          <w:color w:val="000000" w:themeColor="text1"/>
          <w:highlight w:val="none"/>
          <w:u w:val="none"/>
          <w14:textFill>
            <w14:solidFill>
              <w14:schemeClr w14:val="tx1"/>
            </w14:solidFill>
          </w14:textFill>
        </w:rPr>
        <w:t>低保及低保边缘家庭的租金标准</w:t>
      </w:r>
      <w:r>
        <w:rPr>
          <w:rFonts w:hint="eastAsia" w:ascii="仿宋_GB2312" w:hAnsi="仿宋_GB2312"/>
          <w:color w:val="000000" w:themeColor="text1"/>
          <w:highlight w:val="none"/>
          <w:u w:val="none"/>
          <w14:textFill>
            <w14:solidFill>
              <w14:schemeClr w14:val="tx1"/>
            </w14:solidFill>
          </w14:textFill>
        </w:rPr>
        <w:t>执行。</w:t>
      </w: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hAnsi="仿宋_GB2312"/>
          <w:color w:val="000000" w:themeColor="text1"/>
          <w:highlight w:val="none"/>
          <w:u w:val="none"/>
          <w14:textFill>
            <w14:solidFill>
              <w14:schemeClr w14:val="tx1"/>
            </w14:solidFill>
          </w14:textFill>
        </w:rPr>
      </w:pPr>
      <w:r>
        <w:rPr>
          <w:rFonts w:hint="eastAsia" w:ascii="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腾退个人承租住房</w:t>
      </w:r>
      <w:r>
        <w:rPr>
          <w:rFonts w:hint="eastAsia" w:ascii="仿宋_GB2312"/>
          <w:color w:val="000000" w:themeColor="text1"/>
          <w:highlight w:val="none"/>
          <w:u w:val="none"/>
          <w14:textFill>
            <w14:solidFill>
              <w14:schemeClr w14:val="tx1"/>
            </w14:solidFill>
          </w14:textFill>
        </w:rPr>
        <w:t>】</w:t>
      </w:r>
      <w:r>
        <w:rPr>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申请人和共同申请人在承租期间有下列情形之一的，应当自发生之日起三个月</w:t>
      </w:r>
      <w:r>
        <w:rPr>
          <w:rFonts w:hint="eastAsia" w:ascii="仿宋_GB2312" w:hAnsi="仿宋_GB2312"/>
          <w:color w:val="000000" w:themeColor="text1"/>
          <w:highlight w:val="none"/>
          <w:u w:val="none"/>
          <w:lang w:val="en-US" w:eastAsia="zh-CN"/>
          <w14:textFill>
            <w14:solidFill>
              <w14:schemeClr w14:val="tx1"/>
            </w14:solidFill>
          </w14:textFill>
        </w:rPr>
        <w:t>以</w:t>
      </w:r>
      <w:r>
        <w:rPr>
          <w:rFonts w:hint="eastAsia" w:ascii="仿宋_GB2312" w:hAnsi="仿宋_GB2312"/>
          <w:color w:val="000000" w:themeColor="text1"/>
          <w:highlight w:val="none"/>
          <w:u w:val="none"/>
          <w14:textFill>
            <w14:solidFill>
              <w14:schemeClr w14:val="tx1"/>
            </w14:solidFill>
          </w14:textFill>
        </w:rPr>
        <w:t>内腾退公共租赁住房：</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（一）全部家庭成员户籍均迁出本市；</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（二）因购买、继承、接受赠与、婚姻状况变化等在本市拥有自有住房的；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（三）在本市和国内其他地区享受其他住房保障优惠政策的；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（四）续租时其他条件符合，但家庭收入财产超过公共租赁住房收入财产限额。</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申请人和共同申请人有前款第二项规定情形的，可以向主管部门申请延期腾退公共租赁住房，腾退期限最长不得超过自有住房交付使用之日起十六个月。其中，前四个月的租金按照原租赁合同约定的租金计收；后十二个月的租金按照市场参考租金计收。</w:t>
      </w:r>
    </w:p>
    <w:p>
      <w:pPr>
        <w:keepNext w:val="0"/>
        <w:keepLines w:val="0"/>
        <w:pageBreakBefore w:val="0"/>
        <w:widowControl w:val="0"/>
        <w:kinsoku/>
        <w:wordWrap/>
        <w:overflowPunct/>
        <w:topLinePunct w:val="0"/>
        <w:autoSpaceDE/>
        <w:autoSpaceDN/>
        <w:bidi w:val="0"/>
        <w:spacing w:line="578" w:lineRule="exact"/>
        <w:ind w:firstLine="640"/>
        <w:textAlignment w:val="auto"/>
        <w:rPr>
          <w:rFonts w:hint="eastAsia"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申请人和共同申请人有本条第一款第四项规定情形的，应当主动腾退公共租赁住房，确有居住需求不能腾退的，按照以下规定执行：</w:t>
      </w:r>
      <w:r>
        <w:rPr>
          <w:rFonts w:ascii="仿宋_GB2312" w:hAnsi="仿宋_GB2312"/>
          <w:color w:val="000000" w:themeColor="text1"/>
          <w:highlight w:val="none"/>
          <w:u w:val="none"/>
          <w14:textFill>
            <w14:solidFill>
              <w14:schemeClr w14:val="tx1"/>
            </w14:solidFill>
          </w14:textFill>
        </w:rPr>
        <w:t>家庭</w:t>
      </w:r>
      <w:r>
        <w:rPr>
          <w:rFonts w:hint="eastAsia" w:ascii="仿宋_GB2312" w:hAnsi="仿宋_GB2312"/>
          <w:color w:val="000000" w:themeColor="text1"/>
          <w:highlight w:val="none"/>
          <w:u w:val="none"/>
          <w14:textFill>
            <w14:solidFill>
              <w14:schemeClr w14:val="tx1"/>
            </w14:solidFill>
          </w14:textFill>
        </w:rPr>
        <w:t>人均年可支配收入和家庭财产总额</w:t>
      </w:r>
      <w:r>
        <w:rPr>
          <w:rFonts w:ascii="仿宋_GB2312" w:hAnsi="仿宋_GB2312"/>
          <w:color w:val="000000" w:themeColor="text1"/>
          <w:highlight w:val="none"/>
          <w:u w:val="none"/>
          <w14:textFill>
            <w14:solidFill>
              <w14:schemeClr w14:val="tx1"/>
            </w14:solidFill>
          </w14:textFill>
        </w:rPr>
        <w:t>超过公共租赁住房收入财产限额</w:t>
      </w:r>
      <w:r>
        <w:rPr>
          <w:rFonts w:hint="eastAsia" w:ascii="仿宋_GB2312" w:hAnsi="仿宋_GB2312"/>
          <w:color w:val="000000" w:themeColor="text1"/>
          <w:highlight w:val="none"/>
          <w:u w:val="none"/>
          <w14:textFill>
            <w14:solidFill>
              <w14:schemeClr w14:val="tx1"/>
            </w14:solidFill>
          </w14:textFill>
        </w:rPr>
        <w:t>，</w:t>
      </w:r>
      <w:r>
        <w:rPr>
          <w:rFonts w:ascii="仿宋_GB2312" w:hAnsi="仿宋_GB2312"/>
          <w:color w:val="000000" w:themeColor="text1"/>
          <w:highlight w:val="none"/>
          <w:u w:val="none"/>
          <w14:textFill>
            <w14:solidFill>
              <w14:schemeClr w14:val="tx1"/>
            </w14:solidFill>
          </w14:textFill>
        </w:rPr>
        <w:t>但</w:t>
      </w:r>
      <w:r>
        <w:rPr>
          <w:rFonts w:hint="eastAsia" w:ascii="仿宋_GB2312" w:hAnsi="仿宋_GB2312"/>
          <w:color w:val="000000" w:themeColor="text1"/>
          <w:highlight w:val="none"/>
          <w:u w:val="none"/>
          <w14:textFill>
            <w14:solidFill>
              <w14:schemeClr w14:val="tx1"/>
            </w14:solidFill>
          </w14:textFill>
        </w:rPr>
        <w:t>家庭人均年可支配收入</w:t>
      </w:r>
      <w:r>
        <w:rPr>
          <w:rFonts w:ascii="仿宋_GB2312" w:hAnsi="仿宋_GB2312"/>
          <w:color w:val="000000" w:themeColor="text1"/>
          <w:highlight w:val="none"/>
          <w:u w:val="none"/>
          <w14:textFill>
            <w14:solidFill>
              <w14:schemeClr w14:val="tx1"/>
            </w14:solidFill>
          </w14:textFill>
        </w:rPr>
        <w:t>不超过</w:t>
      </w:r>
      <w:r>
        <w:rPr>
          <w:rFonts w:hint="eastAsia" w:ascii="仿宋_GB2312" w:hAnsi="仿宋_GB2312"/>
          <w:color w:val="000000" w:themeColor="text1"/>
          <w:highlight w:val="none"/>
          <w:u w:val="none"/>
          <w14:textFill>
            <w14:solidFill>
              <w14:schemeClr w14:val="tx1"/>
            </w14:solidFill>
          </w14:textFill>
        </w:rPr>
        <w:t>上一年度深圳市居民人均可支配收入</w:t>
      </w:r>
      <w:r>
        <w:rPr>
          <w:rFonts w:ascii="仿宋_GB2312" w:hAnsi="仿宋_GB2312"/>
          <w:color w:val="000000" w:themeColor="text1"/>
          <w:highlight w:val="none"/>
          <w:u w:val="none"/>
          <w14:textFill>
            <w14:solidFill>
              <w14:schemeClr w14:val="tx1"/>
            </w14:solidFill>
          </w14:textFill>
        </w:rPr>
        <w:t>的</w:t>
      </w:r>
      <w:r>
        <w:rPr>
          <w:rFonts w:hint="eastAsia" w:ascii="仿宋_GB2312" w:hAnsi="仿宋_GB2312"/>
          <w:color w:val="000000" w:themeColor="text1"/>
          <w:highlight w:val="none"/>
          <w:u w:val="none"/>
          <w14:textFill>
            <w14:solidFill>
              <w14:schemeClr w14:val="tx1"/>
            </w14:solidFill>
          </w14:textFill>
        </w:rPr>
        <w:t>，</w:t>
      </w:r>
      <w:r>
        <w:rPr>
          <w:rFonts w:ascii="仿宋_GB2312" w:hAnsi="仿宋_GB2312"/>
          <w:color w:val="000000" w:themeColor="text1"/>
          <w:highlight w:val="none"/>
          <w:u w:val="none"/>
          <w14:textFill>
            <w14:solidFill>
              <w14:schemeClr w14:val="tx1"/>
            </w14:solidFill>
          </w14:textFill>
        </w:rPr>
        <w:t>租金按照</w:t>
      </w:r>
      <w:r>
        <w:rPr>
          <w:rFonts w:hint="eastAsia" w:ascii="仿宋_GB2312" w:hAnsi="仿宋_GB2312"/>
          <w:color w:val="000000" w:themeColor="text1"/>
          <w:highlight w:val="none"/>
          <w:u w:val="none"/>
          <w14:textFill>
            <w14:solidFill>
              <w14:schemeClr w14:val="tx1"/>
            </w14:solidFill>
          </w14:textFill>
        </w:rPr>
        <w:t>市场参考租金的百分之六十左右计收；家庭人均年可支配收入</w:t>
      </w:r>
      <w:r>
        <w:rPr>
          <w:rFonts w:ascii="仿宋_GB2312" w:hAnsi="仿宋_GB2312"/>
          <w:color w:val="000000" w:themeColor="text1"/>
          <w:highlight w:val="none"/>
          <w:u w:val="none"/>
          <w14:textFill>
            <w14:solidFill>
              <w14:schemeClr w14:val="tx1"/>
            </w14:solidFill>
          </w14:textFill>
        </w:rPr>
        <w:t>超过</w:t>
      </w:r>
      <w:r>
        <w:rPr>
          <w:rFonts w:hint="eastAsia" w:ascii="仿宋_GB2312" w:hAnsi="仿宋_GB2312"/>
          <w:color w:val="000000" w:themeColor="text1"/>
          <w:highlight w:val="none"/>
          <w:u w:val="none"/>
          <w14:textFill>
            <w14:solidFill>
              <w14:schemeClr w14:val="tx1"/>
            </w14:solidFill>
          </w14:textFill>
        </w:rPr>
        <w:t>上一年度深圳市居民人均可支配收入</w:t>
      </w:r>
      <w:r>
        <w:rPr>
          <w:rFonts w:ascii="仿宋_GB2312" w:hAnsi="仿宋_GB2312"/>
          <w:color w:val="000000" w:themeColor="text1"/>
          <w:highlight w:val="none"/>
          <w:u w:val="none"/>
          <w14:textFill>
            <w14:solidFill>
              <w14:schemeClr w14:val="tx1"/>
            </w14:solidFill>
          </w14:textFill>
        </w:rPr>
        <w:t>的，</w:t>
      </w:r>
      <w:r>
        <w:rPr>
          <w:rFonts w:hint="eastAsia" w:ascii="仿宋_GB2312" w:hAnsi="仿宋_GB2312"/>
          <w:color w:val="000000" w:themeColor="text1"/>
          <w:highlight w:val="none"/>
          <w:u w:val="none"/>
          <w14:textFill>
            <w14:solidFill>
              <w14:schemeClr w14:val="tx1"/>
            </w14:solidFill>
          </w14:textFill>
        </w:rPr>
        <w:t>给予三年过渡期，</w:t>
      </w:r>
      <w:r>
        <w:rPr>
          <w:rFonts w:ascii="仿宋_GB2312" w:hAnsi="仿宋_GB2312"/>
          <w:color w:val="000000" w:themeColor="text1"/>
          <w:highlight w:val="none"/>
          <w:u w:val="none"/>
          <w14:textFill>
            <w14:solidFill>
              <w14:schemeClr w14:val="tx1"/>
            </w14:solidFill>
          </w14:textFill>
        </w:rPr>
        <w:t>租金按照</w:t>
      </w:r>
      <w:r>
        <w:rPr>
          <w:rFonts w:hint="eastAsia" w:ascii="仿宋_GB2312" w:hAnsi="仿宋_GB2312"/>
          <w:color w:val="000000" w:themeColor="text1"/>
          <w:highlight w:val="none"/>
          <w:u w:val="none"/>
          <w14:textFill>
            <w14:solidFill>
              <w14:schemeClr w14:val="tx1"/>
            </w14:solidFill>
          </w14:textFill>
        </w:rPr>
        <w:t>市场参考租金的百分之六十左右计收，过渡期满后按照市场参考租金计收。</w:t>
      </w:r>
    </w:p>
    <w:p>
      <w:pPr>
        <w:pStyle w:val="2"/>
        <w:keepNext w:val="0"/>
        <w:keepLines w:val="0"/>
        <w:pageBreakBefore w:val="0"/>
        <w:widowControl w:val="0"/>
        <w:kinsoku/>
        <w:wordWrap/>
        <w:overflowPunct/>
        <w:topLinePunct w:val="0"/>
        <w:autoSpaceDE/>
        <w:autoSpaceDN/>
        <w:bidi w:val="0"/>
        <w:spacing w:after="0" w:line="578" w:lineRule="exact"/>
        <w:textAlignment w:val="auto"/>
        <w:rPr>
          <w:color w:val="000000" w:themeColor="text1"/>
          <w:u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spacing w:before="0" w:after="0" w:line="578" w:lineRule="exact"/>
        <w:ind w:firstLine="0" w:firstLineChars="0"/>
        <w:textAlignment w:val="auto"/>
        <w:rPr>
          <w:rFonts w:ascii="黑体" w:hAnsi="黑体"/>
          <w:b w:val="0"/>
          <w:color w:val="000000" w:themeColor="text1"/>
          <w:highlight w:val="none"/>
          <w:u w:val="none"/>
          <w14:textFill>
            <w14:solidFill>
              <w14:schemeClr w14:val="tx1"/>
            </w14:solidFill>
          </w14:textFill>
        </w:rPr>
      </w:pPr>
      <w:r>
        <w:rPr>
          <w:rFonts w:hint="eastAsia" w:ascii="黑体" w:hAnsi="黑体"/>
          <w:b w:val="0"/>
          <w:color w:val="000000" w:themeColor="text1"/>
          <w:highlight w:val="none"/>
          <w:u w:val="none"/>
          <w14:textFill>
            <w14:solidFill>
              <w14:schemeClr w14:val="tx1"/>
            </w14:solidFill>
          </w14:textFill>
        </w:rPr>
        <w:t>第四章</w:t>
      </w:r>
      <w:r>
        <w:rPr>
          <w:rFonts w:ascii="黑体" w:hAnsi="黑体"/>
          <w:b w:val="0"/>
          <w:color w:val="000000" w:themeColor="text1"/>
          <w:highlight w:val="none"/>
          <w:u w:val="none"/>
          <w14:textFill>
            <w14:solidFill>
              <w14:schemeClr w14:val="tx1"/>
            </w14:solidFill>
          </w14:textFill>
        </w:rPr>
        <w:t xml:space="preserve"> 监督管理</w:t>
      </w:r>
    </w:p>
    <w:p>
      <w:pPr>
        <w:keepNext w:val="0"/>
        <w:keepLines w:val="0"/>
        <w:pageBreakBefore w:val="0"/>
        <w:widowControl w:val="0"/>
        <w:kinsoku/>
        <w:wordWrap/>
        <w:overflowPunct/>
        <w:topLinePunct w:val="0"/>
        <w:autoSpaceDE/>
        <w:autoSpaceDN/>
        <w:bidi w:val="0"/>
        <w:spacing w:line="578" w:lineRule="exact"/>
        <w:textAlignment w:val="auto"/>
        <w:rPr>
          <w:color w:val="000000" w:themeColor="text1"/>
          <w:u w:val="none"/>
          <w14:textFill>
            <w14:solidFill>
              <w14:schemeClr w14:val="tx1"/>
            </w14:solidFill>
          </w14:textFill>
        </w:rPr>
      </w:pP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hAnsi="仿宋_GB2312"/>
          <w:color w:val="000000" w:themeColor="text1"/>
          <w:highlight w:val="none"/>
          <w:u w:val="none"/>
          <w14:textFill>
            <w14:solidFill>
              <w14:schemeClr w14:val="tx1"/>
            </w14:solidFill>
          </w14:textFill>
        </w:rPr>
      </w:pPr>
      <w:bookmarkStart w:id="10" w:name="_Hlk22315268"/>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承租家庭禁止情形</w:t>
      </w: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申请人和共同申请人在承租期间，不得有下列情形：</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（一）无正当理由连续六个月以上未在公共租赁住房内居住的；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（二）无正当理由连续两个月或者累计六个月以上未缴纳租金的；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（三）擅自转租、互换、出借公共租赁住房的；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（四）将公共租赁住房用于经营性用途的；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（五）擅自改变公共租赁住房使用功能的；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（六）擅自改建、扩建公共租赁住房的；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（七）因故意或者重大过失，造成公共租赁住房严重毁损的；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（八）其他违法情形。</w:t>
      </w: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Style w:val="11"/>
          <w:rFonts w:ascii="仿宋_GB2312" w:hAnsi="仿宋_GB2312" w:eastAsia="仿宋_GB2312"/>
          <w:color w:val="000000" w:themeColor="text1"/>
          <w:highlight w:val="none"/>
          <w:u w:val="none"/>
          <w14:textFill>
            <w14:solidFill>
              <w14:schemeClr w14:val="tx1"/>
            </w14:solidFill>
          </w14:textFill>
        </w:rPr>
      </w:pP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用人单位禁止情形</w:t>
      </w: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仿宋_GB2312"/>
          <w:color w:val="000000" w:themeColor="text1"/>
          <w:highlight w:val="none"/>
          <w:u w:val="none"/>
          <w:lang w:val="en-US" w:eastAsia="zh-CN"/>
          <w14:textFill>
            <w14:solidFill>
              <w14:schemeClr w14:val="tx1"/>
            </w14:solidFill>
          </w14:textFill>
        </w:rPr>
        <w:t xml:space="preserve">  </w:t>
      </w:r>
      <w:r>
        <w:rPr>
          <w:rStyle w:val="11"/>
          <w:rFonts w:ascii="仿宋_GB2312" w:hAnsi="仿宋_GB2312" w:eastAsia="仿宋_GB2312"/>
          <w:color w:val="000000" w:themeColor="text1"/>
          <w:highlight w:val="none"/>
          <w:u w:val="none"/>
          <w14:textFill>
            <w14:solidFill>
              <w14:schemeClr w14:val="tx1"/>
            </w14:solidFill>
          </w14:textFill>
        </w:rPr>
        <w:t>用人单位</w:t>
      </w:r>
      <w:r>
        <w:rPr>
          <w:rStyle w:val="11"/>
          <w:rFonts w:hint="eastAsia" w:ascii="仿宋_GB2312" w:hAnsi="仿宋_GB2312" w:eastAsia="仿宋_GB2312"/>
          <w:color w:val="000000" w:themeColor="text1"/>
          <w:highlight w:val="none"/>
          <w:u w:val="none"/>
          <w14:textFill>
            <w14:solidFill>
              <w14:schemeClr w14:val="tx1"/>
            </w14:solidFill>
          </w14:textFill>
        </w:rPr>
        <w:t>在承租公共租赁住房期间，不得有下列情形：</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（一）无正当理由连续六个月以上空置公共租赁住房的；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（二）无正当理由连续两个月或者累计六个月以上未缴纳租金的；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（三）向非本单位人员或者不符合条件的本单位职工出租公共租赁住房，或者备案的入住职工与实际入住职工不相符的；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（四）未及时查处本单位职工违规转租、出借公共租赁住房情形的；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（五）</w:t>
      </w:r>
      <w:bookmarkStart w:id="11" w:name="_Hlk22832031"/>
      <w:r>
        <w:rPr>
          <w:rFonts w:hint="eastAsia" w:ascii="仿宋_GB2312" w:hAnsi="仿宋_GB2312"/>
          <w:color w:val="000000" w:themeColor="text1"/>
          <w:highlight w:val="none"/>
          <w:u w:val="none"/>
          <w14:textFill>
            <w14:solidFill>
              <w14:schemeClr w14:val="tx1"/>
            </w14:solidFill>
          </w14:textFill>
        </w:rPr>
        <w:t>将公共租赁住房用于经营性用途的；</w:t>
      </w:r>
      <w:bookmarkEnd w:id="11"/>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（六）擅自改变公共租赁住房使用功能的；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bookmarkStart w:id="12" w:name="_Hlk22832091"/>
      <w:r>
        <w:rPr>
          <w:rFonts w:hint="eastAsia" w:ascii="仿宋_GB2312" w:hAnsi="仿宋_GB2312"/>
          <w:color w:val="000000" w:themeColor="text1"/>
          <w:highlight w:val="none"/>
          <w:u w:val="none"/>
          <w14:textFill>
            <w14:solidFill>
              <w14:schemeClr w14:val="tx1"/>
            </w14:solidFill>
          </w14:textFill>
        </w:rPr>
        <w:t>（七）</w:t>
      </w:r>
      <w:bookmarkEnd w:id="12"/>
      <w:r>
        <w:rPr>
          <w:rFonts w:hint="eastAsia" w:ascii="仿宋_GB2312" w:hAnsi="仿宋_GB2312"/>
          <w:color w:val="000000" w:themeColor="text1"/>
          <w:highlight w:val="none"/>
          <w:u w:val="none"/>
          <w14:textFill>
            <w14:solidFill>
              <w14:schemeClr w14:val="tx1"/>
            </w14:solidFill>
          </w14:textFill>
        </w:rPr>
        <w:t>擅自改建、扩建公共租赁住房的；</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（八）因故意或者重大过失，造成公共租赁住房严重毁损的；</w:t>
      </w:r>
    </w:p>
    <w:p>
      <w:pPr>
        <w:keepNext w:val="0"/>
        <w:keepLines w:val="0"/>
        <w:pageBreakBefore w:val="0"/>
        <w:widowControl w:val="0"/>
        <w:kinsoku/>
        <w:wordWrap/>
        <w:overflowPunct/>
        <w:topLinePunct w:val="0"/>
        <w:autoSpaceDE/>
        <w:autoSpaceDN/>
        <w:bidi w:val="0"/>
        <w:spacing w:line="578" w:lineRule="exact"/>
        <w:ind w:firstLine="640"/>
        <w:textAlignment w:val="auto"/>
        <w:rPr>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（九）其他违法情形。</w:t>
      </w:r>
    </w:p>
    <w:bookmarkEnd w:id="10"/>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hAnsi="仿宋_GB2312"/>
          <w:color w:val="000000" w:themeColor="text1"/>
          <w:highlight w:val="none"/>
          <w:u w:val="none"/>
          <w14:textFill>
            <w14:solidFill>
              <w14:schemeClr w14:val="tx1"/>
            </w14:solidFill>
          </w14:textFill>
        </w:rPr>
      </w:pPr>
      <w:bookmarkStart w:id="13" w:name="_Hlk22315283"/>
      <w:r>
        <w:rPr>
          <w:rFonts w:hint="eastAsia" w:ascii="仿宋_GB2312" w:hAnsi="黑体"/>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逾期腾退或退回住房的处理</w:t>
      </w:r>
      <w:r>
        <w:rPr>
          <w:rFonts w:hint="eastAsia" w:ascii="仿宋_GB2312" w:hAnsi="黑体"/>
          <w:color w:val="000000" w:themeColor="text1"/>
          <w:highlight w:val="none"/>
          <w:u w:val="none"/>
          <w14:textFill>
            <w14:solidFill>
              <w14:schemeClr w14:val="tx1"/>
            </w14:solidFill>
          </w14:textFill>
        </w:rPr>
        <w:t>】</w:t>
      </w:r>
      <w:bookmarkEnd w:id="13"/>
      <w:r>
        <w:rPr>
          <w:rFonts w:hint="eastAsia" w:ascii="仿宋_GB2312" w:hAnsi="黑体"/>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申请人或者用人单位未按照规定腾退或者退回公共租赁住房的，由产权单位或者运营管理单位依法收回住房，并按照</w:t>
      </w:r>
      <w:bookmarkStart w:id="14" w:name="_Hlk22828935"/>
      <w:r>
        <w:rPr>
          <w:rFonts w:hint="eastAsia" w:ascii="仿宋_GB2312" w:hAnsi="仿宋_GB2312"/>
          <w:color w:val="000000" w:themeColor="text1"/>
          <w:highlight w:val="none"/>
          <w:u w:val="none"/>
          <w14:textFill>
            <w14:solidFill>
              <w14:schemeClr w14:val="tx1"/>
            </w14:solidFill>
          </w14:textFill>
        </w:rPr>
        <w:t>市场参考租金</w:t>
      </w:r>
      <w:bookmarkEnd w:id="14"/>
      <w:r>
        <w:rPr>
          <w:rFonts w:hint="eastAsia" w:ascii="仿宋_GB2312" w:hAnsi="仿宋_GB2312"/>
          <w:color w:val="000000" w:themeColor="text1"/>
          <w:highlight w:val="none"/>
          <w:u w:val="none"/>
          <w14:textFill>
            <w14:solidFill>
              <w14:schemeClr w14:val="tx1"/>
            </w14:solidFill>
          </w14:textFill>
        </w:rPr>
        <w:t>的两倍计收逾期腾退或者退回住房期间的房屋占有使用费。</w:t>
      </w: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hAnsi="仿宋_GB2312"/>
          <w:color w:val="000000" w:themeColor="text1"/>
          <w:highlight w:val="none"/>
          <w:u w:val="none"/>
          <w14:textFill>
            <w14:solidFill>
              <w14:schemeClr w14:val="tx1"/>
            </w14:solidFill>
          </w14:textFill>
        </w:rPr>
      </w:pP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房地产经纪机构监督管理</w:t>
      </w: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房地产经纪机构及其经纪人员不得提供公共租赁住房租赁经纪业务。</w:t>
      </w: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color w:val="000000" w:themeColor="text1"/>
          <w:highlight w:val="none"/>
          <w:u w:val="none"/>
          <w14:textFill>
            <w14:solidFill>
              <w14:schemeClr w14:val="tx1"/>
            </w14:solidFill>
          </w14:textFill>
        </w:rPr>
      </w:pP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信用记录</w:t>
      </w: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因违反本办法规定受到行政处罚的，应当纳入不良行为记录，依法依规开展失信联合惩戒。</w:t>
      </w: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color w:val="000000" w:themeColor="text1"/>
          <w:highlight w:val="none"/>
          <w:u w:val="none"/>
          <w14:textFill>
            <w14:solidFill>
              <w14:schemeClr w14:val="tx1"/>
            </w14:solidFill>
          </w14:textFill>
        </w:rPr>
      </w:pP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社会监督</w:t>
      </w: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公共租赁住房的供应分配、监督管理等活动应当接受社会监督。</w:t>
      </w:r>
    </w:p>
    <w:p>
      <w:pPr>
        <w:keepNext w:val="0"/>
        <w:keepLines w:val="0"/>
        <w:pageBreakBefore w:val="0"/>
        <w:widowControl w:val="0"/>
        <w:kinsoku/>
        <w:wordWrap/>
        <w:overflowPunct/>
        <w:topLinePunct w:val="0"/>
        <w:autoSpaceDE/>
        <w:autoSpaceDN/>
        <w:bidi w:val="0"/>
        <w:spacing w:line="578" w:lineRule="exact"/>
        <w:ind w:firstLine="640"/>
        <w:textAlignment w:val="auto"/>
        <w:rPr>
          <w:rFonts w:hint="eastAsia"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单位和个人可以对违反本办法的行为进行投诉、举报，有关部门应当按照相关规定及时处理。</w:t>
      </w:r>
    </w:p>
    <w:p>
      <w:pPr>
        <w:pStyle w:val="2"/>
        <w:keepNext w:val="0"/>
        <w:keepLines w:val="0"/>
        <w:pageBreakBefore w:val="0"/>
        <w:widowControl w:val="0"/>
        <w:kinsoku/>
        <w:wordWrap/>
        <w:overflowPunct/>
        <w:topLinePunct w:val="0"/>
        <w:autoSpaceDE/>
        <w:autoSpaceDN/>
        <w:bidi w:val="0"/>
        <w:spacing w:after="0" w:line="578" w:lineRule="exact"/>
        <w:textAlignment w:val="auto"/>
        <w:rPr>
          <w:color w:val="000000" w:themeColor="text1"/>
          <w:u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spacing w:before="0" w:after="0" w:line="578" w:lineRule="exact"/>
        <w:ind w:firstLine="0" w:firstLineChars="0"/>
        <w:textAlignment w:val="auto"/>
        <w:rPr>
          <w:rFonts w:hint="eastAsia" w:ascii="黑体" w:hAnsi="黑体"/>
          <w:b w:val="0"/>
          <w:bCs w:val="0"/>
          <w:color w:val="000000" w:themeColor="text1"/>
          <w:highlight w:val="none"/>
          <w:u w:val="none"/>
          <w14:textFill>
            <w14:solidFill>
              <w14:schemeClr w14:val="tx1"/>
            </w14:solidFill>
          </w14:textFill>
        </w:rPr>
      </w:pPr>
      <w:r>
        <w:rPr>
          <w:rFonts w:hint="eastAsia" w:ascii="黑体" w:hAnsi="黑体"/>
          <w:b w:val="0"/>
          <w:bCs w:val="0"/>
          <w:color w:val="000000" w:themeColor="text1"/>
          <w:highlight w:val="none"/>
          <w:u w:val="none"/>
          <w14:textFill>
            <w14:solidFill>
              <w14:schemeClr w14:val="tx1"/>
            </w14:solidFill>
          </w14:textFill>
        </w:rPr>
        <w:t>第五章</w:t>
      </w:r>
      <w:r>
        <w:rPr>
          <w:rFonts w:ascii="黑体" w:hAnsi="黑体"/>
          <w:b w:val="0"/>
          <w:bCs w:val="0"/>
          <w:color w:val="000000" w:themeColor="text1"/>
          <w:highlight w:val="none"/>
          <w:u w:val="none"/>
          <w14:textFill>
            <w14:solidFill>
              <w14:schemeClr w14:val="tx1"/>
            </w14:solidFill>
          </w14:textFill>
        </w:rPr>
        <w:t xml:space="preserve"> </w:t>
      </w:r>
      <w:r>
        <w:rPr>
          <w:rFonts w:hint="eastAsia" w:ascii="黑体" w:hAnsi="黑体"/>
          <w:b w:val="0"/>
          <w:bCs w:val="0"/>
          <w:color w:val="000000" w:themeColor="text1"/>
          <w:highlight w:val="none"/>
          <w:u w:val="none"/>
          <w14:textFill>
            <w14:solidFill>
              <w14:schemeClr w14:val="tx1"/>
            </w14:solidFill>
          </w14:textFill>
        </w:rPr>
        <w:t>法律责任</w:t>
      </w:r>
    </w:p>
    <w:p>
      <w:pPr>
        <w:keepNext w:val="0"/>
        <w:keepLines w:val="0"/>
        <w:pageBreakBefore w:val="0"/>
        <w:widowControl w:val="0"/>
        <w:kinsoku/>
        <w:wordWrap/>
        <w:overflowPunct/>
        <w:topLinePunct w:val="0"/>
        <w:autoSpaceDE/>
        <w:autoSpaceDN/>
        <w:bidi w:val="0"/>
        <w:spacing w:line="578" w:lineRule="exact"/>
        <w:textAlignment w:val="auto"/>
        <w:rPr>
          <w:color w:val="000000" w:themeColor="text1"/>
          <w:u w:val="none"/>
          <w14:textFill>
            <w14:solidFill>
              <w14:schemeClr w14:val="tx1"/>
            </w14:solidFill>
          </w14:textFill>
        </w:rPr>
      </w:pP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hAnsi="仿宋_GB2312"/>
          <w:color w:val="000000" w:themeColor="text1"/>
          <w:szCs w:val="32"/>
          <w:highlight w:val="none"/>
          <w:u w:val="none"/>
          <w14:textFill>
            <w14:solidFill>
              <w14:schemeClr w14:val="tx1"/>
            </w14:solidFill>
          </w14:textFill>
        </w:rPr>
      </w:pP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骗租法律责任</w:t>
      </w: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szCs w:val="32"/>
          <w:highlight w:val="none"/>
          <w:u w:val="none"/>
          <w14:textFill>
            <w14:solidFill>
              <w14:schemeClr w14:val="tx1"/>
            </w14:solidFill>
          </w14:textFill>
        </w:rPr>
        <w:t>不符合条件的申请人、共同申请人以隐瞒、虚报、</w:t>
      </w:r>
      <w:r>
        <w:rPr>
          <w:rFonts w:hint="eastAsia" w:ascii="仿宋_GB2312"/>
          <w:color w:val="000000" w:themeColor="text1"/>
          <w:szCs w:val="32"/>
          <w:highlight w:val="none"/>
          <w:u w:val="none"/>
          <w14:textFill>
            <w14:solidFill>
              <w14:schemeClr w14:val="tx1"/>
            </w14:solidFill>
          </w14:textFill>
        </w:rPr>
        <w:t>提供虚假材料等方式</w:t>
      </w:r>
      <w:r>
        <w:rPr>
          <w:rFonts w:hint="eastAsia" w:ascii="仿宋_GB2312" w:hAnsi="仿宋_GB2312" w:cs="仿宋_GB2312"/>
          <w:color w:val="000000" w:themeColor="text1"/>
          <w:szCs w:val="32"/>
          <w:highlight w:val="none"/>
          <w:u w:val="none"/>
          <w14:textFill>
            <w14:solidFill>
              <w14:schemeClr w14:val="tx1"/>
            </w14:solidFill>
          </w14:textFill>
        </w:rPr>
        <w:t>弄虚作假，</w:t>
      </w:r>
      <w:r>
        <w:rPr>
          <w:rFonts w:hint="eastAsia" w:ascii="仿宋_GB2312" w:hAnsi="仿宋_GB2312"/>
          <w:color w:val="000000" w:themeColor="text1"/>
          <w:szCs w:val="32"/>
          <w:highlight w:val="none"/>
          <w:u w:val="none"/>
          <w14:textFill>
            <w14:solidFill>
              <w14:schemeClr w14:val="tx1"/>
            </w14:solidFill>
          </w14:textFill>
        </w:rPr>
        <w:t>或者采取贿赂等不正当手段申请租赁公共租赁住房的，由主管部门驳回申请，处三万元罚款，并自驳回申请之日起十年内不予受理其住房保障申请。</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szCs w:val="32"/>
          <w:highlight w:val="none"/>
          <w:u w:val="none"/>
          <w14:textFill>
            <w14:solidFill>
              <w14:schemeClr w14:val="tx1"/>
            </w14:solidFill>
          </w14:textFill>
        </w:rPr>
      </w:pPr>
      <w:r>
        <w:rPr>
          <w:rFonts w:hint="eastAsia" w:ascii="仿宋_GB2312" w:hAnsi="仿宋_GB2312"/>
          <w:color w:val="000000" w:themeColor="text1"/>
          <w:szCs w:val="32"/>
          <w:highlight w:val="none"/>
          <w:u w:val="none"/>
          <w14:textFill>
            <w14:solidFill>
              <w14:schemeClr w14:val="tx1"/>
            </w14:solidFill>
          </w14:textFill>
        </w:rPr>
        <w:t>符合条件的申请人、共同申请人有前款违法行为的，由主管部门驳回申请，处一万元罚款，并自驳回申请之日起三年内不予受理其住房保障申请。</w:t>
      </w: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hAnsi="仿宋_GB2312"/>
          <w:color w:val="000000" w:themeColor="text1"/>
          <w:szCs w:val="32"/>
          <w:highlight w:val="none"/>
          <w:u w:val="none"/>
          <w14:textFill>
            <w14:solidFill>
              <w14:schemeClr w14:val="tx1"/>
            </w14:solidFill>
          </w14:textFill>
        </w:rPr>
      </w:pPr>
      <w:bookmarkStart w:id="15" w:name="_Hlk22315309"/>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加处法律责任</w:t>
      </w:r>
      <w:r>
        <w:rPr>
          <w:rStyle w:val="11"/>
          <w:rFonts w:hint="eastAsia" w:ascii="仿宋_GB2312" w:eastAsia="仿宋_GB2312"/>
          <w:color w:val="000000" w:themeColor="text1"/>
          <w:highlight w:val="none"/>
          <w:u w:val="none"/>
          <w14:textFill>
            <w14:solidFill>
              <w14:schemeClr w14:val="tx1"/>
            </w14:solidFill>
          </w14:textFill>
        </w:rPr>
        <w:t>】</w:t>
      </w:r>
      <w:bookmarkEnd w:id="15"/>
      <w:r>
        <w:rPr>
          <w:rStyle w:val="11"/>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szCs w:val="32"/>
          <w:highlight w:val="none"/>
          <w:u w:val="none"/>
          <w14:textFill>
            <w14:solidFill>
              <w14:schemeClr w14:val="tx1"/>
            </w14:solidFill>
          </w14:textFill>
        </w:rPr>
        <w:t>主管部门查明有关</w:t>
      </w:r>
      <w:r>
        <w:rPr>
          <w:rFonts w:hint="eastAsia" w:ascii="仿宋_GB2312" w:hAnsi="仿宋_GB2312"/>
          <w:color w:val="000000" w:themeColor="text1"/>
          <w:szCs w:val="32"/>
          <w:highlight w:val="none"/>
          <w:u w:val="none"/>
          <w:lang w:val="en-US" w:eastAsia="zh-CN"/>
          <w14:textFill>
            <w14:solidFill>
              <w14:schemeClr w14:val="tx1"/>
            </w14:solidFill>
          </w14:textFill>
        </w:rPr>
        <w:t>人员</w:t>
      </w:r>
      <w:r>
        <w:rPr>
          <w:rFonts w:hint="eastAsia" w:ascii="仿宋_GB2312" w:hAnsi="仿宋_GB2312"/>
          <w:color w:val="000000" w:themeColor="text1"/>
          <w:szCs w:val="32"/>
          <w:highlight w:val="none"/>
          <w:u w:val="none"/>
          <w14:textFill>
            <w14:solidFill>
              <w14:schemeClr w14:val="tx1"/>
            </w14:solidFill>
          </w14:textFill>
        </w:rPr>
        <w:t>以隐瞒、虚报、提供虚假材料等方式弄虚作假，或者采取贿赂等不正当手段获取公共租赁住房的，由主管部门收回公共租赁住房，同时按照市场参考租金补收入住期间的租金，并由主管部门按照本办法第三十八条的有关规定追究责任，加处一倍罚款。</w:t>
      </w: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hAnsi="仿宋_GB2312"/>
          <w:color w:val="000000" w:themeColor="text1"/>
          <w:szCs w:val="32"/>
          <w:highlight w:val="none"/>
          <w:u w:val="none"/>
          <w14:textFill>
            <w14:solidFill>
              <w14:schemeClr w14:val="tx1"/>
            </w14:solidFill>
          </w14:textFill>
        </w:rPr>
      </w:pP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出具虚假证明法律责任</w:t>
      </w: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szCs w:val="32"/>
          <w:highlight w:val="none"/>
          <w:u w:val="none"/>
          <w14:textFill>
            <w14:solidFill>
              <w14:schemeClr w14:val="tx1"/>
            </w14:solidFill>
          </w14:textFill>
        </w:rPr>
        <w:t>有关单位和个人为申请人、共同申请人出具虚假证明材料的，由主管部门对直接责任人员处三万元罚款，对责任单位处十万元罚款；属于国家工作人员的，依法追究</w:t>
      </w:r>
      <w:r>
        <w:rPr>
          <w:rFonts w:hint="eastAsia" w:ascii="仿宋_GB2312" w:hAnsi="仿宋_GB2312"/>
          <w:color w:val="000000" w:themeColor="text1"/>
          <w:szCs w:val="32"/>
          <w:highlight w:val="none"/>
          <w:u w:val="none"/>
          <w:lang w:val="en-US" w:eastAsia="zh-CN"/>
          <w14:textFill>
            <w14:solidFill>
              <w14:schemeClr w14:val="tx1"/>
            </w14:solidFill>
          </w14:textFill>
        </w:rPr>
        <w:t>其</w:t>
      </w:r>
      <w:r>
        <w:rPr>
          <w:rFonts w:hint="eastAsia" w:ascii="仿宋_GB2312" w:hAnsi="仿宋_GB2312"/>
          <w:color w:val="000000" w:themeColor="text1"/>
          <w:szCs w:val="32"/>
          <w:highlight w:val="none"/>
          <w:u w:val="none"/>
          <w14:textFill>
            <w14:solidFill>
              <w14:schemeClr w14:val="tx1"/>
            </w14:solidFill>
          </w14:textFill>
        </w:rPr>
        <w:t>行政责任。</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Times New Roman"/>
          <w:color w:val="000000" w:themeColor="text1"/>
          <w:szCs w:val="32"/>
          <w:highlight w:val="none"/>
          <w:u w:val="none"/>
          <w14:textFill>
            <w14:solidFill>
              <w14:schemeClr w14:val="tx1"/>
            </w14:solidFill>
          </w14:textFill>
        </w:rPr>
      </w:pPr>
      <w:r>
        <w:rPr>
          <w:rFonts w:hint="eastAsia" w:ascii="仿宋_GB2312" w:hAnsi="仿宋_GB2312"/>
          <w:color w:val="000000" w:themeColor="text1"/>
          <w:szCs w:val="32"/>
          <w:highlight w:val="none"/>
          <w:u w:val="none"/>
          <w14:textFill>
            <w14:solidFill>
              <w14:schemeClr w14:val="tx1"/>
            </w14:solidFill>
          </w14:textFill>
        </w:rPr>
        <w:t>有关</w:t>
      </w:r>
      <w:r>
        <w:rPr>
          <w:rFonts w:hint="eastAsia" w:ascii="仿宋_GB2312" w:hAnsi="仿宋_GB2312"/>
          <w:color w:val="000000" w:themeColor="text1"/>
          <w:szCs w:val="32"/>
          <w:highlight w:val="none"/>
          <w:u w:val="none"/>
          <w:lang w:val="en-US" w:eastAsia="zh-CN"/>
          <w14:textFill>
            <w14:solidFill>
              <w14:schemeClr w14:val="tx1"/>
            </w14:solidFill>
          </w14:textFill>
        </w:rPr>
        <w:t>人员</w:t>
      </w:r>
      <w:r>
        <w:rPr>
          <w:rFonts w:hint="eastAsia" w:ascii="仿宋_GB2312" w:hAnsi="仿宋_GB2312"/>
          <w:color w:val="000000" w:themeColor="text1"/>
          <w:szCs w:val="32"/>
          <w:highlight w:val="none"/>
          <w:u w:val="none"/>
          <w14:textFill>
            <w14:solidFill>
              <w14:schemeClr w14:val="tx1"/>
            </w14:solidFill>
          </w14:textFill>
        </w:rPr>
        <w:t>涉嫌伪造、变造或者使用伪造、变造的国家机关、人民团体、企事业单位或者其他组织的公文、证件、证明文件</w:t>
      </w:r>
      <w:r>
        <w:rPr>
          <w:rFonts w:hint="eastAsia" w:ascii="仿宋_GB2312" w:hAnsi="仿宋_GB2312"/>
          <w:color w:val="000000" w:themeColor="text1"/>
          <w:szCs w:val="32"/>
          <w:highlight w:val="none"/>
          <w:u w:val="none"/>
          <w:lang w:eastAsia="zh-CN"/>
          <w14:textFill>
            <w14:solidFill>
              <w14:schemeClr w14:val="tx1"/>
            </w14:solidFill>
          </w14:textFill>
        </w:rPr>
        <w:t>、</w:t>
      </w:r>
      <w:r>
        <w:rPr>
          <w:rFonts w:hint="eastAsia" w:ascii="仿宋_GB2312" w:hAnsi="仿宋_GB2312"/>
          <w:color w:val="000000" w:themeColor="text1"/>
          <w:szCs w:val="32"/>
          <w:highlight w:val="none"/>
          <w:u w:val="none"/>
          <w:lang w:val="en-US" w:eastAsia="zh-CN"/>
          <w14:textFill>
            <w14:solidFill>
              <w14:schemeClr w14:val="tx1"/>
            </w14:solidFill>
          </w14:textFill>
        </w:rPr>
        <w:t>印章</w:t>
      </w:r>
      <w:r>
        <w:rPr>
          <w:rFonts w:hint="eastAsia" w:ascii="仿宋_GB2312" w:hAnsi="仿宋_GB2312"/>
          <w:color w:val="000000" w:themeColor="text1"/>
          <w:szCs w:val="32"/>
          <w:highlight w:val="none"/>
          <w:u w:val="none"/>
          <w14:textFill>
            <w14:solidFill>
              <w14:schemeClr w14:val="tx1"/>
            </w14:solidFill>
          </w14:textFill>
        </w:rPr>
        <w:t>的，</w:t>
      </w:r>
      <w:r>
        <w:rPr>
          <w:rFonts w:hint="eastAsia" w:ascii="仿宋_GB2312" w:hAnsi="仿宋_GB2312"/>
          <w:color w:val="000000" w:themeColor="text1"/>
          <w:szCs w:val="32"/>
          <w:highlight w:val="none"/>
          <w:u w:val="none"/>
          <w:lang w:val="en-US" w:eastAsia="zh-CN"/>
          <w14:textFill>
            <w14:solidFill>
              <w14:schemeClr w14:val="tx1"/>
            </w14:solidFill>
          </w14:textFill>
        </w:rPr>
        <w:t>由</w:t>
      </w:r>
      <w:r>
        <w:rPr>
          <w:rFonts w:hint="eastAsia" w:ascii="仿宋_GB2312" w:hAnsi="仿宋_GB2312"/>
          <w:color w:val="000000" w:themeColor="text1"/>
          <w:szCs w:val="32"/>
          <w:highlight w:val="none"/>
          <w:u w:val="none"/>
          <w14:textFill>
            <w14:solidFill>
              <w14:schemeClr w14:val="tx1"/>
            </w14:solidFill>
          </w14:textFill>
        </w:rPr>
        <w:t>公安机关依法处理；</w:t>
      </w:r>
      <w:r>
        <w:rPr>
          <w:rFonts w:hint="eastAsia" w:ascii="仿宋_GB2312" w:hAnsi="仿宋_GB2312"/>
          <w:color w:val="000000" w:themeColor="text1"/>
          <w:szCs w:val="32"/>
          <w:highlight w:val="none"/>
          <w:u w:val="none"/>
          <w:lang w:val="en-US" w:eastAsia="zh-CN"/>
          <w14:textFill>
            <w14:solidFill>
              <w14:schemeClr w14:val="tx1"/>
            </w14:solidFill>
          </w14:textFill>
        </w:rPr>
        <w:t>构成犯罪的，依法追究其刑事责任</w:t>
      </w:r>
      <w:r>
        <w:rPr>
          <w:rFonts w:hint="eastAsia" w:ascii="仿宋_GB2312" w:hAnsi="仿宋_GB2312"/>
          <w:color w:val="000000" w:themeColor="text1"/>
          <w:szCs w:val="32"/>
          <w:highlight w:val="none"/>
          <w:u w:val="none"/>
          <w14:textFill>
            <w14:solidFill>
              <w14:schemeClr w14:val="tx1"/>
            </w14:solidFill>
          </w14:textFill>
        </w:rPr>
        <w:t>。</w:t>
      </w: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hAnsi="仿宋_GB2312"/>
          <w:color w:val="000000" w:themeColor="text1"/>
          <w:szCs w:val="32"/>
          <w:highlight w:val="none"/>
          <w:u w:val="none"/>
          <w14:textFill>
            <w14:solidFill>
              <w14:schemeClr w14:val="tx1"/>
            </w14:solidFill>
          </w14:textFill>
        </w:rPr>
      </w:pPr>
      <w:bookmarkStart w:id="16" w:name="_Hlk22315327"/>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承租家庭法律责任</w:t>
      </w: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szCs w:val="32"/>
          <w:highlight w:val="none"/>
          <w:u w:val="none"/>
          <w14:textFill>
            <w14:solidFill>
              <w14:schemeClr w14:val="tx1"/>
            </w14:solidFill>
          </w14:textFill>
        </w:rPr>
        <w:t>申请人和共同申请人有本办法第三十二条规定情形的，产权单位或者运营管理单位应当依法收回住房。</w:t>
      </w:r>
    </w:p>
    <w:p>
      <w:pPr>
        <w:keepNext w:val="0"/>
        <w:keepLines w:val="0"/>
        <w:pageBreakBefore w:val="0"/>
        <w:widowControl w:val="0"/>
        <w:numPr>
          <w:ilvl w:val="255"/>
          <w:numId w:val="0"/>
        </w:numPr>
        <w:tabs>
          <w:tab w:val="left" w:pos="0"/>
        </w:tabs>
        <w:kinsoku/>
        <w:wordWrap/>
        <w:overflowPunct/>
        <w:topLinePunct w:val="0"/>
        <w:autoSpaceDE/>
        <w:autoSpaceDN/>
        <w:bidi w:val="0"/>
        <w:spacing w:line="578" w:lineRule="exact"/>
        <w:ind w:firstLine="640" w:firstLineChars="200"/>
        <w:textAlignment w:val="auto"/>
        <w:outlineLvl w:val="2"/>
        <w:rPr>
          <w:rFonts w:ascii="仿宋_GB2312" w:hAnsi="仿宋_GB2312"/>
          <w:color w:val="000000" w:themeColor="text1"/>
          <w:szCs w:val="32"/>
          <w:highlight w:val="none"/>
          <w:u w:val="none"/>
          <w14:textFill>
            <w14:solidFill>
              <w14:schemeClr w14:val="tx1"/>
            </w14:solidFill>
          </w14:textFill>
        </w:rPr>
      </w:pPr>
      <w:r>
        <w:rPr>
          <w:rFonts w:hint="eastAsia" w:ascii="仿宋_GB2312" w:hAnsi="仿宋_GB2312"/>
          <w:color w:val="000000" w:themeColor="text1"/>
          <w:szCs w:val="32"/>
          <w:highlight w:val="none"/>
          <w:u w:val="none"/>
          <w14:textFill>
            <w14:solidFill>
              <w14:schemeClr w14:val="tx1"/>
            </w14:solidFill>
          </w14:textFill>
        </w:rPr>
        <w:t>申请人和共同申请人有本办法第三十二条第三项至七项规定情形之一的，由主管部门责令限期改正，逾期未改正的，处一万元罚款；情节严重的，处五万元罚款；有违法所得的，依法没收。</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szCs w:val="32"/>
          <w:highlight w:val="none"/>
          <w:u w:val="none"/>
          <w14:textFill>
            <w14:solidFill>
              <w14:schemeClr w14:val="tx1"/>
            </w14:solidFill>
          </w14:textFill>
        </w:rPr>
      </w:pPr>
      <w:r>
        <w:rPr>
          <w:rFonts w:hint="eastAsia" w:ascii="仿宋_GB2312" w:hAnsi="仿宋_GB2312"/>
          <w:color w:val="000000" w:themeColor="text1"/>
          <w:szCs w:val="32"/>
          <w:highlight w:val="none"/>
          <w:u w:val="none"/>
          <w14:textFill>
            <w14:solidFill>
              <w14:schemeClr w14:val="tx1"/>
            </w14:solidFill>
          </w14:textFill>
        </w:rPr>
        <w:t>申请人和共同申请人有本办法第三十二条规定情形之一被解除合同的，主管部门自该租赁合同解除之日起五年内不予受理其住房保障申请。</w:t>
      </w: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hAnsi="仿宋_GB2312"/>
          <w:color w:val="000000" w:themeColor="text1"/>
          <w:szCs w:val="32"/>
          <w:highlight w:val="none"/>
          <w:u w:val="none"/>
          <w14:textFill>
            <w14:solidFill>
              <w14:schemeClr w14:val="tx1"/>
            </w14:solidFill>
          </w14:textFill>
        </w:rPr>
      </w:pPr>
      <w:bookmarkStart w:id="17" w:name="_Hlk22315339"/>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用人单位法律责任</w:t>
      </w:r>
      <w:r>
        <w:rPr>
          <w:rStyle w:val="11"/>
          <w:rFonts w:hint="eastAsia" w:ascii="仿宋_GB2312" w:eastAsia="仿宋_GB2312"/>
          <w:color w:val="000000" w:themeColor="text1"/>
          <w:highlight w:val="none"/>
          <w:u w:val="none"/>
          <w14:textFill>
            <w14:solidFill>
              <w14:schemeClr w14:val="tx1"/>
            </w14:solidFill>
          </w14:textFill>
        </w:rPr>
        <w:t>】</w:t>
      </w:r>
      <w:bookmarkEnd w:id="17"/>
      <w:r>
        <w:rPr>
          <w:rStyle w:val="11"/>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szCs w:val="32"/>
          <w:highlight w:val="none"/>
          <w:u w:val="none"/>
          <w14:textFill>
            <w14:solidFill>
              <w14:schemeClr w14:val="tx1"/>
            </w14:solidFill>
          </w14:textFill>
        </w:rPr>
        <w:t>承租定向配租公共租赁住房的用人单位有本办法第三十三条规定情形的，产权单位或者</w:t>
      </w:r>
      <w:bookmarkStart w:id="18" w:name="_Hlk22828640"/>
      <w:r>
        <w:rPr>
          <w:rFonts w:hint="eastAsia" w:ascii="仿宋_GB2312" w:hAnsi="仿宋_GB2312"/>
          <w:color w:val="000000" w:themeColor="text1"/>
          <w:szCs w:val="32"/>
          <w:highlight w:val="none"/>
          <w:u w:val="none"/>
          <w14:textFill>
            <w14:solidFill>
              <w14:schemeClr w14:val="tx1"/>
            </w14:solidFill>
          </w14:textFill>
        </w:rPr>
        <w:t>运营管理单位应当依法收回违法违规使用的公共租赁住房；情节严重的，依法收回全部公共租赁住房</w:t>
      </w:r>
      <w:bookmarkEnd w:id="18"/>
      <w:r>
        <w:rPr>
          <w:rFonts w:hint="eastAsia" w:ascii="仿宋_GB2312" w:hAnsi="仿宋_GB2312"/>
          <w:color w:val="000000" w:themeColor="text1"/>
          <w:szCs w:val="32"/>
          <w:highlight w:val="none"/>
          <w:u w:val="none"/>
          <w14:textFill>
            <w14:solidFill>
              <w14:schemeClr w14:val="tx1"/>
            </w14:solidFill>
          </w14:textFill>
        </w:rPr>
        <w:t>。</w:t>
      </w:r>
    </w:p>
    <w:p>
      <w:pPr>
        <w:keepNext w:val="0"/>
        <w:keepLines w:val="0"/>
        <w:pageBreakBefore w:val="0"/>
        <w:widowControl w:val="0"/>
        <w:numPr>
          <w:ilvl w:val="255"/>
          <w:numId w:val="0"/>
        </w:numPr>
        <w:tabs>
          <w:tab w:val="left" w:pos="0"/>
        </w:tabs>
        <w:kinsoku/>
        <w:wordWrap/>
        <w:overflowPunct/>
        <w:topLinePunct w:val="0"/>
        <w:autoSpaceDE/>
        <w:autoSpaceDN/>
        <w:bidi w:val="0"/>
        <w:spacing w:line="578" w:lineRule="exact"/>
        <w:ind w:firstLine="640"/>
        <w:textAlignment w:val="auto"/>
        <w:outlineLvl w:val="2"/>
        <w:rPr>
          <w:rFonts w:ascii="仿宋_GB2312" w:hAnsi="仿宋_GB2312"/>
          <w:color w:val="000000" w:themeColor="text1"/>
          <w:szCs w:val="32"/>
          <w:highlight w:val="none"/>
          <w:u w:val="none"/>
          <w14:textFill>
            <w14:solidFill>
              <w14:schemeClr w14:val="tx1"/>
            </w14:solidFill>
          </w14:textFill>
        </w:rPr>
      </w:pPr>
      <w:r>
        <w:rPr>
          <w:rFonts w:hint="eastAsia" w:ascii="仿宋_GB2312" w:hAnsi="仿宋_GB2312"/>
          <w:color w:val="000000" w:themeColor="text1"/>
          <w:szCs w:val="32"/>
          <w:highlight w:val="none"/>
          <w:u w:val="none"/>
          <w14:textFill>
            <w14:solidFill>
              <w14:schemeClr w14:val="tx1"/>
            </w14:solidFill>
          </w14:textFill>
        </w:rPr>
        <w:t>用人单位有本办法第三十三条第三项至八项规定情形之一的，由主管部门责令限期改正，逾期未改正的，处五万元罚款；情节严重的，处十万元罚款；有违法所得的，依法没收。</w:t>
      </w:r>
    </w:p>
    <w:p>
      <w:pPr>
        <w:pStyle w:val="2"/>
        <w:keepNext w:val="0"/>
        <w:keepLines w:val="0"/>
        <w:pageBreakBefore w:val="0"/>
        <w:widowControl w:val="0"/>
        <w:kinsoku/>
        <w:wordWrap/>
        <w:overflowPunct/>
        <w:topLinePunct w:val="0"/>
        <w:autoSpaceDE/>
        <w:autoSpaceDN/>
        <w:bidi w:val="0"/>
        <w:spacing w:after="0" w:line="578" w:lineRule="exact"/>
        <w:ind w:firstLine="640"/>
        <w:textAlignment w:val="auto"/>
        <w:rPr>
          <w:rFonts w:ascii="仿宋_GB2312" w:hAnsi="仿宋_GB2312"/>
          <w:color w:val="000000" w:themeColor="text1"/>
          <w:szCs w:val="32"/>
          <w:highlight w:val="none"/>
          <w:u w:val="none"/>
          <w14:textFill>
            <w14:solidFill>
              <w14:schemeClr w14:val="tx1"/>
            </w14:solidFill>
          </w14:textFill>
        </w:rPr>
      </w:pPr>
      <w:r>
        <w:rPr>
          <w:rFonts w:hint="eastAsia" w:ascii="仿宋_GB2312" w:hAnsi="仿宋_GB2312"/>
          <w:color w:val="000000" w:themeColor="text1"/>
          <w:szCs w:val="32"/>
          <w:highlight w:val="none"/>
          <w:u w:val="none"/>
          <w14:textFill>
            <w14:solidFill>
              <w14:schemeClr w14:val="tx1"/>
            </w14:solidFill>
          </w14:textFill>
        </w:rPr>
        <w:t>用人单位有本办法第三十三条</w:t>
      </w:r>
      <w:bookmarkStart w:id="19" w:name="_Hlk22315556"/>
      <w:r>
        <w:rPr>
          <w:rFonts w:hint="eastAsia" w:ascii="仿宋_GB2312" w:hAnsi="仿宋_GB2312"/>
          <w:color w:val="000000" w:themeColor="text1"/>
          <w:szCs w:val="32"/>
          <w:highlight w:val="none"/>
          <w:u w:val="none"/>
          <w14:textFill>
            <w14:solidFill>
              <w14:schemeClr w14:val="tx1"/>
            </w14:solidFill>
          </w14:textFill>
        </w:rPr>
        <w:t>规定</w:t>
      </w:r>
      <w:bookmarkEnd w:id="19"/>
      <w:r>
        <w:rPr>
          <w:rFonts w:hint="eastAsia" w:ascii="仿宋_GB2312" w:hAnsi="仿宋_GB2312"/>
          <w:color w:val="000000" w:themeColor="text1"/>
          <w:szCs w:val="32"/>
          <w:highlight w:val="none"/>
          <w:u w:val="none"/>
          <w14:textFill>
            <w14:solidFill>
              <w14:schemeClr w14:val="tx1"/>
            </w14:solidFill>
          </w14:textFill>
        </w:rPr>
        <w:t>情形之一被解除合同的，主管部门自该租赁合同解除</w:t>
      </w:r>
      <w:r>
        <w:rPr>
          <w:rFonts w:hint="eastAsia" w:ascii="仿宋_GB2312" w:hAnsi="仿宋_GB2312"/>
          <w:color w:val="000000" w:themeColor="text1"/>
          <w:sz w:val="32"/>
          <w:szCs w:val="32"/>
          <w:highlight w:val="none"/>
          <w:u w:val="none"/>
          <w14:textFill>
            <w14:solidFill>
              <w14:schemeClr w14:val="tx1"/>
            </w14:solidFill>
          </w14:textFill>
        </w:rPr>
        <w:t>之日</w:t>
      </w:r>
      <w:r>
        <w:rPr>
          <w:rFonts w:hint="eastAsia" w:ascii="仿宋_GB2312" w:hAnsi="仿宋_GB2312"/>
          <w:color w:val="000000" w:themeColor="text1"/>
          <w:szCs w:val="32"/>
          <w:highlight w:val="none"/>
          <w:u w:val="none"/>
          <w14:textFill>
            <w14:solidFill>
              <w14:schemeClr w14:val="tx1"/>
            </w14:solidFill>
          </w14:textFill>
        </w:rPr>
        <w:t>起五年内不予受理其住房保障申请。</w:t>
      </w:r>
    </w:p>
    <w:bookmarkEnd w:id="16"/>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color w:val="000000" w:themeColor="text1"/>
          <w:szCs w:val="32"/>
          <w:highlight w:val="none"/>
          <w:u w:val="none"/>
          <w14:textFill>
            <w14:solidFill>
              <w14:schemeClr w14:val="tx1"/>
            </w14:solidFill>
          </w14:textFill>
        </w:rPr>
      </w:pP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房地产经纪机构违规处理</w:t>
      </w: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szCs w:val="32"/>
          <w:highlight w:val="none"/>
          <w:u w:val="none"/>
          <w14:textFill>
            <w14:solidFill>
              <w14:schemeClr w14:val="tx1"/>
            </w14:solidFill>
          </w14:textFill>
        </w:rPr>
        <w:t>房地产经纪机构及经纪人员违反本办法第三十五条规定的，由主管部门责令限期改正，记入房地产经纪信用档案；对房地产经纪人员，处三万元罚款；对房地产经纪机构，暂停网上签约权限，处十万元罚款。</w:t>
      </w: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hAnsi="仿宋_GB2312"/>
          <w:color w:val="000000" w:themeColor="text1"/>
          <w:highlight w:val="none"/>
          <w:u w:val="none"/>
          <w14:textFill>
            <w14:solidFill>
              <w14:schemeClr w14:val="tx1"/>
            </w14:solidFill>
          </w14:textFill>
        </w:rPr>
      </w:pP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部门及工作人员法律责任</w:t>
      </w: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仿宋_GB2312"/>
          <w:color w:val="000000" w:themeColor="text1"/>
          <w:highlight w:val="none"/>
          <w:u w:val="none"/>
          <w:lang w:val="en-US" w:eastAsia="zh-CN"/>
          <w14:textFill>
            <w14:solidFill>
              <w14:schemeClr w14:val="tx1"/>
            </w14:solidFill>
          </w14:textFill>
        </w:rPr>
        <w:t xml:space="preserve">  </w:t>
      </w:r>
      <w:r>
        <w:rPr>
          <w:rStyle w:val="11"/>
          <w:rFonts w:hint="eastAsia" w:ascii="仿宋_GB2312" w:hAnsi="仿宋_GB2312" w:eastAsia="仿宋_GB2312"/>
          <w:color w:val="000000" w:themeColor="text1"/>
          <w:highlight w:val="none"/>
          <w:u w:val="none"/>
          <w14:textFill>
            <w14:solidFill>
              <w14:schemeClr w14:val="tx1"/>
            </w14:solidFill>
          </w14:textFill>
        </w:rPr>
        <w:t>主管部门或者</w:t>
      </w:r>
      <w:r>
        <w:rPr>
          <w:rFonts w:hint="eastAsia" w:ascii="仿宋_GB2312" w:hAnsi="仿宋_GB2312"/>
          <w:color w:val="000000" w:themeColor="text1"/>
          <w:szCs w:val="32"/>
          <w:highlight w:val="none"/>
          <w:u w:val="none"/>
          <w14:textFill>
            <w14:solidFill>
              <w14:schemeClr w14:val="tx1"/>
            </w14:solidFill>
          </w14:textFill>
        </w:rPr>
        <w:t>其他相关部门及其工作人员违反本办法规定不履行职责的，依法追究</w:t>
      </w:r>
      <w:r>
        <w:rPr>
          <w:rFonts w:hint="eastAsia" w:ascii="仿宋_GB2312" w:hAnsi="仿宋_GB2312"/>
          <w:color w:val="000000" w:themeColor="text1"/>
          <w:szCs w:val="32"/>
          <w:highlight w:val="none"/>
          <w:u w:val="none"/>
          <w:lang w:eastAsia="zh-CN"/>
          <w14:textFill>
            <w14:solidFill>
              <w14:schemeClr w14:val="tx1"/>
            </w14:solidFill>
          </w14:textFill>
        </w:rPr>
        <w:t>其</w:t>
      </w:r>
      <w:r>
        <w:rPr>
          <w:rFonts w:hint="eastAsia" w:ascii="仿宋_GB2312" w:hAnsi="仿宋_GB2312"/>
          <w:color w:val="000000" w:themeColor="text1"/>
          <w:szCs w:val="32"/>
          <w:highlight w:val="none"/>
          <w:u w:val="none"/>
          <w14:textFill>
            <w14:solidFill>
              <w14:schemeClr w14:val="tx1"/>
            </w14:solidFill>
          </w14:textFill>
        </w:rPr>
        <w:t>行政责任；构成犯罪的，依法追究</w:t>
      </w:r>
      <w:r>
        <w:rPr>
          <w:rFonts w:hint="eastAsia" w:ascii="仿宋_GB2312" w:hAnsi="仿宋_GB2312"/>
          <w:color w:val="000000" w:themeColor="text1"/>
          <w:szCs w:val="32"/>
          <w:highlight w:val="none"/>
          <w:u w:val="none"/>
          <w:lang w:eastAsia="zh-CN"/>
          <w14:textFill>
            <w14:solidFill>
              <w14:schemeClr w14:val="tx1"/>
            </w14:solidFill>
          </w14:textFill>
        </w:rPr>
        <w:t>其</w:t>
      </w:r>
      <w:r>
        <w:rPr>
          <w:rFonts w:hint="eastAsia" w:ascii="仿宋_GB2312" w:hAnsi="仿宋_GB2312"/>
          <w:color w:val="000000" w:themeColor="text1"/>
          <w:szCs w:val="32"/>
          <w:highlight w:val="none"/>
          <w:u w:val="none"/>
          <w14:textFill>
            <w14:solidFill>
              <w14:schemeClr w14:val="tx1"/>
            </w14:solidFill>
          </w14:textFill>
        </w:rPr>
        <w:t>刑事责任。</w:t>
      </w:r>
    </w:p>
    <w:p>
      <w:pPr>
        <w:pStyle w:val="2"/>
        <w:keepNext w:val="0"/>
        <w:keepLines w:val="0"/>
        <w:pageBreakBefore w:val="0"/>
        <w:widowControl w:val="0"/>
        <w:kinsoku/>
        <w:wordWrap/>
        <w:overflowPunct/>
        <w:topLinePunct w:val="0"/>
        <w:autoSpaceDE/>
        <w:autoSpaceDN/>
        <w:bidi w:val="0"/>
        <w:spacing w:after="0" w:line="578" w:lineRule="exact"/>
        <w:textAlignment w:val="auto"/>
        <w:rPr>
          <w:color w:val="000000" w:themeColor="text1"/>
          <w:u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spacing w:before="0" w:after="0" w:line="578" w:lineRule="exact"/>
        <w:ind w:firstLine="0" w:firstLineChars="0"/>
        <w:textAlignment w:val="auto"/>
        <w:rPr>
          <w:rFonts w:hint="eastAsia" w:ascii="黑体" w:hAnsi="黑体"/>
          <w:b w:val="0"/>
          <w:bCs w:val="0"/>
          <w:color w:val="000000" w:themeColor="text1"/>
          <w:highlight w:val="none"/>
          <w:u w:val="none"/>
          <w14:textFill>
            <w14:solidFill>
              <w14:schemeClr w14:val="tx1"/>
            </w14:solidFill>
          </w14:textFill>
        </w:rPr>
      </w:pPr>
      <w:r>
        <w:rPr>
          <w:rFonts w:hint="eastAsia" w:ascii="黑体" w:hAnsi="黑体"/>
          <w:b w:val="0"/>
          <w:bCs w:val="0"/>
          <w:color w:val="000000" w:themeColor="text1"/>
          <w:highlight w:val="none"/>
          <w:u w:val="none"/>
          <w14:textFill>
            <w14:solidFill>
              <w14:schemeClr w14:val="tx1"/>
            </w14:solidFill>
          </w14:textFill>
        </w:rPr>
        <w:t>第六章</w:t>
      </w:r>
      <w:r>
        <w:rPr>
          <w:rFonts w:ascii="黑体" w:hAnsi="黑体"/>
          <w:b w:val="0"/>
          <w:bCs w:val="0"/>
          <w:color w:val="000000" w:themeColor="text1"/>
          <w:highlight w:val="none"/>
          <w:u w:val="none"/>
          <w14:textFill>
            <w14:solidFill>
              <w14:schemeClr w14:val="tx1"/>
            </w14:solidFill>
          </w14:textFill>
        </w:rPr>
        <w:t xml:space="preserve"> </w:t>
      </w:r>
      <w:r>
        <w:rPr>
          <w:rFonts w:hint="eastAsia" w:ascii="黑体" w:hAnsi="黑体"/>
          <w:b w:val="0"/>
          <w:bCs w:val="0"/>
          <w:color w:val="000000" w:themeColor="text1"/>
          <w:highlight w:val="none"/>
          <w:u w:val="none"/>
          <w14:textFill>
            <w14:solidFill>
              <w14:schemeClr w14:val="tx1"/>
            </w14:solidFill>
          </w14:textFill>
        </w:rPr>
        <w:t>附则</w:t>
      </w:r>
    </w:p>
    <w:p>
      <w:pPr>
        <w:keepNext w:val="0"/>
        <w:keepLines w:val="0"/>
        <w:pageBreakBefore w:val="0"/>
        <w:widowControl w:val="0"/>
        <w:kinsoku/>
        <w:wordWrap/>
        <w:overflowPunct/>
        <w:topLinePunct w:val="0"/>
        <w:autoSpaceDE/>
        <w:autoSpaceDN/>
        <w:bidi w:val="0"/>
        <w:spacing w:line="578" w:lineRule="exact"/>
        <w:textAlignment w:val="auto"/>
        <w:rPr>
          <w:color w:val="000000" w:themeColor="text1"/>
          <w:u w:val="none"/>
          <w14:textFill>
            <w14:solidFill>
              <w14:schemeClr w14:val="tx1"/>
            </w14:solidFill>
          </w14:textFill>
        </w:rPr>
      </w:pP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color w:val="000000" w:themeColor="text1"/>
          <w:highlight w:val="none"/>
          <w:u w:val="none"/>
          <w14:textFill>
            <w14:solidFill>
              <w14:schemeClr w14:val="tx1"/>
            </w14:solidFill>
          </w14:textFill>
        </w:rPr>
      </w:pP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用语定义</w:t>
      </w: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本办法下列用语的含义是：</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（一）自有住房</w:t>
      </w:r>
      <w:bookmarkStart w:id="20" w:name="_Hlk18501635"/>
      <w:r>
        <w:rPr>
          <w:rFonts w:hint="eastAsia" w:ascii="仿宋_GB2312" w:hAnsi="仿宋_GB2312"/>
          <w:color w:val="000000" w:themeColor="text1"/>
          <w:highlight w:val="none"/>
          <w:u w:val="none"/>
          <w14:textFill>
            <w14:solidFill>
              <w14:schemeClr w14:val="tx1"/>
            </w14:solidFill>
          </w14:textFill>
        </w:rPr>
        <w:t>，是指已经取得权属证书或者实际拥有但未取得权属证书的各类具有居住功能的房屋，</w:t>
      </w:r>
      <w:bookmarkEnd w:id="20"/>
      <w:r>
        <w:rPr>
          <w:rFonts w:hint="eastAsia" w:ascii="仿宋_GB2312" w:hAnsi="仿宋_GB2312"/>
          <w:color w:val="000000" w:themeColor="text1"/>
          <w:highlight w:val="none"/>
          <w:u w:val="none"/>
          <w14:textFill>
            <w14:solidFill>
              <w14:schemeClr w14:val="tx1"/>
            </w14:solidFill>
          </w14:textFill>
        </w:rPr>
        <w:t>包括</w:t>
      </w:r>
      <w:bookmarkStart w:id="21" w:name="_Hlk18501647"/>
      <w:r>
        <w:rPr>
          <w:rFonts w:hint="eastAsia" w:ascii="仿宋_GB2312" w:hAnsi="仿宋_GB2312"/>
          <w:color w:val="000000" w:themeColor="text1"/>
          <w:highlight w:val="none"/>
          <w:u w:val="none"/>
          <w14:textFill>
            <w14:solidFill>
              <w14:schemeClr w14:val="tx1"/>
            </w14:solidFill>
          </w14:textFill>
        </w:rPr>
        <w:t>但不限于</w:t>
      </w:r>
      <w:bookmarkEnd w:id="21"/>
      <w:r>
        <w:rPr>
          <w:rFonts w:hint="eastAsia" w:ascii="仿宋_GB2312" w:hAnsi="仿宋_GB2312"/>
          <w:color w:val="000000" w:themeColor="text1"/>
          <w:highlight w:val="none"/>
          <w:u w:val="none"/>
          <w14:textFill>
            <w14:solidFill>
              <w14:schemeClr w14:val="tx1"/>
            </w14:solidFill>
          </w14:textFill>
        </w:rPr>
        <w:t>政策性住房、拆迁安置房、军产房、自建私房、商品住房等；</w:t>
      </w:r>
    </w:p>
    <w:p>
      <w:pPr>
        <w:keepNext w:val="0"/>
        <w:keepLines w:val="0"/>
        <w:pageBreakBefore w:val="0"/>
        <w:widowControl w:val="0"/>
        <w:kinsoku/>
        <w:wordWrap/>
        <w:overflowPunct/>
        <w:topLinePunct w:val="0"/>
        <w:autoSpaceDE/>
        <w:autoSpaceDN/>
        <w:bidi w:val="0"/>
        <w:spacing w:line="578" w:lineRule="exact"/>
        <w:ind w:firstLine="640"/>
        <w:textAlignment w:val="auto"/>
        <w:rPr>
          <w:rFonts w:hint="eastAsia"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（二）政策性住房，是指各类带有政策优惠性质的住房，包括准成本房、全成本房、全成本微利房、社会微利房、</w:t>
      </w:r>
      <w:r>
        <w:rPr>
          <w:rFonts w:hint="eastAsia" w:ascii="仿宋_GB2312" w:hAnsi="仿宋_GB2312" w:cs="仿宋_GB2312"/>
          <w:color w:val="000000" w:themeColor="text1"/>
          <w:szCs w:val="32"/>
          <w:highlight w:val="none"/>
          <w:u w:val="none"/>
          <w14:textFill>
            <w14:solidFill>
              <w14:schemeClr w14:val="tx1"/>
            </w14:solidFill>
          </w14:textFill>
        </w:rPr>
        <w:t>单位集资合作建房、</w:t>
      </w:r>
      <w:r>
        <w:rPr>
          <w:rFonts w:hint="eastAsia" w:ascii="仿宋_GB2312" w:hAnsi="仿宋_GB2312"/>
          <w:color w:val="000000" w:themeColor="text1"/>
          <w:highlight w:val="none"/>
          <w:u w:val="none"/>
          <w14:textFill>
            <w14:solidFill>
              <w14:schemeClr w14:val="tx1"/>
            </w14:solidFill>
          </w14:textFill>
        </w:rPr>
        <w:t>经济适用住房、限价商品房、安居型商品房和共有产权住房等；</w:t>
      </w:r>
    </w:p>
    <w:p>
      <w:pPr>
        <w:pStyle w:val="2"/>
        <w:keepNext w:val="0"/>
        <w:keepLines w:val="0"/>
        <w:pageBreakBefore w:val="0"/>
        <w:widowControl w:val="0"/>
        <w:kinsoku/>
        <w:wordWrap/>
        <w:overflowPunct/>
        <w:topLinePunct w:val="0"/>
        <w:autoSpaceDE/>
        <w:autoSpaceDN/>
        <w:bidi w:val="0"/>
        <w:spacing w:after="0" w:line="578" w:lineRule="exact"/>
        <w:ind w:firstLine="640"/>
        <w:textAlignment w:val="auto"/>
        <w:rPr>
          <w:rFonts w:hint="default" w:eastAsia="仿宋_GB2312"/>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（三）</w:t>
      </w:r>
      <w:r>
        <w:rPr>
          <w:rFonts w:hint="eastAsia"/>
          <w:color w:val="000000" w:themeColor="text1"/>
          <w:u w:val="none"/>
          <w14:textFill>
            <w14:solidFill>
              <w14:schemeClr w14:val="tx1"/>
            </w14:solidFill>
          </w14:textFill>
        </w:rPr>
        <w:t>住房保障优惠政策，是指根据住房保障的相关法规、规章、规范性文件规定，在承租、购买具有保障性质的住房或者领取货币补贴等方面享受的相关优惠政策</w:t>
      </w:r>
      <w:r>
        <w:rPr>
          <w:rFonts w:hint="eastAsia"/>
          <w:color w:val="000000" w:themeColor="text1"/>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bookmarkStart w:id="22" w:name="_Hlk22829762"/>
      <w:r>
        <w:rPr>
          <w:rFonts w:hint="eastAsia" w:ascii="仿宋_GB2312" w:hAnsi="仿宋_GB2312"/>
          <w:color w:val="000000" w:themeColor="text1"/>
          <w:highlight w:val="none"/>
          <w:u w:val="none"/>
          <w14:textFill>
            <w14:solidFill>
              <w14:schemeClr w14:val="tx1"/>
            </w14:solidFill>
          </w14:textFill>
        </w:rPr>
        <w:t>（</w:t>
      </w:r>
      <w:r>
        <w:rPr>
          <w:rFonts w:hint="eastAsia" w:ascii="仿宋_GB2312" w:hAnsi="仿宋_GB2312"/>
          <w:color w:val="000000" w:themeColor="text1"/>
          <w:highlight w:val="none"/>
          <w:u w:val="none"/>
          <w:lang w:val="en-US" w:eastAsia="zh-CN"/>
          <w14:textFill>
            <w14:solidFill>
              <w14:schemeClr w14:val="tx1"/>
            </w14:solidFill>
          </w14:textFill>
        </w:rPr>
        <w:t>四</w:t>
      </w:r>
      <w:r>
        <w:rPr>
          <w:rFonts w:hint="eastAsia" w:ascii="仿宋_GB2312" w:hAnsi="仿宋_GB2312"/>
          <w:color w:val="000000" w:themeColor="text1"/>
          <w:highlight w:val="none"/>
          <w:u w:val="none"/>
          <w14:textFill>
            <w14:solidFill>
              <w14:schemeClr w14:val="tx1"/>
            </w14:solidFill>
          </w14:textFill>
        </w:rPr>
        <w:t>）住房租赁补贴，是指面向符合条件的特困人员、低保和低保边缘家庭以及其他住房困难居民发放的货币补贴；</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w:t>
      </w:r>
      <w:r>
        <w:rPr>
          <w:rFonts w:hint="eastAsia" w:ascii="仿宋_GB2312" w:hAnsi="仿宋_GB2312"/>
          <w:color w:val="000000" w:themeColor="text1"/>
          <w:highlight w:val="none"/>
          <w:u w:val="none"/>
          <w:lang w:val="en-US" w:eastAsia="zh-CN"/>
          <w14:textFill>
            <w14:solidFill>
              <w14:schemeClr w14:val="tx1"/>
            </w14:solidFill>
          </w14:textFill>
        </w:rPr>
        <w:t>五</w:t>
      </w:r>
      <w:r>
        <w:rPr>
          <w:rFonts w:hint="eastAsia" w:ascii="仿宋_GB2312" w:hAnsi="仿宋_GB2312"/>
          <w:color w:val="000000" w:themeColor="text1"/>
          <w:highlight w:val="none"/>
          <w:u w:val="none"/>
          <w14:textFill>
            <w14:solidFill>
              <w14:schemeClr w14:val="tx1"/>
            </w14:solidFill>
          </w14:textFill>
        </w:rPr>
        <w:t>）运营管理单位，是指受产权单位委托，对公共租赁住房进行租赁和运营管理的组织；</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w:t>
      </w:r>
      <w:r>
        <w:rPr>
          <w:rFonts w:hint="eastAsia" w:ascii="仿宋_GB2312" w:hAnsi="仿宋_GB2312"/>
          <w:color w:val="000000" w:themeColor="text1"/>
          <w:highlight w:val="none"/>
          <w:u w:val="none"/>
          <w:lang w:val="en-US" w:eastAsia="zh-CN"/>
          <w14:textFill>
            <w14:solidFill>
              <w14:schemeClr w14:val="tx1"/>
            </w14:solidFill>
          </w14:textFill>
        </w:rPr>
        <w:t>六</w:t>
      </w:r>
      <w:r>
        <w:rPr>
          <w:rFonts w:hint="eastAsia" w:ascii="仿宋_GB2312" w:hAnsi="仿宋_GB2312"/>
          <w:color w:val="000000" w:themeColor="text1"/>
          <w:highlight w:val="none"/>
          <w:u w:val="none"/>
          <w14:textFill>
            <w14:solidFill>
              <w14:schemeClr w14:val="tx1"/>
            </w14:solidFill>
          </w14:textFill>
        </w:rPr>
        <w:t>）在册轮候人，是指已纳入公共租赁住房轮候册的申请家庭和单身居民；</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w:t>
      </w:r>
      <w:r>
        <w:rPr>
          <w:rFonts w:hint="eastAsia" w:ascii="仿宋_GB2312" w:hAnsi="仿宋_GB2312"/>
          <w:color w:val="000000" w:themeColor="text1"/>
          <w:highlight w:val="none"/>
          <w:u w:val="none"/>
          <w:lang w:val="en-US" w:eastAsia="zh-CN"/>
          <w14:textFill>
            <w14:solidFill>
              <w14:schemeClr w14:val="tx1"/>
            </w14:solidFill>
          </w14:textFill>
        </w:rPr>
        <w:t>七</w:t>
      </w:r>
      <w:r>
        <w:rPr>
          <w:rFonts w:hint="eastAsia" w:ascii="仿宋_GB2312" w:hAnsi="仿宋_GB2312"/>
          <w:color w:val="000000" w:themeColor="text1"/>
          <w:highlight w:val="none"/>
          <w:u w:val="none"/>
          <w14:textFill>
            <w14:solidFill>
              <w14:schemeClr w14:val="tx1"/>
            </w14:solidFill>
          </w14:textFill>
        </w:rPr>
        <w:t>）认租申请家庭，是指按照配租通告的要求在线提交认租申请的在册轮候人。</w:t>
      </w:r>
      <w:bookmarkEnd w:id="22"/>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color w:val="000000" w:themeColor="text1"/>
          <w:highlight w:val="none"/>
          <w:u w:val="none"/>
          <w14:textFill>
            <w14:solidFill>
              <w14:schemeClr w14:val="tx1"/>
            </w14:solidFill>
          </w14:textFill>
        </w:rPr>
      </w:pPr>
      <w:r>
        <w:rPr>
          <w:rFonts w:ascii="黑体" w:hAnsi="黑体" w:eastAsia="黑体"/>
          <w:color w:val="000000" w:themeColor="text1"/>
          <w:szCs w:val="32"/>
          <w:highlight w:val="none"/>
          <w:u w:val="none"/>
          <w14:textFill>
            <w14:solidFill>
              <w14:schemeClr w14:val="tx1"/>
            </w14:solidFill>
          </w14:textFill>
        </w:rPr>
        <w:t>【</w:t>
      </w:r>
      <w:r>
        <w:rPr>
          <w:rFonts w:hint="eastAsia" w:ascii="黑体" w:hAnsi="黑体" w:eastAsia="黑体"/>
          <w:color w:val="000000" w:themeColor="text1"/>
          <w:szCs w:val="32"/>
          <w:highlight w:val="none"/>
          <w:u w:val="none"/>
          <w14:textFill>
            <w14:solidFill>
              <w14:schemeClr w14:val="tx1"/>
            </w14:solidFill>
          </w14:textFill>
        </w:rPr>
        <w:t>住房租赁</w:t>
      </w:r>
      <w:r>
        <w:rPr>
          <w:rFonts w:ascii="黑体" w:hAnsi="黑体" w:eastAsia="黑体"/>
          <w:color w:val="000000" w:themeColor="text1"/>
          <w:szCs w:val="32"/>
          <w:highlight w:val="none"/>
          <w:u w:val="none"/>
          <w14:textFill>
            <w14:solidFill>
              <w14:schemeClr w14:val="tx1"/>
            </w14:solidFill>
          </w14:textFill>
        </w:rPr>
        <w:t>补贴】</w:t>
      </w:r>
      <w:r>
        <w:rPr>
          <w:rFonts w:hint="eastAsia" w:ascii="黑体" w:hAnsi="黑体" w:eastAsia="黑体"/>
          <w:color w:val="000000" w:themeColor="text1"/>
          <w:szCs w:val="32"/>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公共租赁住房采取实物配置和货币补贴两种方式实施。</w:t>
      </w:r>
      <w:r>
        <w:rPr>
          <w:rFonts w:ascii="仿宋_GB2312" w:hAnsi="仿宋_GB2312"/>
          <w:color w:val="000000" w:themeColor="text1"/>
          <w:szCs w:val="32"/>
          <w:highlight w:val="none"/>
          <w:u w:val="none"/>
          <w14:textFill>
            <w14:solidFill>
              <w14:schemeClr w14:val="tx1"/>
            </w14:solidFill>
          </w14:textFill>
        </w:rPr>
        <w:t>对符合条件的</w:t>
      </w:r>
      <w:r>
        <w:rPr>
          <w:rFonts w:hint="eastAsia" w:ascii="仿宋_GB2312" w:hAnsi="仿宋_GB2312"/>
          <w:color w:val="000000" w:themeColor="text1"/>
          <w:szCs w:val="32"/>
          <w:highlight w:val="none"/>
          <w:u w:val="none"/>
          <w14:textFill>
            <w14:solidFill>
              <w14:schemeClr w14:val="tx1"/>
            </w14:solidFill>
          </w14:textFill>
        </w:rPr>
        <w:t>在册轮候人</w:t>
      </w:r>
      <w:r>
        <w:rPr>
          <w:rFonts w:ascii="仿宋_GB2312" w:hAnsi="仿宋_GB2312"/>
          <w:color w:val="000000" w:themeColor="text1"/>
          <w:szCs w:val="32"/>
          <w:highlight w:val="none"/>
          <w:u w:val="none"/>
          <w14:textFill>
            <w14:solidFill>
              <w14:schemeClr w14:val="tx1"/>
            </w14:solidFill>
          </w14:textFill>
        </w:rPr>
        <w:t>，可以</w:t>
      </w:r>
      <w:r>
        <w:rPr>
          <w:rFonts w:hint="eastAsia" w:ascii="仿宋_GB2312" w:hAnsi="仿宋_GB2312"/>
          <w:color w:val="000000" w:themeColor="text1"/>
          <w:szCs w:val="32"/>
          <w:highlight w:val="none"/>
          <w:u w:val="none"/>
          <w14:textFill>
            <w14:solidFill>
              <w14:schemeClr w14:val="tx1"/>
            </w14:solidFill>
          </w14:textFill>
        </w:rPr>
        <w:t>按</w:t>
      </w:r>
      <w:r>
        <w:rPr>
          <w:rFonts w:hint="eastAsia" w:ascii="仿宋_GB2312" w:hAnsi="仿宋_GB2312"/>
          <w:color w:val="000000" w:themeColor="text1"/>
          <w:szCs w:val="32"/>
          <w:highlight w:val="none"/>
          <w:u w:val="none"/>
          <w:lang w:val="en-US" w:eastAsia="zh-CN"/>
          <w14:textFill>
            <w14:solidFill>
              <w14:schemeClr w14:val="tx1"/>
            </w14:solidFill>
          </w14:textFill>
        </w:rPr>
        <w:t>照</w:t>
      </w:r>
      <w:r>
        <w:rPr>
          <w:rFonts w:hint="eastAsia" w:ascii="仿宋_GB2312" w:hAnsi="仿宋_GB2312"/>
          <w:color w:val="000000" w:themeColor="text1"/>
          <w:szCs w:val="32"/>
          <w:highlight w:val="none"/>
          <w:u w:val="none"/>
          <w14:textFill>
            <w14:solidFill>
              <w14:schemeClr w14:val="tx1"/>
            </w14:solidFill>
          </w14:textFill>
        </w:rPr>
        <w:t>规定</w:t>
      </w:r>
      <w:r>
        <w:rPr>
          <w:rFonts w:ascii="仿宋_GB2312" w:hAnsi="仿宋_GB2312"/>
          <w:color w:val="000000" w:themeColor="text1"/>
          <w:szCs w:val="32"/>
          <w:highlight w:val="none"/>
          <w:u w:val="none"/>
          <w14:textFill>
            <w14:solidFill>
              <w14:schemeClr w14:val="tx1"/>
            </w14:solidFill>
          </w14:textFill>
        </w:rPr>
        <w:t>申请</w:t>
      </w:r>
      <w:r>
        <w:rPr>
          <w:rFonts w:hint="eastAsia" w:ascii="仿宋_GB2312" w:hAnsi="仿宋_GB2312"/>
          <w:color w:val="000000" w:themeColor="text1"/>
          <w:szCs w:val="32"/>
          <w:highlight w:val="none"/>
          <w:u w:val="none"/>
          <w14:textFill>
            <w14:solidFill>
              <w14:schemeClr w14:val="tx1"/>
            </w14:solidFill>
          </w14:textFill>
        </w:rPr>
        <w:t>住房租赁</w:t>
      </w:r>
      <w:r>
        <w:rPr>
          <w:rFonts w:ascii="仿宋_GB2312" w:hAnsi="仿宋_GB2312"/>
          <w:color w:val="000000" w:themeColor="text1"/>
          <w:szCs w:val="32"/>
          <w:highlight w:val="none"/>
          <w:u w:val="none"/>
          <w14:textFill>
            <w14:solidFill>
              <w14:schemeClr w14:val="tx1"/>
            </w14:solidFill>
          </w14:textFill>
        </w:rPr>
        <w:t>补贴</w:t>
      </w:r>
      <w:r>
        <w:rPr>
          <w:rFonts w:hint="eastAsia" w:ascii="仿宋_GB2312" w:hAnsi="仿宋_GB2312"/>
          <w:color w:val="000000" w:themeColor="text1"/>
          <w:szCs w:val="32"/>
          <w:highlight w:val="none"/>
          <w:u w:val="none"/>
          <w14:textFill>
            <w14:solidFill>
              <w14:schemeClr w14:val="tx1"/>
            </w14:solidFill>
          </w14:textFill>
        </w:rPr>
        <w:t>，</w:t>
      </w:r>
      <w:r>
        <w:rPr>
          <w:rFonts w:ascii="仿宋_GB2312" w:hAnsi="仿宋_GB2312"/>
          <w:color w:val="000000" w:themeColor="text1"/>
          <w:szCs w:val="32"/>
          <w:highlight w:val="none"/>
          <w:u w:val="none"/>
          <w14:textFill>
            <w14:solidFill>
              <w14:schemeClr w14:val="tx1"/>
            </w14:solidFill>
          </w14:textFill>
        </w:rPr>
        <w:t>领取</w:t>
      </w:r>
      <w:r>
        <w:rPr>
          <w:rFonts w:hint="eastAsia" w:ascii="仿宋_GB2312" w:hAnsi="仿宋_GB2312"/>
          <w:color w:val="000000" w:themeColor="text1"/>
          <w:szCs w:val="32"/>
          <w:highlight w:val="none"/>
          <w:u w:val="none"/>
          <w14:textFill>
            <w14:solidFill>
              <w14:schemeClr w14:val="tx1"/>
            </w14:solidFill>
          </w14:textFill>
        </w:rPr>
        <w:t>住房租赁</w:t>
      </w:r>
      <w:r>
        <w:rPr>
          <w:rFonts w:ascii="仿宋_GB2312" w:hAnsi="仿宋_GB2312"/>
          <w:color w:val="000000" w:themeColor="text1"/>
          <w:szCs w:val="32"/>
          <w:highlight w:val="none"/>
          <w:u w:val="none"/>
          <w14:textFill>
            <w14:solidFill>
              <w14:schemeClr w14:val="tx1"/>
            </w14:solidFill>
          </w14:textFill>
        </w:rPr>
        <w:t>补贴</w:t>
      </w:r>
      <w:r>
        <w:rPr>
          <w:rFonts w:hint="eastAsia" w:ascii="仿宋_GB2312" w:hAnsi="仿宋_GB2312"/>
          <w:color w:val="000000" w:themeColor="text1"/>
          <w:szCs w:val="32"/>
          <w:highlight w:val="none"/>
          <w:u w:val="none"/>
          <w14:textFill>
            <w14:solidFill>
              <w14:schemeClr w14:val="tx1"/>
            </w14:solidFill>
          </w14:textFill>
        </w:rPr>
        <w:t>后，</w:t>
      </w:r>
      <w:r>
        <w:rPr>
          <w:rFonts w:ascii="仿宋_GB2312" w:hAnsi="仿宋_GB2312"/>
          <w:color w:val="000000" w:themeColor="text1"/>
          <w:szCs w:val="32"/>
          <w:highlight w:val="none"/>
          <w:u w:val="none"/>
          <w14:textFill>
            <w14:solidFill>
              <w14:schemeClr w14:val="tx1"/>
            </w14:solidFill>
          </w14:textFill>
        </w:rPr>
        <w:t>应当退出轮候册。</w:t>
      </w:r>
      <w:r>
        <w:rPr>
          <w:rFonts w:hint="eastAsia" w:ascii="仿宋_GB2312" w:hAnsi="仿宋_GB2312"/>
          <w:color w:val="000000" w:themeColor="text1"/>
          <w:szCs w:val="32"/>
          <w:highlight w:val="none"/>
          <w:u w:val="none"/>
          <w14:textFill>
            <w14:solidFill>
              <w14:schemeClr w14:val="tx1"/>
            </w14:solidFill>
          </w14:textFill>
        </w:rPr>
        <w:t>住房租赁</w:t>
      </w:r>
      <w:r>
        <w:rPr>
          <w:rFonts w:ascii="仿宋_GB2312" w:hAnsi="仿宋_GB2312"/>
          <w:color w:val="000000" w:themeColor="text1"/>
          <w:szCs w:val="32"/>
          <w:highlight w:val="none"/>
          <w:u w:val="none"/>
          <w14:textFill>
            <w14:solidFill>
              <w14:schemeClr w14:val="tx1"/>
            </w14:solidFill>
          </w14:textFill>
        </w:rPr>
        <w:t>补贴</w:t>
      </w:r>
      <w:r>
        <w:rPr>
          <w:rFonts w:hint="eastAsia" w:ascii="仿宋_GB2312" w:hAnsi="仿宋_GB2312"/>
          <w:color w:val="000000" w:themeColor="text1"/>
          <w:szCs w:val="32"/>
          <w:highlight w:val="none"/>
          <w:u w:val="none"/>
          <w14:textFill>
            <w14:solidFill>
              <w14:schemeClr w14:val="tx1"/>
            </w14:solidFill>
          </w14:textFill>
        </w:rPr>
        <w:t>政策</w:t>
      </w:r>
      <w:r>
        <w:rPr>
          <w:rFonts w:ascii="仿宋_GB2312" w:hAnsi="仿宋_GB2312"/>
          <w:color w:val="000000" w:themeColor="text1"/>
          <w:szCs w:val="32"/>
          <w:highlight w:val="none"/>
          <w:u w:val="none"/>
          <w14:textFill>
            <w14:solidFill>
              <w14:schemeClr w14:val="tx1"/>
            </w14:solidFill>
          </w14:textFill>
        </w:rPr>
        <w:t>由市主管部门会同相关部门另行制定。</w:t>
      </w: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color w:val="000000" w:themeColor="text1"/>
          <w:highlight w:val="none"/>
          <w:u w:val="none"/>
          <w14:textFill>
            <w14:solidFill>
              <w14:schemeClr w14:val="tx1"/>
            </w14:solidFill>
          </w14:textFill>
        </w:rPr>
      </w:pPr>
      <w:r>
        <w:rPr>
          <w:rFonts w:hint="eastAsia" w:ascii="黑体" w:hAnsi="黑体" w:eastAsia="黑体" w:cs="黑体"/>
          <w:color w:val="000000" w:themeColor="text1"/>
          <w:highlight w:val="none"/>
          <w:u w:val="none"/>
          <w14:textFill>
            <w14:solidFill>
              <w14:schemeClr w14:val="tx1"/>
            </w14:solidFill>
          </w14:textFill>
        </w:rPr>
        <w:t>【数量关系界定】</w:t>
      </w:r>
      <w:r>
        <w:rPr>
          <w:rFonts w:hint="eastAsia" w:ascii="黑体" w:hAnsi="黑体" w:eastAsia="黑体" w:cs="黑体"/>
          <w:color w:val="000000" w:themeColor="text1"/>
          <w:highlight w:val="none"/>
          <w:u w:val="none"/>
          <w:lang w:val="en-US" w:eastAsia="zh-CN"/>
          <w14:textFill>
            <w14:solidFill>
              <w14:schemeClr w14:val="tx1"/>
            </w14:solidFill>
          </w14:textFill>
        </w:rPr>
        <w:t xml:space="preserve">  </w:t>
      </w:r>
      <w:r>
        <w:rPr>
          <w:rFonts w:hint="eastAsia"/>
          <w:color w:val="000000" w:themeColor="text1"/>
          <w:highlight w:val="none"/>
          <w:u w:val="none"/>
          <w14:textFill>
            <w14:solidFill>
              <w14:schemeClr w14:val="tx1"/>
            </w14:solidFill>
          </w14:textFill>
        </w:rPr>
        <w:t>本办法所称的“以上”</w:t>
      </w:r>
      <w:r>
        <w:rPr>
          <w:rFonts w:hint="eastAsia"/>
          <w:color w:val="000000" w:themeColor="text1"/>
          <w:highlight w:val="none"/>
          <w:u w:val="none"/>
          <w:lang w:eastAsia="zh-CN"/>
          <w14:textFill>
            <w14:solidFill>
              <w14:schemeClr w14:val="tx1"/>
            </w14:solidFill>
          </w14:textFill>
        </w:rPr>
        <w:t>“</w:t>
      </w:r>
      <w:r>
        <w:rPr>
          <w:rFonts w:hint="eastAsia"/>
          <w:color w:val="000000" w:themeColor="text1"/>
          <w:highlight w:val="none"/>
          <w:u w:val="none"/>
          <w:lang w:val="en-US" w:eastAsia="zh-CN"/>
          <w14:textFill>
            <w14:solidFill>
              <w14:schemeClr w14:val="tx1"/>
            </w14:solidFill>
          </w14:textFill>
        </w:rPr>
        <w:t>以内</w:t>
      </w:r>
      <w:r>
        <w:rPr>
          <w:rFonts w:hint="eastAsia"/>
          <w:color w:val="000000" w:themeColor="text1"/>
          <w:highlight w:val="none"/>
          <w:u w:val="none"/>
          <w:lang w:eastAsia="zh-CN"/>
          <w14:textFill>
            <w14:solidFill>
              <w14:schemeClr w14:val="tx1"/>
            </w14:solidFill>
          </w14:textFill>
        </w:rPr>
        <w:t>”</w:t>
      </w:r>
      <w:r>
        <w:rPr>
          <w:rFonts w:hint="eastAsia"/>
          <w:color w:val="000000" w:themeColor="text1"/>
          <w:highlight w:val="none"/>
          <w:u w:val="none"/>
          <w14:textFill>
            <w14:solidFill>
              <w14:schemeClr w14:val="tx1"/>
            </w14:solidFill>
          </w14:textFill>
        </w:rPr>
        <w:t>“满”“不超过”，包括本数；所称的“未满”“超过”，不包括本数。</w:t>
      </w: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hAnsi="仿宋_GB2312"/>
          <w:color w:val="000000" w:themeColor="text1"/>
          <w:highlight w:val="none"/>
          <w:u w:val="none"/>
          <w14:textFill>
            <w14:solidFill>
              <w14:schemeClr w14:val="tx1"/>
            </w14:solidFill>
          </w14:textFill>
        </w:rPr>
      </w:pPr>
      <w:r>
        <w:rPr>
          <w:rStyle w:val="11"/>
          <w:rFonts w:hint="eastAsia" w:ascii="黑体" w:hAnsi="黑体"/>
          <w:color w:val="000000" w:themeColor="text1"/>
          <w:highlight w:val="none"/>
          <w:u w:val="none"/>
          <w14:textFill>
            <w14:solidFill>
              <w14:schemeClr w14:val="tx1"/>
            </w14:solidFill>
          </w14:textFill>
        </w:rPr>
        <w:t>【特殊家庭</w:t>
      </w: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本办法所称的特殊家庭包括：</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（一）属现役军人、现役军人家属、残疾军人、退役军人、烈士遗属、因公牺牲军人遗属、病故军人遗属或者经本市退役军人事务部门认定为抚恤定补优抚对象的申请人或者共同申请人；</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（二）经本市残疾人联合会认定为残疾人（含一、二、三、四级残疾人）的申请人或者共同申请人；</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（三）</w:t>
      </w:r>
      <w:r>
        <w:rPr>
          <w:rFonts w:hint="eastAsia" w:ascii="仿宋_GB2312" w:hAnsi="仿宋_GB2312"/>
          <w:color w:val="000000" w:themeColor="text1"/>
          <w:highlight w:val="none"/>
          <w:u w:val="none"/>
          <w:lang w:val="en-US" w:eastAsia="zh-CN"/>
          <w14:textFill>
            <w14:solidFill>
              <w14:schemeClr w14:val="tx1"/>
            </w14:solidFill>
          </w14:textFill>
        </w:rPr>
        <w:t>属</w:t>
      </w:r>
      <w:r>
        <w:rPr>
          <w:rFonts w:hint="eastAsia" w:ascii="仿宋_GB2312" w:hAnsi="仿宋_GB2312"/>
          <w:color w:val="000000" w:themeColor="text1"/>
          <w:highlight w:val="none"/>
          <w:u w:val="none"/>
          <w14:textFill>
            <w14:solidFill>
              <w14:schemeClr w14:val="tx1"/>
            </w14:solidFill>
          </w14:textFill>
        </w:rPr>
        <w:t>因公殉职基层干部家属的申请人或者共同申请人；</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（四）属消防救援人员或者烈士、因公牺牲、病故消防救援人员遗属的申请人或者共同申请人；</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（五）</w:t>
      </w:r>
      <w:r>
        <w:rPr>
          <w:rFonts w:hint="eastAsia" w:ascii="仿宋_GB2312" w:hAnsi="仿宋_GB2312"/>
          <w:color w:val="000000" w:themeColor="text1"/>
          <w:highlight w:val="none"/>
          <w:u w:val="none"/>
          <w:lang w:val="en-US" w:eastAsia="zh-CN"/>
          <w14:textFill>
            <w14:solidFill>
              <w14:schemeClr w14:val="tx1"/>
            </w14:solidFill>
          </w14:textFill>
        </w:rPr>
        <w:t>属</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社会福利机构集中供养的孤儿年满</w:t>
      </w:r>
      <w:r>
        <w:rPr>
          <w:rFonts w:hint="eastAsia" w:ascii="仿宋_GB2312" w:hAnsi="仿宋_GB2312" w:cs="仿宋_GB2312"/>
          <w:color w:val="000000" w:themeColor="text1"/>
          <w:sz w:val="32"/>
          <w:szCs w:val="32"/>
          <w:u w:val="none"/>
          <w:lang w:val="en-US" w:eastAsia="zh-CN"/>
          <w14:textFill>
            <w14:solidFill>
              <w14:schemeClr w14:val="tx1"/>
            </w14:solidFill>
          </w14:textFill>
        </w:rPr>
        <w:t>十八</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周岁且可</w:t>
      </w:r>
      <w:r>
        <w:rPr>
          <w:rFonts w:hint="eastAsia" w:ascii="仿宋_GB2312" w:hAnsi="仿宋_GB2312" w:cs="仿宋_GB2312"/>
          <w:color w:val="000000" w:themeColor="text1"/>
          <w:sz w:val="32"/>
          <w:szCs w:val="32"/>
          <w:u w:val="none"/>
          <w:lang w:val="en-US" w:eastAsia="zh-CN"/>
          <w14:textFill>
            <w14:solidFill>
              <w14:schemeClr w14:val="tx1"/>
            </w14:solidFill>
          </w14:textFill>
        </w:rPr>
        <w:t>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进行社会安置</w:t>
      </w:r>
      <w:r>
        <w:rPr>
          <w:rFonts w:hint="eastAsia" w:ascii="仿宋_GB2312" w:hAnsi="仿宋_GB2312"/>
          <w:color w:val="000000" w:themeColor="text1"/>
          <w:highlight w:val="none"/>
          <w:u w:val="none"/>
          <w:lang w:val="en-US" w:eastAsia="zh-CN"/>
          <w14:textFill>
            <w14:solidFill>
              <w14:schemeClr w14:val="tx1"/>
            </w14:solidFill>
          </w14:textFill>
        </w:rPr>
        <w:t>的</w:t>
      </w:r>
      <w:r>
        <w:rPr>
          <w:rFonts w:hint="eastAsia" w:ascii="仿宋_GB2312" w:hAnsi="仿宋_GB2312"/>
          <w:color w:val="000000" w:themeColor="text1"/>
          <w:highlight w:val="none"/>
          <w:u w:val="none"/>
          <w14:textFill>
            <w14:solidFill>
              <w14:schemeClr w14:val="tx1"/>
            </w14:solidFill>
          </w14:textFill>
        </w:rPr>
        <w:t>申请人或者共同申请人；</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（六）经本市卫生健康部门认定为计划生育特殊家庭的申请人或者共同申请人；</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（七）申请人及共同申请人均为六十周岁以上，或者申请人为六十周岁以上的单亲家庭、单身居民；</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（八）经国家、广东省政府或者深圳市、区政府认定为见义勇为人员的申请人或者共同申请人；</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（九）属全国道德模范及提名获得者、广东省道德模范或者深圳市文明市民的申请人或者共同申请人；</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（十）</w:t>
      </w:r>
      <w:bookmarkStart w:id="23" w:name="_Hlk22829909"/>
      <w:r>
        <w:rPr>
          <w:rFonts w:hint="eastAsia" w:ascii="仿宋_GB2312" w:hAnsi="仿宋_GB2312"/>
          <w:color w:val="000000" w:themeColor="text1"/>
          <w:highlight w:val="none"/>
          <w:u w:val="none"/>
          <w14:textFill>
            <w14:solidFill>
              <w14:schemeClr w14:val="tx1"/>
            </w14:solidFill>
          </w14:textFill>
        </w:rPr>
        <w:t>经总工会认定为深圳市级以上劳动模范或者</w:t>
      </w:r>
      <w:bookmarkEnd w:id="23"/>
      <w:r>
        <w:rPr>
          <w:rFonts w:hint="eastAsia" w:ascii="仿宋_GB2312" w:hAnsi="仿宋_GB2312"/>
          <w:color w:val="000000" w:themeColor="text1"/>
          <w:highlight w:val="none"/>
          <w:u w:val="none"/>
          <w14:textFill>
            <w14:solidFill>
              <w14:schemeClr w14:val="tx1"/>
            </w14:solidFill>
          </w14:textFill>
        </w:rPr>
        <w:t>五一劳动奖章获得者的申请人或者共同申请人；</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（十一）经市政府认定的其他特殊家庭。</w:t>
      </w: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color w:val="000000" w:themeColor="text1"/>
          <w:highlight w:val="none"/>
          <w:u w:val="none"/>
          <w14:textFill>
            <w14:solidFill>
              <w14:schemeClr w14:val="tx1"/>
            </w14:solidFill>
          </w14:textFill>
        </w:rPr>
      </w:pPr>
      <w:r>
        <w:rPr>
          <w:rFonts w:hint="eastAsia" w:ascii="仿宋_GB2312"/>
          <w:color w:val="000000" w:themeColor="text1"/>
          <w:highlight w:val="none"/>
          <w:u w:val="none"/>
          <w14:textFill>
            <w14:solidFill>
              <w14:schemeClr w14:val="tx1"/>
            </w14:solidFill>
          </w14:textFill>
        </w:rPr>
        <w:t>【</w:t>
      </w:r>
      <w:r>
        <w:rPr>
          <w:rFonts w:hint="eastAsia" w:ascii="黑体" w:hAnsi="黑体" w:eastAsia="黑体" w:cs="黑体"/>
          <w:color w:val="000000" w:themeColor="text1"/>
          <w:highlight w:val="none"/>
          <w:u w:val="none"/>
          <w14:textFill>
            <w14:solidFill>
              <w14:schemeClr w14:val="tx1"/>
            </w14:solidFill>
          </w14:textFill>
        </w:rPr>
        <w:t>合同示范文本</w:t>
      </w:r>
      <w:r>
        <w:rPr>
          <w:rFonts w:hint="eastAsia" w:ascii="仿宋_GB2312"/>
          <w:color w:val="000000" w:themeColor="text1"/>
          <w:highlight w:val="none"/>
          <w:u w:val="none"/>
          <w14:textFill>
            <w14:solidFill>
              <w14:schemeClr w14:val="tx1"/>
            </w14:solidFill>
          </w14:textFill>
        </w:rPr>
        <w:t>】</w:t>
      </w:r>
      <w:r>
        <w:rPr>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color w:val="000000" w:themeColor="text1"/>
          <w:highlight w:val="none"/>
          <w:u w:val="none"/>
          <w14:textFill>
            <w14:solidFill>
              <w14:schemeClr w14:val="tx1"/>
            </w14:solidFill>
          </w14:textFill>
        </w:rPr>
        <w:t>市主管部门会同市市场监督管理部门制定公共租赁住房租赁合同示范文本。</w:t>
      </w:r>
    </w:p>
    <w:p>
      <w:pPr>
        <w:keepNext w:val="0"/>
        <w:keepLines w:val="0"/>
        <w:pageBreakBefore w:val="0"/>
        <w:widowControl w:val="0"/>
        <w:numPr>
          <w:ilvl w:val="2"/>
          <w:numId w:val="1"/>
        </w:numPr>
        <w:kinsoku/>
        <w:wordWrap/>
        <w:overflowPunct/>
        <w:topLinePunct w:val="0"/>
        <w:autoSpaceDE/>
        <w:autoSpaceDN/>
        <w:bidi w:val="0"/>
        <w:spacing w:line="578" w:lineRule="exact"/>
        <w:ind w:firstLine="640"/>
        <w:textAlignment w:val="auto"/>
        <w:outlineLvl w:val="2"/>
        <w:rPr>
          <w:rFonts w:ascii="仿宋_GB2312"/>
          <w:color w:val="000000" w:themeColor="text1"/>
          <w:highlight w:val="none"/>
          <w:u w:val="none"/>
          <w14:textFill>
            <w14:solidFill>
              <w14:schemeClr w14:val="tx1"/>
            </w14:solidFill>
          </w14:textFill>
        </w:rPr>
      </w:pP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新旧政策衔接</w:t>
      </w: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本办法施行之日起，相关事项按照以下规定执行：</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olor w:val="000000" w:themeColor="text1"/>
          <w:highlight w:val="none"/>
          <w:u w:val="none"/>
          <w14:textFill>
            <w14:solidFill>
              <w14:schemeClr w14:val="tx1"/>
            </w14:solidFill>
          </w14:textFill>
        </w:rPr>
      </w:pPr>
      <w:r>
        <w:rPr>
          <w:rFonts w:hint="eastAsia" w:ascii="仿宋_GB2312" w:hAnsi="仿宋_GB2312"/>
          <w:color w:val="000000" w:themeColor="text1"/>
          <w:highlight w:val="none"/>
          <w:u w:val="none"/>
          <w14:textFill>
            <w14:solidFill>
              <w14:schemeClr w14:val="tx1"/>
            </w14:solidFill>
          </w14:textFill>
        </w:rPr>
        <w:t>（一）本办法施行之日</w:t>
      </w:r>
      <w:r>
        <w:rPr>
          <w:rFonts w:ascii="仿宋_GB2312" w:hAnsi="仿宋_GB2312"/>
          <w:color w:val="000000" w:themeColor="text1"/>
          <w:highlight w:val="none"/>
          <w:u w:val="none"/>
          <w14:textFill>
            <w14:solidFill>
              <w14:schemeClr w14:val="tx1"/>
            </w14:solidFill>
          </w14:textFill>
        </w:rPr>
        <w:t>前</w:t>
      </w:r>
      <w:r>
        <w:rPr>
          <w:rFonts w:hint="eastAsia" w:ascii="仿宋_GB2312" w:hAnsi="仿宋_GB2312"/>
          <w:color w:val="000000" w:themeColor="text1"/>
          <w:highlight w:val="none"/>
          <w:u w:val="none"/>
          <w14:textFill>
            <w14:solidFill>
              <w14:schemeClr w14:val="tx1"/>
            </w14:solidFill>
          </w14:textFill>
        </w:rPr>
        <w:t>已经取得轮候申请受理回执的家庭和单身居民，依照原轮候申请条件进行审核，符合条件的纳入公共租赁住房轮候册</w:t>
      </w:r>
      <w:r>
        <w:rPr>
          <w:rFonts w:hint="eastAsia" w:ascii="仿宋_GB2312" w:hAnsi="仿宋_GB2312"/>
          <w:color w:val="000000" w:themeColor="text1"/>
          <w:highlight w:val="none"/>
          <w:u w:val="none"/>
          <w:lang w:eastAsia="zh-CN"/>
          <w14:textFill>
            <w14:solidFill>
              <w14:schemeClr w14:val="tx1"/>
            </w14:solidFill>
          </w14:textFill>
        </w:rPr>
        <w:t>，</w:t>
      </w:r>
      <w:r>
        <w:rPr>
          <w:rFonts w:hint="eastAsia" w:ascii="仿宋_GB2312" w:hAnsi="仿宋_GB2312"/>
          <w:color w:val="000000" w:themeColor="text1"/>
          <w:highlight w:val="none"/>
          <w:u w:val="none"/>
          <w14:textFill>
            <w14:solidFill>
              <w14:schemeClr w14:val="tx1"/>
            </w14:solidFill>
          </w14:textFill>
        </w:rPr>
        <w:t>在册轮候人按照申请人户籍所在地分解到各区；</w:t>
      </w:r>
    </w:p>
    <w:p>
      <w:pPr>
        <w:keepNext w:val="0"/>
        <w:keepLines w:val="0"/>
        <w:pageBreakBefore w:val="0"/>
        <w:widowControl w:val="0"/>
        <w:kinsoku/>
        <w:wordWrap/>
        <w:overflowPunct/>
        <w:topLinePunct w:val="0"/>
        <w:autoSpaceDE/>
        <w:autoSpaceDN/>
        <w:bidi w:val="0"/>
        <w:spacing w:line="578" w:lineRule="exact"/>
        <w:ind w:firstLine="640"/>
        <w:textAlignment w:val="auto"/>
        <w:rPr>
          <w:rFonts w:ascii="仿宋_GB2312" w:hAnsi="仿宋_GB2312" w:cs="仿宋_GB2312"/>
          <w:bCs/>
          <w:color w:val="000000" w:themeColor="text1"/>
          <w:highlight w:val="none"/>
          <w:u w:val="none"/>
          <w14:textFill>
            <w14:solidFill>
              <w14:schemeClr w14:val="tx1"/>
            </w14:solidFill>
          </w14:textFill>
        </w:rPr>
      </w:pPr>
      <w:bookmarkStart w:id="24" w:name="_Hlk18326397"/>
      <w:r>
        <w:rPr>
          <w:rFonts w:hint="eastAsia" w:ascii="仿宋_GB2312" w:hAnsi="仿宋_GB2312" w:cs="仿宋_GB2312"/>
          <w:bCs/>
          <w:color w:val="000000" w:themeColor="text1"/>
          <w:highlight w:val="none"/>
          <w:u w:val="none"/>
          <w14:textFill>
            <w14:solidFill>
              <w14:schemeClr w14:val="tx1"/>
            </w14:solidFill>
          </w14:textFill>
        </w:rPr>
        <w:t>（二）本办法施行之日前的公共租赁住房在册轮候人或者承租公共租赁住房的申请人，在本办法施行后认租或者续租公共租赁住房的，可以选择按照原政策或者本办法相关规定执行。选择按照原政策执行的，认租和续租时不审核家庭收入财产状况，租金按照原政策租金定价规则确定；选择按照本办法相关规定执行的，续租时不再适用原政策；</w:t>
      </w:r>
    </w:p>
    <w:p>
      <w:pPr>
        <w:pStyle w:val="2"/>
        <w:keepNext w:val="0"/>
        <w:keepLines w:val="0"/>
        <w:pageBreakBefore w:val="0"/>
        <w:widowControl w:val="0"/>
        <w:kinsoku/>
        <w:wordWrap/>
        <w:overflowPunct/>
        <w:topLinePunct w:val="0"/>
        <w:autoSpaceDE/>
        <w:autoSpaceDN/>
        <w:bidi w:val="0"/>
        <w:spacing w:after="0" w:line="578" w:lineRule="exact"/>
        <w:ind w:firstLine="640"/>
        <w:textAlignment w:val="auto"/>
        <w:rPr>
          <w:rFonts w:ascii="仿宋_GB2312" w:hAnsi="仿宋_GB2312" w:cs="仿宋_GB2312"/>
          <w:bCs/>
          <w:color w:val="000000" w:themeColor="text1"/>
          <w:highlight w:val="none"/>
          <w:u w:val="none"/>
          <w14:textFill>
            <w14:solidFill>
              <w14:schemeClr w14:val="tx1"/>
            </w14:solidFill>
          </w14:textFill>
        </w:rPr>
      </w:pPr>
      <w:r>
        <w:rPr>
          <w:rFonts w:hint="eastAsia" w:ascii="仿宋_GB2312" w:hAnsi="仿宋_GB2312" w:cs="仿宋_GB2312"/>
          <w:bCs/>
          <w:color w:val="000000" w:themeColor="text1"/>
          <w:highlight w:val="none"/>
          <w:u w:val="none"/>
          <w14:textFill>
            <w14:solidFill>
              <w14:schemeClr w14:val="tx1"/>
            </w14:solidFill>
          </w14:textFill>
        </w:rPr>
        <w:t>（三）</w:t>
      </w:r>
      <w:bookmarkEnd w:id="24"/>
      <w:r>
        <w:rPr>
          <w:rFonts w:hint="eastAsia" w:ascii="仿宋_GB2312" w:hAnsi="仿宋_GB2312" w:cs="仿宋_GB2312"/>
          <w:bCs/>
          <w:color w:val="000000" w:themeColor="text1"/>
          <w:highlight w:val="none"/>
          <w:u w:val="none"/>
          <w14:textFill>
            <w14:solidFill>
              <w14:schemeClr w14:val="tx1"/>
            </w14:solidFill>
          </w14:textFill>
        </w:rPr>
        <w:t>市、区两级存量公共租赁住房和企事业单位自建公共租赁住房由主管部门按照尊重历史、有序衔接的原则，结合实际情况实施管理。</w:t>
      </w:r>
    </w:p>
    <w:p>
      <w:pPr>
        <w:keepNext w:val="0"/>
        <w:keepLines w:val="0"/>
        <w:pageBreakBefore w:val="0"/>
        <w:widowControl w:val="0"/>
        <w:numPr>
          <w:ilvl w:val="2"/>
          <w:numId w:val="1"/>
        </w:numPr>
        <w:kinsoku/>
        <w:wordWrap/>
        <w:overflowPunct/>
        <w:topLinePunct w:val="0"/>
        <w:autoSpaceDE/>
        <w:autoSpaceDN/>
        <w:bidi w:val="0"/>
        <w:adjustRightInd/>
        <w:snapToGrid/>
        <w:spacing w:line="578" w:lineRule="exact"/>
        <w:ind w:firstLine="640"/>
        <w:textAlignment w:val="auto"/>
        <w:outlineLvl w:val="2"/>
        <w:rPr>
          <w:color w:val="000000" w:themeColor="text1"/>
          <w:u w:val="none"/>
          <w14:textFill>
            <w14:solidFill>
              <w14:schemeClr w14:val="tx1"/>
            </w14:solidFill>
          </w14:textFill>
        </w:rPr>
      </w:pP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黑体" w:hAnsi="黑体"/>
          <w:color w:val="000000" w:themeColor="text1"/>
          <w:highlight w:val="none"/>
          <w:u w:val="none"/>
          <w14:textFill>
            <w14:solidFill>
              <w14:schemeClr w14:val="tx1"/>
            </w14:solidFill>
          </w14:textFill>
        </w:rPr>
        <w:t>施行日期</w:t>
      </w:r>
      <w:r>
        <w:rPr>
          <w:rStyle w:val="11"/>
          <w:rFonts w:hint="eastAsia" w:ascii="仿宋_GB2312" w:eastAsia="仿宋_GB2312"/>
          <w:color w:val="000000" w:themeColor="text1"/>
          <w:highlight w:val="none"/>
          <w:u w:val="none"/>
          <w14:textFill>
            <w14:solidFill>
              <w14:schemeClr w14:val="tx1"/>
            </w14:solidFill>
          </w14:textFill>
        </w:rPr>
        <w:t>】</w:t>
      </w:r>
      <w:r>
        <w:rPr>
          <w:rStyle w:val="11"/>
          <w:rFonts w:hint="eastAsia" w:ascii="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本办法自</w:t>
      </w:r>
      <w:r>
        <w:rPr>
          <w:rFonts w:ascii="仿宋_GB2312" w:hAnsi="仿宋_GB2312"/>
          <w:color w:val="000000" w:themeColor="text1"/>
          <w:highlight w:val="none"/>
          <w:u w:val="none"/>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年</w:t>
      </w:r>
      <w:r>
        <w:rPr>
          <w:rFonts w:ascii="仿宋_GB2312" w:hAnsi="仿宋_GB2312"/>
          <w:color w:val="000000" w:themeColor="text1"/>
          <w:highlight w:val="none"/>
          <w:u w:val="none"/>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月</w:t>
      </w:r>
      <w:r>
        <w:rPr>
          <w:rFonts w:ascii="仿宋_GB2312" w:hAnsi="仿宋_GB2312"/>
          <w:color w:val="000000" w:themeColor="text1"/>
          <w:highlight w:val="none"/>
          <w:u w:val="none"/>
          <w14:textFill>
            <w14:solidFill>
              <w14:schemeClr w14:val="tx1"/>
            </w14:solidFill>
          </w14:textFill>
        </w:rPr>
        <w:t xml:space="preserve">  </w:t>
      </w:r>
      <w:r>
        <w:rPr>
          <w:rFonts w:hint="eastAsia" w:ascii="仿宋_GB2312" w:hAnsi="仿宋_GB2312"/>
          <w:color w:val="000000" w:themeColor="text1"/>
          <w:highlight w:val="none"/>
          <w:u w:val="none"/>
          <w14:textFill>
            <w14:solidFill>
              <w14:schemeClr w14:val="tx1"/>
            </w14:solidFill>
          </w14:textFill>
        </w:rPr>
        <w:t>日起施行。</w:t>
      </w:r>
      <w:bookmarkEnd w:id="1"/>
    </w:p>
    <w:p>
      <w:pPr>
        <w:pStyle w:val="2"/>
        <w:keepNext w:val="0"/>
        <w:keepLines w:val="0"/>
        <w:pageBreakBefore w:val="0"/>
        <w:widowControl w:val="0"/>
        <w:kinsoku/>
        <w:wordWrap/>
        <w:overflowPunct/>
        <w:topLinePunct w:val="0"/>
        <w:autoSpaceDE/>
        <w:autoSpaceDN/>
        <w:bidi w:val="0"/>
        <w:adjustRightInd/>
        <w:snapToGrid/>
        <w:spacing w:after="0" w:line="578" w:lineRule="exact"/>
        <w:ind w:firstLine="0" w:firstLineChars="0"/>
        <w:textAlignment w:val="auto"/>
      </w:pPr>
    </w:p>
    <w:p>
      <w:pPr>
        <w:pStyle w:val="2"/>
        <w:keepNext w:val="0"/>
        <w:keepLines w:val="0"/>
        <w:pageBreakBefore w:val="0"/>
        <w:widowControl w:val="0"/>
        <w:kinsoku/>
        <w:wordWrap/>
        <w:overflowPunct/>
        <w:topLinePunct w:val="0"/>
        <w:autoSpaceDE/>
        <w:autoSpaceDN/>
        <w:bidi w:val="0"/>
        <w:adjustRightInd/>
        <w:snapToGrid/>
        <w:spacing w:after="0" w:line="578" w:lineRule="exact"/>
        <w:ind w:firstLine="1600" w:firstLineChars="5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850" w:h="16783"/>
      <w:pgMar w:top="1701" w:right="1474" w:bottom="1701" w:left="1587" w:header="851" w:footer="992"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jc w:val="both"/>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0" w:firstLineChars="0"/>
                            <w:jc w:val="both"/>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sz w:val="28"/>
                              <w:szCs w:val="28"/>
                            </w:rPr>
                            <w:t xml:space="preserve"> 22 -</w:t>
                          </w:r>
                          <w:r>
                            <w:rPr>
                              <w:rFonts w:hint="eastAsia" w:ascii="仿宋_GB2312" w:eastAsia="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ind w:firstLine="0" w:firstLineChars="0"/>
                      <w:jc w:val="both"/>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sz w:val="28"/>
                        <w:szCs w:val="28"/>
                      </w:rPr>
                      <w:t xml:space="preserve"> 22 -</w:t>
                    </w:r>
                    <w:r>
                      <w:rPr>
                        <w:rFonts w:hint="eastAsia" w:ascii="仿宋_GB2312" w:eastAsia="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24652"/>
    <w:multiLevelType w:val="singleLevel"/>
    <w:tmpl w:val="BF124652"/>
    <w:lvl w:ilvl="0" w:tentative="0">
      <w:start w:val="1"/>
      <w:numFmt w:val="chineseCounting"/>
      <w:suff w:val="nothing"/>
      <w:lvlText w:val="（%1）"/>
      <w:lvlJc w:val="left"/>
      <w:rPr>
        <w:rFonts w:hint="eastAsia"/>
      </w:rPr>
    </w:lvl>
  </w:abstractNum>
  <w:abstractNum w:abstractNumId="1">
    <w:nsid w:val="6445F792"/>
    <w:multiLevelType w:val="multilevel"/>
    <w:tmpl w:val="6445F792"/>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w:lvlJc w:val="left"/>
      <w:pPr>
        <w:tabs>
          <w:tab w:val="left" w:pos="0"/>
        </w:tabs>
        <w:ind w:left="0" w:firstLine="402"/>
      </w:pPr>
      <w:rPr>
        <w:rFonts w:hint="eastAsia" w:ascii="宋体" w:hAnsi="宋体" w:eastAsia="黑体" w:cs="宋体"/>
        <w:sz w:val="32"/>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NmY5ZjcwYmUzNDJlOTJmNGY5MzI4YTdlZjY1OGEifQ=="/>
    <w:docVar w:name="KSO_WPS_MARK_KEY" w:val="1156622d-b172-4947-928a-63b7855d7a32"/>
  </w:docVars>
  <w:rsids>
    <w:rsidRoot w:val="04640C8D"/>
    <w:rsid w:val="00AD603C"/>
    <w:rsid w:val="01260D30"/>
    <w:rsid w:val="025D5B37"/>
    <w:rsid w:val="026278B7"/>
    <w:rsid w:val="02663ED7"/>
    <w:rsid w:val="02731D23"/>
    <w:rsid w:val="02C40969"/>
    <w:rsid w:val="02D03362"/>
    <w:rsid w:val="02DA1F3A"/>
    <w:rsid w:val="02E132C9"/>
    <w:rsid w:val="043F3054"/>
    <w:rsid w:val="04640C8D"/>
    <w:rsid w:val="04C25484"/>
    <w:rsid w:val="04C44C50"/>
    <w:rsid w:val="04DA7571"/>
    <w:rsid w:val="054F4E62"/>
    <w:rsid w:val="05C64978"/>
    <w:rsid w:val="05CD5D86"/>
    <w:rsid w:val="06190FCC"/>
    <w:rsid w:val="06B50CF4"/>
    <w:rsid w:val="06B55198"/>
    <w:rsid w:val="079E18B2"/>
    <w:rsid w:val="07A30A68"/>
    <w:rsid w:val="07CE011E"/>
    <w:rsid w:val="080E6350"/>
    <w:rsid w:val="095A5B83"/>
    <w:rsid w:val="097A6225"/>
    <w:rsid w:val="0A9E7CF1"/>
    <w:rsid w:val="0AE24082"/>
    <w:rsid w:val="0B352404"/>
    <w:rsid w:val="0B484DCA"/>
    <w:rsid w:val="0B6526B7"/>
    <w:rsid w:val="0B983AE7"/>
    <w:rsid w:val="0BF4388C"/>
    <w:rsid w:val="0CC60E0A"/>
    <w:rsid w:val="0D934957"/>
    <w:rsid w:val="0E440BB0"/>
    <w:rsid w:val="0ED4048E"/>
    <w:rsid w:val="0F9718DF"/>
    <w:rsid w:val="0FD61CDB"/>
    <w:rsid w:val="0FE763CC"/>
    <w:rsid w:val="102248A5"/>
    <w:rsid w:val="10867EF8"/>
    <w:rsid w:val="10DD04B0"/>
    <w:rsid w:val="11FA405D"/>
    <w:rsid w:val="1204112C"/>
    <w:rsid w:val="120C103E"/>
    <w:rsid w:val="12650523"/>
    <w:rsid w:val="1292638E"/>
    <w:rsid w:val="12D26317"/>
    <w:rsid w:val="13217712"/>
    <w:rsid w:val="139D6742"/>
    <w:rsid w:val="14315236"/>
    <w:rsid w:val="14904B4F"/>
    <w:rsid w:val="161517B0"/>
    <w:rsid w:val="16DB5A45"/>
    <w:rsid w:val="170A118C"/>
    <w:rsid w:val="17421926"/>
    <w:rsid w:val="17E91AD9"/>
    <w:rsid w:val="1800023D"/>
    <w:rsid w:val="187654AB"/>
    <w:rsid w:val="18B72424"/>
    <w:rsid w:val="19313669"/>
    <w:rsid w:val="19474AE2"/>
    <w:rsid w:val="199B1FCC"/>
    <w:rsid w:val="19B27315"/>
    <w:rsid w:val="1A8C4E48"/>
    <w:rsid w:val="1A9D5CC4"/>
    <w:rsid w:val="1AC94544"/>
    <w:rsid w:val="1AEE0821"/>
    <w:rsid w:val="1B6D1746"/>
    <w:rsid w:val="1B7B0307"/>
    <w:rsid w:val="1BDB2B53"/>
    <w:rsid w:val="1C1222ED"/>
    <w:rsid w:val="1D5472BC"/>
    <w:rsid w:val="1DAFFD79"/>
    <w:rsid w:val="1DC064A5"/>
    <w:rsid w:val="1DFC2602"/>
    <w:rsid w:val="1FC7498D"/>
    <w:rsid w:val="1FF7FE36"/>
    <w:rsid w:val="20034AD4"/>
    <w:rsid w:val="20A91472"/>
    <w:rsid w:val="20B40659"/>
    <w:rsid w:val="21760AEC"/>
    <w:rsid w:val="2186530F"/>
    <w:rsid w:val="21A41C3A"/>
    <w:rsid w:val="22146DBF"/>
    <w:rsid w:val="225E2230"/>
    <w:rsid w:val="227710FC"/>
    <w:rsid w:val="22B91715"/>
    <w:rsid w:val="22C32A7D"/>
    <w:rsid w:val="23AA7752"/>
    <w:rsid w:val="23B57EEF"/>
    <w:rsid w:val="24791BCC"/>
    <w:rsid w:val="24897B3B"/>
    <w:rsid w:val="24F904EE"/>
    <w:rsid w:val="255F65A3"/>
    <w:rsid w:val="256B071B"/>
    <w:rsid w:val="271D5562"/>
    <w:rsid w:val="272F69CE"/>
    <w:rsid w:val="27545EB0"/>
    <w:rsid w:val="278C3ACF"/>
    <w:rsid w:val="281C39D2"/>
    <w:rsid w:val="286E6AFD"/>
    <w:rsid w:val="293058CC"/>
    <w:rsid w:val="29B6791E"/>
    <w:rsid w:val="29E3101E"/>
    <w:rsid w:val="2A2C0A1E"/>
    <w:rsid w:val="2AD86A5A"/>
    <w:rsid w:val="2ADA2E19"/>
    <w:rsid w:val="2BF073D4"/>
    <w:rsid w:val="2BF437BD"/>
    <w:rsid w:val="2C1E35D9"/>
    <w:rsid w:val="2C482EB5"/>
    <w:rsid w:val="2C4867D1"/>
    <w:rsid w:val="2C5A1872"/>
    <w:rsid w:val="2C8E0EB2"/>
    <w:rsid w:val="2CFD06B6"/>
    <w:rsid w:val="2D0446E9"/>
    <w:rsid w:val="2D1078ED"/>
    <w:rsid w:val="2D2A7FBD"/>
    <w:rsid w:val="2D4542D1"/>
    <w:rsid w:val="2DDE2027"/>
    <w:rsid w:val="2E1A078F"/>
    <w:rsid w:val="2E690493"/>
    <w:rsid w:val="2F590507"/>
    <w:rsid w:val="315947EF"/>
    <w:rsid w:val="31BE28A4"/>
    <w:rsid w:val="33925D96"/>
    <w:rsid w:val="339D7EA2"/>
    <w:rsid w:val="345E5892"/>
    <w:rsid w:val="34FA0097"/>
    <w:rsid w:val="359611EB"/>
    <w:rsid w:val="3603457D"/>
    <w:rsid w:val="376F2575"/>
    <w:rsid w:val="37730EB2"/>
    <w:rsid w:val="386F25DF"/>
    <w:rsid w:val="38C64A6F"/>
    <w:rsid w:val="391D4E88"/>
    <w:rsid w:val="395B30CE"/>
    <w:rsid w:val="398E2459"/>
    <w:rsid w:val="39B34CB8"/>
    <w:rsid w:val="39C8220B"/>
    <w:rsid w:val="3B1310C0"/>
    <w:rsid w:val="3BB80364"/>
    <w:rsid w:val="3BBC7A73"/>
    <w:rsid w:val="3BF78277"/>
    <w:rsid w:val="3C7C1A98"/>
    <w:rsid w:val="3CF065A4"/>
    <w:rsid w:val="3D7F2524"/>
    <w:rsid w:val="3DB84972"/>
    <w:rsid w:val="3DF02037"/>
    <w:rsid w:val="3E150F71"/>
    <w:rsid w:val="3F0A7128"/>
    <w:rsid w:val="401966BE"/>
    <w:rsid w:val="40673917"/>
    <w:rsid w:val="412D09E5"/>
    <w:rsid w:val="416C40CA"/>
    <w:rsid w:val="41AA074E"/>
    <w:rsid w:val="41B96BE3"/>
    <w:rsid w:val="41BB295C"/>
    <w:rsid w:val="41C07FFC"/>
    <w:rsid w:val="421B164C"/>
    <w:rsid w:val="42D0226B"/>
    <w:rsid w:val="43630B30"/>
    <w:rsid w:val="44915BF6"/>
    <w:rsid w:val="44F8676B"/>
    <w:rsid w:val="453C3DB3"/>
    <w:rsid w:val="457F59E5"/>
    <w:rsid w:val="4596241B"/>
    <w:rsid w:val="45EE1552"/>
    <w:rsid w:val="46601D24"/>
    <w:rsid w:val="46EA7593"/>
    <w:rsid w:val="48A83A00"/>
    <w:rsid w:val="491D5CAA"/>
    <w:rsid w:val="495C23BF"/>
    <w:rsid w:val="49816184"/>
    <w:rsid w:val="49A563CB"/>
    <w:rsid w:val="4A02200B"/>
    <w:rsid w:val="4A7212D4"/>
    <w:rsid w:val="4AC36756"/>
    <w:rsid w:val="4BE11211"/>
    <w:rsid w:val="4BE8259F"/>
    <w:rsid w:val="4C1C049B"/>
    <w:rsid w:val="4D1F6539"/>
    <w:rsid w:val="4D6D5452"/>
    <w:rsid w:val="4E1C4782"/>
    <w:rsid w:val="504A0F0D"/>
    <w:rsid w:val="50B9275C"/>
    <w:rsid w:val="516F72BF"/>
    <w:rsid w:val="51FD4EFC"/>
    <w:rsid w:val="527F38F7"/>
    <w:rsid w:val="52D22367"/>
    <w:rsid w:val="53316F22"/>
    <w:rsid w:val="53C54C16"/>
    <w:rsid w:val="53F87A3F"/>
    <w:rsid w:val="550C3F15"/>
    <w:rsid w:val="55434C81"/>
    <w:rsid w:val="5572737D"/>
    <w:rsid w:val="558275C0"/>
    <w:rsid w:val="55E47B8A"/>
    <w:rsid w:val="57223ECA"/>
    <w:rsid w:val="576C3B76"/>
    <w:rsid w:val="57956898"/>
    <w:rsid w:val="582B2FC0"/>
    <w:rsid w:val="586079BB"/>
    <w:rsid w:val="58F44187"/>
    <w:rsid w:val="59341DDE"/>
    <w:rsid w:val="594E2740"/>
    <w:rsid w:val="598A2EE8"/>
    <w:rsid w:val="5A8758DB"/>
    <w:rsid w:val="5AF665BA"/>
    <w:rsid w:val="5B694D7F"/>
    <w:rsid w:val="5BE15701"/>
    <w:rsid w:val="5C3D2493"/>
    <w:rsid w:val="5C9969F1"/>
    <w:rsid w:val="5CB0427E"/>
    <w:rsid w:val="5D074AB3"/>
    <w:rsid w:val="5DD30A68"/>
    <w:rsid w:val="5DDE592F"/>
    <w:rsid w:val="5E056FE1"/>
    <w:rsid w:val="5E1436C8"/>
    <w:rsid w:val="5E1D25AE"/>
    <w:rsid w:val="5E453881"/>
    <w:rsid w:val="5EEE7AEA"/>
    <w:rsid w:val="5F1D024A"/>
    <w:rsid w:val="5F3C0373"/>
    <w:rsid w:val="60D34721"/>
    <w:rsid w:val="61E3552F"/>
    <w:rsid w:val="633645B4"/>
    <w:rsid w:val="634738A3"/>
    <w:rsid w:val="63950E07"/>
    <w:rsid w:val="63CFC181"/>
    <w:rsid w:val="63D74E09"/>
    <w:rsid w:val="64295F03"/>
    <w:rsid w:val="64695946"/>
    <w:rsid w:val="648F482B"/>
    <w:rsid w:val="64C51278"/>
    <w:rsid w:val="64C76E57"/>
    <w:rsid w:val="64D63485"/>
    <w:rsid w:val="64FDFDAE"/>
    <w:rsid w:val="658D71C3"/>
    <w:rsid w:val="65C77271"/>
    <w:rsid w:val="663A42F8"/>
    <w:rsid w:val="66916871"/>
    <w:rsid w:val="6692361E"/>
    <w:rsid w:val="66AF21DF"/>
    <w:rsid w:val="671458E7"/>
    <w:rsid w:val="684921C0"/>
    <w:rsid w:val="68EF2D67"/>
    <w:rsid w:val="69220CDF"/>
    <w:rsid w:val="69BF098B"/>
    <w:rsid w:val="6AD401AE"/>
    <w:rsid w:val="6B0A20DA"/>
    <w:rsid w:val="6B4037BE"/>
    <w:rsid w:val="6B610AC2"/>
    <w:rsid w:val="6BF455E1"/>
    <w:rsid w:val="6D1F7993"/>
    <w:rsid w:val="6D59C39A"/>
    <w:rsid w:val="6E034F06"/>
    <w:rsid w:val="6E3A3E78"/>
    <w:rsid w:val="6E4A6612"/>
    <w:rsid w:val="6E5E2248"/>
    <w:rsid w:val="6EAB238D"/>
    <w:rsid w:val="6EAE0FCF"/>
    <w:rsid w:val="6EBD37BA"/>
    <w:rsid w:val="6EE9068B"/>
    <w:rsid w:val="6EFA2466"/>
    <w:rsid w:val="6FF96E2B"/>
    <w:rsid w:val="704E2A69"/>
    <w:rsid w:val="70622071"/>
    <w:rsid w:val="717209D9"/>
    <w:rsid w:val="71E52F59"/>
    <w:rsid w:val="732B5247"/>
    <w:rsid w:val="745A5543"/>
    <w:rsid w:val="74802574"/>
    <w:rsid w:val="74E05C5A"/>
    <w:rsid w:val="76E032EC"/>
    <w:rsid w:val="76EA6E23"/>
    <w:rsid w:val="770E6AAE"/>
    <w:rsid w:val="78B43685"/>
    <w:rsid w:val="79551CB5"/>
    <w:rsid w:val="79B76AA6"/>
    <w:rsid w:val="79CE0777"/>
    <w:rsid w:val="7A573286"/>
    <w:rsid w:val="7A691C0E"/>
    <w:rsid w:val="7A832404"/>
    <w:rsid w:val="7AFFC118"/>
    <w:rsid w:val="7B073F40"/>
    <w:rsid w:val="7B7F2C98"/>
    <w:rsid w:val="7BAC2D3A"/>
    <w:rsid w:val="7C4B3E23"/>
    <w:rsid w:val="7C4E5B9F"/>
    <w:rsid w:val="7C69658B"/>
    <w:rsid w:val="7C6E6676"/>
    <w:rsid w:val="7C815F74"/>
    <w:rsid w:val="7D7358BD"/>
    <w:rsid w:val="7E062257"/>
    <w:rsid w:val="7E6E3B48"/>
    <w:rsid w:val="7E8458A8"/>
    <w:rsid w:val="7F7F5638"/>
    <w:rsid w:val="7FE0658A"/>
    <w:rsid w:val="9FCB18F2"/>
    <w:rsid w:val="BCFD5E02"/>
    <w:rsid w:val="BFFE43FF"/>
    <w:rsid w:val="D7FFB729"/>
    <w:rsid w:val="DF796604"/>
    <w:rsid w:val="DFDCA498"/>
    <w:rsid w:val="F2C5D8E4"/>
    <w:rsid w:val="F76CB0E8"/>
    <w:rsid w:val="FF12F291"/>
    <w:rsid w:val="FFFF5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link w:val="10"/>
    <w:qFormat/>
    <w:uiPriority w:val="0"/>
    <w:pPr>
      <w:keepNext/>
      <w:keepLines/>
      <w:spacing w:before="312" w:after="312"/>
      <w:jc w:val="center"/>
      <w:outlineLvl w:val="0"/>
    </w:pPr>
    <w:rPr>
      <w:rFonts w:ascii="Times New Roman" w:hAnsi="Times New Roman" w:eastAsia="黑体"/>
      <w:b/>
      <w:bCs/>
      <w:kern w:val="44"/>
      <w:szCs w:val="44"/>
    </w:rPr>
  </w:style>
  <w:style w:type="paragraph" w:styleId="5">
    <w:name w:val="heading 3"/>
    <w:basedOn w:val="1"/>
    <w:next w:val="1"/>
    <w:link w:val="11"/>
    <w:qFormat/>
    <w:uiPriority w:val="0"/>
    <w:pPr>
      <w:keepNext/>
      <w:keepLines/>
      <w:outlineLvl w:val="2"/>
    </w:pPr>
    <w:rPr>
      <w:rFonts w:eastAsia="黑体"/>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ind w:firstLine="100" w:firstLineChars="100"/>
    </w:pPr>
    <w:rPr>
      <w:rFonts w:eastAsia="文星简小标宋"/>
      <w:sz w:val="44"/>
      <w:szCs w:val="20"/>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10">
    <w:name w:val="标题 1 字符"/>
    <w:link w:val="4"/>
    <w:qFormat/>
    <w:uiPriority w:val="0"/>
    <w:rPr>
      <w:rFonts w:ascii="Times New Roman" w:hAnsi="Times New Roman" w:eastAsia="黑体"/>
      <w:b/>
      <w:bCs/>
      <w:kern w:val="44"/>
      <w:szCs w:val="44"/>
    </w:rPr>
  </w:style>
  <w:style w:type="character" w:customStyle="1" w:styleId="11">
    <w:name w:val="标题 3 字符"/>
    <w:link w:val="5"/>
    <w:qFormat/>
    <w:uiPriority w:val="0"/>
    <w:rPr>
      <w:rFonts w:eastAsia="黑体"/>
      <w:bCs/>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9896</Words>
  <Characters>9898</Characters>
  <Lines>0</Lines>
  <Paragraphs>0</Paragraphs>
  <TotalTime>23</TotalTime>
  <ScaleCrop>false</ScaleCrop>
  <LinksUpToDate>false</LinksUpToDate>
  <CharactersWithSpaces>10016</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2022-04-21T10:12:00Z</dcterms:created>
  <dc:creator>董远智</dc:creator>
  <cp:lastModifiedBy>CYH</cp:lastModifiedBy>
  <cp:lastPrinted>2023-01-15T17:20:00Z</cp:lastPrinted>
  <dcterms:modified xsi:type="dcterms:W3CDTF">2023-01-16T09:48:42Z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39E5D720EE66474D91D6260A172A95AC</vt:lpwstr>
  </property>
</Properties>
</file>