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firstLine="0" w:firstLineChars="0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0" w:firstLineChars="0"/>
        <w:textAlignment w:val="auto"/>
        <w:rPr>
          <w:rFonts w:ascii="宋体" w:hAnsi="宋体" w:cs="宋体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关于《深圳市公共租赁住房管理办法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）》的起草说明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8" w:lineRule="exact"/>
        <w:ind w:firstLine="0" w:firstLineChars="0"/>
        <w:textAlignment w:val="auto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全面贯彻党的二十大精神，深入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贯彻落实党中央、国务院关于加快建立多主体供给、多渠道保障、租购并举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住房制度的决策部署，完善我市住房保障体系，根据《公共租赁住房管理办法》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住房和城乡建设部令第11号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）、《住房和城乡建设部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国家发展改革委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财政部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自然资源部关于进一步规范发展公租房的意见》（建保〔2019〕55号）、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《深圳市保障性住房条例》等规定，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住房建设局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市司法局组织起草了《深圳市公共租赁住房管理办法（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征求意见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稿）》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以下简称《办法》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u w:val="none"/>
          <w14:textFill>
            <w14:solidFill>
              <w14:schemeClr w14:val="tx1"/>
            </w14:solidFill>
          </w14:textFill>
        </w:rPr>
        <w:t>现就有关情况说明如下：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0"/>
        <w:rPr>
          <w:rFonts w:hint="eastAsia" w:ascii="楷体" w:hAnsi="楷体" w:eastAsia="黑体" w:cs="楷体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一、起草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黑体" w:hAnsi="黑体" w:eastAsia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必要性</w:t>
      </w:r>
    </w:p>
    <w:p>
      <w:pPr>
        <w:spacing w:line="578" w:lineRule="exact"/>
        <w:ind w:firstLine="640"/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</w:pPr>
      <w:bookmarkStart w:id="0" w:name="_Hlk19133783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一是贯彻党中央、国务院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完善住房保障体系的决策部署，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落实</w:t>
      </w:r>
      <w:r>
        <w:rPr>
          <w:rFonts w:hint="eastAsia" w:ascii="仿宋_GB2312" w:hAnsi="仿宋_GB2312" w:cs="仿宋_GB2312"/>
          <w:color w:val="auto"/>
          <w:szCs w:val="32"/>
          <w:u w:val="none"/>
          <w:lang w:val="en-US" w:eastAsia="zh-CN"/>
        </w:rPr>
        <w:t>住房和城乡建设部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关于公共租赁住房管理的工作要求。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highlight w:val="none"/>
          <w:u w:val="none"/>
          <w:lang w:val="en-US" w:eastAsia="zh-CN"/>
        </w:rPr>
        <w:t>规范</w:t>
      </w:r>
      <w:r>
        <w:rPr>
          <w:rFonts w:hint="eastAsia" w:ascii="仿宋_GB2312" w:hAnsi="仿宋_GB2312" w:cs="仿宋_GB2312"/>
          <w:color w:val="auto"/>
          <w:kern w:val="2"/>
          <w:szCs w:val="32"/>
          <w:highlight w:val="none"/>
          <w:u w:val="none"/>
          <w:lang w:val="en-US" w:eastAsia="zh-CN"/>
        </w:rPr>
        <w:t>公共租赁住房</w:t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highlight w:val="none"/>
          <w:u w:val="none"/>
          <w:lang w:val="en-US" w:eastAsia="zh-CN"/>
        </w:rPr>
        <w:t>轮候</w:t>
      </w:r>
      <w:r>
        <w:rPr>
          <w:rFonts w:hint="eastAsia" w:ascii="仿宋_GB2312" w:hAnsi="仿宋_GB2312" w:cs="仿宋_GB2312"/>
          <w:color w:val="auto"/>
          <w:kern w:val="2"/>
          <w:szCs w:val="32"/>
          <w:highlight w:val="none"/>
          <w:u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highlight w:val="none"/>
          <w:u w:val="none"/>
          <w:lang w:val="en-US" w:eastAsia="zh-CN"/>
        </w:rPr>
        <w:t>配</w:t>
      </w:r>
      <w:r>
        <w:rPr>
          <w:rFonts w:hint="eastAsia" w:ascii="仿宋_GB2312" w:hAnsi="仿宋_GB2312" w:cs="仿宋_GB2312"/>
          <w:color w:val="auto"/>
          <w:kern w:val="2"/>
          <w:szCs w:val="32"/>
          <w:highlight w:val="none"/>
          <w:u w:val="none"/>
          <w:lang w:val="en-US" w:eastAsia="zh-CN"/>
        </w:rPr>
        <w:t>租</w:t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cs="仿宋_GB2312"/>
          <w:color w:val="auto"/>
          <w:sz w:val="32"/>
          <w:highlight w:val="none"/>
          <w:u w:val="none"/>
          <w:lang w:val="en-US" w:eastAsia="zh-CN"/>
        </w:rPr>
        <w:t>租后管理、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监督管理</w:t>
      </w:r>
      <w:r>
        <w:rPr>
          <w:rFonts w:hint="eastAsia" w:ascii="仿宋_GB2312" w:hAnsi="仿宋_GB2312" w:eastAsia="仿宋_GB2312" w:cs="仿宋_GB2312"/>
          <w:color w:val="auto"/>
          <w:kern w:val="2"/>
          <w:szCs w:val="32"/>
          <w:highlight w:val="none"/>
          <w:u w:val="none"/>
          <w:lang w:val="en-US" w:eastAsia="zh-CN"/>
        </w:rPr>
        <w:t>等活动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/>
        <w:textAlignment w:val="auto"/>
        <w:outlineLvl w:val="0"/>
        <w:rPr>
          <w:rFonts w:hint="eastAsia" w:ascii="黑体" w:hAnsi="黑体" w:eastAsia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主要内容</w:t>
      </w:r>
    </w:p>
    <w:p>
      <w:pPr>
        <w:pStyle w:val="2"/>
        <w:numPr>
          <w:ilvl w:val="255"/>
          <w:numId w:val="0"/>
        </w:numPr>
        <w:adjustRightInd w:val="0"/>
        <w:snapToGrid w:val="0"/>
        <w:spacing w:after="0" w:line="578" w:lineRule="exact"/>
        <w:ind w:firstLine="640"/>
        <w:jc w:val="left"/>
        <w:outlineLvl w:val="0"/>
        <w:rPr>
          <w:rFonts w:hint="eastAsia" w:ascii="仿宋_GB2312" w:hAnsi="仿宋_GB2312" w:eastAsia="仿宋_GB2312" w:cs="仿宋_GB2312"/>
          <w:color w:val="auto"/>
          <w:sz w:val="32"/>
          <w:highlight w:val="yellow"/>
          <w:u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办法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共</w:t>
      </w:r>
      <w:r>
        <w:rPr>
          <w:rFonts w:hint="eastAsia" w:ascii="仿宋_GB2312" w:hAnsi="仿宋_GB2312" w:cs="仿宋_GB2312"/>
          <w:color w:val="auto"/>
          <w:sz w:val="32"/>
          <w:highlight w:val="none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章</w:t>
      </w:r>
      <w:r>
        <w:rPr>
          <w:rFonts w:hint="eastAsia" w:ascii="仿宋_GB2312" w:hAnsi="仿宋_GB2312" w:cs="仿宋_GB2312"/>
          <w:color w:val="auto"/>
          <w:sz w:val="32"/>
          <w:highlight w:val="none"/>
          <w:u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十一条，包括总则、</w:t>
      </w:r>
      <w:r>
        <w:rPr>
          <w:rFonts w:hint="eastAsia" w:ascii="仿宋_GB2312" w:hAnsi="仿宋_GB2312" w:cs="仿宋_GB2312"/>
          <w:color w:val="auto"/>
          <w:sz w:val="32"/>
          <w:highlight w:val="none"/>
          <w:u w:val="none"/>
          <w:lang w:val="en-US" w:eastAsia="zh-CN"/>
        </w:rPr>
        <w:t>轮候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与</w:t>
      </w:r>
      <w:r>
        <w:rPr>
          <w:rFonts w:hint="eastAsia" w:ascii="仿宋_GB2312" w:hAnsi="仿宋_GB2312" w:cs="仿宋_GB2312"/>
          <w:color w:val="auto"/>
          <w:sz w:val="32"/>
          <w:highlight w:val="none"/>
          <w:u w:val="none"/>
          <w:lang w:val="en-US" w:eastAsia="zh-CN"/>
        </w:rPr>
        <w:t>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租、</w:t>
      </w:r>
      <w:r>
        <w:rPr>
          <w:rFonts w:hint="eastAsia" w:ascii="仿宋_GB2312" w:hAnsi="仿宋_GB2312" w:cs="仿宋_GB2312"/>
          <w:color w:val="auto"/>
          <w:sz w:val="32"/>
          <w:highlight w:val="none"/>
          <w:u w:val="none"/>
          <w:lang w:val="en-US" w:eastAsia="zh-CN"/>
        </w:rPr>
        <w:t>租后管理、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监督管理、法律责任及附则。主要内容如下：</w:t>
      </w:r>
    </w:p>
    <w:p>
      <w:pPr>
        <w:pStyle w:val="2"/>
        <w:numPr>
          <w:ilvl w:val="255"/>
          <w:numId w:val="0"/>
        </w:numPr>
        <w:adjustRightInd w:val="0"/>
        <w:snapToGrid w:val="0"/>
        <w:spacing w:after="0" w:line="578" w:lineRule="exact"/>
        <w:ind w:firstLine="640"/>
        <w:jc w:val="left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保障对象</w:t>
      </w:r>
    </w:p>
    <w:p>
      <w:pPr>
        <w:numPr>
          <w:ilvl w:val="-1"/>
          <w:numId w:val="0"/>
        </w:numPr>
        <w:spacing w:line="578" w:lineRule="exac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公共租赁住房</w:t>
      </w:r>
      <w:r>
        <w:rPr>
          <w:rFonts w:hint="eastAsia" w:ascii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保障对象主要包括</w:t>
      </w:r>
      <w:r>
        <w:rPr>
          <w:rFonts w:hint="eastAsia" w:ascii="仿宋_GB2312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符合条件的住房困难户籍居民</w:t>
      </w:r>
      <w:r>
        <w:rPr>
          <w:rFonts w:hint="eastAsia" w:ascii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为社会提供基本公共服务的一线职工</w:t>
      </w:r>
      <w:r>
        <w:rPr>
          <w:rFonts w:hint="eastAsia" w:ascii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78" w:lineRule="exact"/>
        <w:ind w:firstLine="643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申请条件</w:t>
      </w:r>
    </w:p>
    <w:p>
      <w:pPr>
        <w:widowControl w:val="0"/>
        <w:tabs>
          <w:tab w:val="left" w:pos="640"/>
        </w:tabs>
        <w:spacing w:line="578" w:lineRule="exact"/>
        <w:ind w:firstLine="643"/>
        <w:outlineLvl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申请条件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深户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在深缴纳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社保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满3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、无自有住房、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收入财产限额、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未正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在本市和国内其他地区享受住房保障优惠政策等；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/>
          <w14:textFill>
            <w14:solidFill>
              <w14:schemeClr w14:val="tx1"/>
            </w14:solidFill>
          </w14:textFill>
        </w:rPr>
        <w:t>面向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符合条件的公交、环卫等为社会提供基本公共服务的一线职工定向配租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，户籍、财产限额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等条件适当放宽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收入财产限额标准由市发展改革委划定</w:t>
      </w:r>
      <w:r>
        <w:rPr>
          <w:rFonts w:hint="eastAsia"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tabs>
          <w:tab w:val="left" w:pos="640"/>
        </w:tabs>
        <w:spacing w:line="578" w:lineRule="exact"/>
        <w:ind w:firstLine="643"/>
        <w:outlineLvl w:val="2"/>
        <w:rPr>
          <w:rFonts w:hint="default" w:ascii="仿宋_GB2312" w:hAnsi="仿宋_GB2312" w:eastAsia="楷体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租金标准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公共租赁住房租金按照市场参考租金的30%左右确定。面向特困人员、低保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低保边缘家庭配租的，租金按照市场参考租金的3%左右确定。</w:t>
      </w:r>
    </w:p>
    <w:p>
      <w:pPr>
        <w:spacing w:line="578" w:lineRule="exact"/>
        <w:ind w:firstLine="643"/>
        <w:rPr>
          <w:rFonts w:hint="eastAsia" w:ascii="仿宋_GB2312" w:hAnsi="仿宋_GB2312" w:eastAsia="楷体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特殊家庭的优先优惠政策</w:t>
      </w:r>
    </w:p>
    <w:p>
      <w:pPr>
        <w:spacing w:line="578" w:lineRule="exact"/>
        <w:rPr>
          <w:rFonts w:hint="eastAsia" w:ascii="仿宋_GB2312" w:hAnsi="Times New Roman" w:eastAsia="仿宋_GB2312" w:cs="Times New Roman"/>
          <w:bCs/>
          <w:sz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根据现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法律法规及国家、省、市有关政策，对退役军人、残疾人、因公殉职基层干部家属、见义勇为人员、道德模范、消防救援人员等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特殊家庭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，分类设置了相应的优先优惠政策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包括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/>
          <w14:textFill>
            <w14:solidFill>
              <w14:schemeClr w14:val="tx1"/>
            </w14:solidFill>
          </w14:textFill>
        </w:rPr>
        <w:t>放宽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条件、优先选房、定向配租、租金减免等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spacing w:line="578" w:lineRule="exact"/>
        <w:ind w:firstLine="643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落实积极生育支持措施</w:t>
      </w:r>
    </w:p>
    <w:p>
      <w:pPr>
        <w:widowControl w:val="0"/>
        <w:tabs>
          <w:tab w:val="left" w:pos="640"/>
        </w:tabs>
        <w:spacing w:line="578" w:lineRule="exact"/>
        <w:ind w:firstLine="64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根据国家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卫健委等部委《关于进一步完善和落实积极生育支持措施的指导意见》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的有关要求，《办法》对有三个以上未成年子女家庭提供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放宽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条件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户型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适当照顾、优先选房、定向配租等优惠政策。</w:t>
      </w:r>
    </w:p>
    <w:p>
      <w:pPr>
        <w:pStyle w:val="2"/>
        <w:numPr>
          <w:ilvl w:val="-1"/>
          <w:numId w:val="0"/>
        </w:numPr>
        <w:adjustRightInd w:val="0"/>
        <w:snapToGrid w:val="0"/>
        <w:spacing w:after="0" w:line="578" w:lineRule="exact"/>
        <w:ind w:firstLine="640"/>
        <w:jc w:val="left"/>
        <w:outlineLvl w:val="0"/>
        <w:rPr>
          <w:rFonts w:hint="eastAsia" w:ascii="楷体_GB2312" w:hAnsi="楷体" w:eastAsia="楷体_GB2312" w:cs="楷体"/>
          <w:bCs w:val="0"/>
          <w:color w:val="000000" w:themeColor="text1"/>
          <w:kern w:val="2"/>
          <w:sz w:val="32"/>
          <w:szCs w:val="36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"/>
          <w:color w:val="000000" w:themeColor="text1"/>
          <w:sz w:val="32"/>
          <w:szCs w:val="3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（六）关于住房使用和监督管理</w:t>
      </w:r>
    </w:p>
    <w:p>
      <w:pPr>
        <w:spacing w:line="578" w:lineRule="exact"/>
        <w:ind w:firstLine="640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承租个人和单位应当按照规定使用住房，不得有擅自转租、互换、改建住房等违法违规行为。</w:t>
      </w:r>
      <w:r>
        <w:rPr>
          <w:rFonts w:hint="eastAsia" w:ascii="Calibri" w:hAnsi="Calibri" w:eastAsia="仿宋_GB2312" w:cs="Times New Roman"/>
          <w:i w:val="0"/>
          <w:iCs w:val="0"/>
          <w:caps w:val="0"/>
          <w:color w:val="auto"/>
          <w:spacing w:val="0"/>
          <w:sz w:val="32"/>
          <w:szCs w:val="22"/>
          <w:highlight w:val="none"/>
          <w:u w:val="none"/>
        </w:rPr>
        <w:t>对于个人</w:t>
      </w:r>
      <w:r>
        <w:rPr>
          <w:rFonts w:hint="eastAsia" w:ascii="Calibri" w:hAnsi="Calibri" w:cs="Times New Roman"/>
          <w:i w:val="0"/>
          <w:iCs w:val="0"/>
          <w:caps w:val="0"/>
          <w:color w:val="auto"/>
          <w:spacing w:val="0"/>
          <w:sz w:val="32"/>
          <w:szCs w:val="22"/>
          <w:highlight w:val="none"/>
          <w:u w:val="none"/>
          <w:lang w:eastAsia="zh-CN"/>
        </w:rPr>
        <w:t>、</w:t>
      </w:r>
      <w:r>
        <w:rPr>
          <w:rFonts w:hint="eastAsia" w:ascii="Calibri" w:hAnsi="Calibri" w:cs="Times New Roman"/>
          <w:i w:val="0"/>
          <w:iCs w:val="0"/>
          <w:caps w:val="0"/>
          <w:color w:val="auto"/>
          <w:spacing w:val="0"/>
          <w:sz w:val="32"/>
          <w:szCs w:val="22"/>
          <w:highlight w:val="none"/>
          <w:u w:val="none"/>
          <w:lang w:val="en-US" w:eastAsia="zh-CN"/>
        </w:rPr>
        <w:t>用人单位及房地产经纪机构等各类主体存在违法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22"/>
          <w:highlight w:val="none"/>
          <w:u w:val="none"/>
          <w:lang w:val="en-US" w:eastAsia="zh-CN"/>
        </w:rPr>
        <w:t>违规</w:t>
      </w:r>
      <w:r>
        <w:rPr>
          <w:rFonts w:hint="eastAsia" w:ascii="Calibri" w:hAnsi="Calibri" w:cs="Times New Roman"/>
          <w:i w:val="0"/>
          <w:iCs w:val="0"/>
          <w:caps w:val="0"/>
          <w:color w:val="auto"/>
          <w:spacing w:val="0"/>
          <w:sz w:val="32"/>
          <w:szCs w:val="22"/>
          <w:highlight w:val="none"/>
          <w:u w:val="none"/>
          <w:lang w:val="en-US" w:eastAsia="zh-CN"/>
        </w:rPr>
        <w:t>行为的，通过责令限期改正、罚款</w:t>
      </w:r>
      <w:r>
        <w:rPr>
          <w:rFonts w:hint="eastAsia" w:ascii="Calibri" w:hAnsi="Calibri" w:cs="Times New Roman"/>
          <w:bCs w:val="0"/>
          <w:color w:val="auto"/>
          <w:szCs w:val="22"/>
          <w:highlight w:val="none"/>
          <w:u w:val="none"/>
          <w:lang w:val="en-US" w:eastAsia="zh-CN"/>
        </w:rPr>
        <w:t>等多种方式加以约束，</w:t>
      </w:r>
      <w:r>
        <w:rPr>
          <w:rFonts w:hint="eastAsia" w:ascii="Calibri" w:eastAsia="仿宋_GB2312"/>
          <w:color w:val="auto"/>
          <w:highlight w:val="none"/>
          <w:u w:val="none"/>
          <w:lang w:val="en-US" w:eastAsia="zh-CN"/>
        </w:rPr>
        <w:t>促进公共租赁住房的公平善用</w:t>
      </w:r>
      <w:r>
        <w:rPr>
          <w:rFonts w:hint="eastAsia"/>
          <w:color w:val="auto"/>
          <w:highlight w:val="none"/>
          <w:u w:val="none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78" w:lineRule="exact"/>
        <w:ind w:firstLine="640" w:firstLineChars="200"/>
        <w:textAlignment w:val="auto"/>
        <w:outlineLvl w:val="1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特此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说明。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850" w:h="16783"/>
      <w:pgMar w:top="1701" w:right="1474" w:bottom="1701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jc w:val="both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jc w:val="both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  <w:jc w:val="both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NmY5ZjcwYmUzNDJlOTJmNGY5MzI4YTdlZjY1OGEifQ=="/>
    <w:docVar w:name="KSO_WPS_MARK_KEY" w:val="6cad05d0-d955-4245-9bf6-1063cfb2d11c"/>
  </w:docVars>
  <w:rsids>
    <w:rsidRoot w:val="04640C8D"/>
    <w:rsid w:val="000871A4"/>
    <w:rsid w:val="00AD603C"/>
    <w:rsid w:val="011F2E64"/>
    <w:rsid w:val="01260D30"/>
    <w:rsid w:val="025D5B37"/>
    <w:rsid w:val="026278B7"/>
    <w:rsid w:val="02663ED7"/>
    <w:rsid w:val="02731D23"/>
    <w:rsid w:val="02C40969"/>
    <w:rsid w:val="02D03362"/>
    <w:rsid w:val="02DA1F3A"/>
    <w:rsid w:val="02E132C9"/>
    <w:rsid w:val="03082F4B"/>
    <w:rsid w:val="043F3054"/>
    <w:rsid w:val="04640C8D"/>
    <w:rsid w:val="048E669B"/>
    <w:rsid w:val="04C25484"/>
    <w:rsid w:val="04C44C50"/>
    <w:rsid w:val="04CE7512"/>
    <w:rsid w:val="04DA7571"/>
    <w:rsid w:val="054F4E62"/>
    <w:rsid w:val="05C64978"/>
    <w:rsid w:val="05CD5D86"/>
    <w:rsid w:val="06190FCC"/>
    <w:rsid w:val="06B50CF4"/>
    <w:rsid w:val="06B55198"/>
    <w:rsid w:val="07957E07"/>
    <w:rsid w:val="079B69C0"/>
    <w:rsid w:val="079E18B2"/>
    <w:rsid w:val="07A30A68"/>
    <w:rsid w:val="07CE011E"/>
    <w:rsid w:val="080E6350"/>
    <w:rsid w:val="095A5B83"/>
    <w:rsid w:val="097A6225"/>
    <w:rsid w:val="09F621B3"/>
    <w:rsid w:val="09FD23D4"/>
    <w:rsid w:val="0A9E7CF1"/>
    <w:rsid w:val="0AE24082"/>
    <w:rsid w:val="0B186D9C"/>
    <w:rsid w:val="0B234B3E"/>
    <w:rsid w:val="0B352404"/>
    <w:rsid w:val="0B484DCA"/>
    <w:rsid w:val="0B4E58C0"/>
    <w:rsid w:val="0B6526B7"/>
    <w:rsid w:val="0B983AE7"/>
    <w:rsid w:val="0BF4388C"/>
    <w:rsid w:val="0CC60E0A"/>
    <w:rsid w:val="0D934957"/>
    <w:rsid w:val="0E440BB0"/>
    <w:rsid w:val="0ED4048E"/>
    <w:rsid w:val="0EDD4F42"/>
    <w:rsid w:val="0F4277E5"/>
    <w:rsid w:val="0F9718DF"/>
    <w:rsid w:val="0FD61CDB"/>
    <w:rsid w:val="0FE763CC"/>
    <w:rsid w:val="10867EF8"/>
    <w:rsid w:val="10DD04B0"/>
    <w:rsid w:val="11FA405D"/>
    <w:rsid w:val="1204112C"/>
    <w:rsid w:val="120C103E"/>
    <w:rsid w:val="12650523"/>
    <w:rsid w:val="1292638E"/>
    <w:rsid w:val="12D26317"/>
    <w:rsid w:val="12FB0B78"/>
    <w:rsid w:val="13000321"/>
    <w:rsid w:val="13217712"/>
    <w:rsid w:val="139D6742"/>
    <w:rsid w:val="14904B4F"/>
    <w:rsid w:val="161517B0"/>
    <w:rsid w:val="16BF171B"/>
    <w:rsid w:val="16DB5A45"/>
    <w:rsid w:val="170A118C"/>
    <w:rsid w:val="17421926"/>
    <w:rsid w:val="17E91AD9"/>
    <w:rsid w:val="1800023D"/>
    <w:rsid w:val="187654AB"/>
    <w:rsid w:val="18B72424"/>
    <w:rsid w:val="19313669"/>
    <w:rsid w:val="19474AE2"/>
    <w:rsid w:val="199B1FCC"/>
    <w:rsid w:val="19B27315"/>
    <w:rsid w:val="1A8C4E48"/>
    <w:rsid w:val="1A9D5CC4"/>
    <w:rsid w:val="1AC94544"/>
    <w:rsid w:val="1AEE0821"/>
    <w:rsid w:val="1B6D1746"/>
    <w:rsid w:val="1BDB2B53"/>
    <w:rsid w:val="1C1222ED"/>
    <w:rsid w:val="1CDF6673"/>
    <w:rsid w:val="1D5472BC"/>
    <w:rsid w:val="1DAFFD79"/>
    <w:rsid w:val="1DC064A5"/>
    <w:rsid w:val="1DEC34CC"/>
    <w:rsid w:val="1E0D224B"/>
    <w:rsid w:val="1FC7498D"/>
    <w:rsid w:val="1FF7FE36"/>
    <w:rsid w:val="20034AD4"/>
    <w:rsid w:val="20A91472"/>
    <w:rsid w:val="20B40659"/>
    <w:rsid w:val="2116462E"/>
    <w:rsid w:val="215246EB"/>
    <w:rsid w:val="21760AEC"/>
    <w:rsid w:val="2186530F"/>
    <w:rsid w:val="219D6234"/>
    <w:rsid w:val="21A41C3A"/>
    <w:rsid w:val="22146DBF"/>
    <w:rsid w:val="225E2230"/>
    <w:rsid w:val="227710FC"/>
    <w:rsid w:val="22B91715"/>
    <w:rsid w:val="22C32A7D"/>
    <w:rsid w:val="23AA7752"/>
    <w:rsid w:val="23B57EEF"/>
    <w:rsid w:val="24791BCC"/>
    <w:rsid w:val="24897B3B"/>
    <w:rsid w:val="255F65A3"/>
    <w:rsid w:val="256B071B"/>
    <w:rsid w:val="269B2A1E"/>
    <w:rsid w:val="271D5562"/>
    <w:rsid w:val="272F69CE"/>
    <w:rsid w:val="27545EB0"/>
    <w:rsid w:val="278C3ACF"/>
    <w:rsid w:val="281C39D2"/>
    <w:rsid w:val="286E6AFD"/>
    <w:rsid w:val="29064D40"/>
    <w:rsid w:val="2923252E"/>
    <w:rsid w:val="29B6791E"/>
    <w:rsid w:val="29C15A7E"/>
    <w:rsid w:val="29E3101E"/>
    <w:rsid w:val="2A2C0A1E"/>
    <w:rsid w:val="2AD86A5A"/>
    <w:rsid w:val="2ADA2E19"/>
    <w:rsid w:val="2B0C44FA"/>
    <w:rsid w:val="2B9B68F3"/>
    <w:rsid w:val="2BF073D4"/>
    <w:rsid w:val="2BF437BD"/>
    <w:rsid w:val="2C1E35D9"/>
    <w:rsid w:val="2C482EB5"/>
    <w:rsid w:val="2C4867D1"/>
    <w:rsid w:val="2C5A1872"/>
    <w:rsid w:val="2C8E0EB2"/>
    <w:rsid w:val="2CFD06B6"/>
    <w:rsid w:val="2D0446E9"/>
    <w:rsid w:val="2D2A7FBD"/>
    <w:rsid w:val="2D4542D1"/>
    <w:rsid w:val="2DDE2027"/>
    <w:rsid w:val="2E1A078F"/>
    <w:rsid w:val="2E690493"/>
    <w:rsid w:val="2F590507"/>
    <w:rsid w:val="30896F9D"/>
    <w:rsid w:val="315947EF"/>
    <w:rsid w:val="31BE28A4"/>
    <w:rsid w:val="32411E3B"/>
    <w:rsid w:val="33925D96"/>
    <w:rsid w:val="339D7EA2"/>
    <w:rsid w:val="345E5892"/>
    <w:rsid w:val="34757B91"/>
    <w:rsid w:val="34EC7089"/>
    <w:rsid w:val="34FA0097"/>
    <w:rsid w:val="359611EB"/>
    <w:rsid w:val="3603457D"/>
    <w:rsid w:val="36636652"/>
    <w:rsid w:val="370074BA"/>
    <w:rsid w:val="37126CD9"/>
    <w:rsid w:val="376F2575"/>
    <w:rsid w:val="37730EB2"/>
    <w:rsid w:val="386F25DF"/>
    <w:rsid w:val="38C64A6F"/>
    <w:rsid w:val="38D2410D"/>
    <w:rsid w:val="391D4E88"/>
    <w:rsid w:val="395B30CE"/>
    <w:rsid w:val="398E2459"/>
    <w:rsid w:val="39B34CB8"/>
    <w:rsid w:val="39C8220B"/>
    <w:rsid w:val="3A6164C2"/>
    <w:rsid w:val="3AA43829"/>
    <w:rsid w:val="3B0652C3"/>
    <w:rsid w:val="3B1310C0"/>
    <w:rsid w:val="3BA06BE5"/>
    <w:rsid w:val="3BB80364"/>
    <w:rsid w:val="3BBC7A73"/>
    <w:rsid w:val="3BF78277"/>
    <w:rsid w:val="3C0D06AF"/>
    <w:rsid w:val="3C5467DE"/>
    <w:rsid w:val="3C7C1A98"/>
    <w:rsid w:val="3CF065A4"/>
    <w:rsid w:val="3D346BE7"/>
    <w:rsid w:val="3D7F2524"/>
    <w:rsid w:val="3DB84972"/>
    <w:rsid w:val="3DF02037"/>
    <w:rsid w:val="3E150F71"/>
    <w:rsid w:val="3F0A7128"/>
    <w:rsid w:val="400E171C"/>
    <w:rsid w:val="401966BE"/>
    <w:rsid w:val="40673917"/>
    <w:rsid w:val="409E7C32"/>
    <w:rsid w:val="411A1543"/>
    <w:rsid w:val="416C40CA"/>
    <w:rsid w:val="41AA074E"/>
    <w:rsid w:val="41B96BE3"/>
    <w:rsid w:val="41BB295C"/>
    <w:rsid w:val="41C07FFC"/>
    <w:rsid w:val="421B164C"/>
    <w:rsid w:val="42D0226B"/>
    <w:rsid w:val="43630B30"/>
    <w:rsid w:val="44915BF6"/>
    <w:rsid w:val="44F8676B"/>
    <w:rsid w:val="453C3DB3"/>
    <w:rsid w:val="457F59E5"/>
    <w:rsid w:val="4596241B"/>
    <w:rsid w:val="45EE1552"/>
    <w:rsid w:val="46601D24"/>
    <w:rsid w:val="46EA7593"/>
    <w:rsid w:val="46ED1809"/>
    <w:rsid w:val="48A83A00"/>
    <w:rsid w:val="491D5CAA"/>
    <w:rsid w:val="495C23BF"/>
    <w:rsid w:val="49816184"/>
    <w:rsid w:val="49A563CB"/>
    <w:rsid w:val="4A02200B"/>
    <w:rsid w:val="4A743F6F"/>
    <w:rsid w:val="4AC36756"/>
    <w:rsid w:val="4AD91C8C"/>
    <w:rsid w:val="4BE11211"/>
    <w:rsid w:val="4BE8259F"/>
    <w:rsid w:val="4C07336D"/>
    <w:rsid w:val="4C1C049B"/>
    <w:rsid w:val="4D1F6539"/>
    <w:rsid w:val="4D295A86"/>
    <w:rsid w:val="4D6D5452"/>
    <w:rsid w:val="4E1C4782"/>
    <w:rsid w:val="4E41432D"/>
    <w:rsid w:val="4E796078"/>
    <w:rsid w:val="4E797E26"/>
    <w:rsid w:val="504A0F0D"/>
    <w:rsid w:val="50752EA8"/>
    <w:rsid w:val="50B9275C"/>
    <w:rsid w:val="516F72BF"/>
    <w:rsid w:val="51FD4EFC"/>
    <w:rsid w:val="527F38F7"/>
    <w:rsid w:val="52D22367"/>
    <w:rsid w:val="53316F22"/>
    <w:rsid w:val="53C54C16"/>
    <w:rsid w:val="53F87A3F"/>
    <w:rsid w:val="550C3F15"/>
    <w:rsid w:val="55434C81"/>
    <w:rsid w:val="5572737D"/>
    <w:rsid w:val="558275C0"/>
    <w:rsid w:val="55DA328E"/>
    <w:rsid w:val="55E47B8A"/>
    <w:rsid w:val="57223ECA"/>
    <w:rsid w:val="576C3B76"/>
    <w:rsid w:val="57956898"/>
    <w:rsid w:val="582B2FC0"/>
    <w:rsid w:val="586079BB"/>
    <w:rsid w:val="58F44187"/>
    <w:rsid w:val="59341DDE"/>
    <w:rsid w:val="594E2740"/>
    <w:rsid w:val="598A2EE8"/>
    <w:rsid w:val="5A40568A"/>
    <w:rsid w:val="5A8758DB"/>
    <w:rsid w:val="5AF665BA"/>
    <w:rsid w:val="5B1F3B03"/>
    <w:rsid w:val="5B694D7F"/>
    <w:rsid w:val="5BE15701"/>
    <w:rsid w:val="5C3D2493"/>
    <w:rsid w:val="5C515F3F"/>
    <w:rsid w:val="5C943AD1"/>
    <w:rsid w:val="5CB0427E"/>
    <w:rsid w:val="5D074AB3"/>
    <w:rsid w:val="5DD30A68"/>
    <w:rsid w:val="5DDE592F"/>
    <w:rsid w:val="5E056FE1"/>
    <w:rsid w:val="5E1436C8"/>
    <w:rsid w:val="5E1D25AE"/>
    <w:rsid w:val="5E453881"/>
    <w:rsid w:val="5EEE7AEA"/>
    <w:rsid w:val="5F1D024A"/>
    <w:rsid w:val="5F3C0373"/>
    <w:rsid w:val="60116FD5"/>
    <w:rsid w:val="60D34721"/>
    <w:rsid w:val="61C63E47"/>
    <w:rsid w:val="61DF1875"/>
    <w:rsid w:val="61E3552F"/>
    <w:rsid w:val="634738A3"/>
    <w:rsid w:val="63950E07"/>
    <w:rsid w:val="63CFC181"/>
    <w:rsid w:val="63D74E09"/>
    <w:rsid w:val="64295F03"/>
    <w:rsid w:val="64695946"/>
    <w:rsid w:val="648F482B"/>
    <w:rsid w:val="64C51278"/>
    <w:rsid w:val="64C76E57"/>
    <w:rsid w:val="64D63485"/>
    <w:rsid w:val="64FDFDAE"/>
    <w:rsid w:val="658D71C3"/>
    <w:rsid w:val="65C77271"/>
    <w:rsid w:val="663A42F8"/>
    <w:rsid w:val="66746896"/>
    <w:rsid w:val="66860B55"/>
    <w:rsid w:val="66916871"/>
    <w:rsid w:val="6692361E"/>
    <w:rsid w:val="66AF21DF"/>
    <w:rsid w:val="684921C0"/>
    <w:rsid w:val="68531405"/>
    <w:rsid w:val="68EF2D67"/>
    <w:rsid w:val="69220CDF"/>
    <w:rsid w:val="69BF098B"/>
    <w:rsid w:val="6B0A20DA"/>
    <w:rsid w:val="6B4037BE"/>
    <w:rsid w:val="6B610AC2"/>
    <w:rsid w:val="6BF455E1"/>
    <w:rsid w:val="6D1F7993"/>
    <w:rsid w:val="6D59C39A"/>
    <w:rsid w:val="6E3A3E78"/>
    <w:rsid w:val="6E4A6612"/>
    <w:rsid w:val="6E5E2248"/>
    <w:rsid w:val="6EAE0FCF"/>
    <w:rsid w:val="6EBD37BA"/>
    <w:rsid w:val="6EE9068B"/>
    <w:rsid w:val="6EFA2466"/>
    <w:rsid w:val="6FF96E2B"/>
    <w:rsid w:val="70461656"/>
    <w:rsid w:val="704E2A69"/>
    <w:rsid w:val="70622071"/>
    <w:rsid w:val="717209D9"/>
    <w:rsid w:val="71E52F59"/>
    <w:rsid w:val="72C91F7A"/>
    <w:rsid w:val="732B5247"/>
    <w:rsid w:val="74DF3C0F"/>
    <w:rsid w:val="74E05C5A"/>
    <w:rsid w:val="75BE6399"/>
    <w:rsid w:val="76E032EC"/>
    <w:rsid w:val="76EA6E23"/>
    <w:rsid w:val="770E6AAE"/>
    <w:rsid w:val="78B43685"/>
    <w:rsid w:val="78C2471A"/>
    <w:rsid w:val="79551CB5"/>
    <w:rsid w:val="79B76AA6"/>
    <w:rsid w:val="79CE0777"/>
    <w:rsid w:val="7A573286"/>
    <w:rsid w:val="7A691C0E"/>
    <w:rsid w:val="7A832404"/>
    <w:rsid w:val="7AFFC118"/>
    <w:rsid w:val="7B073F40"/>
    <w:rsid w:val="7B0F20D9"/>
    <w:rsid w:val="7B5FB6C9"/>
    <w:rsid w:val="7B7F2C98"/>
    <w:rsid w:val="7C4B3E23"/>
    <w:rsid w:val="7C4E5B9F"/>
    <w:rsid w:val="7C69658B"/>
    <w:rsid w:val="7C6E6676"/>
    <w:rsid w:val="7C815F74"/>
    <w:rsid w:val="7D142557"/>
    <w:rsid w:val="7D7358BD"/>
    <w:rsid w:val="7E062257"/>
    <w:rsid w:val="7E6E3B48"/>
    <w:rsid w:val="7E8458A8"/>
    <w:rsid w:val="7F3A0E3D"/>
    <w:rsid w:val="7F7F5638"/>
    <w:rsid w:val="7FE0658A"/>
    <w:rsid w:val="BCFD5E02"/>
    <w:rsid w:val="BFFE43FF"/>
    <w:rsid w:val="D7FFB729"/>
    <w:rsid w:val="DF796604"/>
    <w:rsid w:val="DFDCA498"/>
    <w:rsid w:val="F2C5D8E4"/>
    <w:rsid w:val="F76CB0E8"/>
    <w:rsid w:val="FF12F291"/>
    <w:rsid w:val="FF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="312" w:after="312"/>
      <w:jc w:val="center"/>
      <w:outlineLvl w:val="0"/>
    </w:pPr>
    <w:rPr>
      <w:rFonts w:ascii="Times New Roman" w:hAnsi="Times New Roman" w:eastAsia="黑体"/>
      <w:b/>
      <w:bCs/>
      <w:kern w:val="44"/>
      <w:szCs w:val="44"/>
    </w:rPr>
  </w:style>
  <w:style w:type="paragraph" w:styleId="5">
    <w:name w:val="heading 3"/>
    <w:basedOn w:val="1"/>
    <w:next w:val="1"/>
    <w:link w:val="11"/>
    <w:qFormat/>
    <w:uiPriority w:val="0"/>
    <w:pPr>
      <w:keepNext/>
      <w:keepLines/>
      <w:outlineLvl w:val="2"/>
    </w:pPr>
    <w:rPr>
      <w:rFonts w:eastAsia="黑体"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100" w:firstLineChars="100"/>
    </w:pPr>
    <w:rPr>
      <w:rFonts w:eastAsia="文星简小标宋"/>
      <w:sz w:val="4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10">
    <w:name w:val="标题 1 字符"/>
    <w:link w:val="4"/>
    <w:qFormat/>
    <w:uiPriority w:val="0"/>
    <w:rPr>
      <w:rFonts w:ascii="Times New Roman" w:hAnsi="Times New Roman" w:eastAsia="黑体"/>
      <w:b/>
      <w:bCs/>
      <w:kern w:val="44"/>
      <w:szCs w:val="44"/>
    </w:rPr>
  </w:style>
  <w:style w:type="character" w:customStyle="1" w:styleId="11">
    <w:name w:val="标题 3 字符"/>
    <w:link w:val="5"/>
    <w:qFormat/>
    <w:uiPriority w:val="0"/>
    <w:rPr>
      <w:rFonts w:eastAsia="黑体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1026</Characters>
  <Lines>0</Lines>
  <Paragraphs>0</Paragraphs>
  <TotalTime>11</TotalTime>
  <ScaleCrop>false</ScaleCrop>
  <LinksUpToDate>false</LinksUpToDate>
  <CharactersWithSpaces>1029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2022-04-21T10:12:00Z</dcterms:created>
  <dc:creator>董远智</dc:creator>
  <cp:lastModifiedBy>CYH</cp:lastModifiedBy>
  <cp:lastPrinted>2023-01-16T18:33:00Z</cp:lastPrinted>
  <dcterms:modified xsi:type="dcterms:W3CDTF">2023-01-16T08:46:25Z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9441BEA959984BED9B4FB8E33BA261B8</vt:lpwstr>
  </property>
</Properties>
</file>