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8" w:lineRule="exact"/>
        <w:ind w:firstLine="0" w:firstLineChars="0"/>
        <w:textAlignment w:val="auto"/>
        <w:rPr>
          <w:rFonts w:hint="eastAsia" w:ascii="黑体" w:hAnsi="黑体" w:eastAsia="黑体"/>
          <w:color w:val="auto"/>
          <w:sz w:val="32"/>
          <w:szCs w:val="32"/>
          <w:highlight w:val="none"/>
          <w:u w:val="none"/>
          <w:lang w:val="en-US" w:eastAsia="zh-CN"/>
        </w:rPr>
      </w:pPr>
      <w:bookmarkStart w:id="0" w:name="_GoBack"/>
      <w:bookmarkEnd w:id="0"/>
      <w:r>
        <w:rPr>
          <w:rFonts w:hint="eastAsia" w:ascii="黑体" w:hAnsi="黑体" w:eastAsia="黑体"/>
          <w:color w:val="auto"/>
          <w:sz w:val="32"/>
          <w:szCs w:val="32"/>
          <w:highlight w:val="none"/>
          <w:u w:val="none"/>
        </w:rPr>
        <w:t>附件</w:t>
      </w:r>
      <w:r>
        <w:rPr>
          <w:rFonts w:hint="eastAsia" w:ascii="黑体" w:hAnsi="黑体" w:eastAsia="黑体"/>
          <w:color w:val="auto"/>
          <w:sz w:val="32"/>
          <w:szCs w:val="32"/>
          <w:highlight w:val="none"/>
          <w:u w:val="none"/>
          <w:lang w:val="en-US" w:eastAsia="zh-CN"/>
        </w:rPr>
        <w:t>5</w:t>
      </w:r>
    </w:p>
    <w:p>
      <w:pPr>
        <w:pStyle w:val="2"/>
        <w:spacing w:line="578" w:lineRule="exact"/>
        <w:rPr>
          <w:rFonts w:hint="default"/>
          <w:lang w:val="en-US" w:eastAsia="zh-CN"/>
        </w:rPr>
      </w:pPr>
    </w:p>
    <w:p>
      <w:pPr>
        <w:keepNext w:val="0"/>
        <w:keepLines w:val="0"/>
        <w:pageBreakBefore w:val="0"/>
        <w:numPr>
          <w:ilvl w:val="255"/>
          <w:numId w:val="0"/>
        </w:numPr>
        <w:kinsoku/>
        <w:wordWrap/>
        <w:overflowPunct/>
        <w:topLinePunct w:val="0"/>
        <w:autoSpaceDE/>
        <w:autoSpaceDN/>
        <w:bidi w:val="0"/>
        <w:adjustRightInd/>
        <w:spacing w:line="578" w:lineRule="exact"/>
        <w:jc w:val="center"/>
        <w:textAlignment w:val="auto"/>
        <w:outlineLvl w:val="0"/>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深圳市保障性租赁住房管理办法</w:t>
      </w:r>
    </w:p>
    <w:p>
      <w:pPr>
        <w:keepNext w:val="0"/>
        <w:keepLines w:val="0"/>
        <w:pageBreakBefore w:val="0"/>
        <w:kinsoku/>
        <w:wordWrap/>
        <w:overflowPunct/>
        <w:topLinePunct w:val="0"/>
        <w:autoSpaceDE/>
        <w:autoSpaceDN/>
        <w:bidi w:val="0"/>
        <w:adjustRightInd/>
        <w:spacing w:line="578" w:lineRule="exact"/>
        <w:ind w:firstLine="0" w:firstLineChars="0"/>
        <w:jc w:val="center"/>
        <w:textAlignment w:val="auto"/>
        <w:rPr>
          <w:rFonts w:ascii="楷体_GB2312" w:hAnsi="楷体_GB2312" w:eastAsia="楷体_GB2312" w:cs="楷体_GB2312"/>
          <w:color w:val="auto"/>
          <w:szCs w:val="32"/>
          <w:highlight w:val="none"/>
          <w:u w:val="none"/>
        </w:rPr>
      </w:pPr>
      <w:r>
        <w:rPr>
          <w:rFonts w:hint="eastAsia" w:ascii="楷体_GB2312" w:hAnsi="楷体_GB2312" w:eastAsia="楷体_GB2312" w:cs="楷体_GB2312"/>
          <w:color w:val="auto"/>
          <w:szCs w:val="32"/>
          <w:highlight w:val="none"/>
          <w:u w:val="none"/>
        </w:rPr>
        <w:t>（</w:t>
      </w:r>
      <w:r>
        <w:rPr>
          <w:rFonts w:hint="default" w:ascii="楷体_GB2312" w:hAnsi="楷体_GB2312" w:eastAsia="楷体_GB2312" w:cs="楷体_GB2312"/>
          <w:color w:val="auto"/>
          <w:szCs w:val="32"/>
          <w:highlight w:val="none"/>
          <w:u w:val="none"/>
          <w:lang w:val="en-US" w:eastAsia="zh-CN"/>
        </w:rPr>
        <w:t>征求意见稿</w:t>
      </w:r>
      <w:r>
        <w:rPr>
          <w:rFonts w:hint="eastAsia" w:ascii="楷体_GB2312" w:hAnsi="楷体_GB2312" w:eastAsia="楷体_GB2312" w:cs="楷体_GB2312"/>
          <w:color w:val="auto"/>
          <w:szCs w:val="32"/>
          <w:highlight w:val="none"/>
          <w:u w:val="none"/>
        </w:rPr>
        <w:t>）</w:t>
      </w:r>
    </w:p>
    <w:p>
      <w:pPr>
        <w:keepNext w:val="0"/>
        <w:keepLines w:val="0"/>
        <w:pageBreakBefore w:val="0"/>
        <w:kinsoku/>
        <w:wordWrap/>
        <w:overflowPunct/>
        <w:topLinePunct w:val="0"/>
        <w:autoSpaceDE/>
        <w:autoSpaceDN/>
        <w:bidi w:val="0"/>
        <w:adjustRightInd/>
        <w:spacing w:line="578" w:lineRule="exact"/>
        <w:ind w:firstLine="643"/>
        <w:jc w:val="left"/>
        <w:textAlignment w:val="auto"/>
        <w:rPr>
          <w:rStyle w:val="38"/>
          <w:rFonts w:ascii="仿宋_GB2312" w:hAnsi="仿宋_GB2312" w:eastAsia="仿宋_GB2312" w:cs="仿宋_GB2312"/>
          <w:color w:val="auto"/>
          <w:kern w:val="2"/>
          <w:szCs w:val="32"/>
          <w:highlight w:val="none"/>
          <w:u w:val="none"/>
        </w:rPr>
      </w:pPr>
    </w:p>
    <w:p>
      <w:pPr>
        <w:keepNext w:val="0"/>
        <w:keepLines w:val="0"/>
        <w:pageBreakBefore w:val="0"/>
        <w:kinsoku/>
        <w:wordWrap/>
        <w:overflowPunct/>
        <w:topLinePunct w:val="0"/>
        <w:autoSpaceDE/>
        <w:autoSpaceDN/>
        <w:bidi w:val="0"/>
        <w:spacing w:line="578" w:lineRule="exact"/>
        <w:ind w:firstLine="0" w:firstLineChars="0"/>
        <w:jc w:val="center"/>
        <w:textAlignment w:val="auto"/>
        <w:outlineLvl w:val="1"/>
        <w:rPr>
          <w:rFonts w:hint="eastAsia" w:ascii="黑体" w:hAnsi="黑体" w:eastAsia="黑体"/>
          <w:bCs/>
          <w:color w:val="auto"/>
          <w:szCs w:val="32"/>
          <w:highlight w:val="none"/>
          <w:u w:val="none"/>
        </w:rPr>
      </w:pPr>
      <w:r>
        <w:rPr>
          <w:rFonts w:hint="eastAsia" w:ascii="黑体" w:hAnsi="黑体" w:eastAsia="黑体"/>
          <w:bCs/>
          <w:color w:val="auto"/>
          <w:szCs w:val="32"/>
          <w:highlight w:val="none"/>
          <w:u w:val="none"/>
        </w:rPr>
        <w:t>第一章 总则</w:t>
      </w:r>
    </w:p>
    <w:p>
      <w:pPr>
        <w:pStyle w:val="2"/>
        <w:keepNext w:val="0"/>
        <w:keepLines w:val="0"/>
        <w:pageBreakBefore w:val="0"/>
        <w:kinsoku/>
        <w:wordWrap/>
        <w:overflowPunct/>
        <w:topLinePunct w:val="0"/>
        <w:autoSpaceDE/>
        <w:autoSpaceDN/>
        <w:bidi w:val="0"/>
        <w:adjustRightInd w:val="0"/>
        <w:spacing w:after="0" w:line="578" w:lineRule="exact"/>
        <w:ind w:firstLine="0"/>
        <w:textAlignment w:val="auto"/>
        <w:rPr>
          <w:color w:val="auto"/>
          <w:u w:val="none"/>
        </w:rPr>
      </w:pPr>
    </w:p>
    <w:p>
      <w:pPr>
        <w:keepNext w:val="0"/>
        <w:keepLines w:val="0"/>
        <w:pageBreakBefore w:val="0"/>
        <w:widowControl w:val="0"/>
        <w:numPr>
          <w:ilvl w:val="0"/>
          <w:numId w:val="1"/>
        </w:numPr>
        <w:kinsoku/>
        <w:wordWrap/>
        <w:overflowPunct/>
        <w:topLinePunct w:val="0"/>
        <w:autoSpaceDE/>
        <w:autoSpaceDN/>
        <w:bidi w:val="0"/>
        <w:adjustRightInd w:val="0"/>
        <w:spacing w:line="578" w:lineRule="exact"/>
        <w:ind w:firstLine="64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【立法目的】</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为了贯彻落实党中央、国务院关于加快</w:t>
      </w:r>
      <w:r>
        <w:rPr>
          <w:rFonts w:hint="eastAsia"/>
          <w:color w:val="auto"/>
          <w:highlight w:val="none"/>
          <w:u w:val="none"/>
        </w:rPr>
        <w:t>发展保障性租赁</w:t>
      </w:r>
      <w:r>
        <w:rPr>
          <w:rFonts w:hint="eastAsia" w:ascii="仿宋_GB2312" w:hAnsi="仿宋_GB2312" w:cs="仿宋_GB2312"/>
          <w:color w:val="auto"/>
          <w:szCs w:val="32"/>
          <w:highlight w:val="none"/>
          <w:u w:val="none"/>
        </w:rPr>
        <w:t>住房的决策部署，规范保障性租赁住房</w:t>
      </w:r>
      <w:r>
        <w:rPr>
          <w:rFonts w:hint="eastAsia" w:ascii="仿宋_GB2312" w:hAnsi="仿宋_GB2312" w:cs="仿宋_GB2312"/>
          <w:color w:val="auto"/>
          <w:szCs w:val="32"/>
          <w:highlight w:val="none"/>
          <w:u w:val="none"/>
          <w:lang w:val="en-US" w:eastAsia="zh-CN"/>
        </w:rPr>
        <w:t>租赁</w:t>
      </w:r>
      <w:r>
        <w:rPr>
          <w:rFonts w:hint="eastAsia" w:ascii="仿宋_GB2312" w:hAnsi="仿宋_GB2312" w:cs="仿宋_GB2312"/>
          <w:color w:val="auto"/>
          <w:szCs w:val="32"/>
          <w:highlight w:val="none"/>
          <w:u w:val="none"/>
        </w:rPr>
        <w:t>管理，根据《国务院办公厅关于加快发展保障性租赁住房的意见》（国办发〔</w:t>
      </w:r>
      <w:r>
        <w:rPr>
          <w:rFonts w:ascii="仿宋_GB2312" w:hAnsi="仿宋_GB2312" w:cs="仿宋_GB2312"/>
          <w:color w:val="auto"/>
          <w:szCs w:val="32"/>
          <w:highlight w:val="none"/>
          <w:u w:val="none"/>
        </w:rPr>
        <w:t>2021</w:t>
      </w:r>
      <w:r>
        <w:rPr>
          <w:rFonts w:hint="eastAsia" w:ascii="仿宋_GB2312" w:hAnsi="仿宋_GB2312" w:cs="仿宋_GB2312"/>
          <w:color w:val="auto"/>
          <w:szCs w:val="32"/>
          <w:highlight w:val="none"/>
          <w:u w:val="none"/>
        </w:rPr>
        <w:t>〕</w:t>
      </w:r>
      <w:r>
        <w:rPr>
          <w:rFonts w:ascii="仿宋_GB2312" w:hAnsi="仿宋_GB2312" w:cs="仿宋_GB2312"/>
          <w:color w:val="auto"/>
          <w:szCs w:val="32"/>
          <w:highlight w:val="none"/>
          <w:u w:val="none"/>
        </w:rPr>
        <w:t>22</w:t>
      </w:r>
      <w:r>
        <w:rPr>
          <w:rFonts w:hint="eastAsia" w:ascii="仿宋_GB2312" w:hAnsi="仿宋_GB2312" w:cs="仿宋_GB2312"/>
          <w:color w:val="auto"/>
          <w:szCs w:val="32"/>
          <w:highlight w:val="none"/>
          <w:u w:val="none"/>
        </w:rPr>
        <w:t>号）</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《广东省人民政府办公厅关于加快发展保障性租赁住房的实施意见》（粤府办〔</w:t>
      </w:r>
      <w:r>
        <w:rPr>
          <w:rFonts w:ascii="仿宋_GB2312" w:hAnsi="仿宋_GB2312" w:cs="仿宋_GB2312"/>
          <w:color w:val="auto"/>
          <w:szCs w:val="32"/>
          <w:highlight w:val="none"/>
          <w:u w:val="none"/>
        </w:rPr>
        <w:t>2021</w:t>
      </w:r>
      <w:r>
        <w:rPr>
          <w:rFonts w:hint="eastAsia" w:ascii="仿宋_GB2312" w:hAnsi="仿宋_GB2312" w:cs="仿宋_GB2312"/>
          <w:color w:val="auto"/>
          <w:szCs w:val="32"/>
          <w:highlight w:val="none"/>
          <w:u w:val="none"/>
        </w:rPr>
        <w:t>〕</w:t>
      </w:r>
      <w:r>
        <w:rPr>
          <w:rFonts w:ascii="仿宋_GB2312" w:hAnsi="仿宋_GB2312" w:cs="仿宋_GB2312"/>
          <w:color w:val="auto"/>
          <w:szCs w:val="32"/>
          <w:highlight w:val="none"/>
          <w:u w:val="none"/>
        </w:rPr>
        <w:t>39</w:t>
      </w:r>
      <w:r>
        <w:rPr>
          <w:rFonts w:hint="eastAsia" w:ascii="仿宋_GB2312" w:hAnsi="仿宋_GB2312" w:cs="仿宋_GB2312"/>
          <w:color w:val="auto"/>
          <w:szCs w:val="32"/>
          <w:highlight w:val="none"/>
          <w:u w:val="none"/>
        </w:rPr>
        <w:t>号）等规定</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结合本市实际，制定本办法。</w:t>
      </w:r>
    </w:p>
    <w:p>
      <w:pPr>
        <w:keepNext w:val="0"/>
        <w:keepLines w:val="0"/>
        <w:pageBreakBefore w:val="0"/>
        <w:widowControl w:val="0"/>
        <w:numPr>
          <w:ilvl w:val="0"/>
          <w:numId w:val="1"/>
        </w:numPr>
        <w:kinsoku/>
        <w:wordWrap/>
        <w:overflowPunct/>
        <w:topLinePunct w:val="0"/>
        <w:autoSpaceDE/>
        <w:autoSpaceDN/>
        <w:bidi w:val="0"/>
        <w:adjustRightInd w:val="0"/>
        <w:spacing w:line="578" w:lineRule="exact"/>
        <w:ind w:firstLine="64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【适用范围】</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本办法适用于本市保障性租赁住房的租赁、运营和监督管理等活动。</w:t>
      </w:r>
    </w:p>
    <w:p>
      <w:pPr>
        <w:keepNext w:val="0"/>
        <w:keepLines w:val="0"/>
        <w:pageBreakBefore w:val="0"/>
        <w:widowControl w:val="0"/>
        <w:numPr>
          <w:ilvl w:val="0"/>
          <w:numId w:val="1"/>
        </w:numPr>
        <w:kinsoku/>
        <w:wordWrap/>
        <w:overflowPunct/>
        <w:topLinePunct w:val="0"/>
        <w:autoSpaceDE/>
        <w:autoSpaceDN/>
        <w:bidi w:val="0"/>
        <w:adjustRightInd w:val="0"/>
        <w:spacing w:line="578" w:lineRule="exact"/>
        <w:ind w:firstLine="64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【定义】</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本办法所称保障性租赁住房，是指政府给予政策支持，发挥市场作用，坚持小户型、低租金，</w:t>
      </w:r>
      <w:r>
        <w:rPr>
          <w:rFonts w:hint="eastAsia"/>
          <w:color w:val="auto"/>
          <w:highlight w:val="none"/>
          <w:u w:val="none"/>
        </w:rPr>
        <w:t>面向符合条件的新市民、青年人</w:t>
      </w:r>
      <w:r>
        <w:rPr>
          <w:rFonts w:hint="eastAsia"/>
          <w:color w:val="auto"/>
          <w:highlight w:val="none"/>
          <w:u w:val="none"/>
          <w:lang w:val="en-US" w:eastAsia="zh-CN"/>
        </w:rPr>
        <w:t>、各类人才</w:t>
      </w:r>
      <w:r>
        <w:rPr>
          <w:rFonts w:hint="eastAsia"/>
          <w:color w:val="auto"/>
          <w:highlight w:val="none"/>
          <w:u w:val="none"/>
        </w:rPr>
        <w:t>租赁</w:t>
      </w:r>
      <w:r>
        <w:rPr>
          <w:rFonts w:hint="eastAsia" w:ascii="仿宋_GB2312" w:hAnsi="仿宋_GB2312" w:cs="仿宋_GB2312"/>
          <w:color w:val="auto"/>
          <w:szCs w:val="32"/>
          <w:highlight w:val="none"/>
          <w:u w:val="none"/>
        </w:rPr>
        <w:t>的住房。</w:t>
      </w:r>
    </w:p>
    <w:p>
      <w:pPr>
        <w:keepNext w:val="0"/>
        <w:keepLines w:val="0"/>
        <w:pageBreakBefore w:val="0"/>
        <w:widowControl w:val="0"/>
        <w:numPr>
          <w:ilvl w:val="0"/>
          <w:numId w:val="1"/>
        </w:numPr>
        <w:kinsoku/>
        <w:wordWrap/>
        <w:overflowPunct/>
        <w:topLinePunct w:val="0"/>
        <w:autoSpaceDE/>
        <w:autoSpaceDN/>
        <w:bidi w:val="0"/>
        <w:adjustRightInd w:val="0"/>
        <w:spacing w:line="578" w:lineRule="exact"/>
        <w:ind w:firstLine="640"/>
        <w:jc w:val="both"/>
        <w:textAlignment w:val="auto"/>
        <w:rPr>
          <w:color w:val="auto"/>
          <w:highlight w:val="none"/>
          <w:u w:val="none"/>
        </w:rPr>
      </w:pPr>
      <w:r>
        <w:rPr>
          <w:rFonts w:hint="eastAsia" w:ascii="黑体" w:hAnsi="黑体" w:eastAsia="黑体"/>
          <w:color w:val="auto"/>
          <w:szCs w:val="32"/>
          <w:highlight w:val="none"/>
          <w:u w:val="none"/>
        </w:rPr>
        <w:t>【基本原则】</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保障性租赁住房租赁管理遵循政府统筹、市场参与、规范管理和诚实信用的原则。</w:t>
      </w:r>
    </w:p>
    <w:p>
      <w:pPr>
        <w:keepNext w:val="0"/>
        <w:keepLines w:val="0"/>
        <w:pageBreakBefore w:val="0"/>
        <w:widowControl w:val="0"/>
        <w:numPr>
          <w:ilvl w:val="0"/>
          <w:numId w:val="1"/>
        </w:numPr>
        <w:kinsoku/>
        <w:wordWrap/>
        <w:overflowPunct/>
        <w:topLinePunct w:val="0"/>
        <w:autoSpaceDE/>
        <w:autoSpaceDN/>
        <w:bidi w:val="0"/>
        <w:adjustRightInd w:val="0"/>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【市级部门职责】</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市住房主管部门（以下简称市主管部门）是本市保障性租赁住房租赁管理工作的行政主管部门，</w:t>
      </w:r>
      <w:r>
        <w:rPr>
          <w:rFonts w:hint="eastAsia" w:ascii="仿宋_GB2312" w:hAnsi="仿宋_GB2312" w:cs="仿宋_GB2312"/>
          <w:color w:val="auto"/>
          <w:szCs w:val="32"/>
          <w:highlight w:val="none"/>
          <w:u w:val="none"/>
          <w:lang w:val="en-US" w:eastAsia="zh-CN"/>
        </w:rPr>
        <w:t>制定相关政策，拟定年度供应计划；统筹</w:t>
      </w:r>
      <w:r>
        <w:rPr>
          <w:rFonts w:hint="eastAsia" w:ascii="仿宋_GB2312" w:hAnsi="仿宋_GB2312" w:cs="仿宋_GB2312"/>
          <w:color w:val="auto"/>
          <w:szCs w:val="32"/>
          <w:highlight w:val="none"/>
          <w:u w:val="none"/>
        </w:rPr>
        <w:t>全市保障性租赁住房房源</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调配</w:t>
      </w:r>
      <w:r>
        <w:rPr>
          <w:rFonts w:hint="eastAsia" w:ascii="仿宋_GB2312" w:hAnsi="仿宋_GB2312" w:cs="仿宋_GB2312"/>
          <w:color w:val="auto"/>
          <w:szCs w:val="32"/>
          <w:highlight w:val="none"/>
          <w:u w:val="none"/>
          <w:lang w:val="en-US" w:eastAsia="zh-CN"/>
        </w:rPr>
        <w:t>和管理</w:t>
      </w:r>
      <w:r>
        <w:rPr>
          <w:rFonts w:hint="eastAsia" w:ascii="仿宋_GB2312" w:hAnsi="仿宋_GB2312" w:cs="仿宋_GB2312"/>
          <w:color w:val="auto"/>
          <w:szCs w:val="32"/>
          <w:highlight w:val="none"/>
          <w:u w:val="none"/>
        </w:rPr>
        <w:t>，指导、监督</w:t>
      </w:r>
      <w:r>
        <w:rPr>
          <w:rFonts w:hint="eastAsia" w:ascii="仿宋_GB2312" w:hAnsi="仿宋_GB2312" w:cs="仿宋_GB2312"/>
          <w:color w:val="auto"/>
          <w:szCs w:val="32"/>
          <w:highlight w:val="none"/>
          <w:u w:val="none"/>
          <w:lang w:val="en-US" w:eastAsia="zh-CN"/>
        </w:rPr>
        <w:t>全市</w:t>
      </w:r>
      <w:r>
        <w:rPr>
          <w:rFonts w:hint="eastAsia" w:ascii="仿宋_GB2312" w:hAnsi="仿宋_GB2312" w:cs="仿宋_GB2312"/>
          <w:color w:val="auto"/>
          <w:szCs w:val="32"/>
          <w:highlight w:val="none"/>
          <w:u w:val="none"/>
        </w:rPr>
        <w:t>开展相关工作；组织实施市本级</w:t>
      </w:r>
      <w:r>
        <w:rPr>
          <w:rFonts w:hint="eastAsia" w:ascii="仿宋_GB2312" w:hAnsi="仿宋_GB2312" w:cs="仿宋_GB2312"/>
          <w:color w:val="auto"/>
          <w:szCs w:val="32"/>
          <w:highlight w:val="none"/>
          <w:u w:val="none"/>
          <w:lang w:val="en-US" w:eastAsia="zh-CN"/>
        </w:rPr>
        <w:t>保障性租赁住房</w:t>
      </w:r>
      <w:r>
        <w:rPr>
          <w:rFonts w:hint="eastAsia" w:ascii="仿宋_GB2312" w:hAnsi="仿宋_GB2312" w:cs="仿宋_GB2312"/>
          <w:color w:val="auto"/>
          <w:szCs w:val="32"/>
          <w:highlight w:val="none"/>
          <w:u w:val="none"/>
        </w:rPr>
        <w:t>的供应分配、监督管理等工作。</w:t>
      </w:r>
    </w:p>
    <w:p>
      <w:pPr>
        <w:keepNext w:val="0"/>
        <w:keepLines w:val="0"/>
        <w:pageBreakBefore w:val="0"/>
        <w:widowControl w:val="0"/>
        <w:kinsoku/>
        <w:wordWrap/>
        <w:overflowPunct/>
        <w:topLinePunct w:val="0"/>
        <w:autoSpaceDE/>
        <w:autoSpaceDN/>
        <w:bidi w:val="0"/>
        <w:adjustRightInd w:val="0"/>
        <w:spacing w:line="578" w:lineRule="exact"/>
        <w:ind w:firstLine="64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市发展改革、公安、民政、财政、</w:t>
      </w:r>
      <w:r>
        <w:rPr>
          <w:rFonts w:hint="eastAsia" w:ascii="仿宋_GB2312" w:hAnsi="仿宋_GB2312" w:cs="仿宋_GB2312"/>
          <w:color w:val="auto"/>
          <w:szCs w:val="32"/>
          <w:highlight w:val="none"/>
          <w:u w:val="none"/>
          <w:lang w:val="en-US" w:eastAsia="zh-CN"/>
        </w:rPr>
        <w:t>人力资源保障、</w:t>
      </w:r>
      <w:r>
        <w:rPr>
          <w:rFonts w:hint="eastAsia" w:ascii="仿宋_GB2312" w:hAnsi="仿宋_GB2312" w:cs="仿宋_GB2312"/>
          <w:color w:val="auto"/>
          <w:szCs w:val="32"/>
          <w:highlight w:val="none"/>
          <w:u w:val="none"/>
        </w:rPr>
        <w:t>规划和自然资源、交通运输、市场监督管理、产业管理等部门应当在各自职责范围内，做好保障性租赁住房的租赁管理相关工作。</w:t>
      </w:r>
    </w:p>
    <w:p>
      <w:pPr>
        <w:keepNext w:val="0"/>
        <w:keepLines w:val="0"/>
        <w:pageBreakBefore w:val="0"/>
        <w:widowControl w:val="0"/>
        <w:numPr>
          <w:ilvl w:val="0"/>
          <w:numId w:val="1"/>
        </w:numPr>
        <w:kinsoku/>
        <w:wordWrap/>
        <w:overflowPunct/>
        <w:topLinePunct w:val="0"/>
        <w:autoSpaceDE/>
        <w:autoSpaceDN/>
        <w:bidi w:val="0"/>
        <w:adjustRightInd w:val="0"/>
        <w:spacing w:line="578" w:lineRule="exact"/>
        <w:ind w:firstLine="64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【区政府及部门职责】</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区政府（含新区管理机构，下同）负责组织实施本区保障性租赁住房租赁管理相关工作。</w:t>
      </w:r>
    </w:p>
    <w:p>
      <w:pPr>
        <w:keepNext w:val="0"/>
        <w:keepLines w:val="0"/>
        <w:pageBreakBefore w:val="0"/>
        <w:widowControl w:val="0"/>
        <w:kinsoku/>
        <w:wordWrap/>
        <w:overflowPunct/>
        <w:topLinePunct w:val="0"/>
        <w:autoSpaceDE/>
        <w:autoSpaceDN/>
        <w:bidi w:val="0"/>
        <w:adjustRightInd w:val="0"/>
        <w:spacing w:line="578" w:lineRule="exact"/>
        <w:ind w:firstLine="64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区住房主管部门（以下简称区主管部门）负责本区保障性租赁住房的</w:t>
      </w:r>
      <w:r>
        <w:rPr>
          <w:rFonts w:hint="eastAsia" w:ascii="仿宋_GB2312" w:hAnsi="仿宋_GB2312" w:cs="仿宋_GB2312"/>
          <w:color w:val="auto"/>
          <w:szCs w:val="32"/>
          <w:highlight w:val="none"/>
          <w:u w:val="none"/>
          <w:lang w:val="en-US" w:eastAsia="zh-CN"/>
        </w:rPr>
        <w:t>租赁、</w:t>
      </w:r>
      <w:r>
        <w:rPr>
          <w:rFonts w:hint="eastAsia" w:ascii="仿宋_GB2312" w:hAnsi="仿宋_GB2312" w:cs="仿宋_GB2312"/>
          <w:color w:val="auto"/>
          <w:szCs w:val="32"/>
          <w:highlight w:val="none"/>
          <w:u w:val="none"/>
        </w:rPr>
        <w:t>运营和监督管理等工作</w:t>
      </w:r>
      <w:r>
        <w:rPr>
          <w:rFonts w:hint="eastAsia" w:ascii="仿宋_GB2312" w:hAnsi="仿宋_GB2312" w:cs="仿宋_GB2312"/>
          <w:color w:val="auto"/>
          <w:szCs w:val="32"/>
          <w:highlight w:val="none"/>
          <w:u w:val="none"/>
          <w:lang w:eastAsia="zh-CN"/>
        </w:rPr>
        <w:t>，</w:t>
      </w:r>
      <w:r>
        <w:rPr>
          <w:rFonts w:hint="eastAsia" w:ascii="仿宋_GB2312" w:hAnsi="仿宋_GB2312"/>
          <w:color w:val="auto"/>
          <w:highlight w:val="none"/>
          <w:u w:val="none"/>
          <w:lang w:val="en-US" w:eastAsia="zh-CN"/>
        </w:rPr>
        <w:t>可以委托区住房保障实施机构开展行政执法及其他事务性工作</w:t>
      </w:r>
      <w:r>
        <w:rPr>
          <w:rFonts w:hint="eastAsia" w:ascii="仿宋_GB2312" w:hAnsi="仿宋_GB2312" w:cs="仿宋_GB2312"/>
          <w:color w:val="auto"/>
          <w:szCs w:val="32"/>
          <w:highlight w:val="none"/>
          <w:u w:val="none"/>
        </w:rPr>
        <w:t>。区相关部门按照职责分工做好相关工作。</w:t>
      </w:r>
    </w:p>
    <w:p>
      <w:pPr>
        <w:keepNext w:val="0"/>
        <w:keepLines w:val="0"/>
        <w:pageBreakBefore w:val="0"/>
        <w:widowControl w:val="0"/>
        <w:numPr>
          <w:ilvl w:val="0"/>
          <w:numId w:val="1"/>
        </w:numPr>
        <w:kinsoku/>
        <w:wordWrap/>
        <w:overflowPunct/>
        <w:topLinePunct w:val="0"/>
        <w:autoSpaceDE/>
        <w:autoSpaceDN/>
        <w:bidi w:val="0"/>
        <w:adjustRightInd w:val="0"/>
        <w:spacing w:line="578" w:lineRule="exact"/>
        <w:ind w:firstLine="640"/>
        <w:jc w:val="both"/>
        <w:textAlignment w:val="auto"/>
        <w:rPr>
          <w:rFonts w:ascii="仿宋_GB2312" w:hAnsi="仿宋_GB2312" w:cs="仿宋_GB2312"/>
          <w:bCs/>
          <w:color w:val="auto"/>
          <w:szCs w:val="32"/>
          <w:highlight w:val="none"/>
          <w:u w:val="none"/>
        </w:rPr>
      </w:pPr>
      <w:r>
        <w:rPr>
          <w:rFonts w:hint="eastAsia" w:ascii="黑体" w:hAnsi="黑体" w:eastAsia="黑体"/>
          <w:color w:val="auto"/>
          <w:szCs w:val="32"/>
          <w:highlight w:val="none"/>
          <w:u w:val="none"/>
        </w:rPr>
        <w:t>【信息平台】</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市主管部门统筹建立和完善全市统一的住房信息平台（以下简称信息平台），保障性租赁住房的租赁管理活动应当纳入信息平台管理。</w:t>
      </w:r>
    </w:p>
    <w:p>
      <w:pPr>
        <w:spacing w:line="578" w:lineRule="exact"/>
        <w:ind w:firstLine="640"/>
      </w:pPr>
      <w:r>
        <w:rPr>
          <w:rFonts w:hint="eastAsia"/>
        </w:rPr>
        <w:t>公安、民政、人力资源保障、规划和自然资源、退役军人事务、市场监督管理、税务等部门应当协同配合，实现信息平台与户籍、婚姻、学历、技术技能水平、社会保险、不动产登记、退役军人、征信、税收等信息化平台互联互通，信息共享。</w:t>
      </w:r>
    </w:p>
    <w:p>
      <w:pPr>
        <w:keepNext w:val="0"/>
        <w:keepLines w:val="0"/>
        <w:pageBreakBefore w:val="0"/>
        <w:widowControl w:val="0"/>
        <w:kinsoku/>
        <w:wordWrap/>
        <w:overflowPunct/>
        <w:topLinePunct w:val="0"/>
        <w:autoSpaceDE/>
        <w:autoSpaceDN/>
        <w:bidi w:val="0"/>
        <w:adjustRightInd/>
        <w:spacing w:line="578" w:lineRule="exact"/>
        <w:ind w:firstLine="0" w:firstLineChars="0"/>
        <w:jc w:val="both"/>
        <w:textAlignment w:val="auto"/>
        <w:outlineLvl w:val="1"/>
        <w:rPr>
          <w:rFonts w:hint="eastAsia" w:ascii="黑体" w:hAnsi="黑体" w:eastAsia="黑体"/>
          <w:bCs/>
          <w:color w:val="auto"/>
          <w:szCs w:val="32"/>
          <w:highlight w:val="none"/>
          <w:u w:val="none"/>
        </w:rPr>
      </w:pPr>
    </w:p>
    <w:p>
      <w:pPr>
        <w:keepNext w:val="0"/>
        <w:keepLines w:val="0"/>
        <w:pageBreakBefore w:val="0"/>
        <w:kinsoku/>
        <w:wordWrap/>
        <w:overflowPunct/>
        <w:topLinePunct w:val="0"/>
        <w:autoSpaceDE/>
        <w:autoSpaceDN/>
        <w:bidi w:val="0"/>
        <w:spacing w:line="578" w:lineRule="exact"/>
        <w:ind w:firstLine="0" w:firstLineChars="0"/>
        <w:jc w:val="center"/>
        <w:textAlignment w:val="auto"/>
        <w:outlineLvl w:val="1"/>
        <w:rPr>
          <w:rFonts w:hint="eastAsia" w:ascii="黑体" w:hAnsi="黑体" w:eastAsia="黑体"/>
          <w:bCs/>
          <w:color w:val="auto"/>
          <w:szCs w:val="32"/>
          <w:highlight w:val="none"/>
          <w:u w:val="none"/>
        </w:rPr>
      </w:pPr>
      <w:r>
        <w:rPr>
          <w:rFonts w:hint="eastAsia" w:ascii="黑体" w:hAnsi="黑体" w:eastAsia="黑体"/>
          <w:bCs/>
          <w:color w:val="auto"/>
          <w:szCs w:val="32"/>
          <w:highlight w:val="none"/>
          <w:u w:val="none"/>
        </w:rPr>
        <w:t>第二章 分配与出租</w:t>
      </w:r>
    </w:p>
    <w:p>
      <w:pPr>
        <w:pStyle w:val="2"/>
        <w:keepNext w:val="0"/>
        <w:keepLines w:val="0"/>
        <w:pageBreakBefore w:val="0"/>
        <w:widowControl w:val="0"/>
        <w:kinsoku/>
        <w:wordWrap/>
        <w:overflowPunct/>
        <w:topLinePunct w:val="0"/>
        <w:autoSpaceDE/>
        <w:autoSpaceDN/>
        <w:bidi w:val="0"/>
        <w:spacing w:after="0" w:line="578" w:lineRule="exact"/>
        <w:jc w:val="both"/>
        <w:textAlignment w:val="auto"/>
        <w:rPr>
          <w:color w:val="auto"/>
          <w:u w:val="none"/>
        </w:rPr>
      </w:pP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color w:val="auto"/>
          <w:highlight w:val="none"/>
          <w:u w:val="none"/>
        </w:rPr>
      </w:pPr>
      <w:r>
        <w:rPr>
          <w:rFonts w:hint="eastAsia" w:ascii="黑体" w:hAnsi="黑体" w:eastAsia="黑体"/>
          <w:color w:val="auto"/>
          <w:szCs w:val="32"/>
          <w:highlight w:val="none"/>
          <w:u w:val="none"/>
        </w:rPr>
        <w:t>【年度计划</w:t>
      </w:r>
      <w:r>
        <w:rPr>
          <w:rFonts w:hint="eastAsia" w:ascii="黑体" w:hAnsi="黑体" w:eastAsia="黑体"/>
          <w:bCs/>
          <w:color w:val="auto"/>
          <w:szCs w:val="32"/>
          <w:highlight w:val="none"/>
          <w:u w:val="none"/>
        </w:rPr>
        <w:t>】</w:t>
      </w:r>
      <w:r>
        <w:rPr>
          <w:rFonts w:hint="eastAsia" w:ascii="黑体" w:hAnsi="黑体" w:eastAsia="黑体"/>
          <w:bCs/>
          <w:color w:val="auto"/>
          <w:szCs w:val="32"/>
          <w:highlight w:val="none"/>
          <w:u w:val="none"/>
          <w:lang w:val="en-US" w:eastAsia="zh-CN"/>
        </w:rPr>
        <w:t xml:space="preserve">  </w:t>
      </w:r>
      <w:r>
        <w:rPr>
          <w:rFonts w:hint="eastAsia" w:ascii="仿宋_GB2312" w:hAnsi="仿宋_GB2312" w:cs="仿宋_GB2312"/>
          <w:bCs/>
          <w:color w:val="auto"/>
          <w:szCs w:val="32"/>
          <w:highlight w:val="none"/>
          <w:u w:val="none"/>
        </w:rPr>
        <w:t>市主管部门应当根据本市年度保障性租赁住房房源、需求分布等情况，制定并发布保障性租赁住房年度供应计划。</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color w:val="auto"/>
          <w:highlight w:val="none"/>
          <w:u w:val="none"/>
        </w:rPr>
      </w:pPr>
      <w:r>
        <w:rPr>
          <w:rFonts w:hint="eastAsia" w:ascii="黑体" w:hAnsi="黑体" w:eastAsia="黑体"/>
          <w:color w:val="auto"/>
          <w:szCs w:val="32"/>
          <w:highlight w:val="none"/>
          <w:u w:val="none"/>
        </w:rPr>
        <w:t>【诚信申报</w:t>
      </w:r>
      <w:r>
        <w:rPr>
          <w:rFonts w:hint="eastAsia" w:ascii="黑体" w:hAnsi="黑体" w:eastAsia="黑体"/>
          <w:bCs/>
          <w:color w:val="auto"/>
          <w:szCs w:val="32"/>
          <w:highlight w:val="none"/>
          <w:u w:val="none"/>
        </w:rPr>
        <w:t>】</w:t>
      </w:r>
      <w:r>
        <w:rPr>
          <w:rFonts w:hint="eastAsia" w:ascii="黑体" w:hAnsi="黑体" w:eastAsia="黑体"/>
          <w:bCs/>
          <w:color w:val="auto"/>
          <w:szCs w:val="32"/>
          <w:highlight w:val="none"/>
          <w:u w:val="none"/>
          <w:lang w:val="en-US" w:eastAsia="zh-CN"/>
        </w:rPr>
        <w:t xml:space="preserve">  </w:t>
      </w:r>
      <w:r>
        <w:rPr>
          <w:rFonts w:hint="eastAsia" w:ascii="仿宋_GB2312" w:hAnsi="仿宋_GB2312" w:eastAsia="仿宋_GB2312" w:cs="仿宋_GB2312"/>
          <w:bCs/>
          <w:color w:val="auto"/>
          <w:szCs w:val="32"/>
          <w:highlight w:val="none"/>
          <w:u w:val="none"/>
          <w:lang w:val="en-US" w:eastAsia="zh-CN"/>
        </w:rPr>
        <w:t>申请</w:t>
      </w:r>
      <w:r>
        <w:rPr>
          <w:rFonts w:hint="eastAsia" w:ascii="仿宋_GB2312" w:hAnsi="仿宋_GB2312" w:cs="仿宋_GB2312"/>
          <w:bCs/>
          <w:color w:val="auto"/>
          <w:szCs w:val="32"/>
          <w:highlight w:val="none"/>
          <w:u w:val="none"/>
        </w:rPr>
        <w:t>保障性租赁住房实行诚信申报制度。信息申报的单位和个人对申报信息和申请材料的真实性、准确性、合法性负责。</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住房的配租方式</w:t>
      </w: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 xml:space="preserve">  </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rPr>
        <w:t>的保障性租赁住房按照项目批次受理、批次配租</w:t>
      </w:r>
      <w:r>
        <w:rPr>
          <w:rFonts w:hint="eastAsia" w:ascii="仿宋_GB2312" w:hAnsi="仿宋_GB2312" w:cs="仿宋_GB2312"/>
          <w:color w:val="auto"/>
          <w:szCs w:val="32"/>
          <w:highlight w:val="none"/>
          <w:u w:val="none"/>
          <w:lang w:val="en-US" w:eastAsia="zh-CN"/>
        </w:rPr>
        <w:t>的方式面向个人配租，或者面向</w:t>
      </w:r>
      <w:r>
        <w:rPr>
          <w:rFonts w:hint="eastAsia" w:ascii="仿宋_GB2312" w:hAnsi="仿宋_GB2312" w:cs="仿宋_GB2312"/>
          <w:bCs/>
          <w:color w:val="auto"/>
          <w:szCs w:val="32"/>
          <w:highlight w:val="none"/>
          <w:u w:val="none"/>
        </w:rPr>
        <w:t>单位定向配</w:t>
      </w:r>
      <w:r>
        <w:rPr>
          <w:rFonts w:hint="eastAsia" w:ascii="仿宋_GB2312" w:hAnsi="仿宋_GB2312" w:cs="仿宋_GB2312"/>
          <w:bCs/>
          <w:color w:val="auto"/>
          <w:szCs w:val="32"/>
          <w:highlight w:val="none"/>
          <w:u w:val="none"/>
          <w:lang w:val="en-US" w:eastAsia="zh-CN"/>
        </w:rPr>
        <w:t>租</w:t>
      </w: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面向单位定向配租的具体规则另行制定。</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住房的申请条件】</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申请</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rPr>
        <w:t>的保障性租赁住房，应当同时符合以下条件：</w:t>
      </w:r>
    </w:p>
    <w:p>
      <w:pPr>
        <w:keepNext w:val="0"/>
        <w:keepLines w:val="0"/>
        <w:pageBreakBefore w:val="0"/>
        <w:widowControl w:val="0"/>
        <w:numPr>
          <w:ilvl w:val="0"/>
          <w:numId w:val="2"/>
        </w:numPr>
        <w:kinsoku/>
        <w:wordWrap/>
        <w:overflowPunct/>
        <w:topLinePunct w:val="0"/>
        <w:autoSpaceDE/>
        <w:autoSpaceDN/>
        <w:bidi w:val="0"/>
        <w:adjustRightInd/>
        <w:spacing w:line="578" w:lineRule="exact"/>
        <w:ind w:firstLine="0"/>
        <w:jc w:val="both"/>
        <w:textAlignment w:val="auto"/>
        <w:rPr>
          <w:rFonts w:hint="eastAsia" w:ascii="Calibri" w:hAnsi="Calibri" w:cs="Times New Roman"/>
          <w:color w:val="auto"/>
          <w:szCs w:val="22"/>
          <w:highlight w:val="none"/>
          <w:u w:val="none"/>
        </w:rPr>
      </w:pPr>
      <w:r>
        <w:rPr>
          <w:rFonts w:hint="eastAsia" w:ascii="仿宋_GB2312" w:hAnsi="仿宋_GB2312" w:cs="仿宋_GB2312"/>
          <w:color w:val="auto"/>
          <w:szCs w:val="32"/>
          <w:highlight w:val="none"/>
          <w:u w:val="none"/>
        </w:rPr>
        <w:t>申请人及其配偶、未满十八周岁的子女均未在本市拥有自有住房（含住房建设用地</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下同</w:t>
      </w:r>
      <w:r>
        <w:rPr>
          <w:rFonts w:hint="eastAsia" w:ascii="仿宋_GB2312" w:hAnsi="仿宋_GB2312" w:cs="仿宋_GB2312"/>
          <w:color w:val="auto"/>
          <w:szCs w:val="32"/>
          <w:highlight w:val="none"/>
          <w:u w:val="none"/>
        </w:rPr>
        <w:t>），且在申请受理日之前三年内</w:t>
      </w:r>
      <w:r>
        <w:rPr>
          <w:rFonts w:hint="eastAsia" w:ascii="Calibri" w:hAnsi="Calibri" w:cs="Times New Roman"/>
          <w:color w:val="auto"/>
          <w:szCs w:val="22"/>
          <w:highlight w:val="none"/>
          <w:u w:val="none"/>
        </w:rPr>
        <w:t>未在本市转让过或者因离婚分割过自有住房</w:t>
      </w:r>
      <w:r>
        <w:rPr>
          <w:rFonts w:hint="eastAsia" w:cs="Times New Roman"/>
          <w:color w:val="auto"/>
          <w:szCs w:val="22"/>
          <w:highlight w:val="none"/>
          <w:u w:val="none"/>
          <w:lang w:eastAsia="zh-CN"/>
        </w:rPr>
        <w:t>，</w:t>
      </w:r>
      <w:r>
        <w:rPr>
          <w:rFonts w:hint="eastAsia" w:cs="Times New Roman"/>
          <w:color w:val="auto"/>
          <w:szCs w:val="22"/>
          <w:highlight w:val="none"/>
          <w:u w:val="none"/>
          <w:lang w:val="en-US" w:eastAsia="zh-CN"/>
        </w:rPr>
        <w:t>但</w:t>
      </w:r>
      <w:r>
        <w:rPr>
          <w:rFonts w:hint="eastAsia" w:cs="Times New Roman"/>
          <w:color w:val="auto"/>
          <w:szCs w:val="22"/>
          <w:u w:val="none"/>
          <w:lang w:val="en-US" w:eastAsia="zh-CN"/>
        </w:rPr>
        <w:t>申请</w:t>
      </w:r>
      <w:r>
        <w:rPr>
          <w:rFonts w:hint="eastAsia" w:cs="Times New Roman"/>
          <w:color w:val="auto"/>
          <w:szCs w:val="22"/>
          <w:highlight w:val="none"/>
          <w:u w:val="none"/>
          <w:lang w:val="en-US" w:eastAsia="zh-CN"/>
        </w:rPr>
        <w:t>房源为</w:t>
      </w:r>
      <w:r>
        <w:rPr>
          <w:rFonts w:hint="eastAsia" w:ascii="Calibri" w:hAnsi="Calibri" w:cs="Times New Roman"/>
          <w:color w:val="auto"/>
          <w:szCs w:val="22"/>
          <w:highlight w:val="none"/>
          <w:u w:val="none"/>
          <w:lang w:val="en-US" w:eastAsia="zh-CN"/>
        </w:rPr>
        <w:t>宿舍型保障性租赁住房的</w:t>
      </w:r>
      <w:r>
        <w:rPr>
          <w:rFonts w:hint="eastAsia"/>
          <w:color w:val="auto"/>
          <w:u w:val="none"/>
          <w:lang w:val="en-US" w:eastAsia="zh-CN"/>
        </w:rPr>
        <w:t>除外；</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color w:val="auto"/>
          <w:highlight w:val="none"/>
          <w:u w:val="none"/>
        </w:rPr>
      </w:pPr>
      <w:r>
        <w:rPr>
          <w:rFonts w:hint="eastAsia" w:ascii="仿宋_GB2312" w:hAnsi="仿宋_GB2312" w:cs="仿宋_GB2312"/>
          <w:color w:val="auto"/>
          <w:szCs w:val="32"/>
          <w:highlight w:val="none"/>
          <w:u w:val="none"/>
        </w:rPr>
        <w:t>（二）申请人及其配偶、未满十八周岁的子女均未正在本市享受住房保障优惠政策；</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（三）申请人在本市符合社会保险规定并正常缴纳（不含少儿医疗保险，下同）；</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hint="eastAsia" w:ascii="仿宋_GB2312" w:hAnsi="仿宋_GB2312" w:eastAsia="仿宋_GB2312" w:cs="仿宋_GB2312"/>
          <w:color w:val="auto"/>
          <w:szCs w:val="32"/>
          <w:highlight w:val="yellow"/>
          <w:u w:val="none"/>
          <w:lang w:val="en-US" w:eastAsia="zh-CN"/>
        </w:rPr>
      </w:pP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四</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申请人</w:t>
      </w:r>
      <w:r>
        <w:rPr>
          <w:rFonts w:hint="eastAsia" w:ascii="仿宋_GB2312" w:hAnsi="仿宋_GB2312" w:eastAsia="仿宋_GB2312" w:cs="仿宋_GB2312"/>
          <w:bCs w:val="0"/>
          <w:color w:val="auto"/>
          <w:sz w:val="32"/>
          <w:szCs w:val="32"/>
          <w:highlight w:val="none"/>
          <w:u w:val="none"/>
        </w:rPr>
        <w:t>具</w:t>
      </w:r>
      <w:r>
        <w:rPr>
          <w:rFonts w:hint="eastAsia" w:ascii="仿宋_GB2312" w:hAnsi="仿宋_GB2312" w:eastAsia="仿宋_GB2312" w:cs="仿宋_GB2312"/>
          <w:b w:val="0"/>
          <w:bCs w:val="0"/>
          <w:color w:val="auto"/>
          <w:spacing w:val="0"/>
          <w:sz w:val="32"/>
          <w:szCs w:val="32"/>
          <w:highlight w:val="none"/>
          <w:u w:val="none"/>
          <w:lang w:val="en-US" w:eastAsia="zh-CN"/>
        </w:rPr>
        <w:t>备</w:t>
      </w:r>
      <w:r>
        <w:rPr>
          <w:rFonts w:hint="eastAsia" w:ascii="仿宋_GB2312" w:hAnsi="仿宋_GB2312" w:eastAsia="仿宋_GB2312" w:cs="仿宋_GB2312"/>
          <w:b w:val="0"/>
          <w:bCs w:val="0"/>
          <w:color w:val="auto"/>
          <w:spacing w:val="0"/>
          <w:sz w:val="32"/>
          <w:szCs w:val="32"/>
          <w:highlight w:val="none"/>
          <w:u w:val="none"/>
          <w:lang w:eastAsia="zh-CN"/>
        </w:rPr>
        <w:t>市政府规定的人才引进迁户核准条件</w:t>
      </w:r>
      <w:r>
        <w:rPr>
          <w:rFonts w:hint="eastAsia" w:ascii="仿宋_GB2312" w:hAnsi="仿宋_GB2312" w:cs="仿宋_GB2312"/>
          <w:bCs w:val="0"/>
          <w:color w:val="auto"/>
          <w:sz w:val="32"/>
          <w:szCs w:val="32"/>
          <w:highlight w:val="none"/>
          <w:u w:val="none"/>
          <w:lang w:val="en-US" w:eastAsia="zh-CN"/>
        </w:rPr>
        <w:t>；</w:t>
      </w:r>
    </w:p>
    <w:p>
      <w:pPr>
        <w:keepNext w:val="0"/>
        <w:keepLines w:val="0"/>
        <w:pageBreakBefore w:val="0"/>
        <w:widowControl w:val="0"/>
        <w:numPr>
          <w:ilvl w:val="255"/>
          <w:numId w:val="0"/>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五</w:t>
      </w:r>
      <w:r>
        <w:rPr>
          <w:rFonts w:hint="eastAsia" w:ascii="仿宋_GB2312" w:hAnsi="仿宋_GB2312" w:cs="仿宋_GB2312"/>
          <w:color w:val="auto"/>
          <w:szCs w:val="32"/>
          <w:highlight w:val="none"/>
          <w:u w:val="none"/>
        </w:rPr>
        <w:t>）</w:t>
      </w:r>
      <w:r>
        <w:rPr>
          <w:rFonts w:hint="eastAsia" w:ascii="仿宋_GB2312"/>
          <w:color w:val="auto"/>
          <w:szCs w:val="32"/>
          <w:highlight w:val="none"/>
          <w:u w:val="none"/>
        </w:rPr>
        <w:t>法律、法规、规章和市政府规定的其他条件</w:t>
      </w:r>
      <w:r>
        <w:rPr>
          <w:rFonts w:hint="eastAsia" w:ascii="仿宋_GB2312" w:hAnsi="仿宋_GB2312" w:cs="仿宋_GB2312"/>
          <w:color w:val="auto"/>
          <w:szCs w:val="32"/>
          <w:highlight w:val="none"/>
          <w:u w:val="none"/>
        </w:rPr>
        <w:t>。</w:t>
      </w:r>
    </w:p>
    <w:p>
      <w:pPr>
        <w:keepNext w:val="0"/>
        <w:keepLines w:val="0"/>
        <w:pageBreakBefore w:val="0"/>
        <w:widowControl w:val="0"/>
        <w:kinsoku/>
        <w:wordWrap/>
        <w:overflowPunct/>
        <w:topLinePunct w:val="0"/>
        <w:autoSpaceDE/>
        <w:autoSpaceDN/>
        <w:bidi w:val="0"/>
        <w:adjustRightInd/>
        <w:spacing w:line="578" w:lineRule="exact"/>
        <w:ind w:firstLine="640" w:firstLineChars="200"/>
        <w:jc w:val="both"/>
        <w:textAlignment w:val="auto"/>
        <w:rPr>
          <w:color w:val="auto"/>
          <w:highlight w:val="none"/>
          <w:u w:val="none"/>
        </w:rPr>
      </w:pPr>
      <w:r>
        <w:rPr>
          <w:rFonts w:hint="eastAsia" w:ascii="仿宋_GB2312" w:hAnsi="仿宋_GB2312" w:cs="仿宋_GB2312"/>
          <w:color w:val="auto"/>
          <w:szCs w:val="32"/>
          <w:highlight w:val="none"/>
          <w:u w:val="none"/>
          <w:lang w:val="en-US" w:eastAsia="zh-CN"/>
        </w:rPr>
        <w:t>申请人</w:t>
      </w:r>
      <w:r>
        <w:rPr>
          <w:rFonts w:hint="eastAsia" w:ascii="仿宋_GB2312" w:hAnsi="仿宋_GB2312" w:cs="仿宋_GB2312"/>
          <w:color w:val="auto"/>
          <w:szCs w:val="32"/>
          <w:highlight w:val="none"/>
          <w:u w:val="none"/>
        </w:rPr>
        <w:t>配偶</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未满十八周岁的子女应当</w:t>
      </w:r>
      <w:r>
        <w:rPr>
          <w:rFonts w:hint="eastAsia" w:ascii="仿宋_GB2312" w:hAnsi="仿宋_GB2312" w:cs="仿宋_GB2312"/>
          <w:color w:val="auto"/>
          <w:szCs w:val="32"/>
          <w:highlight w:val="none"/>
          <w:u w:val="none"/>
        </w:rPr>
        <w:t>列为共同申请人，已满十八周岁的子女列为共同申请人的，其本人及其配偶</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子女</w:t>
      </w:r>
      <w:r>
        <w:rPr>
          <w:rFonts w:hint="eastAsia" w:ascii="仿宋_GB2312" w:hAnsi="仿宋_GB2312" w:cs="仿宋_GB2312"/>
          <w:color w:val="auto"/>
          <w:szCs w:val="32"/>
          <w:highlight w:val="none"/>
          <w:u w:val="none"/>
        </w:rPr>
        <w:t>均应当同时符合前款第一项和第二项规定的条件。</w:t>
      </w:r>
    </w:p>
    <w:p>
      <w:pPr>
        <w:keepNext w:val="0"/>
        <w:keepLines w:val="0"/>
        <w:pageBreakBefore w:val="0"/>
        <w:widowControl w:val="0"/>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市主管部门</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市</w:t>
      </w:r>
      <w:r>
        <w:rPr>
          <w:rFonts w:hint="eastAsia" w:ascii="仿宋_GB2312" w:hAnsi="仿宋_GB2312" w:cs="仿宋_GB2312"/>
          <w:bCs/>
          <w:color w:val="auto"/>
          <w:szCs w:val="32"/>
          <w:highlight w:val="none"/>
          <w:u w:val="none"/>
        </w:rPr>
        <w:t>人力资源保障</w:t>
      </w:r>
      <w:r>
        <w:rPr>
          <w:rFonts w:hint="eastAsia" w:ascii="仿宋_GB2312" w:hAnsi="仿宋_GB2312" w:cs="仿宋_GB2312"/>
          <w:bCs/>
          <w:color w:val="auto"/>
          <w:szCs w:val="32"/>
          <w:highlight w:val="none"/>
          <w:u w:val="none"/>
          <w:lang w:val="en-US" w:eastAsia="zh-CN"/>
        </w:rPr>
        <w:t>部门</w:t>
      </w:r>
      <w:r>
        <w:rPr>
          <w:rFonts w:hint="eastAsia" w:ascii="仿宋_GB2312" w:hAnsi="仿宋_GB2312" w:cs="仿宋_GB2312"/>
          <w:color w:val="auto"/>
          <w:szCs w:val="32"/>
          <w:highlight w:val="none"/>
          <w:u w:val="none"/>
        </w:rPr>
        <w:t>可以根据住房供需等实际情况，适时调整本条规定的申请条件，报市政府批准后公布执行。</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firstLineChars="200"/>
        <w:jc w:val="both"/>
        <w:textAlignment w:val="auto"/>
        <w:rPr>
          <w:rFonts w:hint="eastAsia"/>
          <w:color w:val="auto"/>
          <w:highlight w:val="none"/>
          <w:u w:val="none"/>
        </w:rPr>
      </w:pPr>
      <w:r>
        <w:rPr>
          <w:rFonts w:hint="eastAsia" w:ascii="仿宋_GB2312" w:hAnsi="仿宋_GB2312" w:cs="仿宋_GB2312"/>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住房的</w:t>
      </w:r>
      <w:r>
        <w:rPr>
          <w:rStyle w:val="39"/>
          <w:rFonts w:hint="eastAsia" w:ascii="黑体" w:hAnsi="黑体"/>
          <w:color w:val="auto"/>
          <w:highlight w:val="none"/>
          <w:u w:val="none"/>
        </w:rPr>
        <w:t>配租方案</w:t>
      </w: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rPr>
        <w:t>的保障性租赁住房，主管部门应当制定配租方案并组织实施；区主管部门组织配租的项目，配租方案应当报市主管部门备案后实施。</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仿宋_GB2312" w:hAnsi="仿宋_GB2312" w:eastAsia="仿宋_GB2312" w:cs="仿宋_GB2312"/>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住房的选房方式</w:t>
      </w:r>
      <w:r>
        <w:rPr>
          <w:rFonts w:hint="eastAsia" w:ascii="仿宋_GB2312" w:hAnsi="仿宋_GB2312" w:eastAsia="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 xml:space="preserve">  </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rPr>
        <w:t>的</w:t>
      </w:r>
      <w:r>
        <w:rPr>
          <w:rFonts w:ascii="仿宋_GB2312" w:hAnsi="仿宋_GB2312" w:cs="仿宋_GB2312"/>
          <w:color w:val="auto"/>
          <w:szCs w:val="32"/>
          <w:highlight w:val="none"/>
          <w:u w:val="none"/>
        </w:rPr>
        <w:t>保障性租赁住房应当遵循公开、公平和公正的原则，采取抽签摇号、综合评分等方式</w:t>
      </w:r>
      <w:r>
        <w:rPr>
          <w:rFonts w:hint="eastAsia" w:ascii="仿宋_GB2312" w:hAnsi="仿宋_GB2312" w:cs="仿宋_GB2312"/>
          <w:color w:val="auto"/>
          <w:szCs w:val="32"/>
          <w:highlight w:val="none"/>
          <w:u w:val="none"/>
        </w:rPr>
        <w:t>，根据实际情况组织线上或者线下选房</w:t>
      </w:r>
      <w:r>
        <w:rPr>
          <w:rFonts w:hint="eastAsia" w:ascii="仿宋_GB2312" w:hAnsi="仿宋_GB2312" w:cs="仿宋_GB2312"/>
          <w:color w:val="auto"/>
          <w:szCs w:val="32"/>
          <w:highlight w:val="none"/>
          <w:u w:val="none"/>
          <w:lang w:eastAsia="zh-CN"/>
        </w:rPr>
        <w:t>。</w:t>
      </w:r>
      <w:r>
        <w:rPr>
          <w:rFonts w:ascii="仿宋_GB2312" w:hAnsi="仿宋_GB2312" w:cs="仿宋_GB2312"/>
          <w:color w:val="auto"/>
          <w:szCs w:val="32"/>
          <w:highlight w:val="none"/>
          <w:u w:val="none"/>
        </w:rPr>
        <w:t>具体方式应当在配租通告中载明。</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住房的租金定价】</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rPr>
        <w:t>的保障性租赁住房租金按照</w:t>
      </w:r>
      <w:r>
        <w:rPr>
          <w:rFonts w:hint="eastAsia" w:ascii="仿宋_GB2312" w:hAnsi="仿宋_GB2312" w:cs="仿宋_GB2312"/>
          <w:color w:val="auto"/>
          <w:szCs w:val="32"/>
          <w:highlight w:val="none"/>
          <w:u w:val="none"/>
          <w:lang w:val="en-US" w:eastAsia="zh-CN"/>
        </w:rPr>
        <w:t>同期</w:t>
      </w:r>
      <w:r>
        <w:rPr>
          <w:rFonts w:hint="eastAsia" w:ascii="仿宋_GB2312" w:hAnsi="仿宋_GB2312" w:cs="仿宋_GB2312"/>
          <w:color w:val="auto"/>
          <w:szCs w:val="32"/>
          <w:highlight w:val="none"/>
          <w:u w:val="none"/>
        </w:rPr>
        <w:t>同地段同品质市场参考租金的百分之六十左右确定。</w:t>
      </w:r>
    </w:p>
    <w:p>
      <w:pPr>
        <w:keepNext w:val="0"/>
        <w:keepLines w:val="0"/>
        <w:pageBreakBefore w:val="0"/>
        <w:widowControl w:val="0"/>
        <w:numPr>
          <w:ilvl w:val="-1"/>
          <w:numId w:val="0"/>
        </w:numPr>
        <w:kinsoku/>
        <w:wordWrap/>
        <w:overflowPunct/>
        <w:topLinePunct w:val="0"/>
        <w:autoSpaceDE/>
        <w:autoSpaceDN/>
        <w:bidi w:val="0"/>
        <w:adjustRightInd/>
        <w:spacing w:line="578" w:lineRule="exact"/>
        <w:ind w:firstLine="640" w:firstLineChars="200"/>
        <w:jc w:val="both"/>
        <w:textAlignment w:val="auto"/>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市场参考租金由市主管部门综合考虑本市经济社会发展状况、物价变动水平、房地产市场发展状况等因素确定。运营管理单位结合项目建设运营成本、享受政策优惠情况等因素制定具体项目的租金价格和调整幅度，报市主管部门备案后执行。</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住房的面积标准】</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rPr>
        <w:t>的保障性租赁住房</w:t>
      </w:r>
      <w:r>
        <w:rPr>
          <w:rFonts w:hint="eastAsia" w:ascii="仿宋_GB2312" w:hAnsi="仿宋_GB2312" w:cs="仿宋_GB2312"/>
          <w:color w:val="auto"/>
          <w:szCs w:val="32"/>
          <w:highlight w:val="none"/>
          <w:u w:val="none"/>
          <w:lang w:val="en-US" w:eastAsia="zh-CN"/>
        </w:rPr>
        <w:t>以</w:t>
      </w:r>
      <w:r>
        <w:rPr>
          <w:rFonts w:hint="eastAsia" w:ascii="仿宋_GB2312" w:hAnsi="仿宋_GB2312" w:cs="仿宋_GB2312"/>
          <w:color w:val="auto"/>
          <w:szCs w:val="32"/>
          <w:highlight w:val="none"/>
          <w:u w:val="none"/>
        </w:rPr>
        <w:t>建筑面积七十平方米以下的套（间）</w:t>
      </w:r>
      <w:r>
        <w:rPr>
          <w:rFonts w:hint="eastAsia" w:ascii="仿宋_GB2312" w:hAnsi="仿宋_GB2312" w:cs="仿宋_GB2312"/>
          <w:color w:val="auto"/>
          <w:szCs w:val="32"/>
          <w:highlight w:val="none"/>
          <w:u w:val="none"/>
          <w:lang w:val="en-US" w:eastAsia="zh-CN"/>
        </w:rPr>
        <w:t>为主</w:t>
      </w:r>
      <w:r>
        <w:rPr>
          <w:rFonts w:hint="eastAsia" w:ascii="仿宋_GB2312" w:hAnsi="仿宋_GB2312" w:cs="仿宋_GB2312"/>
          <w:color w:val="auto"/>
          <w:szCs w:val="32"/>
          <w:highlight w:val="none"/>
          <w:u w:val="none"/>
        </w:rPr>
        <w:t>。主管部门可以结合申请人家庭和项目情况等因素综合确定</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rPr>
        <w:t>的保障性租赁住房项目配租面积标准，在配租通告中载明。</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rFonts w:ascii="仿宋_GB2312" w:hAnsi="仿宋_GB2312" w:cs="仿宋_GB2312"/>
          <w:bCs/>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住房的配租程序】</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bCs/>
          <w:color w:val="auto"/>
          <w:szCs w:val="32"/>
          <w:highlight w:val="none"/>
          <w:u w:val="none"/>
          <w:lang w:eastAsia="zh-CN"/>
        </w:rPr>
        <w:t>政府组织配租</w:t>
      </w:r>
      <w:r>
        <w:rPr>
          <w:rFonts w:hint="eastAsia" w:ascii="仿宋_GB2312" w:hAnsi="仿宋_GB2312" w:cs="仿宋_GB2312"/>
          <w:bCs/>
          <w:color w:val="auto"/>
          <w:szCs w:val="32"/>
          <w:highlight w:val="none"/>
          <w:u w:val="none"/>
        </w:rPr>
        <w:t>的保障性租赁住房按照下列程序配租：</w:t>
      </w:r>
    </w:p>
    <w:p>
      <w:pPr>
        <w:keepNext w:val="0"/>
        <w:keepLines w:val="0"/>
        <w:pageBreakBefore w:val="0"/>
        <w:widowControl w:val="0"/>
        <w:numPr>
          <w:ilvl w:val="0"/>
          <w:numId w:val="3"/>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在政府网站和信息平台发布保障性租赁住房配租通告；</w:t>
      </w:r>
    </w:p>
    <w:p>
      <w:pPr>
        <w:keepNext w:val="0"/>
        <w:keepLines w:val="0"/>
        <w:pageBreakBefore w:val="0"/>
        <w:widowControl w:val="0"/>
        <w:numPr>
          <w:ilvl w:val="0"/>
          <w:numId w:val="3"/>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申请人按照配租通告的要求，提交认租申请，并签署诚信申报声明；</w:t>
      </w:r>
    </w:p>
    <w:p>
      <w:pPr>
        <w:keepNext w:val="0"/>
        <w:keepLines w:val="0"/>
        <w:pageBreakBefore w:val="0"/>
        <w:widowControl w:val="0"/>
        <w:numPr>
          <w:ilvl w:val="0"/>
          <w:numId w:val="3"/>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主管部门对申请人及共同申请人是否符合本办法第十一条规定的条件进行审核；</w:t>
      </w:r>
    </w:p>
    <w:p>
      <w:pPr>
        <w:keepNext w:val="0"/>
        <w:keepLines w:val="0"/>
        <w:pageBreakBefore w:val="0"/>
        <w:widowControl w:val="0"/>
        <w:numPr>
          <w:ilvl w:val="0"/>
          <w:numId w:val="3"/>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审核结果由主管部门在政府网站和信息平台公示五个工作日，公示期满无异议或者异议不成立的，确定合格申请人名单；</w:t>
      </w:r>
    </w:p>
    <w:p>
      <w:pPr>
        <w:keepNext w:val="0"/>
        <w:keepLines w:val="0"/>
        <w:pageBreakBefore w:val="0"/>
        <w:widowControl w:val="0"/>
        <w:numPr>
          <w:ilvl w:val="0"/>
          <w:numId w:val="3"/>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合格申请人按照配租通告确定的规则排序，分为入围申请人以及候补入围申请人。入围申请人按照确定的排序选房，放弃选房的，排序在后的依次递补；</w:t>
      </w:r>
    </w:p>
    <w:p>
      <w:pPr>
        <w:keepNext w:val="0"/>
        <w:keepLines w:val="0"/>
        <w:pageBreakBefore w:val="0"/>
        <w:widowControl w:val="0"/>
        <w:numPr>
          <w:ilvl w:val="0"/>
          <w:numId w:val="3"/>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选定住房后，申请人及共同申请人应当在规定时间内办理认租手续，与产权单位或者运营管理单位签订租赁合同。</w:t>
      </w:r>
    </w:p>
    <w:p>
      <w:pPr>
        <w:keepNext w:val="0"/>
        <w:keepLines w:val="0"/>
        <w:pageBreakBefore w:val="0"/>
        <w:widowControl w:val="0"/>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申请人选房排序到位但未选定住房，或者虽选定住房但未在规定时间内签订合同累计两次的，或者签订合同后无正当理由解除合同的，三年</w:t>
      </w:r>
      <w:r>
        <w:rPr>
          <w:rFonts w:hint="eastAsia" w:ascii="仿宋_GB2312" w:hAnsi="仿宋_GB2312" w:cs="仿宋_GB2312"/>
          <w:color w:val="auto"/>
          <w:szCs w:val="32"/>
          <w:highlight w:val="none"/>
          <w:u w:val="none"/>
          <w:lang w:val="en-US" w:eastAsia="zh-CN"/>
        </w:rPr>
        <w:t>以</w:t>
      </w:r>
      <w:r>
        <w:rPr>
          <w:rFonts w:hint="eastAsia" w:ascii="仿宋_GB2312" w:hAnsi="仿宋_GB2312" w:cs="仿宋_GB2312"/>
          <w:color w:val="auto"/>
          <w:szCs w:val="32"/>
          <w:highlight w:val="none"/>
          <w:u w:val="none"/>
        </w:rPr>
        <w:t>内不得再次申请保障性租赁住房。</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住房的续租】</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highlight w:val="none"/>
          <w:u w:val="none"/>
          <w:lang w:eastAsia="zh-CN"/>
        </w:rPr>
        <w:t>政府组织配租</w:t>
      </w:r>
      <w:r>
        <w:rPr>
          <w:rFonts w:hint="eastAsia" w:ascii="仿宋_GB2312" w:hAnsi="仿宋_GB2312" w:cs="仿宋_GB2312"/>
          <w:color w:val="auto"/>
          <w:highlight w:val="none"/>
          <w:u w:val="none"/>
        </w:rPr>
        <w:t>的保障性租赁住房</w:t>
      </w:r>
      <w:r>
        <w:rPr>
          <w:rFonts w:hint="eastAsia" w:ascii="仿宋_GB2312" w:hAnsi="仿宋_GB2312" w:cs="仿宋_GB2312"/>
          <w:color w:val="auto"/>
          <w:szCs w:val="32"/>
          <w:highlight w:val="none"/>
          <w:u w:val="none"/>
        </w:rPr>
        <w:t>单次租赁合同期不超过三年，合同期限届满后仍然符合本办法规定条件的家庭、单身居民可以在期限届满前三个月内申请续租。</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rFonts w:ascii="仿宋_GB2312" w:hAnsi="仿宋_GB2312" w:cs="仿宋_GB2312"/>
          <w:bCs/>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社会主体</w:t>
      </w:r>
      <w:r>
        <w:rPr>
          <w:rFonts w:hint="eastAsia" w:ascii="黑体" w:hAnsi="黑体" w:eastAsia="黑体"/>
          <w:color w:val="auto"/>
          <w:szCs w:val="32"/>
          <w:highlight w:val="none"/>
          <w:u w:val="none"/>
        </w:rPr>
        <w:t>出租住房的租赁方式】</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bCs/>
          <w:color w:val="auto"/>
          <w:szCs w:val="32"/>
          <w:highlight w:val="none"/>
          <w:u w:val="none"/>
          <w:lang w:eastAsia="zh-CN"/>
        </w:rPr>
        <w:t>社会主体</w:t>
      </w:r>
      <w:r>
        <w:rPr>
          <w:rFonts w:hint="eastAsia" w:ascii="仿宋_GB2312" w:hAnsi="仿宋_GB2312" w:cs="仿宋_GB2312"/>
          <w:bCs/>
          <w:color w:val="auto"/>
          <w:szCs w:val="32"/>
          <w:highlight w:val="none"/>
          <w:u w:val="none"/>
        </w:rPr>
        <w:t>出租的保障性租赁住房，由</w:t>
      </w:r>
      <w:r>
        <w:rPr>
          <w:rFonts w:hint="eastAsia" w:ascii="仿宋_GB2312" w:hAnsi="仿宋_GB2312" w:cs="仿宋_GB2312"/>
          <w:color w:val="auto"/>
          <w:szCs w:val="32"/>
          <w:highlight w:val="none"/>
          <w:u w:val="none"/>
        </w:rPr>
        <w:t>运营管理单位</w:t>
      </w:r>
      <w:r>
        <w:rPr>
          <w:rFonts w:hint="eastAsia" w:ascii="仿宋_GB2312" w:hAnsi="仿宋_GB2312" w:cs="仿宋_GB2312"/>
          <w:bCs/>
          <w:color w:val="auto"/>
          <w:szCs w:val="32"/>
          <w:highlight w:val="none"/>
          <w:u w:val="none"/>
        </w:rPr>
        <w:t>按照市场化原则开展租赁活动，并</w:t>
      </w:r>
      <w:r>
        <w:rPr>
          <w:rFonts w:hint="eastAsia" w:ascii="仿宋_GB2312" w:hAnsi="仿宋_GB2312" w:cs="仿宋_GB2312"/>
          <w:color w:val="auto"/>
          <w:szCs w:val="32"/>
          <w:highlight w:val="none"/>
          <w:u w:val="none"/>
        </w:rPr>
        <w:t>通过信息平台完成</w:t>
      </w:r>
      <w:r>
        <w:rPr>
          <w:rFonts w:hint="eastAsia" w:ascii="仿宋_GB2312" w:hAnsi="仿宋_GB2312" w:cs="仿宋_GB2312"/>
          <w:color w:val="auto"/>
          <w:szCs w:val="32"/>
          <w:highlight w:val="none"/>
          <w:u w:val="none"/>
          <w:lang w:val="en-US" w:eastAsia="zh-CN"/>
        </w:rPr>
        <w:t>申请</w:t>
      </w:r>
      <w:r>
        <w:rPr>
          <w:rFonts w:hint="eastAsia" w:ascii="仿宋_GB2312" w:hAnsi="仿宋_GB2312" w:cs="仿宋_GB2312"/>
          <w:color w:val="auto"/>
          <w:szCs w:val="32"/>
          <w:highlight w:val="none"/>
          <w:u w:val="none"/>
        </w:rPr>
        <w:t>条件查询、租赁合同备案或者信息申报。</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社会主体</w:t>
      </w:r>
      <w:r>
        <w:rPr>
          <w:rFonts w:hint="eastAsia" w:ascii="黑体" w:hAnsi="黑体" w:eastAsia="黑体"/>
          <w:color w:val="auto"/>
          <w:szCs w:val="32"/>
          <w:highlight w:val="none"/>
          <w:u w:val="none"/>
        </w:rPr>
        <w:t>出租住房的承租条件】</w:t>
      </w:r>
      <w:r>
        <w:rPr>
          <w:rFonts w:hint="eastAsia" w:ascii="黑体" w:hAnsi="黑体" w:eastAsia="黑体"/>
          <w:color w:val="auto"/>
          <w:szCs w:val="32"/>
          <w:highlight w:val="none"/>
          <w:u w:val="none"/>
          <w:lang w:val="en-US" w:eastAsia="zh-CN"/>
        </w:rPr>
        <w:t xml:space="preserve">  </w:t>
      </w:r>
      <w:r>
        <w:rPr>
          <w:rFonts w:hint="eastAsia" w:ascii="仿宋_GB2312" w:hAnsi="仿宋_GB2312" w:eastAsia="仿宋_GB2312" w:cs="仿宋_GB2312"/>
          <w:color w:val="auto"/>
          <w:szCs w:val="32"/>
          <w:highlight w:val="none"/>
          <w:u w:val="none"/>
          <w:lang w:val="en-US" w:eastAsia="zh-CN"/>
        </w:rPr>
        <w:t>申请</w:t>
      </w:r>
      <w:r>
        <w:rPr>
          <w:rFonts w:hint="eastAsia" w:ascii="仿宋_GB2312" w:hAnsi="仿宋_GB2312" w:cs="仿宋_GB2312"/>
          <w:color w:val="auto"/>
          <w:szCs w:val="32"/>
          <w:highlight w:val="none"/>
          <w:u w:val="none"/>
          <w:lang w:eastAsia="zh-CN"/>
        </w:rPr>
        <w:t>社会主体</w:t>
      </w:r>
      <w:r>
        <w:rPr>
          <w:rFonts w:hint="eastAsia" w:ascii="仿宋_GB2312" w:hAnsi="仿宋_GB2312" w:cs="仿宋_GB2312"/>
          <w:color w:val="auto"/>
          <w:szCs w:val="32"/>
          <w:highlight w:val="none"/>
          <w:u w:val="none"/>
        </w:rPr>
        <w:t>出租的保障性租赁住房，</w:t>
      </w:r>
      <w:r>
        <w:rPr>
          <w:rFonts w:hint="eastAsia" w:ascii="仿宋_GB2312" w:hAnsi="仿宋_GB2312" w:cs="仿宋_GB2312"/>
          <w:color w:val="auto"/>
          <w:szCs w:val="32"/>
          <w:highlight w:val="none"/>
          <w:u w:val="none"/>
          <w:lang w:val="en-US" w:eastAsia="zh-CN"/>
        </w:rPr>
        <w:t>应当同时符合以下条件：</w:t>
      </w:r>
    </w:p>
    <w:p>
      <w:pPr>
        <w:keepNext w:val="0"/>
        <w:keepLines w:val="0"/>
        <w:pageBreakBefore w:val="0"/>
        <w:widowControl w:val="0"/>
        <w:numPr>
          <w:ilvl w:val="-1"/>
          <w:numId w:val="0"/>
        </w:numPr>
        <w:kinsoku/>
        <w:wordWrap/>
        <w:overflowPunct/>
        <w:topLinePunct w:val="0"/>
        <w:autoSpaceDE/>
        <w:autoSpaceDN/>
        <w:bidi w:val="0"/>
        <w:adjustRightInd/>
        <w:spacing w:line="578" w:lineRule="exact"/>
        <w:ind w:leftChars="0" w:firstLine="640" w:firstLineChars="200"/>
        <w:jc w:val="both"/>
        <w:textAlignment w:val="auto"/>
        <w:rPr>
          <w:rFonts w:hint="eastAsia" w:ascii="仿宋_GB2312" w:hAnsi="仿宋_GB2312" w:eastAsia="仿宋_GB2312" w:cs="仿宋_GB2312"/>
          <w:color w:val="auto"/>
          <w:szCs w:val="32"/>
          <w:highlight w:val="none"/>
          <w:u w:val="none"/>
          <w:lang w:eastAsia="zh-CN"/>
        </w:rPr>
      </w:pPr>
      <w:r>
        <w:rPr>
          <w:rFonts w:hint="eastAsia" w:ascii="仿宋_GB2312" w:hAnsi="仿宋_GB2312" w:cs="仿宋_GB2312"/>
          <w:color w:val="auto"/>
          <w:szCs w:val="32"/>
          <w:highlight w:val="none"/>
          <w:u w:val="none"/>
          <w:lang w:val="en-US" w:eastAsia="zh-CN"/>
        </w:rPr>
        <w:t>（一）</w:t>
      </w:r>
      <w:r>
        <w:rPr>
          <w:rFonts w:hint="eastAsia" w:ascii="仿宋_GB2312" w:hAnsi="仿宋_GB2312" w:cs="仿宋_GB2312"/>
          <w:color w:val="auto"/>
          <w:szCs w:val="32"/>
          <w:highlight w:val="none"/>
          <w:u w:val="none"/>
        </w:rPr>
        <w:t>申请人及其配偶、未满十八周岁的子女</w:t>
      </w:r>
      <w:r>
        <w:rPr>
          <w:rFonts w:hint="eastAsia" w:ascii="仿宋_GB2312" w:hAnsi="仿宋_GB2312" w:cs="仿宋_GB2312"/>
          <w:color w:val="auto"/>
          <w:highlight w:val="none"/>
          <w:u w:val="none"/>
        </w:rPr>
        <w:t>未正在本市租住具有保障性质的住房</w:t>
      </w:r>
      <w:r>
        <w:rPr>
          <w:rFonts w:hint="eastAsia" w:ascii="仿宋_GB2312" w:hAnsi="仿宋_GB2312" w:cs="仿宋_GB2312"/>
          <w:color w:val="auto"/>
          <w:highlight w:val="none"/>
          <w:u w:val="none"/>
          <w:lang w:eastAsia="zh-CN"/>
        </w:rPr>
        <w:t>；</w:t>
      </w:r>
    </w:p>
    <w:p>
      <w:pPr>
        <w:keepNext w:val="0"/>
        <w:keepLines w:val="0"/>
        <w:pageBreakBefore w:val="0"/>
        <w:widowControl w:val="0"/>
        <w:numPr>
          <w:ilvl w:val="-1"/>
          <w:numId w:val="0"/>
        </w:numPr>
        <w:kinsoku/>
        <w:wordWrap/>
        <w:overflowPunct/>
        <w:topLinePunct w:val="0"/>
        <w:autoSpaceDE/>
        <w:autoSpaceDN/>
        <w:bidi w:val="0"/>
        <w:adjustRightInd/>
        <w:spacing w:line="578" w:lineRule="exact"/>
        <w:ind w:firstLine="640" w:firstLineChars="200"/>
        <w:jc w:val="both"/>
        <w:textAlignment w:val="auto"/>
        <w:rPr>
          <w:rFonts w:hint="eastAsia" w:ascii="仿宋_GB2312" w:hAnsi="仿宋_GB2312" w:eastAsia="仿宋_GB2312" w:cs="仿宋_GB2312"/>
          <w:color w:val="auto"/>
          <w:szCs w:val="32"/>
          <w:highlight w:val="none"/>
          <w:u w:val="none"/>
          <w:lang w:eastAsia="zh-CN"/>
        </w:rPr>
      </w:pPr>
      <w:r>
        <w:rPr>
          <w:rFonts w:hint="eastAsia" w:ascii="仿宋_GB2312" w:hAnsi="仿宋_GB2312" w:cs="仿宋_GB2312"/>
          <w:color w:val="auto"/>
          <w:szCs w:val="32"/>
          <w:highlight w:val="none"/>
          <w:u w:val="none"/>
          <w:lang w:val="en-US" w:eastAsia="zh-CN"/>
        </w:rPr>
        <w:t>（二）申请承租房源位于</w:t>
      </w:r>
      <w:r>
        <w:rPr>
          <w:rFonts w:hint="eastAsia" w:ascii="仿宋_GB2312" w:hAnsi="仿宋_GB2312" w:cs="仿宋_GB2312"/>
          <w:color w:val="auto"/>
          <w:szCs w:val="32"/>
          <w:highlight w:val="none"/>
          <w:u w:val="none"/>
        </w:rPr>
        <w:t>福田区、罗湖区、南山区</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申请人</w:t>
      </w:r>
      <w:r>
        <w:rPr>
          <w:rFonts w:hint="eastAsia" w:ascii="仿宋_GB2312" w:hAnsi="仿宋_GB2312" w:cs="仿宋_GB2312"/>
          <w:color w:val="auto"/>
          <w:szCs w:val="32"/>
          <w:highlight w:val="none"/>
          <w:u w:val="none"/>
        </w:rPr>
        <w:t>及其配偶、未满十八周岁的子女应</w:t>
      </w:r>
      <w:r>
        <w:rPr>
          <w:rFonts w:hint="eastAsia" w:ascii="仿宋_GB2312" w:hAnsi="仿宋_GB2312" w:cs="仿宋_GB2312"/>
          <w:color w:val="auto"/>
          <w:szCs w:val="32"/>
          <w:highlight w:val="none"/>
          <w:u w:val="none"/>
          <w:lang w:val="en-US" w:eastAsia="zh-CN"/>
        </w:rPr>
        <w:t>当未</w:t>
      </w:r>
      <w:r>
        <w:rPr>
          <w:rFonts w:hint="eastAsia" w:ascii="仿宋_GB2312" w:hAnsi="仿宋_GB2312" w:cs="仿宋_GB2312"/>
          <w:color w:val="auto"/>
          <w:szCs w:val="32"/>
          <w:highlight w:val="none"/>
          <w:u w:val="none"/>
        </w:rPr>
        <w:t>在此三个区</w:t>
      </w:r>
      <w:r>
        <w:rPr>
          <w:rFonts w:hint="eastAsia" w:ascii="仿宋_GB2312" w:hAnsi="仿宋_GB2312" w:cs="仿宋_GB2312"/>
          <w:color w:val="auto"/>
          <w:szCs w:val="32"/>
          <w:highlight w:val="none"/>
          <w:u w:val="none"/>
          <w:lang w:val="en-US" w:eastAsia="zh-CN"/>
        </w:rPr>
        <w:t>拥有</w:t>
      </w:r>
      <w:r>
        <w:rPr>
          <w:rFonts w:hint="eastAsia" w:ascii="仿宋_GB2312" w:hAnsi="仿宋_GB2312" w:cs="仿宋_GB2312"/>
          <w:color w:val="auto"/>
          <w:szCs w:val="32"/>
          <w:highlight w:val="none"/>
          <w:u w:val="none"/>
        </w:rPr>
        <w:t>自有住房</w:t>
      </w:r>
      <w:r>
        <w:rPr>
          <w:rFonts w:hint="eastAsia" w:ascii="仿宋_GB2312" w:hAnsi="仿宋_GB2312" w:cs="仿宋_GB2312"/>
          <w:color w:val="auto"/>
          <w:szCs w:val="32"/>
          <w:highlight w:val="none"/>
          <w:u w:val="none"/>
          <w:lang w:eastAsia="zh-CN"/>
        </w:rPr>
        <w:t>；</w:t>
      </w:r>
    </w:p>
    <w:p>
      <w:pPr>
        <w:keepNext w:val="0"/>
        <w:keepLines w:val="0"/>
        <w:pageBreakBefore w:val="0"/>
        <w:widowControl w:val="0"/>
        <w:numPr>
          <w:ilvl w:val="-1"/>
          <w:numId w:val="0"/>
        </w:numPr>
        <w:kinsoku/>
        <w:wordWrap/>
        <w:overflowPunct/>
        <w:topLinePunct w:val="0"/>
        <w:autoSpaceDE/>
        <w:autoSpaceDN/>
        <w:bidi w:val="0"/>
        <w:adjustRightInd/>
        <w:spacing w:line="578" w:lineRule="exact"/>
        <w:ind w:firstLine="640" w:firstLineChars="200"/>
        <w:jc w:val="both"/>
        <w:textAlignment w:val="auto"/>
        <w:rPr>
          <w:rFonts w:hint="eastAsia" w:ascii="仿宋_GB2312" w:hAnsi="仿宋_GB2312" w:cs="仿宋_GB2312"/>
          <w:color w:val="auto"/>
          <w:szCs w:val="32"/>
          <w:highlight w:val="yellow"/>
          <w:u w:val="none"/>
          <w:lang w:eastAsia="zh-CN"/>
        </w:rPr>
      </w:pPr>
      <w:r>
        <w:rPr>
          <w:rFonts w:hint="eastAsia" w:ascii="仿宋_GB2312" w:hAnsi="仿宋_GB2312" w:cs="仿宋_GB2312"/>
          <w:color w:val="auto"/>
          <w:szCs w:val="32"/>
          <w:highlight w:val="none"/>
          <w:u w:val="none"/>
          <w:lang w:val="en-US" w:eastAsia="zh-CN"/>
        </w:rPr>
        <w:t>（三）申请承租房源位于除</w:t>
      </w:r>
      <w:r>
        <w:rPr>
          <w:rFonts w:hint="eastAsia" w:ascii="仿宋_GB2312" w:hAnsi="仿宋_GB2312" w:cs="仿宋_GB2312"/>
          <w:color w:val="auto"/>
          <w:szCs w:val="32"/>
          <w:highlight w:val="none"/>
          <w:u w:val="none"/>
        </w:rPr>
        <w:t>福田区、罗湖区、南山区</w:t>
      </w:r>
      <w:r>
        <w:rPr>
          <w:rFonts w:hint="eastAsia" w:ascii="仿宋_GB2312" w:hAnsi="仿宋_GB2312" w:cs="仿宋_GB2312"/>
          <w:color w:val="auto"/>
          <w:szCs w:val="32"/>
          <w:highlight w:val="none"/>
          <w:u w:val="none"/>
          <w:lang w:val="en-US" w:eastAsia="zh-CN"/>
        </w:rPr>
        <w:t>以外</w:t>
      </w:r>
      <w:r>
        <w:rPr>
          <w:rFonts w:hint="eastAsia" w:ascii="仿宋_GB2312" w:hAnsi="仿宋_GB2312" w:cs="仿宋_GB2312"/>
          <w:color w:val="auto"/>
          <w:szCs w:val="32"/>
          <w:highlight w:val="none"/>
          <w:u w:val="none"/>
        </w:rPr>
        <w:t>其他区（含新区）</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，申请人及其配偶、未满十八周岁的子女应</w:t>
      </w:r>
      <w:r>
        <w:rPr>
          <w:rFonts w:hint="eastAsia" w:ascii="仿宋_GB2312" w:hAnsi="仿宋_GB2312" w:cs="仿宋_GB2312"/>
          <w:color w:val="auto"/>
          <w:szCs w:val="32"/>
          <w:highlight w:val="none"/>
          <w:u w:val="none"/>
          <w:lang w:val="en-US" w:eastAsia="zh-CN"/>
        </w:rPr>
        <w:t>当未</w:t>
      </w:r>
      <w:r>
        <w:rPr>
          <w:rFonts w:hint="eastAsia" w:ascii="仿宋_GB2312" w:hAnsi="仿宋_GB2312" w:cs="仿宋_GB2312"/>
          <w:color w:val="auto"/>
          <w:szCs w:val="32"/>
          <w:highlight w:val="none"/>
          <w:u w:val="none"/>
        </w:rPr>
        <w:t>在</w:t>
      </w:r>
      <w:r>
        <w:rPr>
          <w:rFonts w:hint="eastAsia" w:ascii="仿宋_GB2312" w:hAnsi="仿宋_GB2312" w:cs="仿宋_GB2312"/>
          <w:color w:val="auto"/>
          <w:szCs w:val="32"/>
          <w:highlight w:val="none"/>
          <w:u w:val="none"/>
          <w:lang w:val="en-US" w:eastAsia="zh-CN"/>
        </w:rPr>
        <w:t>项目所在区拥有</w:t>
      </w:r>
      <w:r>
        <w:rPr>
          <w:rFonts w:hint="eastAsia" w:ascii="仿宋_GB2312" w:hAnsi="仿宋_GB2312" w:cs="仿宋_GB2312"/>
          <w:color w:val="auto"/>
          <w:szCs w:val="32"/>
          <w:highlight w:val="none"/>
          <w:u w:val="none"/>
        </w:rPr>
        <w:t>自有住房</w:t>
      </w:r>
      <w:r>
        <w:rPr>
          <w:rFonts w:hint="eastAsia" w:ascii="仿宋_GB2312" w:hAnsi="仿宋_GB2312" w:cs="仿宋_GB2312"/>
          <w:color w:val="auto"/>
          <w:szCs w:val="32"/>
          <w:highlight w:val="none"/>
          <w:u w:val="none"/>
          <w:lang w:eastAsia="zh-CN"/>
        </w:rPr>
        <w:t>。</w:t>
      </w:r>
    </w:p>
    <w:p>
      <w:pPr>
        <w:keepNext w:val="0"/>
        <w:keepLines w:val="0"/>
        <w:pageBreakBefore w:val="0"/>
        <w:widowControl w:val="0"/>
        <w:numPr>
          <w:ilvl w:val="-1"/>
          <w:numId w:val="0"/>
        </w:numPr>
        <w:kinsoku/>
        <w:wordWrap/>
        <w:overflowPunct/>
        <w:topLinePunct w:val="0"/>
        <w:autoSpaceDE/>
        <w:autoSpaceDN/>
        <w:bidi w:val="0"/>
        <w:adjustRightInd/>
        <w:spacing w:line="578" w:lineRule="exact"/>
        <w:ind w:firstLine="640" w:firstLineChars="200"/>
        <w:jc w:val="both"/>
        <w:textAlignment w:val="auto"/>
        <w:rPr>
          <w:rFonts w:hint="default" w:ascii="仿宋_GB2312" w:hAnsi="仿宋_GB2312" w:cs="仿宋_GB2312"/>
          <w:color w:val="auto"/>
          <w:szCs w:val="32"/>
          <w:highlight w:val="none"/>
          <w:u w:val="none"/>
          <w:lang w:val="en-US" w:eastAsia="zh-CN"/>
        </w:rPr>
      </w:pPr>
      <w:r>
        <w:rPr>
          <w:rFonts w:hint="eastAsia" w:ascii="仿宋_GB2312" w:hAnsi="仿宋_GB2312" w:cs="仿宋_GB2312"/>
          <w:color w:val="auto"/>
          <w:szCs w:val="32"/>
          <w:highlight w:val="none"/>
          <w:u w:val="none"/>
          <w:lang w:val="en-US" w:eastAsia="zh-CN"/>
        </w:rPr>
        <w:t>申请承租房源为</w:t>
      </w:r>
      <w:r>
        <w:rPr>
          <w:rFonts w:hint="eastAsia" w:ascii="Calibri" w:hAnsi="Calibri" w:cs="Times New Roman"/>
          <w:color w:val="auto"/>
          <w:szCs w:val="22"/>
          <w:highlight w:val="none"/>
          <w:u w:val="none"/>
          <w:lang w:val="en-US" w:eastAsia="zh-CN"/>
        </w:rPr>
        <w:t>宿舍型保障性租赁住房</w:t>
      </w:r>
      <w:r>
        <w:rPr>
          <w:rFonts w:hint="eastAsia" w:cs="Times New Roman"/>
          <w:color w:val="auto"/>
          <w:szCs w:val="22"/>
          <w:highlight w:val="none"/>
          <w:u w:val="none"/>
          <w:lang w:val="en-US" w:eastAsia="zh-CN"/>
        </w:rPr>
        <w:t>的，不受前款第二项、第三项条件限制。</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color w:val="auto"/>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社会主体</w:t>
      </w:r>
      <w:r>
        <w:rPr>
          <w:rFonts w:hint="eastAsia" w:ascii="黑体" w:hAnsi="黑体" w:eastAsia="黑体"/>
          <w:color w:val="auto"/>
          <w:szCs w:val="32"/>
          <w:highlight w:val="none"/>
          <w:u w:val="none"/>
        </w:rPr>
        <w:t>出租住房的租金管理】</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bCs/>
          <w:color w:val="auto"/>
          <w:szCs w:val="32"/>
          <w:highlight w:val="none"/>
          <w:u w:val="none"/>
          <w:lang w:eastAsia="zh-CN"/>
        </w:rPr>
        <w:t>社会主体</w:t>
      </w:r>
      <w:r>
        <w:rPr>
          <w:rFonts w:hint="eastAsia" w:ascii="仿宋_GB2312" w:hAnsi="仿宋_GB2312" w:cs="仿宋_GB2312"/>
          <w:bCs/>
          <w:color w:val="auto"/>
          <w:szCs w:val="32"/>
          <w:highlight w:val="none"/>
          <w:u w:val="none"/>
        </w:rPr>
        <w:t>出租的保障性租赁住房，</w:t>
      </w:r>
      <w:r>
        <w:rPr>
          <w:rFonts w:hint="eastAsia" w:ascii="仿宋_GB2312" w:hAnsi="仿宋_GB2312" w:cs="仿宋_GB2312"/>
          <w:color w:val="auto"/>
          <w:highlight w:val="none"/>
          <w:u w:val="none"/>
        </w:rPr>
        <w:t>租金价格不</w:t>
      </w:r>
      <w:r>
        <w:rPr>
          <w:rFonts w:hint="eastAsia" w:ascii="仿宋_GB2312" w:hAnsi="仿宋_GB2312" w:cs="仿宋_GB2312"/>
          <w:color w:val="auto"/>
          <w:highlight w:val="none"/>
          <w:u w:val="none"/>
          <w:lang w:val="en-US" w:eastAsia="zh-CN"/>
        </w:rPr>
        <w:t>高于同期同地段同品质</w:t>
      </w:r>
      <w:r>
        <w:rPr>
          <w:rFonts w:hint="eastAsia" w:ascii="仿宋_GB2312" w:hAnsi="仿宋_GB2312" w:cs="仿宋_GB2312"/>
          <w:color w:val="auto"/>
          <w:highlight w:val="none"/>
          <w:u w:val="none"/>
        </w:rPr>
        <w:t>市场参考租金的百分之九十。</w:t>
      </w:r>
    </w:p>
    <w:p>
      <w:pPr>
        <w:keepNext w:val="0"/>
        <w:keepLines w:val="0"/>
        <w:pageBreakBefore w:val="0"/>
        <w:widowControl w:val="0"/>
        <w:kinsoku/>
        <w:wordWrap/>
        <w:overflowPunct/>
        <w:topLinePunct w:val="0"/>
        <w:autoSpaceDE/>
        <w:autoSpaceDN/>
        <w:bidi w:val="0"/>
        <w:adjustRightInd/>
        <w:spacing w:line="578" w:lineRule="exact"/>
        <w:ind w:firstLine="640" w:firstLineChars="200"/>
        <w:jc w:val="both"/>
        <w:textAlignment w:val="auto"/>
        <w:rPr>
          <w:rFonts w:hint="eastAsia"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保障性租赁住房运营期间，运营管理单位确定或者调整保障性租赁住房租赁价格的，应当符合前款规定，并报项目所在区主管部门备案后执行。</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rFonts w:ascii="Calibri" w:hAnsi="Calibri" w:cs="Times New Roman"/>
          <w:bCs w:val="0"/>
          <w:color w:val="auto"/>
          <w:szCs w:val="22"/>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社会主体</w:t>
      </w:r>
      <w:r>
        <w:rPr>
          <w:rFonts w:hint="eastAsia" w:ascii="黑体" w:hAnsi="黑体" w:eastAsia="黑体"/>
          <w:color w:val="auto"/>
          <w:szCs w:val="32"/>
          <w:highlight w:val="none"/>
          <w:u w:val="none"/>
        </w:rPr>
        <w:t>出租住房的房源管理】</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bCs/>
          <w:color w:val="auto"/>
          <w:szCs w:val="32"/>
          <w:highlight w:val="none"/>
          <w:u w:val="none"/>
          <w:lang w:eastAsia="zh-CN"/>
        </w:rPr>
        <w:t>社会主体</w:t>
      </w:r>
      <w:r>
        <w:rPr>
          <w:rFonts w:hint="eastAsia" w:ascii="仿宋_GB2312" w:hAnsi="仿宋_GB2312" w:cs="仿宋_GB2312"/>
          <w:bCs/>
          <w:color w:val="auto"/>
          <w:szCs w:val="32"/>
          <w:highlight w:val="none"/>
          <w:u w:val="none"/>
        </w:rPr>
        <w:t>出租的保障性租赁住房</w:t>
      </w:r>
      <w:r>
        <w:rPr>
          <w:rFonts w:hint="eastAsia" w:ascii="仿宋_GB2312" w:hAnsi="仿宋_GB2312" w:cs="仿宋_GB2312"/>
          <w:color w:val="auto"/>
          <w:highlight w:val="none"/>
          <w:u w:val="none"/>
        </w:rPr>
        <w:t>运营管理单位应当将其全部房源信息上传至信息平台，并及时更新房源信息。运营管理单位通过自有或者第三方交易平台开展住房租赁业务的，应当与信息平台对接并实时提供住房租赁相关信息。</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rFonts w:ascii="仿宋_GB2312" w:hAnsi="仿宋_GB2312" w:cs="仿宋_GB2312"/>
          <w:bCs/>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社会主体</w:t>
      </w:r>
      <w:r>
        <w:rPr>
          <w:rFonts w:hint="eastAsia" w:ascii="黑体" w:hAnsi="黑体" w:eastAsia="黑体"/>
          <w:color w:val="auto"/>
          <w:szCs w:val="32"/>
          <w:highlight w:val="none"/>
          <w:u w:val="none"/>
        </w:rPr>
        <w:t>出租住房的租期管理】</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highlight w:val="none"/>
          <w:u w:val="none"/>
        </w:rPr>
        <w:t>单次租赁合同期限应当在保障性租赁住房项目认定书的有效期限</w:t>
      </w:r>
      <w:r>
        <w:rPr>
          <w:rFonts w:hint="eastAsia" w:ascii="仿宋_GB2312" w:hAnsi="仿宋_GB2312" w:cs="仿宋_GB2312"/>
          <w:color w:val="auto"/>
          <w:highlight w:val="none"/>
          <w:u w:val="none"/>
          <w:lang w:val="en-US" w:eastAsia="zh-CN"/>
        </w:rPr>
        <w:t>以</w:t>
      </w:r>
      <w:r>
        <w:rPr>
          <w:rFonts w:hint="eastAsia" w:ascii="仿宋_GB2312" w:hAnsi="仿宋_GB2312" w:cs="仿宋_GB2312"/>
          <w:color w:val="auto"/>
          <w:highlight w:val="none"/>
          <w:u w:val="none"/>
        </w:rPr>
        <w:t>内，且不超过三年，租赁期满后仍符合相关条件的，可以续租。</w:t>
      </w:r>
    </w:p>
    <w:p>
      <w:pPr>
        <w:pStyle w:val="2"/>
        <w:keepNext w:val="0"/>
        <w:keepLines w:val="0"/>
        <w:pageBreakBefore w:val="0"/>
        <w:widowControl w:val="0"/>
        <w:kinsoku/>
        <w:wordWrap/>
        <w:overflowPunct/>
        <w:topLinePunct w:val="0"/>
        <w:autoSpaceDE/>
        <w:autoSpaceDN/>
        <w:bidi w:val="0"/>
        <w:spacing w:after="0" w:line="578" w:lineRule="exact"/>
        <w:jc w:val="both"/>
        <w:textAlignment w:val="auto"/>
        <w:rPr>
          <w:color w:val="auto"/>
          <w:u w:val="none"/>
        </w:rPr>
      </w:pPr>
    </w:p>
    <w:p>
      <w:pPr>
        <w:keepNext w:val="0"/>
        <w:keepLines w:val="0"/>
        <w:pageBreakBefore w:val="0"/>
        <w:kinsoku/>
        <w:wordWrap/>
        <w:overflowPunct/>
        <w:topLinePunct w:val="0"/>
        <w:autoSpaceDE/>
        <w:autoSpaceDN/>
        <w:bidi w:val="0"/>
        <w:spacing w:line="578" w:lineRule="exact"/>
        <w:ind w:firstLine="0" w:firstLineChars="0"/>
        <w:jc w:val="center"/>
        <w:textAlignment w:val="auto"/>
        <w:outlineLvl w:val="1"/>
        <w:rPr>
          <w:rFonts w:hint="eastAsia" w:ascii="黑体" w:hAnsi="黑体" w:eastAsia="黑体"/>
          <w:bCs/>
          <w:color w:val="auto"/>
          <w:szCs w:val="32"/>
          <w:highlight w:val="none"/>
          <w:u w:val="none"/>
        </w:rPr>
      </w:pPr>
      <w:r>
        <w:rPr>
          <w:rFonts w:hint="eastAsia" w:ascii="黑体" w:hAnsi="黑体" w:eastAsia="黑体"/>
          <w:bCs/>
          <w:color w:val="auto"/>
          <w:szCs w:val="32"/>
          <w:highlight w:val="none"/>
          <w:u w:val="none"/>
        </w:rPr>
        <w:t>第三章 监督管理</w:t>
      </w:r>
    </w:p>
    <w:p>
      <w:pPr>
        <w:pStyle w:val="2"/>
        <w:keepNext w:val="0"/>
        <w:keepLines w:val="0"/>
        <w:pageBreakBefore w:val="0"/>
        <w:widowControl w:val="0"/>
        <w:kinsoku/>
        <w:wordWrap/>
        <w:overflowPunct/>
        <w:topLinePunct w:val="0"/>
        <w:autoSpaceDE/>
        <w:autoSpaceDN/>
        <w:bidi w:val="0"/>
        <w:spacing w:after="0" w:line="578" w:lineRule="exact"/>
        <w:jc w:val="both"/>
        <w:textAlignment w:val="auto"/>
        <w:rPr>
          <w:color w:val="auto"/>
          <w:u w:val="none"/>
        </w:rPr>
      </w:pP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住房的腾退】</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承租</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rPr>
        <w:t>的保障性租赁住房期间，有下列情形之一的，应当自该情形发生之日起三个月</w:t>
      </w:r>
      <w:r>
        <w:rPr>
          <w:rFonts w:hint="eastAsia" w:ascii="仿宋_GB2312" w:hAnsi="仿宋_GB2312" w:cs="仿宋_GB2312"/>
          <w:color w:val="auto"/>
          <w:szCs w:val="32"/>
          <w:highlight w:val="none"/>
          <w:u w:val="none"/>
          <w:lang w:val="en-US" w:eastAsia="zh-CN"/>
        </w:rPr>
        <w:t>以</w:t>
      </w:r>
      <w:r>
        <w:rPr>
          <w:rFonts w:hint="eastAsia" w:ascii="仿宋_GB2312" w:hAnsi="仿宋_GB2312" w:cs="仿宋_GB2312"/>
          <w:color w:val="auto"/>
          <w:szCs w:val="32"/>
          <w:highlight w:val="none"/>
          <w:u w:val="none"/>
        </w:rPr>
        <w:t>内腾退住房：</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（一）因购买、接受赠与、继承、婚姻状况变化等在本市拥有自有住房的；</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（二）在本市享受其他住房保障优惠政策的；</w:t>
      </w:r>
    </w:p>
    <w:p>
      <w:pPr>
        <w:spacing w:line="578" w:lineRule="exact"/>
        <w:rPr>
          <w:rFonts w:hint="eastAsia"/>
        </w:rPr>
      </w:pPr>
      <w:r>
        <w:rPr>
          <w:rFonts w:hint="eastAsia"/>
        </w:rPr>
        <w:t>（三）其他应当腾退住房的情形。</w:t>
      </w:r>
    </w:p>
    <w:p>
      <w:pPr>
        <w:spacing w:line="578" w:lineRule="exact"/>
        <w:rPr>
          <w:rFonts w:hint="eastAsia"/>
        </w:rPr>
      </w:pPr>
      <w:r>
        <w:rPr>
          <w:rFonts w:hint="eastAsia"/>
        </w:rPr>
        <w:t>承租人逾期未腾退的，由产权单位或者运营管理单位依法收回住房，并按照市场参考租金计收逾期腾退住房期间的房屋占有使用费。申请人和共同申请人有</w:t>
      </w:r>
      <w:r>
        <w:rPr>
          <w:rFonts w:hint="default"/>
          <w:lang w:val="en-US" w:eastAsia="zh-CN"/>
        </w:rPr>
        <w:t>本条第一</w:t>
      </w:r>
      <w:r>
        <w:rPr>
          <w:rFonts w:hint="eastAsia"/>
          <w:lang w:val="en-US" w:eastAsia="zh-CN"/>
        </w:rPr>
        <w:t>款</w:t>
      </w:r>
      <w:r>
        <w:rPr>
          <w:rFonts w:hint="eastAsia"/>
        </w:rPr>
        <w:t>第</w:t>
      </w:r>
      <w:r>
        <w:rPr>
          <w:rFonts w:hint="eastAsia"/>
          <w:lang w:val="en-US" w:eastAsia="zh-CN"/>
        </w:rPr>
        <w:t>一</w:t>
      </w:r>
      <w:r>
        <w:rPr>
          <w:rFonts w:hint="eastAsia"/>
        </w:rPr>
        <w:t>项规定情形的，可以向主管部门申请延期腾退</w:t>
      </w:r>
      <w:r>
        <w:rPr>
          <w:rFonts w:hint="eastAsia"/>
          <w:lang w:val="en-US" w:eastAsia="zh-CN"/>
        </w:rPr>
        <w:t>政府组织配租的保障性租赁住房</w:t>
      </w:r>
      <w:r>
        <w:rPr>
          <w:rFonts w:hint="eastAsia"/>
        </w:rPr>
        <w:t>，腾退期限最长不得超过自有住房交付使用之日起十六个月。其中，前四个月的租金按照原租赁合同约定的租金计收；后十二个月的租金按照市场参考租金计收。</w:t>
      </w:r>
    </w:p>
    <w:p>
      <w:pPr>
        <w:pStyle w:val="2"/>
        <w:keepNext w:val="0"/>
        <w:keepLines w:val="0"/>
        <w:pageBreakBefore w:val="0"/>
        <w:widowControl w:val="0"/>
        <w:numPr>
          <w:ilvl w:val="0"/>
          <w:numId w:val="1"/>
        </w:numPr>
        <w:kinsoku/>
        <w:wordWrap/>
        <w:overflowPunct/>
        <w:topLinePunct w:val="0"/>
        <w:autoSpaceDE/>
        <w:autoSpaceDN/>
        <w:bidi w:val="0"/>
        <w:adjustRightInd/>
        <w:spacing w:after="0" w:line="578" w:lineRule="exact"/>
        <w:ind w:firstLine="0"/>
        <w:jc w:val="both"/>
        <w:textAlignment w:val="auto"/>
        <w:rPr>
          <w:rFonts w:hint="eastAsia" w:ascii="仿宋_GB2312" w:hAnsi="仿宋_GB2312" w:cs="仿宋_GB2312"/>
          <w:color w:val="auto"/>
          <w:szCs w:val="32"/>
          <w:highlight w:val="none"/>
          <w:u w:val="none"/>
        </w:rPr>
      </w:pPr>
      <w:r>
        <w:rPr>
          <w:rFonts w:hint="eastAsia" w:ascii="仿宋_GB2312" w:hAnsi="仿宋_GB2312" w:eastAsia="仿宋_GB2312" w:cs="仿宋_GB2312"/>
          <w:color w:val="auto"/>
          <w:szCs w:val="32"/>
          <w:highlight w:val="none"/>
          <w:u w:val="none"/>
        </w:rPr>
        <w:t>【</w:t>
      </w:r>
      <w:r>
        <w:rPr>
          <w:rFonts w:hint="eastAsia" w:ascii="黑体" w:hAnsi="黑体" w:eastAsia="黑体" w:cs="Times New Roman"/>
          <w:color w:val="auto"/>
          <w:szCs w:val="32"/>
          <w:highlight w:val="none"/>
          <w:u w:val="none"/>
          <w:lang w:eastAsia="zh-CN"/>
        </w:rPr>
        <w:t>政府组织配租</w:t>
      </w:r>
      <w:r>
        <w:rPr>
          <w:rFonts w:hint="eastAsia" w:ascii="黑体" w:hAnsi="黑体" w:eastAsia="黑体" w:cs="Times New Roman"/>
          <w:color w:val="auto"/>
          <w:szCs w:val="32"/>
          <w:highlight w:val="none"/>
          <w:u w:val="none"/>
        </w:rPr>
        <w:t>住房承租人禁止情形</w:t>
      </w:r>
      <w:r>
        <w:rPr>
          <w:rFonts w:hint="eastAsia" w:ascii="仿宋_GB2312" w:hAnsi="仿宋_GB2312" w:eastAsia="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 xml:space="preserve">  </w:t>
      </w:r>
      <w:r>
        <w:rPr>
          <w:rFonts w:hint="eastAsia" w:ascii="仿宋_GB2312" w:hAnsi="仿宋_GB2312" w:cs="仿宋_GB2312"/>
          <w:color w:val="auto"/>
          <w:szCs w:val="32"/>
          <w:highlight w:val="none"/>
          <w:u w:val="none"/>
        </w:rPr>
        <w:t>承租</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rPr>
        <w:t>的保障性租赁住房期间，承租人不得有下列情形：</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（一）无正当理由连续六个月以上未在保障性租赁住房内居住的；</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（二）无正当理由连续两个月或者累计六个月以上未缴纳租金的；</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（三）擅自转租、互换、出借保障性租赁住房的；</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（四）将保障性租赁住房用于经营性用途的；</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（五）擅自改变保障性租赁住房使用功能的；</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（六）擅自改建、扩建保障性租赁住房的；</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（七）因故意或者重大过失，造成保障性租赁住房严重毁损的；</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（八）其他违法情形。</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承租人有前款规定情形的，应当退回住房，逾期未退回的，产权单位或者运营管理单位按照市场参考租金计收逾期的房屋占有使用费。</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住房运营管理单位禁止情形】</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保障性租赁住房运营管理单位不得有下列情形：</w:t>
      </w:r>
    </w:p>
    <w:p>
      <w:pPr>
        <w:pStyle w:val="2"/>
        <w:keepNext w:val="0"/>
        <w:keepLines w:val="0"/>
        <w:pageBreakBefore w:val="0"/>
        <w:widowControl w:val="0"/>
        <w:numPr>
          <w:ilvl w:val="255"/>
          <w:numId w:val="0"/>
        </w:numPr>
        <w:kinsoku/>
        <w:wordWrap/>
        <w:overflowPunct/>
        <w:topLinePunct w:val="0"/>
        <w:autoSpaceDE/>
        <w:autoSpaceDN/>
        <w:bidi w:val="0"/>
        <w:adjustRightInd/>
        <w:spacing w:after="0" w:line="578" w:lineRule="exact"/>
        <w:ind w:firstLine="640" w:firstLineChars="20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（一）配租方案</w:t>
      </w:r>
      <w:r>
        <w:rPr>
          <w:rFonts w:hint="eastAsia" w:ascii="仿宋_GB2312" w:hAnsi="仿宋_GB2312" w:cs="仿宋_GB2312"/>
          <w:color w:val="auto"/>
          <w:szCs w:val="32"/>
          <w:highlight w:val="none"/>
          <w:u w:val="none"/>
          <w:lang w:val="en-US" w:eastAsia="zh-CN"/>
        </w:rPr>
        <w:t>未</w:t>
      </w:r>
      <w:r>
        <w:rPr>
          <w:rFonts w:hint="eastAsia" w:ascii="仿宋_GB2312" w:hAnsi="仿宋_GB2312" w:cs="仿宋_GB2312"/>
          <w:color w:val="auto"/>
          <w:szCs w:val="32"/>
          <w:highlight w:val="none"/>
          <w:u w:val="none"/>
        </w:rPr>
        <w:t>按照本办法第十二条规定备案的；</w:t>
      </w:r>
    </w:p>
    <w:p>
      <w:pPr>
        <w:pStyle w:val="3"/>
        <w:keepNext w:val="0"/>
        <w:keepLines w:val="0"/>
        <w:pageBreakBefore w:val="0"/>
        <w:widowControl w:val="0"/>
        <w:kinsoku/>
        <w:wordWrap/>
        <w:overflowPunct/>
        <w:topLinePunct w:val="0"/>
        <w:autoSpaceDE/>
        <w:autoSpaceDN/>
        <w:bidi w:val="0"/>
        <w:adjustRightInd/>
        <w:spacing w:after="0" w:line="578"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（二）以高于配租方案确定的租金价格出租的；</w:t>
      </w:r>
    </w:p>
    <w:p>
      <w:pPr>
        <w:pStyle w:val="3"/>
        <w:keepNext w:val="0"/>
        <w:keepLines w:val="0"/>
        <w:pageBreakBefore w:val="0"/>
        <w:widowControl w:val="0"/>
        <w:kinsoku/>
        <w:wordWrap/>
        <w:overflowPunct/>
        <w:topLinePunct w:val="0"/>
        <w:autoSpaceDE/>
        <w:autoSpaceDN/>
        <w:bidi w:val="0"/>
        <w:adjustRightInd/>
        <w:spacing w:after="0" w:line="578"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（三）向不符合条件的人员出租的；</w:t>
      </w:r>
    </w:p>
    <w:p>
      <w:pPr>
        <w:pStyle w:val="3"/>
        <w:keepNext w:val="0"/>
        <w:keepLines w:val="0"/>
        <w:pageBreakBefore w:val="0"/>
        <w:widowControl w:val="0"/>
        <w:kinsoku/>
        <w:wordWrap/>
        <w:overflowPunct/>
        <w:topLinePunct w:val="0"/>
        <w:autoSpaceDE/>
        <w:autoSpaceDN/>
        <w:bidi w:val="0"/>
        <w:adjustRightInd/>
        <w:spacing w:after="0" w:line="578"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（四）擅自改变保障性租赁住房用途的；</w:t>
      </w:r>
    </w:p>
    <w:p>
      <w:pPr>
        <w:pStyle w:val="3"/>
        <w:keepNext w:val="0"/>
        <w:keepLines w:val="0"/>
        <w:pageBreakBefore w:val="0"/>
        <w:widowControl w:val="0"/>
        <w:kinsoku/>
        <w:wordWrap/>
        <w:overflowPunct/>
        <w:topLinePunct w:val="0"/>
        <w:autoSpaceDE/>
        <w:autoSpaceDN/>
        <w:bidi w:val="0"/>
        <w:adjustRightInd/>
        <w:spacing w:after="0" w:line="578"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（五）将保障性租赁住房上市销售或者变相销售的；</w:t>
      </w:r>
    </w:p>
    <w:p>
      <w:pPr>
        <w:pStyle w:val="3"/>
        <w:keepNext w:val="0"/>
        <w:keepLines w:val="0"/>
        <w:pageBreakBefore w:val="0"/>
        <w:widowControl w:val="0"/>
        <w:kinsoku/>
        <w:wordWrap/>
        <w:overflowPunct/>
        <w:topLinePunct w:val="0"/>
        <w:autoSpaceDE/>
        <w:autoSpaceDN/>
        <w:bidi w:val="0"/>
        <w:adjustRightInd/>
        <w:snapToGrid w:val="0"/>
        <w:spacing w:after="0" w:line="578" w:lineRule="exact"/>
        <w:ind w:firstLine="640" w:firstLineChars="200"/>
        <w:jc w:val="both"/>
        <w:textAlignment w:val="auto"/>
        <w:rPr>
          <w:rFonts w:ascii="仿宋_GB2312" w:hAnsi="仿宋_GB2312" w:cs="仿宋_GB2312"/>
          <w:color w:val="auto"/>
          <w:kern w:val="0"/>
          <w:szCs w:val="32"/>
          <w:highlight w:val="none"/>
          <w:u w:val="none"/>
        </w:rPr>
      </w:pPr>
      <w:r>
        <w:rPr>
          <w:rFonts w:hint="eastAsia" w:ascii="仿宋_GB2312" w:hAnsi="仿宋_GB2312" w:eastAsia="仿宋_GB2312" w:cs="仿宋_GB2312"/>
          <w:color w:val="auto"/>
          <w:sz w:val="32"/>
          <w:szCs w:val="32"/>
          <w:highlight w:val="none"/>
          <w:u w:val="none"/>
        </w:rPr>
        <w:t>（六）其他违法情形。</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住房房地产经纪机构监督管理】</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房地产经纪机构及经纪人员不得提供</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rPr>
        <w:t>的保障性租赁住房租赁经纪业务。</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社会主体</w:t>
      </w:r>
      <w:r>
        <w:rPr>
          <w:rFonts w:hint="eastAsia" w:ascii="黑体" w:hAnsi="黑体" w:eastAsia="黑体"/>
          <w:color w:val="auto"/>
          <w:szCs w:val="32"/>
          <w:highlight w:val="none"/>
          <w:u w:val="none"/>
        </w:rPr>
        <w:t>出租住房的监督管理】</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lang w:eastAsia="zh-CN"/>
        </w:rPr>
        <w:t>社会主体</w:t>
      </w:r>
      <w:r>
        <w:rPr>
          <w:rFonts w:hint="eastAsia" w:ascii="仿宋_GB2312" w:hAnsi="仿宋_GB2312" w:cs="仿宋_GB2312"/>
          <w:color w:val="auto"/>
          <w:szCs w:val="32"/>
          <w:highlight w:val="none"/>
          <w:u w:val="none"/>
        </w:rPr>
        <w:t>出租</w:t>
      </w:r>
      <w:r>
        <w:rPr>
          <w:rFonts w:ascii="仿宋_GB2312" w:hAnsi="仿宋_GB2312" w:cs="仿宋_GB2312"/>
          <w:color w:val="auto"/>
          <w:szCs w:val="32"/>
          <w:highlight w:val="none"/>
          <w:u w:val="none"/>
        </w:rPr>
        <w:t>的保障性租赁住房</w:t>
      </w:r>
      <w:r>
        <w:rPr>
          <w:rFonts w:hint="eastAsia" w:ascii="仿宋_GB2312" w:hAnsi="仿宋_GB2312" w:cs="仿宋_GB2312"/>
          <w:color w:val="auto"/>
          <w:szCs w:val="32"/>
          <w:highlight w:val="none"/>
          <w:u w:val="none"/>
        </w:rPr>
        <w:t>，不得有下列情形</w:t>
      </w:r>
      <w:r>
        <w:rPr>
          <w:rFonts w:ascii="仿宋_GB2312" w:hAnsi="仿宋_GB2312" w:cs="仿宋_GB2312"/>
          <w:color w:val="auto"/>
          <w:szCs w:val="32"/>
          <w:highlight w:val="none"/>
          <w:u w:val="none"/>
        </w:rPr>
        <w:t>：</w:t>
      </w:r>
    </w:p>
    <w:p>
      <w:pPr>
        <w:keepNext w:val="0"/>
        <w:keepLines w:val="0"/>
        <w:pageBreakBefore w:val="0"/>
        <w:widowControl w:val="0"/>
        <w:numPr>
          <w:ilvl w:val="255"/>
          <w:numId w:val="0"/>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strike/>
          <w:color w:val="auto"/>
          <w:szCs w:val="32"/>
          <w:highlight w:val="none"/>
          <w:u w:val="none"/>
        </w:rPr>
      </w:pPr>
      <w:r>
        <w:rPr>
          <w:rFonts w:hint="eastAsia" w:ascii="仿宋_GB2312" w:hAnsi="仿宋_GB2312" w:cs="仿宋_GB2312"/>
          <w:color w:val="auto"/>
          <w:szCs w:val="32"/>
          <w:highlight w:val="none"/>
          <w:u w:val="none"/>
        </w:rPr>
        <w:t>（一）承租人通过以租代售等方式变相购买保障性租赁住房；</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二）运营管理单位不按照规定在信息平台办理租赁合同备案或者信息申报、租金价格不按照规定备案或者以高于备案价格出租、向不符合本办法第十九条规定条件的人员出租、签订租赁合同期限超过本办法规定最长期限；</w:t>
      </w:r>
    </w:p>
    <w:p>
      <w:pPr>
        <w:keepNext w:val="0"/>
        <w:keepLines w:val="0"/>
        <w:pageBreakBefore w:val="0"/>
        <w:widowControl w:val="0"/>
        <w:kinsoku/>
        <w:wordWrap/>
        <w:overflowPunct/>
        <w:topLinePunct w:val="0"/>
        <w:autoSpaceDE/>
        <w:autoSpaceDN/>
        <w:bidi w:val="0"/>
        <w:adjustRightInd/>
        <w:spacing w:line="578" w:lineRule="exact"/>
        <w:ind w:firstLine="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（三）运营管理单位将保障性租赁住房上市销售或者变相销售、擅自改变保障性租赁住房用途；</w:t>
      </w:r>
    </w:p>
    <w:p>
      <w:pPr>
        <w:pStyle w:val="2"/>
        <w:keepNext w:val="0"/>
        <w:keepLines w:val="0"/>
        <w:pageBreakBefore w:val="0"/>
        <w:widowControl w:val="0"/>
        <w:kinsoku/>
        <w:wordWrap/>
        <w:overflowPunct/>
        <w:topLinePunct w:val="0"/>
        <w:autoSpaceDE/>
        <w:autoSpaceDN/>
        <w:bidi w:val="0"/>
        <w:adjustRightInd/>
        <w:spacing w:after="0" w:line="578" w:lineRule="exact"/>
        <w:ind w:firstLine="0"/>
        <w:jc w:val="both"/>
        <w:textAlignment w:val="auto"/>
        <w:rPr>
          <w:color w:val="auto"/>
          <w:highlight w:val="none"/>
          <w:u w:val="none"/>
        </w:rPr>
      </w:pPr>
      <w:r>
        <w:rPr>
          <w:rFonts w:hint="eastAsia"/>
          <w:color w:val="auto"/>
          <w:highlight w:val="none"/>
          <w:u w:val="none"/>
        </w:rPr>
        <w:t>（四）法律、法规、规章和市政府规定的其他</w:t>
      </w:r>
      <w:r>
        <w:rPr>
          <w:rFonts w:hint="eastAsia" w:ascii="仿宋_GB2312" w:hAnsi="仿宋_GB2312" w:cs="仿宋_GB2312"/>
          <w:color w:val="auto"/>
          <w:szCs w:val="32"/>
          <w:highlight w:val="none"/>
          <w:u w:val="none"/>
        </w:rPr>
        <w:t>违法</w:t>
      </w:r>
      <w:r>
        <w:rPr>
          <w:rFonts w:hint="eastAsia"/>
          <w:color w:val="auto"/>
          <w:highlight w:val="none"/>
          <w:u w:val="none"/>
        </w:rPr>
        <w:t>情形。</w:t>
      </w:r>
    </w:p>
    <w:p>
      <w:pPr>
        <w:keepNext w:val="0"/>
        <w:keepLines w:val="0"/>
        <w:pageBreakBefore w:val="0"/>
        <w:widowControl w:val="0"/>
        <w:kinsoku/>
        <w:wordWrap/>
        <w:overflowPunct/>
        <w:topLinePunct w:val="0"/>
        <w:autoSpaceDE/>
        <w:autoSpaceDN/>
        <w:bidi w:val="0"/>
        <w:adjustRightInd/>
        <w:spacing w:line="578" w:lineRule="exact"/>
        <w:ind w:firstLine="0" w:firstLineChars="0"/>
        <w:jc w:val="both"/>
        <w:textAlignment w:val="auto"/>
        <w:rPr>
          <w:rFonts w:hint="eastAsia" w:ascii="黑体" w:hAnsi="黑体" w:eastAsia="黑体"/>
          <w:bCs/>
          <w:color w:val="auto"/>
          <w:szCs w:val="32"/>
          <w:highlight w:val="none"/>
          <w:u w:val="none"/>
        </w:rPr>
      </w:pPr>
    </w:p>
    <w:p>
      <w:pPr>
        <w:keepNext w:val="0"/>
        <w:keepLines w:val="0"/>
        <w:pageBreakBefore w:val="0"/>
        <w:kinsoku/>
        <w:wordWrap/>
        <w:overflowPunct/>
        <w:topLinePunct w:val="0"/>
        <w:autoSpaceDE/>
        <w:autoSpaceDN/>
        <w:bidi w:val="0"/>
        <w:spacing w:line="578" w:lineRule="exact"/>
        <w:ind w:firstLine="0" w:firstLineChars="0"/>
        <w:jc w:val="center"/>
        <w:textAlignment w:val="auto"/>
        <w:outlineLvl w:val="1"/>
        <w:rPr>
          <w:rFonts w:hint="eastAsia" w:ascii="黑体" w:hAnsi="黑体" w:eastAsia="黑体"/>
          <w:bCs/>
          <w:color w:val="auto"/>
          <w:szCs w:val="32"/>
          <w:highlight w:val="none"/>
          <w:u w:val="none"/>
        </w:rPr>
      </w:pPr>
      <w:r>
        <w:rPr>
          <w:rFonts w:hint="eastAsia" w:ascii="黑体" w:hAnsi="黑体" w:eastAsia="黑体"/>
          <w:bCs/>
          <w:color w:val="auto"/>
          <w:szCs w:val="32"/>
          <w:highlight w:val="none"/>
          <w:u w:val="none"/>
        </w:rPr>
        <w:t>第四章 法律责任</w:t>
      </w:r>
    </w:p>
    <w:p>
      <w:pPr>
        <w:pStyle w:val="2"/>
        <w:keepNext w:val="0"/>
        <w:keepLines w:val="0"/>
        <w:pageBreakBefore w:val="0"/>
        <w:widowControl w:val="0"/>
        <w:kinsoku/>
        <w:wordWrap/>
        <w:overflowPunct/>
        <w:topLinePunct w:val="0"/>
        <w:autoSpaceDE/>
        <w:autoSpaceDN/>
        <w:bidi w:val="0"/>
        <w:spacing w:after="0" w:line="578" w:lineRule="exact"/>
        <w:jc w:val="both"/>
        <w:textAlignment w:val="auto"/>
        <w:rPr>
          <w:color w:val="auto"/>
          <w:u w:val="none"/>
        </w:rPr>
      </w:pP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【出具虚假证明法律责任】</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有关单位和个人为申请人、共同申请人出具虚假证明材料的，由主管部门对直接责任人员处三万元罚款，对责任单位处十万元罚款；属于国家工作人员的，依法追究</w:t>
      </w:r>
      <w:r>
        <w:rPr>
          <w:rFonts w:hint="eastAsia" w:ascii="仿宋_GB2312" w:hAnsi="仿宋_GB2312"/>
          <w:color w:val="auto"/>
          <w:highlight w:val="none"/>
          <w:u w:val="none"/>
          <w:lang w:val="en-US" w:eastAsia="zh-CN"/>
        </w:rPr>
        <w:t>其</w:t>
      </w:r>
      <w:r>
        <w:rPr>
          <w:rFonts w:hint="eastAsia" w:ascii="仿宋_GB2312" w:hAnsi="仿宋_GB2312" w:cs="仿宋_GB2312"/>
          <w:color w:val="auto"/>
          <w:szCs w:val="32"/>
          <w:highlight w:val="none"/>
          <w:u w:val="none"/>
        </w:rPr>
        <w:t>行政责任。</w:t>
      </w:r>
    </w:p>
    <w:p>
      <w:pPr>
        <w:keepNext w:val="0"/>
        <w:keepLines w:val="0"/>
        <w:pageBreakBefore w:val="0"/>
        <w:widowControl w:val="0"/>
        <w:kinsoku/>
        <w:wordWrap/>
        <w:overflowPunct/>
        <w:topLinePunct w:val="0"/>
        <w:autoSpaceDE/>
        <w:autoSpaceDN/>
        <w:bidi w:val="0"/>
        <w:spacing w:line="578" w:lineRule="exact"/>
        <w:ind w:firstLine="640"/>
        <w:jc w:val="both"/>
        <w:textAlignment w:val="auto"/>
        <w:rPr>
          <w:rFonts w:ascii="仿宋_GB2312" w:hAnsi="Times New Roman"/>
          <w:color w:val="auto"/>
          <w:highlight w:val="none"/>
          <w:u w:val="none"/>
        </w:rPr>
      </w:pPr>
      <w:r>
        <w:rPr>
          <w:rFonts w:hint="eastAsia" w:ascii="仿宋_GB2312" w:hAnsi="仿宋_GB2312"/>
          <w:color w:val="auto"/>
          <w:highlight w:val="none"/>
          <w:u w:val="none"/>
        </w:rPr>
        <w:t>有关</w:t>
      </w:r>
      <w:r>
        <w:rPr>
          <w:rFonts w:hint="eastAsia" w:ascii="仿宋_GB2312" w:hAnsi="仿宋_GB2312"/>
          <w:color w:val="auto"/>
          <w:highlight w:val="none"/>
          <w:u w:val="none"/>
          <w:lang w:val="en-US" w:eastAsia="zh-CN"/>
        </w:rPr>
        <w:t>人员</w:t>
      </w:r>
      <w:r>
        <w:rPr>
          <w:rFonts w:hint="eastAsia" w:ascii="仿宋_GB2312" w:hAnsi="仿宋_GB2312"/>
          <w:color w:val="auto"/>
          <w:highlight w:val="none"/>
          <w:u w:val="none"/>
        </w:rPr>
        <w:t>涉嫌伪造、变造或者使用伪造、变造的国家机关、人民团体、企事业单位或者其他组织的公文、证件、证明文件</w:t>
      </w:r>
      <w:r>
        <w:rPr>
          <w:rFonts w:hint="eastAsia" w:ascii="仿宋_GB2312" w:hAnsi="仿宋_GB2312"/>
          <w:color w:val="auto"/>
          <w:highlight w:val="none"/>
          <w:u w:val="none"/>
          <w:lang w:eastAsia="zh-CN"/>
        </w:rPr>
        <w:t>、</w:t>
      </w:r>
      <w:r>
        <w:rPr>
          <w:rFonts w:hint="eastAsia" w:ascii="仿宋_GB2312" w:hAnsi="仿宋_GB2312"/>
          <w:color w:val="auto"/>
          <w:highlight w:val="none"/>
          <w:u w:val="none"/>
          <w:lang w:val="en-US" w:eastAsia="zh-CN"/>
        </w:rPr>
        <w:t>印章</w:t>
      </w:r>
      <w:r>
        <w:rPr>
          <w:rFonts w:hint="eastAsia" w:ascii="仿宋_GB2312" w:hAnsi="仿宋_GB2312"/>
          <w:color w:val="auto"/>
          <w:highlight w:val="none"/>
          <w:u w:val="none"/>
        </w:rPr>
        <w:t>的，</w:t>
      </w:r>
      <w:r>
        <w:rPr>
          <w:rFonts w:hint="eastAsia" w:ascii="仿宋_GB2312" w:hAnsi="仿宋_GB2312"/>
          <w:color w:val="auto"/>
          <w:highlight w:val="none"/>
          <w:u w:val="none"/>
          <w:lang w:val="en-US" w:eastAsia="zh-CN"/>
        </w:rPr>
        <w:t>由</w:t>
      </w:r>
      <w:r>
        <w:rPr>
          <w:rFonts w:hint="eastAsia" w:ascii="仿宋_GB2312" w:hAnsi="仿宋_GB2312"/>
          <w:color w:val="auto"/>
          <w:highlight w:val="none"/>
          <w:u w:val="none"/>
        </w:rPr>
        <w:t>公安机关依法处理；</w:t>
      </w:r>
      <w:r>
        <w:rPr>
          <w:rFonts w:hint="eastAsia" w:ascii="仿宋_GB2312" w:hAnsi="仿宋_GB2312"/>
          <w:color w:val="auto"/>
          <w:highlight w:val="none"/>
          <w:u w:val="none"/>
          <w:lang w:val="en-US" w:eastAsia="zh-CN"/>
        </w:rPr>
        <w:t>构成犯罪的，依法追究其刑事责任</w:t>
      </w:r>
      <w:r>
        <w:rPr>
          <w:rFonts w:hint="eastAsia" w:ascii="仿宋_GB2312" w:hAnsi="仿宋_GB2312"/>
          <w:color w:val="auto"/>
          <w:highlight w:val="none"/>
          <w:u w:val="none"/>
        </w:rPr>
        <w:t>。</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default" w:ascii="仿宋_GB2312" w:hAnsi="仿宋_GB2312" w:eastAsia="仿宋_GB2312" w:cs="仿宋_GB2312"/>
          <w:color w:val="auto"/>
          <w:szCs w:val="32"/>
          <w:highlight w:val="none"/>
          <w:u w:val="none"/>
        </w:rPr>
        <w:t>【</w:t>
      </w:r>
      <w:r>
        <w:rPr>
          <w:rFonts w:hint="default" w:ascii="黑体" w:hAnsi="黑体" w:eastAsia="黑体"/>
          <w:color w:val="auto"/>
          <w:szCs w:val="32"/>
          <w:highlight w:val="none"/>
          <w:u w:val="none"/>
        </w:rPr>
        <w:t>协助弄虚作假法律责任</w:t>
      </w:r>
      <w:r>
        <w:rPr>
          <w:rFonts w:hint="default" w:ascii="仿宋_GB2312" w:hAnsi="仿宋_GB2312" w:eastAsia="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 xml:space="preserve">  </w:t>
      </w:r>
      <w:r>
        <w:rPr>
          <w:rFonts w:hint="eastAsia" w:ascii="仿宋_GB2312" w:hAnsi="仿宋_GB2312" w:cs="仿宋_GB2312"/>
          <w:color w:val="auto"/>
          <w:szCs w:val="32"/>
          <w:highlight w:val="none"/>
          <w:u w:val="none"/>
        </w:rPr>
        <w:t>运营管理单位协助弄虚作假申请并获得保障性租赁住房的，由主管部门责令限期改正，逾期未改正的，按照因弄虚作假申请获得的房源数量每套处一万元罚款，有违法所得的，依法没收。</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住房骗租法律责任】</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不符合条件的</w:t>
      </w:r>
      <w:r>
        <w:rPr>
          <w:rFonts w:ascii="仿宋_GB2312" w:hAnsi="仿宋_GB2312" w:cs="仿宋_GB2312"/>
          <w:color w:val="auto"/>
          <w:szCs w:val="32"/>
          <w:highlight w:val="none"/>
          <w:u w:val="none"/>
        </w:rPr>
        <w:t>申请人和共同申请人</w:t>
      </w:r>
      <w:r>
        <w:rPr>
          <w:rFonts w:hint="eastAsia" w:ascii="仿宋_GB2312" w:hAnsi="仿宋_GB2312" w:cs="仿宋_GB2312"/>
          <w:color w:val="auto"/>
          <w:szCs w:val="32"/>
          <w:highlight w:val="none"/>
          <w:u w:val="none"/>
        </w:rPr>
        <w:t>以</w:t>
      </w:r>
      <w:r>
        <w:rPr>
          <w:rFonts w:ascii="仿宋_GB2312" w:hAnsi="仿宋_GB2312" w:cs="仿宋_GB2312"/>
          <w:color w:val="auto"/>
          <w:szCs w:val="32"/>
          <w:highlight w:val="none"/>
          <w:u w:val="none"/>
        </w:rPr>
        <w:t>隐瞒、虚报、提供虚假材料等方式弄虚作假，或者</w:t>
      </w:r>
      <w:r>
        <w:rPr>
          <w:rFonts w:hint="eastAsia" w:ascii="仿宋_GB2312" w:hAnsi="仿宋_GB2312" w:cs="仿宋_GB2312"/>
          <w:color w:val="auto"/>
          <w:szCs w:val="32"/>
          <w:highlight w:val="none"/>
          <w:u w:val="none"/>
        </w:rPr>
        <w:t>其他</w:t>
      </w:r>
      <w:r>
        <w:rPr>
          <w:rFonts w:ascii="仿宋_GB2312" w:hAnsi="仿宋_GB2312" w:cs="仿宋_GB2312"/>
          <w:color w:val="auto"/>
          <w:szCs w:val="32"/>
          <w:highlight w:val="none"/>
          <w:u w:val="none"/>
        </w:rPr>
        <w:t>不正当手段</w:t>
      </w:r>
      <w:r>
        <w:rPr>
          <w:rFonts w:hint="eastAsia" w:ascii="仿宋_GB2312" w:hAnsi="仿宋_GB2312" w:cs="仿宋_GB2312"/>
          <w:color w:val="auto"/>
          <w:szCs w:val="32"/>
          <w:highlight w:val="none"/>
          <w:u w:val="none"/>
        </w:rPr>
        <w:t>申请</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lang w:val="en-US" w:eastAsia="zh-CN"/>
        </w:rPr>
        <w:t>的</w:t>
      </w:r>
      <w:r>
        <w:rPr>
          <w:rFonts w:ascii="仿宋_GB2312" w:hAnsi="仿宋_GB2312" w:cs="仿宋_GB2312"/>
          <w:color w:val="auto"/>
          <w:szCs w:val="32"/>
          <w:highlight w:val="none"/>
          <w:u w:val="none"/>
        </w:rPr>
        <w:t>保障性租赁住房</w:t>
      </w:r>
      <w:r>
        <w:rPr>
          <w:rFonts w:hint="eastAsia" w:ascii="仿宋_GB2312" w:hAnsi="仿宋_GB2312" w:cs="仿宋_GB2312"/>
          <w:color w:val="auto"/>
          <w:szCs w:val="32"/>
          <w:highlight w:val="none"/>
          <w:u w:val="none"/>
        </w:rPr>
        <w:t>的</w:t>
      </w:r>
      <w:r>
        <w:rPr>
          <w:rFonts w:ascii="仿宋_GB2312" w:hAnsi="仿宋_GB2312" w:cs="仿宋_GB2312"/>
          <w:color w:val="auto"/>
          <w:szCs w:val="32"/>
          <w:highlight w:val="none"/>
          <w:u w:val="none"/>
        </w:rPr>
        <w:t>，由主管部门驳回申请，并自驳回申请之日起</w:t>
      </w:r>
      <w:r>
        <w:rPr>
          <w:rFonts w:hint="eastAsia" w:ascii="仿宋_GB2312" w:hAnsi="仿宋_GB2312" w:cs="仿宋_GB2312"/>
          <w:color w:val="auto"/>
          <w:szCs w:val="32"/>
          <w:highlight w:val="none"/>
          <w:u w:val="none"/>
        </w:rPr>
        <w:t>五</w:t>
      </w:r>
      <w:r>
        <w:rPr>
          <w:rFonts w:ascii="仿宋_GB2312" w:hAnsi="仿宋_GB2312" w:cs="仿宋_GB2312"/>
          <w:color w:val="auto"/>
          <w:szCs w:val="32"/>
          <w:highlight w:val="none"/>
          <w:u w:val="none"/>
        </w:rPr>
        <w:t>年</w:t>
      </w:r>
      <w:r>
        <w:rPr>
          <w:rFonts w:hint="eastAsia" w:ascii="仿宋_GB2312" w:hAnsi="仿宋_GB2312" w:cs="仿宋_GB2312"/>
          <w:color w:val="auto"/>
          <w:szCs w:val="32"/>
          <w:highlight w:val="none"/>
          <w:u w:val="none"/>
          <w:lang w:val="en-US" w:eastAsia="zh-CN"/>
        </w:rPr>
        <w:t>以</w:t>
      </w:r>
      <w:r>
        <w:rPr>
          <w:rFonts w:ascii="仿宋_GB2312" w:hAnsi="仿宋_GB2312" w:cs="仿宋_GB2312"/>
          <w:color w:val="auto"/>
          <w:szCs w:val="32"/>
          <w:highlight w:val="none"/>
          <w:u w:val="none"/>
        </w:rPr>
        <w:t>内不予受理其住房保障申请。</w:t>
      </w:r>
    </w:p>
    <w:p>
      <w:pPr>
        <w:keepNext w:val="0"/>
        <w:keepLines w:val="0"/>
        <w:pageBreakBefore w:val="0"/>
        <w:widowControl w:val="0"/>
        <w:numPr>
          <w:ilvl w:val="255"/>
          <w:numId w:val="0"/>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符合条件的</w:t>
      </w:r>
      <w:r>
        <w:rPr>
          <w:rFonts w:ascii="仿宋_GB2312" w:hAnsi="仿宋_GB2312" w:cs="仿宋_GB2312"/>
          <w:color w:val="auto"/>
          <w:szCs w:val="32"/>
          <w:highlight w:val="none"/>
          <w:u w:val="none"/>
        </w:rPr>
        <w:t>保障性租赁住房申请人和共同申请人</w:t>
      </w:r>
      <w:r>
        <w:rPr>
          <w:rFonts w:hint="eastAsia" w:ascii="仿宋_GB2312" w:hAnsi="仿宋_GB2312" w:cs="仿宋_GB2312"/>
          <w:color w:val="auto"/>
          <w:szCs w:val="32"/>
          <w:highlight w:val="none"/>
          <w:u w:val="none"/>
        </w:rPr>
        <w:t>有前款</w:t>
      </w:r>
      <w:r>
        <w:rPr>
          <w:rFonts w:ascii="仿宋_GB2312" w:hAnsi="仿宋_GB2312" w:cs="仿宋_GB2312"/>
          <w:color w:val="auto"/>
          <w:szCs w:val="32"/>
          <w:highlight w:val="none"/>
          <w:u w:val="none"/>
        </w:rPr>
        <w:t>规定情形的</w:t>
      </w:r>
      <w:r>
        <w:rPr>
          <w:rFonts w:hint="eastAsia" w:ascii="仿宋_GB2312" w:hAnsi="仿宋_GB2312" w:cs="仿宋_GB2312"/>
          <w:color w:val="auto"/>
          <w:szCs w:val="32"/>
          <w:highlight w:val="none"/>
          <w:u w:val="none"/>
        </w:rPr>
        <w:t>，由主管部门驳回申请，并自驳回申请之日起三年内不予受理其住房保障申请。</w:t>
      </w:r>
    </w:p>
    <w:p>
      <w:pPr>
        <w:keepNext w:val="0"/>
        <w:keepLines w:val="0"/>
        <w:pageBreakBefore w:val="0"/>
        <w:widowControl w:val="0"/>
        <w:numPr>
          <w:ilvl w:val="255"/>
          <w:numId w:val="0"/>
        </w:numPr>
        <w:kinsoku/>
        <w:wordWrap/>
        <w:overflowPunct/>
        <w:topLinePunct w:val="0"/>
        <w:autoSpaceDE/>
        <w:autoSpaceDN/>
        <w:bidi w:val="0"/>
        <w:adjustRightInd/>
        <w:spacing w:line="578" w:lineRule="exact"/>
        <w:ind w:firstLine="64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主管部门查明有关</w:t>
      </w:r>
      <w:r>
        <w:rPr>
          <w:rFonts w:hint="eastAsia" w:ascii="仿宋_GB2312" w:hAnsi="仿宋_GB2312" w:cs="仿宋_GB2312"/>
          <w:color w:val="auto"/>
          <w:szCs w:val="32"/>
          <w:highlight w:val="none"/>
          <w:u w:val="none"/>
          <w:lang w:val="en-US" w:eastAsia="zh-CN"/>
        </w:rPr>
        <w:t>人员</w:t>
      </w:r>
      <w:r>
        <w:rPr>
          <w:rFonts w:hint="eastAsia" w:ascii="仿宋_GB2312" w:hAnsi="仿宋_GB2312" w:cs="仿宋_GB2312"/>
          <w:color w:val="auto"/>
          <w:szCs w:val="32"/>
          <w:highlight w:val="none"/>
          <w:u w:val="none"/>
        </w:rPr>
        <w:t>以隐瞒、虚报、提供虚假材料等方式弄虚作假，或者采取贿赂等不正当手段获取</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rPr>
        <w:t>保障性租赁住房的</w:t>
      </w:r>
      <w:r>
        <w:rPr>
          <w:rFonts w:ascii="仿宋_GB2312" w:hAnsi="仿宋_GB2312" w:cs="仿宋_GB2312"/>
          <w:color w:val="auto"/>
          <w:szCs w:val="32"/>
          <w:highlight w:val="none"/>
          <w:u w:val="none"/>
        </w:rPr>
        <w:t>，</w:t>
      </w:r>
      <w:r>
        <w:rPr>
          <w:rFonts w:hint="eastAsia" w:ascii="仿宋_GB2312" w:hAnsi="仿宋_GB2312" w:cs="仿宋_GB2312"/>
          <w:color w:val="auto"/>
          <w:szCs w:val="32"/>
          <w:highlight w:val="none"/>
          <w:u w:val="none"/>
        </w:rPr>
        <w:t>由产</w:t>
      </w:r>
      <w:r>
        <w:rPr>
          <w:rFonts w:hint="eastAsia"/>
          <w:color w:val="auto"/>
          <w:highlight w:val="none"/>
          <w:u w:val="none"/>
        </w:rPr>
        <w:t>权单位或者运营管理单位</w:t>
      </w:r>
      <w:r>
        <w:rPr>
          <w:rFonts w:ascii="仿宋_GB2312" w:hAnsi="仿宋_GB2312" w:cs="仿宋_GB2312"/>
          <w:color w:val="auto"/>
          <w:szCs w:val="32"/>
          <w:highlight w:val="none"/>
          <w:u w:val="none"/>
        </w:rPr>
        <w:t>收回</w:t>
      </w:r>
      <w:r>
        <w:rPr>
          <w:rFonts w:hint="eastAsia" w:ascii="仿宋_GB2312" w:hAnsi="仿宋_GB2312" w:cs="仿宋_GB2312"/>
          <w:color w:val="auto"/>
          <w:szCs w:val="32"/>
          <w:highlight w:val="none"/>
          <w:u w:val="none"/>
        </w:rPr>
        <w:t>住房，同时</w:t>
      </w:r>
      <w:r>
        <w:rPr>
          <w:rFonts w:hint="eastAsia"/>
          <w:color w:val="auto"/>
          <w:highlight w:val="none"/>
          <w:u w:val="none"/>
        </w:rPr>
        <w:t>按照市场参考租金补收入住期间的租金</w:t>
      </w:r>
      <w:r>
        <w:rPr>
          <w:rFonts w:hint="eastAsia" w:ascii="仿宋_GB2312" w:hAnsi="仿宋_GB2312" w:cs="仿宋_GB2312"/>
          <w:color w:val="auto"/>
          <w:szCs w:val="32"/>
          <w:highlight w:val="none"/>
          <w:u w:val="none"/>
        </w:rPr>
        <w:t>，主管部门</w:t>
      </w:r>
      <w:r>
        <w:rPr>
          <w:rFonts w:ascii="仿宋_GB2312" w:hAnsi="仿宋_GB2312" w:cs="仿宋_GB2312"/>
          <w:color w:val="auto"/>
          <w:szCs w:val="32"/>
          <w:highlight w:val="none"/>
          <w:u w:val="none"/>
        </w:rPr>
        <w:t>自</w:t>
      </w:r>
      <w:r>
        <w:rPr>
          <w:rFonts w:hint="eastAsia" w:ascii="仿宋_GB2312" w:hAnsi="仿宋_GB2312" w:cs="仿宋_GB2312"/>
          <w:color w:val="auto"/>
          <w:szCs w:val="32"/>
          <w:highlight w:val="none"/>
          <w:u w:val="none"/>
        </w:rPr>
        <w:t>收回住房</w:t>
      </w:r>
      <w:r>
        <w:rPr>
          <w:rFonts w:ascii="仿宋_GB2312" w:hAnsi="仿宋_GB2312" w:cs="仿宋_GB2312"/>
          <w:color w:val="auto"/>
          <w:szCs w:val="32"/>
          <w:highlight w:val="none"/>
          <w:u w:val="none"/>
        </w:rPr>
        <w:t>之日起十年</w:t>
      </w:r>
      <w:r>
        <w:rPr>
          <w:rFonts w:hint="eastAsia" w:ascii="仿宋_GB2312" w:hAnsi="仿宋_GB2312" w:cs="仿宋_GB2312"/>
          <w:color w:val="auto"/>
          <w:szCs w:val="32"/>
          <w:highlight w:val="none"/>
          <w:u w:val="none"/>
          <w:lang w:val="en-US" w:eastAsia="zh-CN"/>
        </w:rPr>
        <w:t>以</w:t>
      </w:r>
      <w:r>
        <w:rPr>
          <w:rFonts w:ascii="仿宋_GB2312" w:hAnsi="仿宋_GB2312" w:cs="仿宋_GB2312"/>
          <w:color w:val="auto"/>
          <w:szCs w:val="32"/>
          <w:highlight w:val="none"/>
          <w:u w:val="none"/>
        </w:rPr>
        <w:t>内不予受理其住房保障申请。</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住房承租人法律责任】</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lang w:eastAsia="zh-CN"/>
        </w:rPr>
        <w:t>政府组织配租</w:t>
      </w:r>
      <w:r>
        <w:rPr>
          <w:rFonts w:hint="eastAsia" w:ascii="仿宋_GB2312" w:hAnsi="仿宋_GB2312" w:cs="仿宋_GB2312"/>
          <w:color w:val="auto"/>
          <w:szCs w:val="32"/>
          <w:highlight w:val="none"/>
          <w:u w:val="none"/>
        </w:rPr>
        <w:t>保障性租赁住房的承租人有下列情形之一的，由主管部门按照以下规定予以查处：</w:t>
      </w:r>
    </w:p>
    <w:p>
      <w:pPr>
        <w:keepNext w:val="0"/>
        <w:keepLines w:val="0"/>
        <w:pageBreakBefore w:val="0"/>
        <w:widowControl w:val="0"/>
        <w:numPr>
          <w:ilvl w:val="0"/>
          <w:numId w:val="4"/>
        </w:numPr>
        <w:kinsoku/>
        <w:wordWrap/>
        <w:overflowPunct/>
        <w:topLinePunct w:val="0"/>
        <w:autoSpaceDE/>
        <w:autoSpaceDN/>
        <w:bidi w:val="0"/>
        <w:adjustRightInd/>
        <w:spacing w:line="578" w:lineRule="exact"/>
        <w:ind w:firstLine="64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有本办法第二十四条第一款规定情形被收回住房的，主管部门五年</w:t>
      </w:r>
      <w:r>
        <w:rPr>
          <w:rFonts w:hint="eastAsia" w:ascii="仿宋_GB2312" w:hAnsi="仿宋_GB2312" w:cs="仿宋_GB2312"/>
          <w:color w:val="auto"/>
          <w:szCs w:val="32"/>
          <w:highlight w:val="none"/>
          <w:u w:val="none"/>
          <w:lang w:val="en-US" w:eastAsia="zh-CN"/>
        </w:rPr>
        <w:t>以</w:t>
      </w:r>
      <w:r>
        <w:rPr>
          <w:rFonts w:hint="eastAsia" w:ascii="仿宋_GB2312" w:hAnsi="仿宋_GB2312" w:cs="仿宋_GB2312"/>
          <w:color w:val="auto"/>
          <w:szCs w:val="32"/>
          <w:highlight w:val="none"/>
          <w:u w:val="none"/>
        </w:rPr>
        <w:t>内不予受理其住房保障申请；</w:t>
      </w:r>
    </w:p>
    <w:p>
      <w:pPr>
        <w:keepNext w:val="0"/>
        <w:keepLines w:val="0"/>
        <w:pageBreakBefore w:val="0"/>
        <w:widowControl w:val="0"/>
        <w:numPr>
          <w:ilvl w:val="0"/>
          <w:numId w:val="4"/>
        </w:numPr>
        <w:kinsoku/>
        <w:wordWrap/>
        <w:overflowPunct/>
        <w:topLinePunct w:val="0"/>
        <w:autoSpaceDE/>
        <w:autoSpaceDN/>
        <w:bidi w:val="0"/>
        <w:adjustRightInd/>
        <w:spacing w:line="578" w:lineRule="exact"/>
        <w:ind w:firstLine="64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有本办法第二十四条第一款第三项至七项规定情形的，责令限期改正，逾期未改正的，处一万元罚款，有违法所得的，依法没收。</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w:t>
      </w:r>
      <w:r>
        <w:rPr>
          <w:rFonts w:hint="eastAsia" w:ascii="黑体" w:hAnsi="黑体" w:eastAsia="黑体"/>
          <w:color w:val="auto"/>
          <w:szCs w:val="32"/>
          <w:highlight w:val="none"/>
          <w:u w:val="none"/>
          <w:lang w:eastAsia="zh-CN"/>
        </w:rPr>
        <w:t>政府组织配租</w:t>
      </w:r>
      <w:r>
        <w:rPr>
          <w:rFonts w:hint="eastAsia" w:ascii="黑体" w:hAnsi="黑体" w:eastAsia="黑体"/>
          <w:color w:val="auto"/>
          <w:szCs w:val="32"/>
          <w:highlight w:val="none"/>
          <w:u w:val="none"/>
        </w:rPr>
        <w:t>住房运营管理单位法律责任】</w:t>
      </w:r>
      <w:r>
        <w:rPr>
          <w:rFonts w:hint="eastAsia" w:ascii="仿宋_GB2312" w:hAnsi="仿宋_GB2312" w:cs="仿宋_GB2312"/>
          <w:color w:val="auto"/>
          <w:szCs w:val="32"/>
          <w:highlight w:val="none"/>
          <w:u w:val="none"/>
        </w:rPr>
        <w:t>运营管理单位违反本办法第二十五条第一项至三项规定的，由主管部门责令限期改正，逾期未改正的，按照实际出租的房源数量每套处一万元罚款；</w:t>
      </w:r>
    </w:p>
    <w:p>
      <w:pPr>
        <w:keepNext w:val="0"/>
        <w:keepLines w:val="0"/>
        <w:pageBreakBefore w:val="0"/>
        <w:widowControl w:val="0"/>
        <w:numPr>
          <w:ilvl w:val="255"/>
          <w:numId w:val="0"/>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违反第二十五条第四项、第五项规定的，由主管部门责令限期改正，逾期未改正的，依法没收违法所得，并按照存在违规情形的住房套数每套处十万元罚款。</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黑体" w:hAnsi="黑体" w:eastAsia="黑体"/>
          <w:color w:val="auto"/>
          <w:highlight w:val="none"/>
          <w:u w:val="none"/>
        </w:rPr>
        <w:t>【</w:t>
      </w:r>
      <w:r>
        <w:rPr>
          <w:rFonts w:hint="eastAsia" w:ascii="黑体" w:hAnsi="黑体" w:eastAsia="黑体"/>
          <w:color w:val="auto"/>
          <w:szCs w:val="32"/>
          <w:highlight w:val="none"/>
          <w:u w:val="none"/>
        </w:rPr>
        <w:t>政府组织</w:t>
      </w:r>
      <w:r>
        <w:rPr>
          <w:rFonts w:hint="eastAsia" w:ascii="黑体" w:hAnsi="黑体" w:eastAsia="黑体"/>
          <w:color w:val="auto"/>
          <w:szCs w:val="32"/>
          <w:highlight w:val="none"/>
          <w:u w:val="none"/>
          <w:lang w:eastAsia="zh-CN"/>
        </w:rPr>
        <w:t>配租</w:t>
      </w:r>
      <w:r>
        <w:rPr>
          <w:rFonts w:hint="eastAsia" w:ascii="黑体" w:hAnsi="黑体" w:eastAsia="黑体"/>
          <w:color w:val="auto"/>
          <w:szCs w:val="32"/>
          <w:highlight w:val="none"/>
          <w:u w:val="none"/>
        </w:rPr>
        <w:t>住房</w:t>
      </w:r>
      <w:r>
        <w:rPr>
          <w:rFonts w:hint="eastAsia" w:ascii="黑体" w:hAnsi="黑体" w:eastAsia="黑体"/>
          <w:color w:val="auto"/>
          <w:highlight w:val="none"/>
          <w:u w:val="none"/>
        </w:rPr>
        <w:t>房地产经纪机构违规处理】</w:t>
      </w:r>
      <w:r>
        <w:rPr>
          <w:rFonts w:hint="eastAsia" w:ascii="黑体" w:hAnsi="黑体" w:eastAsia="黑体"/>
          <w:color w:val="auto"/>
          <w:highlight w:val="none"/>
          <w:u w:val="none"/>
          <w:lang w:val="en-US" w:eastAsia="zh-CN"/>
        </w:rPr>
        <w:t xml:space="preserve">  </w:t>
      </w:r>
      <w:r>
        <w:rPr>
          <w:rFonts w:hint="eastAsia" w:ascii="仿宋_GB2312" w:hAnsi="仿宋_GB2312" w:cs="仿宋_GB2312"/>
          <w:color w:val="auto"/>
          <w:szCs w:val="32"/>
          <w:highlight w:val="none"/>
          <w:u w:val="none"/>
        </w:rPr>
        <w:t>房地产经纪机构及经纪人员违反本办法第二十六条规定的，由主管部门责令限期改正，记入房地产经纪信用档案；对房地产经纪人员，处三万元罚款；对房地产经纪机构，暂停网上签约资格，处十万元罚款。</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firstLineChars="200"/>
        <w:jc w:val="both"/>
        <w:textAlignment w:val="auto"/>
        <w:rPr>
          <w:rFonts w:hint="eastAsia" w:ascii="仿宋_GB2312" w:hAnsi="仿宋_GB2312" w:cs="仿宋_GB2312"/>
          <w:color w:val="auto"/>
          <w:szCs w:val="32"/>
          <w:highlight w:val="none"/>
          <w:u w:val="none"/>
        </w:rPr>
      </w:pPr>
      <w:r>
        <w:rPr>
          <w:rFonts w:hint="eastAsia" w:ascii="仿宋_GB2312" w:hAnsi="仿宋_GB2312" w:eastAsia="仿宋_GB2312" w:cs="仿宋_GB2312"/>
          <w:color w:val="auto"/>
          <w:szCs w:val="32"/>
          <w:highlight w:val="none"/>
          <w:u w:val="none"/>
        </w:rPr>
        <w:t>【</w:t>
      </w:r>
      <w:r>
        <w:rPr>
          <w:rFonts w:hint="eastAsia" w:ascii="黑体" w:hAnsi="黑体" w:eastAsia="黑体" w:cs="Times New Roman"/>
          <w:color w:val="auto"/>
          <w:szCs w:val="32"/>
          <w:highlight w:val="none"/>
          <w:u w:val="none"/>
          <w:lang w:eastAsia="zh-CN"/>
        </w:rPr>
        <w:t>社会主体</w:t>
      </w:r>
      <w:r>
        <w:rPr>
          <w:rFonts w:hint="eastAsia" w:ascii="黑体" w:hAnsi="黑体" w:eastAsia="黑体" w:cs="Times New Roman"/>
          <w:color w:val="auto"/>
          <w:szCs w:val="32"/>
          <w:highlight w:val="none"/>
          <w:u w:val="none"/>
        </w:rPr>
        <w:t>出租住房的相关法律责任</w:t>
      </w:r>
      <w:r>
        <w:rPr>
          <w:rFonts w:hint="eastAsia" w:ascii="仿宋_GB2312" w:hAnsi="仿宋_GB2312" w:eastAsia="仿宋_GB2312" w:cs="仿宋_GB2312"/>
          <w:color w:val="auto"/>
          <w:szCs w:val="32"/>
          <w:highlight w:val="none"/>
          <w:u w:val="none"/>
        </w:rPr>
        <w:t>】</w:t>
      </w:r>
      <w:r>
        <w:rPr>
          <w:rFonts w:hint="eastAsia" w:ascii="仿宋_GB2312" w:hAnsi="仿宋_GB2312" w:cs="仿宋_GB2312"/>
          <w:color w:val="auto"/>
          <w:szCs w:val="32"/>
          <w:highlight w:val="none"/>
          <w:u w:val="none"/>
          <w:lang w:val="en-US" w:eastAsia="zh-CN"/>
        </w:rPr>
        <w:t xml:space="preserve">  </w:t>
      </w:r>
      <w:r>
        <w:rPr>
          <w:rFonts w:hint="eastAsia" w:ascii="仿宋_GB2312" w:hAnsi="仿宋_GB2312" w:cs="仿宋_GB2312"/>
          <w:color w:val="auto"/>
          <w:szCs w:val="32"/>
          <w:highlight w:val="none"/>
          <w:u w:val="none"/>
          <w:lang w:eastAsia="zh-CN"/>
        </w:rPr>
        <w:t>社会主体</w:t>
      </w:r>
      <w:r>
        <w:rPr>
          <w:rFonts w:hint="eastAsia" w:ascii="仿宋_GB2312" w:hAnsi="仿宋_GB2312" w:cs="仿宋_GB2312"/>
          <w:color w:val="auto"/>
          <w:szCs w:val="32"/>
          <w:highlight w:val="none"/>
          <w:u w:val="none"/>
        </w:rPr>
        <w:t>出租的保障性租赁住房运营管理单位违反本办法第二十一条规定，未上传、变更房源信息的，由区主管部门责令限期改正，逾期未改正的，按照未上传或者变更房源信息数量每套处一千元罚款</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未与信息平台对接并实时提供住房租赁相关信息的，由区主管部门责令限期改正，逾期未改正的，处二十万元罚款</w:t>
      </w:r>
      <w:r>
        <w:rPr>
          <w:rFonts w:hint="eastAsia" w:ascii="仿宋_GB2312" w:hAnsi="仿宋_GB2312" w:cs="仿宋_GB2312"/>
          <w:color w:val="auto"/>
          <w:szCs w:val="32"/>
          <w:highlight w:val="none"/>
          <w:u w:val="none"/>
          <w:lang w:eastAsia="zh-CN"/>
        </w:rPr>
        <w:t>。</w:t>
      </w:r>
    </w:p>
    <w:p>
      <w:pPr>
        <w:spacing w:line="578" w:lineRule="exact"/>
        <w:ind w:firstLine="640"/>
        <w:rPr>
          <w:rFonts w:hint="eastAsia"/>
          <w:u w:val="none"/>
        </w:rPr>
      </w:pPr>
      <w:r>
        <w:rPr>
          <w:rFonts w:hint="eastAsia" w:cs="Times New Roman"/>
          <w:szCs w:val="22"/>
          <w:u w:val="none"/>
          <w:lang w:eastAsia="zh-CN"/>
        </w:rPr>
        <w:t>社会主体</w:t>
      </w:r>
      <w:r>
        <w:rPr>
          <w:rFonts w:hint="eastAsia" w:ascii="Calibri" w:hAnsi="Calibri" w:cs="Times New Roman"/>
          <w:szCs w:val="22"/>
          <w:u w:val="none"/>
        </w:rPr>
        <w:t>出租</w:t>
      </w:r>
      <w:r>
        <w:rPr>
          <w:rFonts w:hint="eastAsia" w:ascii="Calibri" w:hAnsi="Calibri" w:cs="Times New Roman"/>
          <w:szCs w:val="22"/>
          <w:u w:val="none"/>
          <w:lang w:val="en-US" w:eastAsia="zh-CN"/>
        </w:rPr>
        <w:t>的</w:t>
      </w:r>
      <w:r>
        <w:rPr>
          <w:rFonts w:hint="eastAsia" w:ascii="Calibri" w:hAnsi="Calibri" w:cs="Times New Roman"/>
          <w:szCs w:val="22"/>
          <w:u w:val="none"/>
        </w:rPr>
        <w:t>保障性租赁住房承租人违反本办法第二十七条第一项规定的，责令限期改正，逾期未改正的，处五万元罚款；有违法所得的，依法没收。</w:t>
      </w:r>
      <w:r>
        <w:rPr>
          <w:rFonts w:hint="eastAsia" w:ascii="Calibri" w:hAnsi="Calibri" w:cs="Times New Roman"/>
          <w:szCs w:val="22"/>
          <w:u w:val="none"/>
          <w:lang w:eastAsia="zh-CN"/>
        </w:rPr>
        <w:t>社会主体</w:t>
      </w:r>
      <w:r>
        <w:rPr>
          <w:rFonts w:hint="eastAsia" w:ascii="Calibri" w:hAnsi="Calibri" w:cs="Times New Roman"/>
          <w:szCs w:val="22"/>
          <w:u w:val="none"/>
        </w:rPr>
        <w:t>出租</w:t>
      </w:r>
      <w:r>
        <w:rPr>
          <w:rFonts w:hint="eastAsia" w:ascii="Calibri" w:hAnsi="Calibri" w:cs="Times New Roman"/>
          <w:szCs w:val="22"/>
          <w:u w:val="none"/>
          <w:lang w:val="en-US" w:eastAsia="zh-CN"/>
        </w:rPr>
        <w:t>的</w:t>
      </w:r>
      <w:r>
        <w:rPr>
          <w:rFonts w:hint="eastAsia" w:ascii="Calibri" w:hAnsi="Calibri" w:cs="Times New Roman"/>
          <w:szCs w:val="22"/>
          <w:u w:val="none"/>
        </w:rPr>
        <w:t>保障性租赁住房运营管理单位</w:t>
      </w:r>
      <w:r>
        <w:rPr>
          <w:rFonts w:hint="eastAsia"/>
          <w:u w:val="none"/>
        </w:rPr>
        <w:t>违反本办法第二十七</w:t>
      </w:r>
      <w:r>
        <w:rPr>
          <w:rFonts w:hint="eastAsia" w:ascii="Calibri" w:hAnsi="Calibri" w:cs="Times New Roman"/>
          <w:szCs w:val="22"/>
          <w:u w:val="none"/>
        </w:rPr>
        <w:t>条</w:t>
      </w:r>
      <w:r>
        <w:rPr>
          <w:rFonts w:hint="eastAsia"/>
          <w:u w:val="none"/>
        </w:rPr>
        <w:t>第二项规定的，由区主管部门责令限期改正，逾期未改正的，按房屋租赁合同数量每份处一千元以上一万元以下罚款；违反本办法第二十七</w:t>
      </w:r>
      <w:r>
        <w:rPr>
          <w:rFonts w:hint="eastAsia" w:ascii="Calibri" w:hAnsi="Calibri" w:cs="Times New Roman"/>
          <w:szCs w:val="22"/>
          <w:u w:val="none"/>
        </w:rPr>
        <w:t>条</w:t>
      </w:r>
      <w:r>
        <w:rPr>
          <w:rFonts w:hint="eastAsia"/>
          <w:u w:val="none"/>
        </w:rPr>
        <w:t>第三项规定的，由主管部门责令限期改正，逾期未改正的，依法没收违法所得，按照存在违规情形的住房套数每套处五万元罚款。</w:t>
      </w:r>
    </w:p>
    <w:p>
      <w:pPr>
        <w:spacing w:line="578" w:lineRule="exact"/>
        <w:ind w:firstLine="640"/>
      </w:pPr>
      <w:r>
        <w:rPr>
          <w:rFonts w:hint="eastAsia"/>
        </w:rPr>
        <w:t>违反本办法第二十七条第二项和第三项规定，情节严重的，由主管部门通知相关部门暂停运营管理单位享受保障性租赁住房财税支持政策和民用水电气价格政策，责令运营管理单位退回已收到的财政奖补资金，并按税收征收管理法等予以处理。</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firstLineChars="200"/>
        <w:jc w:val="both"/>
        <w:textAlignment w:val="auto"/>
        <w:rPr>
          <w:color w:val="auto"/>
          <w:highlight w:val="none"/>
          <w:u w:val="none"/>
        </w:rPr>
      </w:pPr>
      <w:r>
        <w:rPr>
          <w:rFonts w:hint="eastAsia" w:ascii="黑体" w:hAnsi="黑体" w:eastAsia="黑体"/>
          <w:color w:val="auto"/>
          <w:szCs w:val="32"/>
          <w:highlight w:val="none"/>
          <w:u w:val="none"/>
        </w:rPr>
        <w:t>【部门及工作人员法律责任】</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bCs/>
          <w:color w:val="auto"/>
          <w:szCs w:val="32"/>
          <w:highlight w:val="none"/>
          <w:u w:val="none"/>
        </w:rPr>
        <w:t>主管部门</w:t>
      </w:r>
      <w:r>
        <w:rPr>
          <w:rFonts w:hint="eastAsia" w:ascii="仿宋_GB2312" w:hAnsi="仿宋_GB2312" w:cs="仿宋_GB2312"/>
          <w:color w:val="auto"/>
          <w:szCs w:val="32"/>
          <w:highlight w:val="none"/>
          <w:u w:val="none"/>
        </w:rPr>
        <w:t>或者其他相关部门及其工作人员违反本办法规定不履行职责的</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依法追究</w:t>
      </w:r>
      <w:r>
        <w:rPr>
          <w:rFonts w:hint="eastAsia" w:ascii="仿宋_GB2312" w:hAnsi="仿宋_GB2312" w:cs="仿宋_GB2312"/>
          <w:color w:val="auto"/>
          <w:szCs w:val="32"/>
          <w:highlight w:val="none"/>
          <w:u w:val="none"/>
          <w:lang w:eastAsia="zh-CN"/>
        </w:rPr>
        <w:t>其</w:t>
      </w:r>
      <w:r>
        <w:rPr>
          <w:rFonts w:hint="eastAsia" w:ascii="仿宋_GB2312" w:hAnsi="仿宋_GB2312" w:cs="仿宋_GB2312"/>
          <w:color w:val="auto"/>
          <w:szCs w:val="32"/>
          <w:highlight w:val="none"/>
          <w:u w:val="none"/>
        </w:rPr>
        <w:t>行政责任；构成犯罪的，依法追究</w:t>
      </w:r>
      <w:r>
        <w:rPr>
          <w:rFonts w:hint="eastAsia" w:ascii="仿宋_GB2312" w:hAnsi="仿宋_GB2312" w:cs="仿宋_GB2312"/>
          <w:color w:val="auto"/>
          <w:szCs w:val="32"/>
          <w:highlight w:val="none"/>
          <w:u w:val="none"/>
          <w:lang w:eastAsia="zh-CN"/>
        </w:rPr>
        <w:t>其</w:t>
      </w:r>
      <w:r>
        <w:rPr>
          <w:rFonts w:hint="eastAsia" w:ascii="仿宋_GB2312" w:hAnsi="仿宋_GB2312" w:cs="仿宋_GB2312"/>
          <w:color w:val="auto"/>
          <w:szCs w:val="32"/>
          <w:highlight w:val="none"/>
          <w:u w:val="none"/>
        </w:rPr>
        <w:t>刑事责任。</w:t>
      </w:r>
    </w:p>
    <w:p>
      <w:pPr>
        <w:pStyle w:val="2"/>
        <w:keepNext w:val="0"/>
        <w:keepLines w:val="0"/>
        <w:pageBreakBefore w:val="0"/>
        <w:widowControl w:val="0"/>
        <w:kinsoku/>
        <w:wordWrap/>
        <w:overflowPunct/>
        <w:topLinePunct w:val="0"/>
        <w:autoSpaceDE/>
        <w:autoSpaceDN/>
        <w:bidi w:val="0"/>
        <w:spacing w:after="0" w:line="578" w:lineRule="exact"/>
        <w:jc w:val="both"/>
        <w:textAlignment w:val="auto"/>
        <w:rPr>
          <w:color w:val="auto"/>
          <w:u w:val="none"/>
        </w:rPr>
      </w:pPr>
    </w:p>
    <w:p>
      <w:pPr>
        <w:keepNext w:val="0"/>
        <w:keepLines w:val="0"/>
        <w:pageBreakBefore w:val="0"/>
        <w:kinsoku/>
        <w:wordWrap/>
        <w:overflowPunct/>
        <w:topLinePunct w:val="0"/>
        <w:autoSpaceDE/>
        <w:autoSpaceDN/>
        <w:bidi w:val="0"/>
        <w:spacing w:line="578" w:lineRule="exact"/>
        <w:ind w:firstLine="0" w:firstLineChars="0"/>
        <w:jc w:val="center"/>
        <w:textAlignment w:val="auto"/>
        <w:outlineLvl w:val="1"/>
        <w:rPr>
          <w:rFonts w:hint="eastAsia" w:ascii="黑体" w:hAnsi="黑体" w:eastAsia="黑体"/>
          <w:bCs/>
          <w:color w:val="auto"/>
          <w:szCs w:val="32"/>
          <w:highlight w:val="none"/>
          <w:u w:val="none"/>
        </w:rPr>
      </w:pPr>
      <w:r>
        <w:rPr>
          <w:rFonts w:hint="eastAsia" w:ascii="黑体" w:hAnsi="黑体" w:eastAsia="黑体"/>
          <w:bCs/>
          <w:color w:val="auto"/>
          <w:szCs w:val="32"/>
          <w:highlight w:val="none"/>
          <w:u w:val="none"/>
        </w:rPr>
        <w:t>第五章 附则</w:t>
      </w:r>
    </w:p>
    <w:p>
      <w:pPr>
        <w:pStyle w:val="2"/>
        <w:keepNext w:val="0"/>
        <w:keepLines w:val="0"/>
        <w:pageBreakBefore w:val="0"/>
        <w:widowControl w:val="0"/>
        <w:kinsoku/>
        <w:wordWrap/>
        <w:overflowPunct/>
        <w:topLinePunct w:val="0"/>
        <w:autoSpaceDE/>
        <w:autoSpaceDN/>
        <w:bidi w:val="0"/>
        <w:spacing w:after="0" w:line="578" w:lineRule="exact"/>
        <w:jc w:val="both"/>
        <w:textAlignment w:val="auto"/>
        <w:rPr>
          <w:color w:val="auto"/>
          <w:u w:val="none"/>
        </w:rPr>
      </w:pP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【用语定义】</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本办法下列用语的含义是：</w:t>
      </w:r>
    </w:p>
    <w:p>
      <w:pPr>
        <w:keepNext w:val="0"/>
        <w:keepLines w:val="0"/>
        <w:pageBreakBefore w:val="0"/>
        <w:widowControl w:val="0"/>
        <w:numPr>
          <w:ilvl w:val="0"/>
          <w:numId w:val="5"/>
        </w:numPr>
        <w:kinsoku/>
        <w:wordWrap/>
        <w:overflowPunct/>
        <w:topLinePunct w:val="0"/>
        <w:autoSpaceDE/>
        <w:autoSpaceDN/>
        <w:bidi w:val="0"/>
        <w:adjustRightInd/>
        <w:spacing w:line="578" w:lineRule="exact"/>
        <w:ind w:firstLine="64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运营管理单位，是指对保障性租赁住房进行租赁和运营管理的企事业单位、社会组织等主体；</w:t>
      </w:r>
    </w:p>
    <w:p>
      <w:pPr>
        <w:keepNext w:val="0"/>
        <w:keepLines w:val="0"/>
        <w:pageBreakBefore w:val="0"/>
        <w:widowControl w:val="0"/>
        <w:numPr>
          <w:ilvl w:val="0"/>
          <w:numId w:val="5"/>
        </w:numPr>
        <w:kinsoku/>
        <w:wordWrap/>
        <w:overflowPunct/>
        <w:topLinePunct w:val="0"/>
        <w:autoSpaceDE/>
        <w:autoSpaceDN/>
        <w:bidi w:val="0"/>
        <w:adjustRightInd/>
        <w:spacing w:line="578" w:lineRule="exact"/>
        <w:ind w:firstLine="64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自有住房，是指已经取得权属证书或者实际拥有</w:t>
      </w:r>
      <w:r>
        <w:rPr>
          <w:rFonts w:ascii="仿宋_GB2312" w:hAnsi="仿宋_GB2312" w:cs="仿宋_GB2312"/>
          <w:color w:val="auto"/>
          <w:szCs w:val="32"/>
          <w:highlight w:val="none"/>
          <w:u w:val="none"/>
        </w:rPr>
        <w:t>但</w:t>
      </w:r>
      <w:r>
        <w:rPr>
          <w:rFonts w:hint="eastAsia" w:ascii="仿宋_GB2312" w:hAnsi="仿宋_GB2312" w:cs="仿宋_GB2312"/>
          <w:color w:val="auto"/>
          <w:szCs w:val="32"/>
          <w:highlight w:val="none"/>
          <w:u w:val="none"/>
        </w:rPr>
        <w:t>是未取得权属证书的各类具有居住功能的房屋，包括但不限于商品住房、政策性住房、拆迁安置房、军产房、自建私房等；</w:t>
      </w:r>
    </w:p>
    <w:p>
      <w:pPr>
        <w:keepNext w:val="0"/>
        <w:keepLines w:val="0"/>
        <w:pageBreakBefore w:val="0"/>
        <w:widowControl w:val="0"/>
        <w:numPr>
          <w:ilvl w:val="0"/>
          <w:numId w:val="5"/>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政策性住房，是指各类带有政策优惠性质的住房，包括准成本房、全成本房、全成本微利房、社会微利房、单位集资合作建房、经济适用住房、限价商品房、安居型商品房和共有产权住房等</w:t>
      </w:r>
      <w:r>
        <w:rPr>
          <w:rFonts w:hint="eastAsia" w:ascii="仿宋_GB2312" w:hAnsi="仿宋_GB2312" w:cs="仿宋_GB2312"/>
          <w:color w:val="auto"/>
          <w:szCs w:val="32"/>
          <w:highlight w:val="none"/>
          <w:u w:val="none"/>
          <w:lang w:eastAsia="zh-CN"/>
        </w:rPr>
        <w:t>；</w:t>
      </w:r>
    </w:p>
    <w:p>
      <w:pPr>
        <w:keepNext w:val="0"/>
        <w:keepLines w:val="0"/>
        <w:pageBreakBefore w:val="0"/>
        <w:widowControl w:val="0"/>
        <w:numPr>
          <w:ilvl w:val="0"/>
          <w:numId w:val="5"/>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color w:val="auto"/>
          <w:u w:val="none"/>
        </w:rPr>
        <w:t>住房保障优惠政策，是指根据住房保障的相关法规、规章、规范性文件规定，在承租、购买具有保障性质的住房或者领取货币补贴等方面享受的相关优惠政策</w:t>
      </w:r>
      <w:r>
        <w:rPr>
          <w:rFonts w:hint="eastAsia"/>
          <w:color w:val="auto"/>
          <w:u w:val="none"/>
          <w:lang w:val="en-US" w:eastAsia="zh-CN"/>
        </w:rPr>
        <w:t>；</w:t>
      </w:r>
    </w:p>
    <w:p>
      <w:pPr>
        <w:keepNext w:val="0"/>
        <w:keepLines w:val="0"/>
        <w:pageBreakBefore w:val="0"/>
        <w:widowControl w:val="0"/>
        <w:numPr>
          <w:ilvl w:val="0"/>
          <w:numId w:val="5"/>
        </w:numPr>
        <w:kinsoku/>
        <w:wordWrap/>
        <w:overflowPunct/>
        <w:topLinePunct w:val="0"/>
        <w:autoSpaceDE/>
        <w:autoSpaceDN/>
        <w:bidi w:val="0"/>
        <w:spacing w:line="578" w:lineRule="exact"/>
        <w:ind w:firstLine="640" w:firstLineChars="200"/>
        <w:jc w:val="both"/>
        <w:textAlignment w:val="auto"/>
        <w:rPr>
          <w:color w:val="auto"/>
          <w:highlight w:val="none"/>
          <w:u w:val="none"/>
        </w:rPr>
      </w:pPr>
      <w:r>
        <w:rPr>
          <w:rFonts w:hint="eastAsia" w:ascii="Calibri" w:hAnsi="Calibri" w:cs="Times New Roman"/>
          <w:color w:val="auto"/>
          <w:szCs w:val="22"/>
          <w:highlight w:val="none"/>
          <w:u w:val="none"/>
          <w:lang w:val="en-US" w:eastAsia="zh-CN"/>
        </w:rPr>
        <w:t>宿舍型保障性租赁住房</w:t>
      </w:r>
      <w:r>
        <w:rPr>
          <w:rFonts w:hint="eastAsia" w:cs="Times New Roman"/>
          <w:color w:val="auto"/>
          <w:szCs w:val="22"/>
          <w:highlight w:val="none"/>
          <w:u w:val="none"/>
          <w:lang w:val="en-US" w:eastAsia="zh-CN"/>
        </w:rPr>
        <w:t>，是指产业园区配套建设并面向园区职工出租，或者具有宿舍功能并在单套（间）住房中安排多个家庭或多名单身居民入住，</w:t>
      </w:r>
      <w:r>
        <w:rPr>
          <w:rFonts w:hint="eastAsia" w:ascii="仿宋_GB2312" w:hAnsi="仿宋_GB2312" w:cs="仿宋_GB2312"/>
          <w:color w:val="auto"/>
          <w:szCs w:val="32"/>
          <w:highlight w:val="none"/>
          <w:u w:val="none"/>
        </w:rPr>
        <w:t>主要解决生产倒班、临时周转等</w:t>
      </w:r>
      <w:r>
        <w:rPr>
          <w:rFonts w:hint="eastAsia" w:ascii="仿宋_GB2312" w:hAnsi="仿宋_GB2312" w:cs="仿宋_GB2312"/>
          <w:color w:val="auto"/>
          <w:szCs w:val="32"/>
          <w:highlight w:val="none"/>
          <w:u w:val="none"/>
          <w:lang w:val="en-US" w:eastAsia="zh-CN"/>
        </w:rPr>
        <w:t>用途</w:t>
      </w:r>
      <w:r>
        <w:rPr>
          <w:rFonts w:hint="eastAsia" w:ascii="仿宋_GB2312" w:hAnsi="仿宋_GB2312" w:cs="仿宋_GB2312"/>
          <w:color w:val="auto"/>
          <w:szCs w:val="32"/>
          <w:highlight w:val="none"/>
          <w:u w:val="none"/>
          <w:lang w:eastAsia="zh-CN"/>
        </w:rPr>
        <w:t>的</w:t>
      </w:r>
      <w:r>
        <w:rPr>
          <w:rFonts w:hint="eastAsia" w:ascii="仿宋_GB2312" w:hAnsi="仿宋_GB2312" w:cs="仿宋_GB2312"/>
          <w:color w:val="auto"/>
          <w:szCs w:val="32"/>
          <w:highlight w:val="none"/>
          <w:u w:val="none"/>
          <w:lang w:val="en-US" w:eastAsia="zh-CN"/>
        </w:rPr>
        <w:t>保障性租赁住房。</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jc w:val="both"/>
        <w:textAlignment w:val="auto"/>
        <w:rPr>
          <w:rStyle w:val="39"/>
          <w:rFonts w:ascii="仿宋_GB2312" w:hAnsi="仿宋_GB2312" w:eastAsia="仿宋_GB2312" w:cs="仿宋_GB2312"/>
          <w:color w:val="auto"/>
          <w:highlight w:val="none"/>
          <w:u w:val="none"/>
        </w:rPr>
      </w:pPr>
      <w:r>
        <w:rPr>
          <w:rFonts w:hint="eastAsia" w:ascii="黑体" w:hAnsi="黑体" w:eastAsia="黑体"/>
          <w:color w:val="auto"/>
          <w:szCs w:val="32"/>
          <w:highlight w:val="none"/>
          <w:u w:val="none"/>
        </w:rPr>
        <w:t>【数量关系界定】</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本办法所称的“以上”“以下”</w:t>
      </w:r>
      <w:r>
        <w:rPr>
          <w:rFonts w:hint="eastAsia" w:ascii="仿宋_GB2312" w:hAnsi="仿宋_GB2312" w:cs="仿宋_GB2312"/>
          <w:szCs w:val="32"/>
        </w:rPr>
        <w:t>“以内”</w:t>
      </w:r>
      <w:r>
        <w:rPr>
          <w:rFonts w:hint="eastAsia" w:ascii="仿宋_GB2312" w:hAnsi="仿宋_GB2312" w:cs="仿宋_GB2312"/>
          <w:color w:val="auto"/>
          <w:szCs w:val="32"/>
          <w:highlight w:val="none"/>
          <w:u w:val="none"/>
        </w:rPr>
        <w:t>“满”“不超过”，包括本数；所称的“未满”“超过”，不包括本数。</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【合同示范文本】</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市主管部门会同市市场监督管理部门制定保障性租赁住房租赁合同示范文本。</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【新旧政策衔接】</w:t>
      </w:r>
      <w:r>
        <w:rPr>
          <w:rFonts w:hint="eastAsia" w:ascii="黑体" w:hAnsi="黑体" w:eastAsia="黑体"/>
          <w:color w:val="auto"/>
          <w:szCs w:val="32"/>
          <w:highlight w:val="none"/>
          <w:u w:val="none"/>
          <w:lang w:val="en-US" w:eastAsia="zh-CN"/>
        </w:rPr>
        <w:t xml:space="preserve">  </w:t>
      </w:r>
      <w:r>
        <w:rPr>
          <w:rFonts w:hint="eastAsia" w:ascii="仿宋_GB2312" w:hAnsi="仿宋_GB2312"/>
          <w:color w:val="auto"/>
          <w:highlight w:val="none"/>
          <w:u w:val="none"/>
        </w:rPr>
        <w:t>本办法施行之日起，相关事项按照以下规定执行：</w:t>
      </w:r>
    </w:p>
    <w:p>
      <w:pPr>
        <w:keepNext w:val="0"/>
        <w:keepLines w:val="0"/>
        <w:pageBreakBefore w:val="0"/>
        <w:widowControl w:val="0"/>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（一）在本办法施行之日前，本市已纳入发展政策性租赁住房试点的租赁住房、全市已开工建设和已建成出租的人才住房项目、政府权属清晰的闲置住房，符合条件的纳入保障性租赁住房管理，并按照政府组织</w:t>
      </w:r>
      <w:r>
        <w:rPr>
          <w:rFonts w:hint="eastAsia" w:ascii="仿宋_GB2312" w:hAnsi="仿宋_GB2312" w:cs="仿宋_GB2312"/>
          <w:color w:val="auto"/>
          <w:szCs w:val="32"/>
          <w:highlight w:val="none"/>
          <w:u w:val="none"/>
          <w:lang w:eastAsia="zh-CN"/>
        </w:rPr>
        <w:t>配租</w:t>
      </w:r>
      <w:r>
        <w:rPr>
          <w:rFonts w:hint="eastAsia" w:ascii="仿宋_GB2312" w:hAnsi="仿宋_GB2312" w:cs="仿宋_GB2312"/>
          <w:color w:val="auto"/>
          <w:szCs w:val="32"/>
          <w:highlight w:val="none"/>
          <w:u w:val="none"/>
        </w:rPr>
        <w:t>的保障性租赁住房相关规定开展供应分配、监督管理等活动；</w:t>
      </w:r>
    </w:p>
    <w:p>
      <w:pPr>
        <w:keepNext w:val="0"/>
        <w:keepLines w:val="0"/>
        <w:pageBreakBefore w:val="0"/>
        <w:widowControl w:val="0"/>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仿宋_GB2312" w:hAnsi="仿宋_GB2312" w:cs="仿宋_GB2312"/>
          <w:color w:val="auto"/>
          <w:szCs w:val="32"/>
          <w:highlight w:val="none"/>
          <w:u w:val="none"/>
        </w:rPr>
        <w:t>（二）在本办法施行之日前，本市已纳入中央财政支持住房租赁市场发展试点、非房地产企业利用自有土地建设租赁住房试点的租赁住房，已开工建设和已建成的存量产业园区配套宿舍或者公寓，以及已建成的具有居住功能的存量房屋，符合条件的，纳入保障性租赁住房规范管理，并按照</w:t>
      </w:r>
      <w:r>
        <w:rPr>
          <w:rFonts w:hint="eastAsia" w:ascii="仿宋_GB2312" w:hAnsi="仿宋_GB2312" w:cs="仿宋_GB2312"/>
          <w:color w:val="auto"/>
          <w:szCs w:val="32"/>
          <w:highlight w:val="none"/>
          <w:u w:val="none"/>
          <w:lang w:eastAsia="zh-CN"/>
        </w:rPr>
        <w:t>社会主体</w:t>
      </w:r>
      <w:r>
        <w:rPr>
          <w:rFonts w:hint="eastAsia" w:ascii="仿宋_GB2312" w:hAnsi="仿宋_GB2312" w:cs="仿宋_GB2312"/>
          <w:color w:val="auto"/>
          <w:szCs w:val="32"/>
          <w:highlight w:val="none"/>
          <w:u w:val="none"/>
        </w:rPr>
        <w:t>出租的保障性租赁住房相关规定开展出租运营、监督管理等活动。</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jc w:val="both"/>
        <w:textAlignment w:val="auto"/>
        <w:rPr>
          <w:color w:val="auto"/>
          <w:highlight w:val="none"/>
          <w:u w:val="none"/>
        </w:rPr>
      </w:pPr>
      <w:r>
        <w:rPr>
          <w:rFonts w:hint="eastAsia" w:ascii="黑体" w:hAnsi="黑体" w:eastAsia="黑体"/>
          <w:bCs/>
          <w:color w:val="auto"/>
          <w:szCs w:val="32"/>
          <w:highlight w:val="none"/>
          <w:u w:val="none"/>
        </w:rPr>
        <w:t>【配套政策】</w:t>
      </w:r>
      <w:r>
        <w:rPr>
          <w:rFonts w:hint="eastAsia" w:ascii="黑体" w:hAnsi="黑体" w:eastAsia="黑体"/>
          <w:bCs/>
          <w:color w:val="auto"/>
          <w:szCs w:val="32"/>
          <w:highlight w:val="none"/>
          <w:u w:val="none"/>
          <w:lang w:val="en-US" w:eastAsia="zh-CN"/>
        </w:rPr>
        <w:t xml:space="preserve">  </w:t>
      </w:r>
      <w:r>
        <w:rPr>
          <w:rFonts w:hint="eastAsia"/>
          <w:color w:val="auto"/>
          <w:highlight w:val="none"/>
          <w:u w:val="none"/>
        </w:rPr>
        <w:t>前海管理局及相关区政府可以根据实际需要，制定前海深港合作区、河套深港合作区、光明科学城等重点区域的保障性租赁住房租赁管理实施细则，报市主管部门备案后实施。</w:t>
      </w:r>
    </w:p>
    <w:p>
      <w:pPr>
        <w:keepNext w:val="0"/>
        <w:keepLines w:val="0"/>
        <w:pageBreakBefore w:val="0"/>
        <w:widowControl w:val="0"/>
        <w:numPr>
          <w:ilvl w:val="0"/>
          <w:numId w:val="1"/>
        </w:numPr>
        <w:kinsoku/>
        <w:wordWrap/>
        <w:overflowPunct/>
        <w:topLinePunct w:val="0"/>
        <w:autoSpaceDE/>
        <w:autoSpaceDN/>
        <w:bidi w:val="0"/>
        <w:adjustRightInd/>
        <w:spacing w:line="578" w:lineRule="exact"/>
        <w:ind w:firstLine="640" w:firstLineChars="200"/>
        <w:jc w:val="both"/>
        <w:textAlignment w:val="auto"/>
        <w:rPr>
          <w:rFonts w:ascii="仿宋_GB2312" w:hAnsi="仿宋_GB2312" w:cs="仿宋_GB2312"/>
          <w:color w:val="auto"/>
          <w:szCs w:val="32"/>
          <w:highlight w:val="none"/>
          <w:u w:val="none"/>
        </w:rPr>
      </w:pPr>
      <w:r>
        <w:rPr>
          <w:rFonts w:hint="eastAsia" w:ascii="黑体" w:hAnsi="黑体" w:eastAsia="黑体"/>
          <w:color w:val="auto"/>
          <w:szCs w:val="32"/>
          <w:highlight w:val="none"/>
          <w:u w:val="none"/>
        </w:rPr>
        <w:t>【施行日期】</w:t>
      </w:r>
      <w:r>
        <w:rPr>
          <w:rFonts w:hint="eastAsia" w:ascii="黑体" w:hAnsi="黑体" w:eastAsia="黑体"/>
          <w:color w:val="auto"/>
          <w:szCs w:val="32"/>
          <w:highlight w:val="none"/>
          <w:u w:val="none"/>
          <w:lang w:val="en-US" w:eastAsia="zh-CN"/>
        </w:rPr>
        <w:t xml:space="preserve">  </w:t>
      </w:r>
      <w:r>
        <w:rPr>
          <w:rFonts w:hint="eastAsia" w:ascii="仿宋_GB2312" w:hAnsi="仿宋_GB2312" w:cs="仿宋_GB2312"/>
          <w:color w:val="auto"/>
          <w:szCs w:val="32"/>
          <w:highlight w:val="none"/>
          <w:u w:val="none"/>
        </w:rPr>
        <w:t>本办法自   年  月  日起施行。</w:t>
      </w:r>
    </w:p>
    <w:p>
      <w:pPr>
        <w:keepNext w:val="0"/>
        <w:keepLines w:val="0"/>
        <w:pageBreakBefore w:val="0"/>
        <w:widowControl w:val="0"/>
        <w:kinsoku/>
        <w:wordWrap/>
        <w:overflowPunct/>
        <w:topLinePunct w:val="0"/>
        <w:autoSpaceDE/>
        <w:autoSpaceDN/>
        <w:bidi w:val="0"/>
        <w:adjustRightInd/>
        <w:spacing w:line="578" w:lineRule="exact"/>
        <w:ind w:firstLine="0" w:firstLineChars="0"/>
        <w:jc w:val="both"/>
        <w:textAlignment w:val="auto"/>
        <w:rPr>
          <w:rFonts w:hint="eastAsia" w:ascii="仿宋_GB2312" w:hAnsi="仿宋_GB2312" w:eastAsia="仿宋_GB2312" w:cs="仿宋_GB2312"/>
          <w:color w:val="auto"/>
          <w:sz w:val="32"/>
          <w:szCs w:val="32"/>
          <w:highlight w:val="none"/>
          <w:u w:val="none"/>
        </w:rPr>
      </w:pPr>
    </w:p>
    <w:sectPr>
      <w:headerReference r:id="rId7" w:type="first"/>
      <w:footerReference r:id="rId10" w:type="first"/>
      <w:headerReference r:id="rId5" w:type="default"/>
      <w:footerReference r:id="rId8" w:type="default"/>
      <w:headerReference r:id="rId6" w:type="even"/>
      <w:footerReference r:id="rId9" w:type="even"/>
      <w:pgSz w:w="11850" w:h="16783"/>
      <w:pgMar w:top="1701" w:right="1474" w:bottom="1701" w:left="1587"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文星简小标宋">
    <w:altName w:val="方正小标宋_GBK"/>
    <w:panose1 w:val="00000000000000000000"/>
    <w:charset w:val="86"/>
    <w:family w:val="modern"/>
    <w:pitch w:val="default"/>
    <w:sig w:usb0="00000000" w:usb1="00000000" w:usb2="00000010" w:usb3="00000000" w:csb0="00040000" w:csb1="00000000"/>
  </w:font>
  <w:font w:name="FZXBSJW--GB1-0">
    <w:altName w:val="方正公文小标宋"/>
    <w:panose1 w:val="00000000000000000000"/>
    <w:charset w:val="00"/>
    <w:family w:val="auto"/>
    <w:pitch w:val="default"/>
    <w:sig w:usb0="00000000" w:usb1="00000000" w:usb2="00000000" w:usb3="00000000" w:csb0="00040001" w:csb1="00000000"/>
  </w:font>
  <w:font w:name="Helvetica Neue">
    <w:altName w:val="DejaVu Math TeX Gyre"/>
    <w:panose1 w:val="00000000000000000000"/>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jc w:val="center"/>
      <w:rPr>
        <w:rFonts w:ascii="仿宋_GB2312" w:eastAsia="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0" w:firstLineChars="0"/>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0"/>
                            </w:rPr>
                            <w:t xml:space="preserve"> 29 -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ind w:firstLine="0" w:firstLineChars="0"/>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0"/>
                      </w:rPr>
                      <w:t xml:space="preserve"> 29 -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1A7BE"/>
    <w:multiLevelType w:val="singleLevel"/>
    <w:tmpl w:val="9B41A7BE"/>
    <w:lvl w:ilvl="0" w:tentative="0">
      <w:start w:val="1"/>
      <w:numFmt w:val="chineseCounting"/>
      <w:suff w:val="nothing"/>
      <w:lvlText w:val="（%1）"/>
      <w:lvlJc w:val="left"/>
      <w:rPr>
        <w:rFonts w:hint="eastAsia"/>
      </w:rPr>
    </w:lvl>
  </w:abstractNum>
  <w:abstractNum w:abstractNumId="1">
    <w:nsid w:val="9FC60D7A"/>
    <w:multiLevelType w:val="singleLevel"/>
    <w:tmpl w:val="9FC60D7A"/>
    <w:lvl w:ilvl="0" w:tentative="0">
      <w:start w:val="1"/>
      <w:numFmt w:val="chineseCounting"/>
      <w:suff w:val="nothing"/>
      <w:lvlText w:val="第%1条"/>
      <w:lvlJc w:val="left"/>
      <w:pPr>
        <w:ind w:left="0" w:firstLine="420"/>
      </w:pPr>
      <w:rPr>
        <w:rFonts w:hint="eastAsia" w:ascii="黑体" w:hAnsi="黑体" w:eastAsia="黑体" w:cs="黑体"/>
        <w:sz w:val="32"/>
        <w:szCs w:val="32"/>
      </w:rPr>
    </w:lvl>
  </w:abstractNum>
  <w:abstractNum w:abstractNumId="2">
    <w:nsid w:val="BA7C1172"/>
    <w:multiLevelType w:val="singleLevel"/>
    <w:tmpl w:val="BA7C1172"/>
    <w:lvl w:ilvl="0" w:tentative="0">
      <w:start w:val="1"/>
      <w:numFmt w:val="chineseCounting"/>
      <w:suff w:val="nothing"/>
      <w:lvlText w:val="（%1）"/>
      <w:lvlJc w:val="left"/>
      <w:rPr>
        <w:rFonts w:hint="eastAsia"/>
      </w:rPr>
    </w:lvl>
  </w:abstractNum>
  <w:abstractNum w:abstractNumId="3">
    <w:nsid w:val="229609DB"/>
    <w:multiLevelType w:val="singleLevel"/>
    <w:tmpl w:val="229609DB"/>
    <w:lvl w:ilvl="0" w:tentative="0">
      <w:start w:val="1"/>
      <w:numFmt w:val="chineseCounting"/>
      <w:suff w:val="nothing"/>
      <w:lvlText w:val="（%1）"/>
      <w:lvlJc w:val="left"/>
      <w:rPr>
        <w:rFonts w:hint="eastAsia"/>
      </w:rPr>
    </w:lvl>
  </w:abstractNum>
  <w:abstractNum w:abstractNumId="4">
    <w:nsid w:val="2437D0F2"/>
    <w:multiLevelType w:val="singleLevel"/>
    <w:tmpl w:val="2437D0F2"/>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mNmY5ZjcwYmUzNDJlOTJmNGY5MzI4YTdlZjY1OGEifQ=="/>
    <w:docVar w:name="KSO_WPS_MARK_KEY" w:val="f90e0888-249d-419b-ba14-045faac8c8f4"/>
  </w:docVars>
  <w:rsids>
    <w:rsidRoot w:val="00895D53"/>
    <w:rsid w:val="00001E6A"/>
    <w:rsid w:val="00030709"/>
    <w:rsid w:val="0006250B"/>
    <w:rsid w:val="00066D08"/>
    <w:rsid w:val="000E135B"/>
    <w:rsid w:val="000E33E0"/>
    <w:rsid w:val="00121F85"/>
    <w:rsid w:val="00131061"/>
    <w:rsid w:val="00131515"/>
    <w:rsid w:val="00135083"/>
    <w:rsid w:val="00146CD6"/>
    <w:rsid w:val="001646B7"/>
    <w:rsid w:val="00172A6E"/>
    <w:rsid w:val="001C0ABC"/>
    <w:rsid w:val="001C2B44"/>
    <w:rsid w:val="001D030E"/>
    <w:rsid w:val="001E4DEC"/>
    <w:rsid w:val="00205B4A"/>
    <w:rsid w:val="0026408A"/>
    <w:rsid w:val="002747E9"/>
    <w:rsid w:val="002956AC"/>
    <w:rsid w:val="002A0827"/>
    <w:rsid w:val="002A156D"/>
    <w:rsid w:val="00345D5E"/>
    <w:rsid w:val="00353851"/>
    <w:rsid w:val="00377076"/>
    <w:rsid w:val="003915F6"/>
    <w:rsid w:val="003949F6"/>
    <w:rsid w:val="003D19C9"/>
    <w:rsid w:val="003D242C"/>
    <w:rsid w:val="004207D5"/>
    <w:rsid w:val="004366FA"/>
    <w:rsid w:val="004632FA"/>
    <w:rsid w:val="00467CE2"/>
    <w:rsid w:val="00490E4B"/>
    <w:rsid w:val="004A4D62"/>
    <w:rsid w:val="004D2C15"/>
    <w:rsid w:val="004D4EA9"/>
    <w:rsid w:val="00505E4C"/>
    <w:rsid w:val="00506F33"/>
    <w:rsid w:val="00525689"/>
    <w:rsid w:val="005421B7"/>
    <w:rsid w:val="0056110F"/>
    <w:rsid w:val="0058454A"/>
    <w:rsid w:val="005A5FC6"/>
    <w:rsid w:val="005B3434"/>
    <w:rsid w:val="005D009B"/>
    <w:rsid w:val="005D2330"/>
    <w:rsid w:val="00605C09"/>
    <w:rsid w:val="0065365E"/>
    <w:rsid w:val="006960F8"/>
    <w:rsid w:val="006A2D58"/>
    <w:rsid w:val="0077694F"/>
    <w:rsid w:val="00787299"/>
    <w:rsid w:val="0079656E"/>
    <w:rsid w:val="007A2EC1"/>
    <w:rsid w:val="00817821"/>
    <w:rsid w:val="008315B2"/>
    <w:rsid w:val="00895D53"/>
    <w:rsid w:val="00895D71"/>
    <w:rsid w:val="008B0124"/>
    <w:rsid w:val="008D1D81"/>
    <w:rsid w:val="008D38B3"/>
    <w:rsid w:val="008F5104"/>
    <w:rsid w:val="009103AA"/>
    <w:rsid w:val="009161AA"/>
    <w:rsid w:val="009621EA"/>
    <w:rsid w:val="009907F8"/>
    <w:rsid w:val="00992629"/>
    <w:rsid w:val="009B759A"/>
    <w:rsid w:val="009C01EF"/>
    <w:rsid w:val="009E1595"/>
    <w:rsid w:val="00A02BF7"/>
    <w:rsid w:val="00A23ECA"/>
    <w:rsid w:val="00A24A32"/>
    <w:rsid w:val="00A25DFF"/>
    <w:rsid w:val="00A55028"/>
    <w:rsid w:val="00A67A3A"/>
    <w:rsid w:val="00A7647F"/>
    <w:rsid w:val="00A95AC0"/>
    <w:rsid w:val="00A960A7"/>
    <w:rsid w:val="00AC00E9"/>
    <w:rsid w:val="00AF7841"/>
    <w:rsid w:val="00B06A43"/>
    <w:rsid w:val="00B12121"/>
    <w:rsid w:val="00B40947"/>
    <w:rsid w:val="00B46665"/>
    <w:rsid w:val="00B50EAD"/>
    <w:rsid w:val="00B5558E"/>
    <w:rsid w:val="00B55C70"/>
    <w:rsid w:val="00BB189B"/>
    <w:rsid w:val="00C1116F"/>
    <w:rsid w:val="00C409BC"/>
    <w:rsid w:val="00C555AC"/>
    <w:rsid w:val="00C603FA"/>
    <w:rsid w:val="00C64261"/>
    <w:rsid w:val="00C7069F"/>
    <w:rsid w:val="00C74EB7"/>
    <w:rsid w:val="00CA32B3"/>
    <w:rsid w:val="00CB59E1"/>
    <w:rsid w:val="00CD5D67"/>
    <w:rsid w:val="00D65056"/>
    <w:rsid w:val="00DA43AB"/>
    <w:rsid w:val="00DC6F03"/>
    <w:rsid w:val="00DE5723"/>
    <w:rsid w:val="00DF05FC"/>
    <w:rsid w:val="00E046D0"/>
    <w:rsid w:val="00E16FFE"/>
    <w:rsid w:val="00E36EE6"/>
    <w:rsid w:val="00E73C52"/>
    <w:rsid w:val="00E92C6A"/>
    <w:rsid w:val="00EA6392"/>
    <w:rsid w:val="00EC4D87"/>
    <w:rsid w:val="00EF4AFB"/>
    <w:rsid w:val="00F058C0"/>
    <w:rsid w:val="00F226AD"/>
    <w:rsid w:val="00F35141"/>
    <w:rsid w:val="00F45FC7"/>
    <w:rsid w:val="00F47C7D"/>
    <w:rsid w:val="00F647EB"/>
    <w:rsid w:val="00F75CE5"/>
    <w:rsid w:val="00F85788"/>
    <w:rsid w:val="00FB425A"/>
    <w:rsid w:val="00FD1F9D"/>
    <w:rsid w:val="00FD489E"/>
    <w:rsid w:val="00FF75A4"/>
    <w:rsid w:val="010235FB"/>
    <w:rsid w:val="012C148E"/>
    <w:rsid w:val="01491052"/>
    <w:rsid w:val="015955C2"/>
    <w:rsid w:val="015E70DE"/>
    <w:rsid w:val="016708D2"/>
    <w:rsid w:val="01695A74"/>
    <w:rsid w:val="017611FD"/>
    <w:rsid w:val="0176535C"/>
    <w:rsid w:val="017A2A52"/>
    <w:rsid w:val="017C5104"/>
    <w:rsid w:val="01B03CDA"/>
    <w:rsid w:val="01CA2E92"/>
    <w:rsid w:val="01E44FDB"/>
    <w:rsid w:val="01EC2EFF"/>
    <w:rsid w:val="01ED4EAE"/>
    <w:rsid w:val="021A27AB"/>
    <w:rsid w:val="02203CEB"/>
    <w:rsid w:val="022249C3"/>
    <w:rsid w:val="02320B7C"/>
    <w:rsid w:val="023B1AAA"/>
    <w:rsid w:val="02611D9B"/>
    <w:rsid w:val="02672E82"/>
    <w:rsid w:val="02702C7F"/>
    <w:rsid w:val="027C5214"/>
    <w:rsid w:val="027F104C"/>
    <w:rsid w:val="02812C61"/>
    <w:rsid w:val="0297120B"/>
    <w:rsid w:val="02A47332"/>
    <w:rsid w:val="02E844BF"/>
    <w:rsid w:val="03032764"/>
    <w:rsid w:val="0313137D"/>
    <w:rsid w:val="031713E0"/>
    <w:rsid w:val="032A2EC2"/>
    <w:rsid w:val="032B62C5"/>
    <w:rsid w:val="03463A74"/>
    <w:rsid w:val="034A24F0"/>
    <w:rsid w:val="03767EB5"/>
    <w:rsid w:val="037C6111"/>
    <w:rsid w:val="038357BE"/>
    <w:rsid w:val="039C4395"/>
    <w:rsid w:val="03BD5AE4"/>
    <w:rsid w:val="03DE3CAC"/>
    <w:rsid w:val="040A3C36"/>
    <w:rsid w:val="040A7B90"/>
    <w:rsid w:val="04115B39"/>
    <w:rsid w:val="04173430"/>
    <w:rsid w:val="041E28DC"/>
    <w:rsid w:val="042D0D14"/>
    <w:rsid w:val="043112F4"/>
    <w:rsid w:val="04350445"/>
    <w:rsid w:val="04385D6C"/>
    <w:rsid w:val="044A790C"/>
    <w:rsid w:val="04654D02"/>
    <w:rsid w:val="046B4BA4"/>
    <w:rsid w:val="04723C57"/>
    <w:rsid w:val="048F6DD3"/>
    <w:rsid w:val="0499772D"/>
    <w:rsid w:val="049D5915"/>
    <w:rsid w:val="04AD7F2D"/>
    <w:rsid w:val="04C23463"/>
    <w:rsid w:val="04DF2B7C"/>
    <w:rsid w:val="04EC0F61"/>
    <w:rsid w:val="05082AAB"/>
    <w:rsid w:val="05087233"/>
    <w:rsid w:val="05194570"/>
    <w:rsid w:val="051A3865"/>
    <w:rsid w:val="05235E5D"/>
    <w:rsid w:val="053353D0"/>
    <w:rsid w:val="053D466A"/>
    <w:rsid w:val="054035DA"/>
    <w:rsid w:val="05442F26"/>
    <w:rsid w:val="055768AE"/>
    <w:rsid w:val="058D0321"/>
    <w:rsid w:val="058E3A72"/>
    <w:rsid w:val="05940E2A"/>
    <w:rsid w:val="05AA4DA9"/>
    <w:rsid w:val="05AB7734"/>
    <w:rsid w:val="05B1320D"/>
    <w:rsid w:val="05B765F9"/>
    <w:rsid w:val="05CF7D50"/>
    <w:rsid w:val="05D86E13"/>
    <w:rsid w:val="05EF4C00"/>
    <w:rsid w:val="05FF4C2E"/>
    <w:rsid w:val="061060F4"/>
    <w:rsid w:val="06273735"/>
    <w:rsid w:val="063A2FE5"/>
    <w:rsid w:val="064B7ED1"/>
    <w:rsid w:val="06540256"/>
    <w:rsid w:val="065A7106"/>
    <w:rsid w:val="06656102"/>
    <w:rsid w:val="066B401F"/>
    <w:rsid w:val="066D1B01"/>
    <w:rsid w:val="067A0541"/>
    <w:rsid w:val="06814D20"/>
    <w:rsid w:val="06925174"/>
    <w:rsid w:val="06AB4E1F"/>
    <w:rsid w:val="06AF08BB"/>
    <w:rsid w:val="06CA30A4"/>
    <w:rsid w:val="06E9568B"/>
    <w:rsid w:val="06EE4FE8"/>
    <w:rsid w:val="07047F46"/>
    <w:rsid w:val="070C0763"/>
    <w:rsid w:val="071032B9"/>
    <w:rsid w:val="071C70C2"/>
    <w:rsid w:val="0744088B"/>
    <w:rsid w:val="075978EC"/>
    <w:rsid w:val="077B2A3D"/>
    <w:rsid w:val="078629C1"/>
    <w:rsid w:val="07990616"/>
    <w:rsid w:val="07AE3A10"/>
    <w:rsid w:val="07B172F9"/>
    <w:rsid w:val="07CC25F8"/>
    <w:rsid w:val="07DC2EBB"/>
    <w:rsid w:val="07DD054A"/>
    <w:rsid w:val="07F70BD6"/>
    <w:rsid w:val="0814228B"/>
    <w:rsid w:val="0821646A"/>
    <w:rsid w:val="082D0DDC"/>
    <w:rsid w:val="082D40FB"/>
    <w:rsid w:val="08450F78"/>
    <w:rsid w:val="084902EB"/>
    <w:rsid w:val="08496904"/>
    <w:rsid w:val="084B1AC1"/>
    <w:rsid w:val="08506E37"/>
    <w:rsid w:val="08587D4E"/>
    <w:rsid w:val="08592BFA"/>
    <w:rsid w:val="0859660C"/>
    <w:rsid w:val="08A153D2"/>
    <w:rsid w:val="08A273DC"/>
    <w:rsid w:val="08A720F1"/>
    <w:rsid w:val="08BF1243"/>
    <w:rsid w:val="08D31906"/>
    <w:rsid w:val="08D5243A"/>
    <w:rsid w:val="08D65EFA"/>
    <w:rsid w:val="08DD2B3F"/>
    <w:rsid w:val="08DD772B"/>
    <w:rsid w:val="08DF1D9B"/>
    <w:rsid w:val="08ED42E2"/>
    <w:rsid w:val="08F2647D"/>
    <w:rsid w:val="090B0B4E"/>
    <w:rsid w:val="090B7091"/>
    <w:rsid w:val="090C1F2A"/>
    <w:rsid w:val="0986318E"/>
    <w:rsid w:val="099121F9"/>
    <w:rsid w:val="09A27A19"/>
    <w:rsid w:val="09AB4D59"/>
    <w:rsid w:val="09CB6A81"/>
    <w:rsid w:val="0A1575E9"/>
    <w:rsid w:val="0A2A30CC"/>
    <w:rsid w:val="0A3635EB"/>
    <w:rsid w:val="0A371747"/>
    <w:rsid w:val="0A3957AF"/>
    <w:rsid w:val="0A4F60CC"/>
    <w:rsid w:val="0A540824"/>
    <w:rsid w:val="0A5C4F39"/>
    <w:rsid w:val="0A5E684A"/>
    <w:rsid w:val="0A651F3A"/>
    <w:rsid w:val="0A7A54D0"/>
    <w:rsid w:val="0A8334B4"/>
    <w:rsid w:val="0A8A2067"/>
    <w:rsid w:val="0A9B7A9C"/>
    <w:rsid w:val="0AC062EC"/>
    <w:rsid w:val="0AE90601"/>
    <w:rsid w:val="0AFD0075"/>
    <w:rsid w:val="0B0026BC"/>
    <w:rsid w:val="0B0B6466"/>
    <w:rsid w:val="0B214AF5"/>
    <w:rsid w:val="0B581E2F"/>
    <w:rsid w:val="0B5C0584"/>
    <w:rsid w:val="0B5D12BD"/>
    <w:rsid w:val="0B6A1F39"/>
    <w:rsid w:val="0B725406"/>
    <w:rsid w:val="0BC1754C"/>
    <w:rsid w:val="0BDC1965"/>
    <w:rsid w:val="0BF0521C"/>
    <w:rsid w:val="0BFD44CF"/>
    <w:rsid w:val="0C4B0823"/>
    <w:rsid w:val="0C5D4D37"/>
    <w:rsid w:val="0C974258"/>
    <w:rsid w:val="0C9E12BA"/>
    <w:rsid w:val="0CA77A8C"/>
    <w:rsid w:val="0CC7352F"/>
    <w:rsid w:val="0CDB3010"/>
    <w:rsid w:val="0CE7108F"/>
    <w:rsid w:val="0CEE36B3"/>
    <w:rsid w:val="0D227FAF"/>
    <w:rsid w:val="0D257C89"/>
    <w:rsid w:val="0D2B2C29"/>
    <w:rsid w:val="0D40392F"/>
    <w:rsid w:val="0D4C0D26"/>
    <w:rsid w:val="0D4C7BB5"/>
    <w:rsid w:val="0D5370BB"/>
    <w:rsid w:val="0D995EF4"/>
    <w:rsid w:val="0D9B2564"/>
    <w:rsid w:val="0D9F502D"/>
    <w:rsid w:val="0DA66573"/>
    <w:rsid w:val="0DAD0977"/>
    <w:rsid w:val="0DC55C25"/>
    <w:rsid w:val="0DE040D9"/>
    <w:rsid w:val="0DE51D6C"/>
    <w:rsid w:val="0E230C39"/>
    <w:rsid w:val="0E58103D"/>
    <w:rsid w:val="0E687A48"/>
    <w:rsid w:val="0E776651"/>
    <w:rsid w:val="0E791220"/>
    <w:rsid w:val="0E917FD1"/>
    <w:rsid w:val="0E9B531C"/>
    <w:rsid w:val="0E9F09E7"/>
    <w:rsid w:val="0EA73C43"/>
    <w:rsid w:val="0EB14497"/>
    <w:rsid w:val="0EB327D9"/>
    <w:rsid w:val="0ED32660"/>
    <w:rsid w:val="0ED53146"/>
    <w:rsid w:val="0EE76DCF"/>
    <w:rsid w:val="0EEF18C3"/>
    <w:rsid w:val="0EF96E26"/>
    <w:rsid w:val="0F0659CC"/>
    <w:rsid w:val="0F151E68"/>
    <w:rsid w:val="0F247FE5"/>
    <w:rsid w:val="0F3E72E3"/>
    <w:rsid w:val="0F785047"/>
    <w:rsid w:val="0F790D79"/>
    <w:rsid w:val="0F7F2C6A"/>
    <w:rsid w:val="0F82644A"/>
    <w:rsid w:val="0F84395A"/>
    <w:rsid w:val="0F986AEC"/>
    <w:rsid w:val="0F9D2C6D"/>
    <w:rsid w:val="0FAF605E"/>
    <w:rsid w:val="0FBD249C"/>
    <w:rsid w:val="0FD64F33"/>
    <w:rsid w:val="0FED06F4"/>
    <w:rsid w:val="0FEF2578"/>
    <w:rsid w:val="0FF5161C"/>
    <w:rsid w:val="10060813"/>
    <w:rsid w:val="10112F9F"/>
    <w:rsid w:val="1041560B"/>
    <w:rsid w:val="104831F1"/>
    <w:rsid w:val="10507E11"/>
    <w:rsid w:val="10817E99"/>
    <w:rsid w:val="1098653E"/>
    <w:rsid w:val="10B97633"/>
    <w:rsid w:val="10C06C14"/>
    <w:rsid w:val="10E22A37"/>
    <w:rsid w:val="10F53EC3"/>
    <w:rsid w:val="10FB6444"/>
    <w:rsid w:val="10FE211D"/>
    <w:rsid w:val="11153CC1"/>
    <w:rsid w:val="11191F19"/>
    <w:rsid w:val="111B02EE"/>
    <w:rsid w:val="11450491"/>
    <w:rsid w:val="115259CC"/>
    <w:rsid w:val="115576DA"/>
    <w:rsid w:val="116F14DE"/>
    <w:rsid w:val="11877731"/>
    <w:rsid w:val="1189380A"/>
    <w:rsid w:val="11983983"/>
    <w:rsid w:val="11B05E8B"/>
    <w:rsid w:val="11CC733E"/>
    <w:rsid w:val="12181CD0"/>
    <w:rsid w:val="12260CF8"/>
    <w:rsid w:val="122A3B8E"/>
    <w:rsid w:val="12316143"/>
    <w:rsid w:val="123361BB"/>
    <w:rsid w:val="123B3C33"/>
    <w:rsid w:val="12445A3E"/>
    <w:rsid w:val="12873E7D"/>
    <w:rsid w:val="12B04A66"/>
    <w:rsid w:val="12D70244"/>
    <w:rsid w:val="12E141C2"/>
    <w:rsid w:val="12E54729"/>
    <w:rsid w:val="130628D8"/>
    <w:rsid w:val="1327522D"/>
    <w:rsid w:val="13370CE3"/>
    <w:rsid w:val="134C29E0"/>
    <w:rsid w:val="134D597F"/>
    <w:rsid w:val="13573C31"/>
    <w:rsid w:val="136D76E5"/>
    <w:rsid w:val="137256A6"/>
    <w:rsid w:val="137B5074"/>
    <w:rsid w:val="139307D9"/>
    <w:rsid w:val="13A3630C"/>
    <w:rsid w:val="13AA663E"/>
    <w:rsid w:val="13AB0403"/>
    <w:rsid w:val="13B53741"/>
    <w:rsid w:val="13B60050"/>
    <w:rsid w:val="13B91A45"/>
    <w:rsid w:val="13DB3D64"/>
    <w:rsid w:val="13E40DCB"/>
    <w:rsid w:val="13E7095B"/>
    <w:rsid w:val="13F404C2"/>
    <w:rsid w:val="13F65C5A"/>
    <w:rsid w:val="13F866C4"/>
    <w:rsid w:val="140F392C"/>
    <w:rsid w:val="140F7696"/>
    <w:rsid w:val="14365AF9"/>
    <w:rsid w:val="14515DD5"/>
    <w:rsid w:val="14531EAE"/>
    <w:rsid w:val="14595F74"/>
    <w:rsid w:val="146D344C"/>
    <w:rsid w:val="147010BB"/>
    <w:rsid w:val="14D25799"/>
    <w:rsid w:val="14F47A09"/>
    <w:rsid w:val="14F8216A"/>
    <w:rsid w:val="150A0991"/>
    <w:rsid w:val="152C6DA8"/>
    <w:rsid w:val="152E2B3F"/>
    <w:rsid w:val="153F7259"/>
    <w:rsid w:val="15616297"/>
    <w:rsid w:val="156E028F"/>
    <w:rsid w:val="156E28B1"/>
    <w:rsid w:val="15736E74"/>
    <w:rsid w:val="15753E92"/>
    <w:rsid w:val="157E2C40"/>
    <w:rsid w:val="15B814E4"/>
    <w:rsid w:val="15C63F1A"/>
    <w:rsid w:val="15DB3A47"/>
    <w:rsid w:val="15F073F2"/>
    <w:rsid w:val="15F9721B"/>
    <w:rsid w:val="16297009"/>
    <w:rsid w:val="164550F7"/>
    <w:rsid w:val="16812796"/>
    <w:rsid w:val="16822376"/>
    <w:rsid w:val="16941BC0"/>
    <w:rsid w:val="16A175A1"/>
    <w:rsid w:val="16B87E80"/>
    <w:rsid w:val="16C85386"/>
    <w:rsid w:val="16DE6045"/>
    <w:rsid w:val="17041991"/>
    <w:rsid w:val="170745CE"/>
    <w:rsid w:val="170E054D"/>
    <w:rsid w:val="170E165D"/>
    <w:rsid w:val="170F1688"/>
    <w:rsid w:val="17237EFC"/>
    <w:rsid w:val="172B3812"/>
    <w:rsid w:val="173D6216"/>
    <w:rsid w:val="173E042D"/>
    <w:rsid w:val="175C6F6A"/>
    <w:rsid w:val="17732C32"/>
    <w:rsid w:val="178F5550"/>
    <w:rsid w:val="17B614D1"/>
    <w:rsid w:val="17B7533E"/>
    <w:rsid w:val="17BE421E"/>
    <w:rsid w:val="17CB2E17"/>
    <w:rsid w:val="17E61EFE"/>
    <w:rsid w:val="17F11DA8"/>
    <w:rsid w:val="17F91102"/>
    <w:rsid w:val="18034CAD"/>
    <w:rsid w:val="18143AE1"/>
    <w:rsid w:val="18190D9F"/>
    <w:rsid w:val="18233797"/>
    <w:rsid w:val="18447D2E"/>
    <w:rsid w:val="18462924"/>
    <w:rsid w:val="185245EC"/>
    <w:rsid w:val="1855415D"/>
    <w:rsid w:val="186D0013"/>
    <w:rsid w:val="1872249E"/>
    <w:rsid w:val="18954833"/>
    <w:rsid w:val="189B4150"/>
    <w:rsid w:val="18AF4D0B"/>
    <w:rsid w:val="18B21CA0"/>
    <w:rsid w:val="18C22E09"/>
    <w:rsid w:val="18D94D16"/>
    <w:rsid w:val="18F4606A"/>
    <w:rsid w:val="18FE1332"/>
    <w:rsid w:val="18FE263E"/>
    <w:rsid w:val="190214CE"/>
    <w:rsid w:val="19106A21"/>
    <w:rsid w:val="19176A88"/>
    <w:rsid w:val="193F3DD5"/>
    <w:rsid w:val="195F451F"/>
    <w:rsid w:val="196B16E7"/>
    <w:rsid w:val="19717037"/>
    <w:rsid w:val="19750ABD"/>
    <w:rsid w:val="198313B2"/>
    <w:rsid w:val="198A050A"/>
    <w:rsid w:val="1990114D"/>
    <w:rsid w:val="19920E2F"/>
    <w:rsid w:val="19951551"/>
    <w:rsid w:val="19B56A46"/>
    <w:rsid w:val="19CB1460"/>
    <w:rsid w:val="19D6071F"/>
    <w:rsid w:val="1A2210AC"/>
    <w:rsid w:val="1A323863"/>
    <w:rsid w:val="1A3366A8"/>
    <w:rsid w:val="1A422F03"/>
    <w:rsid w:val="1A4D6BD0"/>
    <w:rsid w:val="1A4E04E4"/>
    <w:rsid w:val="1A5E7138"/>
    <w:rsid w:val="1A612582"/>
    <w:rsid w:val="1A8032A5"/>
    <w:rsid w:val="1A8100A6"/>
    <w:rsid w:val="1A845D76"/>
    <w:rsid w:val="1A8B3807"/>
    <w:rsid w:val="1A8E30CC"/>
    <w:rsid w:val="1AA105FC"/>
    <w:rsid w:val="1AC33F03"/>
    <w:rsid w:val="1AF44B9B"/>
    <w:rsid w:val="1B0B13D3"/>
    <w:rsid w:val="1B2D4ECC"/>
    <w:rsid w:val="1B3E2984"/>
    <w:rsid w:val="1B523631"/>
    <w:rsid w:val="1B5C6B2C"/>
    <w:rsid w:val="1B6C5C8E"/>
    <w:rsid w:val="1B701B16"/>
    <w:rsid w:val="1B810C29"/>
    <w:rsid w:val="1BA2641D"/>
    <w:rsid w:val="1BA64AC6"/>
    <w:rsid w:val="1BAA4748"/>
    <w:rsid w:val="1BB5524B"/>
    <w:rsid w:val="1BB750B7"/>
    <w:rsid w:val="1BC044A0"/>
    <w:rsid w:val="1BD81F9F"/>
    <w:rsid w:val="1BDB190F"/>
    <w:rsid w:val="1BE63C92"/>
    <w:rsid w:val="1BEB3012"/>
    <w:rsid w:val="1BED0AD9"/>
    <w:rsid w:val="1BEF04E6"/>
    <w:rsid w:val="1BF525D1"/>
    <w:rsid w:val="1C0B1E33"/>
    <w:rsid w:val="1C3767CF"/>
    <w:rsid w:val="1C4306F9"/>
    <w:rsid w:val="1C433DBF"/>
    <w:rsid w:val="1C4A4CF4"/>
    <w:rsid w:val="1C4F0517"/>
    <w:rsid w:val="1C4F0B7D"/>
    <w:rsid w:val="1C5100F4"/>
    <w:rsid w:val="1CBE1D17"/>
    <w:rsid w:val="1CC50404"/>
    <w:rsid w:val="1CE476D0"/>
    <w:rsid w:val="1CF9754F"/>
    <w:rsid w:val="1D181B85"/>
    <w:rsid w:val="1D266379"/>
    <w:rsid w:val="1D3237B7"/>
    <w:rsid w:val="1D340660"/>
    <w:rsid w:val="1D462237"/>
    <w:rsid w:val="1D4A260E"/>
    <w:rsid w:val="1D8344E1"/>
    <w:rsid w:val="1D943EA5"/>
    <w:rsid w:val="1DB525D4"/>
    <w:rsid w:val="1DDD141A"/>
    <w:rsid w:val="1DDE16E5"/>
    <w:rsid w:val="1DF62B0D"/>
    <w:rsid w:val="1DFD3EA6"/>
    <w:rsid w:val="1E005402"/>
    <w:rsid w:val="1E02128B"/>
    <w:rsid w:val="1E24400E"/>
    <w:rsid w:val="1E28034B"/>
    <w:rsid w:val="1E3E4E49"/>
    <w:rsid w:val="1E593B14"/>
    <w:rsid w:val="1E7A2FF5"/>
    <w:rsid w:val="1E9B5FC1"/>
    <w:rsid w:val="1EC73863"/>
    <w:rsid w:val="1EE067C4"/>
    <w:rsid w:val="1EFDDF04"/>
    <w:rsid w:val="1F0D7856"/>
    <w:rsid w:val="1F1418EC"/>
    <w:rsid w:val="1F2A2CC2"/>
    <w:rsid w:val="1F3577F8"/>
    <w:rsid w:val="1F423F0A"/>
    <w:rsid w:val="1F481BC8"/>
    <w:rsid w:val="1F4924CA"/>
    <w:rsid w:val="1F513188"/>
    <w:rsid w:val="1F6E6BD6"/>
    <w:rsid w:val="1F7E7CCB"/>
    <w:rsid w:val="1F8E7993"/>
    <w:rsid w:val="1FA85450"/>
    <w:rsid w:val="1FEA413C"/>
    <w:rsid w:val="1FFE3FF5"/>
    <w:rsid w:val="200A44C0"/>
    <w:rsid w:val="201A2093"/>
    <w:rsid w:val="20436F19"/>
    <w:rsid w:val="20554C87"/>
    <w:rsid w:val="206D3B17"/>
    <w:rsid w:val="20822E89"/>
    <w:rsid w:val="2096173F"/>
    <w:rsid w:val="20967991"/>
    <w:rsid w:val="20A17D0C"/>
    <w:rsid w:val="20B34E8E"/>
    <w:rsid w:val="20C462AC"/>
    <w:rsid w:val="20C63ADE"/>
    <w:rsid w:val="20CA7FAF"/>
    <w:rsid w:val="20CE0ED9"/>
    <w:rsid w:val="20D27C9D"/>
    <w:rsid w:val="210112AE"/>
    <w:rsid w:val="21073275"/>
    <w:rsid w:val="21194B08"/>
    <w:rsid w:val="212B00D9"/>
    <w:rsid w:val="214E43A7"/>
    <w:rsid w:val="216B012A"/>
    <w:rsid w:val="216E7FC6"/>
    <w:rsid w:val="21712513"/>
    <w:rsid w:val="21722955"/>
    <w:rsid w:val="2180205E"/>
    <w:rsid w:val="219043E0"/>
    <w:rsid w:val="21A201D8"/>
    <w:rsid w:val="21A41C3A"/>
    <w:rsid w:val="21E17F03"/>
    <w:rsid w:val="21FD06E5"/>
    <w:rsid w:val="21FE009F"/>
    <w:rsid w:val="21FF1DCE"/>
    <w:rsid w:val="22270FD0"/>
    <w:rsid w:val="222F23BE"/>
    <w:rsid w:val="22331F3C"/>
    <w:rsid w:val="22384980"/>
    <w:rsid w:val="223B4B22"/>
    <w:rsid w:val="22603DB2"/>
    <w:rsid w:val="22631AF5"/>
    <w:rsid w:val="229D5007"/>
    <w:rsid w:val="22A56A6A"/>
    <w:rsid w:val="22CD543D"/>
    <w:rsid w:val="22DD0035"/>
    <w:rsid w:val="22F539A5"/>
    <w:rsid w:val="230A2A5E"/>
    <w:rsid w:val="232A00F1"/>
    <w:rsid w:val="23307C29"/>
    <w:rsid w:val="23360A01"/>
    <w:rsid w:val="2354745D"/>
    <w:rsid w:val="236560FF"/>
    <w:rsid w:val="2369313B"/>
    <w:rsid w:val="239301B8"/>
    <w:rsid w:val="239305DD"/>
    <w:rsid w:val="239E6C93"/>
    <w:rsid w:val="23AB7399"/>
    <w:rsid w:val="23C272BC"/>
    <w:rsid w:val="23C922B0"/>
    <w:rsid w:val="23D04F68"/>
    <w:rsid w:val="23D53799"/>
    <w:rsid w:val="23DF4BA3"/>
    <w:rsid w:val="24057456"/>
    <w:rsid w:val="242678ED"/>
    <w:rsid w:val="242C1832"/>
    <w:rsid w:val="244D0C09"/>
    <w:rsid w:val="244D7A92"/>
    <w:rsid w:val="24504403"/>
    <w:rsid w:val="245436BD"/>
    <w:rsid w:val="245C5FF3"/>
    <w:rsid w:val="246A0BD9"/>
    <w:rsid w:val="24830516"/>
    <w:rsid w:val="248574EF"/>
    <w:rsid w:val="24910B0E"/>
    <w:rsid w:val="2494788D"/>
    <w:rsid w:val="24963F91"/>
    <w:rsid w:val="24A055B6"/>
    <w:rsid w:val="24B05AAE"/>
    <w:rsid w:val="24B61373"/>
    <w:rsid w:val="24BC456F"/>
    <w:rsid w:val="24BD70B0"/>
    <w:rsid w:val="24C15A47"/>
    <w:rsid w:val="24CB45AF"/>
    <w:rsid w:val="24CB6E87"/>
    <w:rsid w:val="24CC6EA2"/>
    <w:rsid w:val="24CD6B5A"/>
    <w:rsid w:val="24E5164A"/>
    <w:rsid w:val="24F52D98"/>
    <w:rsid w:val="24F74F10"/>
    <w:rsid w:val="25081C61"/>
    <w:rsid w:val="251315B0"/>
    <w:rsid w:val="25244BA0"/>
    <w:rsid w:val="254E71DA"/>
    <w:rsid w:val="255244EF"/>
    <w:rsid w:val="256D6441"/>
    <w:rsid w:val="257106BF"/>
    <w:rsid w:val="258B307D"/>
    <w:rsid w:val="258E75A6"/>
    <w:rsid w:val="258F31FD"/>
    <w:rsid w:val="259A0212"/>
    <w:rsid w:val="25A42208"/>
    <w:rsid w:val="25A70813"/>
    <w:rsid w:val="25AB23AC"/>
    <w:rsid w:val="25B846CA"/>
    <w:rsid w:val="25C80562"/>
    <w:rsid w:val="25D85ABF"/>
    <w:rsid w:val="25E13C97"/>
    <w:rsid w:val="25E438DE"/>
    <w:rsid w:val="25E72715"/>
    <w:rsid w:val="25EF2DCB"/>
    <w:rsid w:val="25FA029C"/>
    <w:rsid w:val="260D4026"/>
    <w:rsid w:val="261C3A2B"/>
    <w:rsid w:val="262A3083"/>
    <w:rsid w:val="264C49E3"/>
    <w:rsid w:val="265433EB"/>
    <w:rsid w:val="26597B18"/>
    <w:rsid w:val="266062B7"/>
    <w:rsid w:val="26701A54"/>
    <w:rsid w:val="26725117"/>
    <w:rsid w:val="2674511C"/>
    <w:rsid w:val="26C37006"/>
    <w:rsid w:val="26F0033E"/>
    <w:rsid w:val="26FF6A0B"/>
    <w:rsid w:val="26FF6A6F"/>
    <w:rsid w:val="270F24F9"/>
    <w:rsid w:val="27324114"/>
    <w:rsid w:val="27361586"/>
    <w:rsid w:val="27441EF5"/>
    <w:rsid w:val="274A6AE5"/>
    <w:rsid w:val="275B723E"/>
    <w:rsid w:val="276D66D7"/>
    <w:rsid w:val="277467FA"/>
    <w:rsid w:val="27A44650"/>
    <w:rsid w:val="27A61F47"/>
    <w:rsid w:val="27AC1848"/>
    <w:rsid w:val="27DC212D"/>
    <w:rsid w:val="27FC7504"/>
    <w:rsid w:val="28121CAB"/>
    <w:rsid w:val="28227A26"/>
    <w:rsid w:val="283E0C90"/>
    <w:rsid w:val="28647C17"/>
    <w:rsid w:val="287A1946"/>
    <w:rsid w:val="287E1B8D"/>
    <w:rsid w:val="288537A2"/>
    <w:rsid w:val="28962106"/>
    <w:rsid w:val="289F2CFC"/>
    <w:rsid w:val="28B55456"/>
    <w:rsid w:val="28D049B0"/>
    <w:rsid w:val="28D44A19"/>
    <w:rsid w:val="28F23A7E"/>
    <w:rsid w:val="2927250A"/>
    <w:rsid w:val="29455692"/>
    <w:rsid w:val="294A2EB3"/>
    <w:rsid w:val="294C1D64"/>
    <w:rsid w:val="294F17AC"/>
    <w:rsid w:val="29600B3C"/>
    <w:rsid w:val="2972768B"/>
    <w:rsid w:val="297B38E6"/>
    <w:rsid w:val="298B36EB"/>
    <w:rsid w:val="298C7E59"/>
    <w:rsid w:val="298D4B66"/>
    <w:rsid w:val="2996246F"/>
    <w:rsid w:val="29AA562F"/>
    <w:rsid w:val="29AB0DC1"/>
    <w:rsid w:val="29AB1191"/>
    <w:rsid w:val="29B709E6"/>
    <w:rsid w:val="29B94C36"/>
    <w:rsid w:val="29D25B53"/>
    <w:rsid w:val="29EB065A"/>
    <w:rsid w:val="29EB48A9"/>
    <w:rsid w:val="29FA1CFB"/>
    <w:rsid w:val="2A0B7D3A"/>
    <w:rsid w:val="2A197326"/>
    <w:rsid w:val="2A1A6A47"/>
    <w:rsid w:val="2A1E6484"/>
    <w:rsid w:val="2A2B3459"/>
    <w:rsid w:val="2A565BD5"/>
    <w:rsid w:val="2A6A329D"/>
    <w:rsid w:val="2A874C37"/>
    <w:rsid w:val="2AC50D6D"/>
    <w:rsid w:val="2AC85CE6"/>
    <w:rsid w:val="2AD533DB"/>
    <w:rsid w:val="2AE8401A"/>
    <w:rsid w:val="2AE94546"/>
    <w:rsid w:val="2B0E2CD2"/>
    <w:rsid w:val="2B2F74F8"/>
    <w:rsid w:val="2B6B0434"/>
    <w:rsid w:val="2B753D5C"/>
    <w:rsid w:val="2B773425"/>
    <w:rsid w:val="2B777E63"/>
    <w:rsid w:val="2B9F0584"/>
    <w:rsid w:val="2BBB0B38"/>
    <w:rsid w:val="2BC55DD8"/>
    <w:rsid w:val="2C1E5172"/>
    <w:rsid w:val="2C4402A1"/>
    <w:rsid w:val="2C464019"/>
    <w:rsid w:val="2C5A03E3"/>
    <w:rsid w:val="2C656218"/>
    <w:rsid w:val="2C662709"/>
    <w:rsid w:val="2C667527"/>
    <w:rsid w:val="2C6C1843"/>
    <w:rsid w:val="2C8A6B91"/>
    <w:rsid w:val="2C976A54"/>
    <w:rsid w:val="2CAF19E2"/>
    <w:rsid w:val="2CB1501F"/>
    <w:rsid w:val="2CC00CEC"/>
    <w:rsid w:val="2CC024BB"/>
    <w:rsid w:val="2CDE6947"/>
    <w:rsid w:val="2CF64E68"/>
    <w:rsid w:val="2D005DA4"/>
    <w:rsid w:val="2D0D4B37"/>
    <w:rsid w:val="2D0F6319"/>
    <w:rsid w:val="2D1B7451"/>
    <w:rsid w:val="2D214A86"/>
    <w:rsid w:val="2D31171A"/>
    <w:rsid w:val="2D6D500E"/>
    <w:rsid w:val="2D7070E6"/>
    <w:rsid w:val="2D966D05"/>
    <w:rsid w:val="2D9F39BB"/>
    <w:rsid w:val="2DAB165E"/>
    <w:rsid w:val="2DAD76CF"/>
    <w:rsid w:val="2DBA200D"/>
    <w:rsid w:val="2DBF2F5E"/>
    <w:rsid w:val="2DC36797"/>
    <w:rsid w:val="2DC82842"/>
    <w:rsid w:val="2DD26125"/>
    <w:rsid w:val="2DDF4F82"/>
    <w:rsid w:val="2DE11C2C"/>
    <w:rsid w:val="2E067D09"/>
    <w:rsid w:val="2E6B61BD"/>
    <w:rsid w:val="2E7D7CC8"/>
    <w:rsid w:val="2E8071EB"/>
    <w:rsid w:val="2E87606C"/>
    <w:rsid w:val="2E8975CC"/>
    <w:rsid w:val="2E8A782C"/>
    <w:rsid w:val="2E8F2049"/>
    <w:rsid w:val="2E94190B"/>
    <w:rsid w:val="2EA1207A"/>
    <w:rsid w:val="2EAB1042"/>
    <w:rsid w:val="2EB332E3"/>
    <w:rsid w:val="2EBC2D5D"/>
    <w:rsid w:val="2EC851B9"/>
    <w:rsid w:val="2ECC3C76"/>
    <w:rsid w:val="2EDF6B20"/>
    <w:rsid w:val="2EED2D1C"/>
    <w:rsid w:val="2EFD593D"/>
    <w:rsid w:val="2EFE0DD6"/>
    <w:rsid w:val="2EFE5E35"/>
    <w:rsid w:val="2EFF4DFA"/>
    <w:rsid w:val="2F0678A8"/>
    <w:rsid w:val="2F1538A1"/>
    <w:rsid w:val="2F42435F"/>
    <w:rsid w:val="2F6E651C"/>
    <w:rsid w:val="2F7D5EAE"/>
    <w:rsid w:val="2F7F6318"/>
    <w:rsid w:val="2F943736"/>
    <w:rsid w:val="2FA8259B"/>
    <w:rsid w:val="2FB4573E"/>
    <w:rsid w:val="2FC022F2"/>
    <w:rsid w:val="2FCE2CA3"/>
    <w:rsid w:val="2FEC137B"/>
    <w:rsid w:val="2FF6414D"/>
    <w:rsid w:val="300A5F7D"/>
    <w:rsid w:val="301F085A"/>
    <w:rsid w:val="3023045A"/>
    <w:rsid w:val="302D729E"/>
    <w:rsid w:val="303533E9"/>
    <w:rsid w:val="30485CE9"/>
    <w:rsid w:val="30790E23"/>
    <w:rsid w:val="30997657"/>
    <w:rsid w:val="309F019C"/>
    <w:rsid w:val="30AB7C50"/>
    <w:rsid w:val="30B4760F"/>
    <w:rsid w:val="30E16A06"/>
    <w:rsid w:val="31226EEC"/>
    <w:rsid w:val="313551B7"/>
    <w:rsid w:val="313703D4"/>
    <w:rsid w:val="31415992"/>
    <w:rsid w:val="31434FCB"/>
    <w:rsid w:val="31457BF4"/>
    <w:rsid w:val="31701B38"/>
    <w:rsid w:val="31795593"/>
    <w:rsid w:val="318555E4"/>
    <w:rsid w:val="31863A08"/>
    <w:rsid w:val="3191366B"/>
    <w:rsid w:val="319711DC"/>
    <w:rsid w:val="319F5F79"/>
    <w:rsid w:val="31AC2AF0"/>
    <w:rsid w:val="31BC05B6"/>
    <w:rsid w:val="31BC599B"/>
    <w:rsid w:val="31C41A2A"/>
    <w:rsid w:val="31DF0C49"/>
    <w:rsid w:val="31E362E2"/>
    <w:rsid w:val="31E64283"/>
    <w:rsid w:val="32230248"/>
    <w:rsid w:val="32267523"/>
    <w:rsid w:val="32467555"/>
    <w:rsid w:val="325069E4"/>
    <w:rsid w:val="327537CE"/>
    <w:rsid w:val="328C11AC"/>
    <w:rsid w:val="32A7158A"/>
    <w:rsid w:val="32B856A1"/>
    <w:rsid w:val="32BB295C"/>
    <w:rsid w:val="32BD0EED"/>
    <w:rsid w:val="32C553FA"/>
    <w:rsid w:val="32D256D8"/>
    <w:rsid w:val="32D622BF"/>
    <w:rsid w:val="32F40F2D"/>
    <w:rsid w:val="32FA5275"/>
    <w:rsid w:val="33241687"/>
    <w:rsid w:val="332E2878"/>
    <w:rsid w:val="33374B54"/>
    <w:rsid w:val="333F5C66"/>
    <w:rsid w:val="33541711"/>
    <w:rsid w:val="33565E09"/>
    <w:rsid w:val="3365600B"/>
    <w:rsid w:val="33896EEB"/>
    <w:rsid w:val="338B3153"/>
    <w:rsid w:val="33AF3B58"/>
    <w:rsid w:val="33C4150B"/>
    <w:rsid w:val="33CC574C"/>
    <w:rsid w:val="33CF4532"/>
    <w:rsid w:val="33D26CC7"/>
    <w:rsid w:val="33D955D9"/>
    <w:rsid w:val="33E365F1"/>
    <w:rsid w:val="33ED58DE"/>
    <w:rsid w:val="33F51BF1"/>
    <w:rsid w:val="33F627CD"/>
    <w:rsid w:val="34016939"/>
    <w:rsid w:val="34273EB6"/>
    <w:rsid w:val="34506410"/>
    <w:rsid w:val="3452680D"/>
    <w:rsid w:val="34537465"/>
    <w:rsid w:val="34574A8C"/>
    <w:rsid w:val="34622B8B"/>
    <w:rsid w:val="34685D6E"/>
    <w:rsid w:val="346F7169"/>
    <w:rsid w:val="34736257"/>
    <w:rsid w:val="347A2295"/>
    <w:rsid w:val="347E5085"/>
    <w:rsid w:val="3488410D"/>
    <w:rsid w:val="34C20399"/>
    <w:rsid w:val="34D74F8F"/>
    <w:rsid w:val="34DC2E79"/>
    <w:rsid w:val="34E5441B"/>
    <w:rsid w:val="34E63741"/>
    <w:rsid w:val="350017AF"/>
    <w:rsid w:val="35042CC3"/>
    <w:rsid w:val="350A4683"/>
    <w:rsid w:val="35183520"/>
    <w:rsid w:val="35327830"/>
    <w:rsid w:val="353A53F3"/>
    <w:rsid w:val="354110F7"/>
    <w:rsid w:val="354A7421"/>
    <w:rsid w:val="354F4CC6"/>
    <w:rsid w:val="35533AED"/>
    <w:rsid w:val="35641A33"/>
    <w:rsid w:val="356E45E1"/>
    <w:rsid w:val="35830721"/>
    <w:rsid w:val="3599357D"/>
    <w:rsid w:val="359D749B"/>
    <w:rsid w:val="35A32795"/>
    <w:rsid w:val="35E355C7"/>
    <w:rsid w:val="35EC3C07"/>
    <w:rsid w:val="35F01604"/>
    <w:rsid w:val="35F449B1"/>
    <w:rsid w:val="35FB40C6"/>
    <w:rsid w:val="36136935"/>
    <w:rsid w:val="361A2073"/>
    <w:rsid w:val="3621544E"/>
    <w:rsid w:val="36311B7F"/>
    <w:rsid w:val="365509A7"/>
    <w:rsid w:val="365A0E9D"/>
    <w:rsid w:val="366537FA"/>
    <w:rsid w:val="3669617A"/>
    <w:rsid w:val="366A668E"/>
    <w:rsid w:val="367C320F"/>
    <w:rsid w:val="36832720"/>
    <w:rsid w:val="368B6FC1"/>
    <w:rsid w:val="36A741D0"/>
    <w:rsid w:val="36B97ADD"/>
    <w:rsid w:val="36C344B8"/>
    <w:rsid w:val="36EE176E"/>
    <w:rsid w:val="36F33D96"/>
    <w:rsid w:val="36F6772E"/>
    <w:rsid w:val="36FD79CA"/>
    <w:rsid w:val="36FF7BE6"/>
    <w:rsid w:val="37012B73"/>
    <w:rsid w:val="37127B2B"/>
    <w:rsid w:val="37490CF6"/>
    <w:rsid w:val="374E790E"/>
    <w:rsid w:val="376C786E"/>
    <w:rsid w:val="377629EE"/>
    <w:rsid w:val="379414B3"/>
    <w:rsid w:val="37A97B52"/>
    <w:rsid w:val="37D03331"/>
    <w:rsid w:val="37D2198E"/>
    <w:rsid w:val="37EC5313"/>
    <w:rsid w:val="37F679F7"/>
    <w:rsid w:val="380A6843"/>
    <w:rsid w:val="3810197F"/>
    <w:rsid w:val="3825542A"/>
    <w:rsid w:val="382F457B"/>
    <w:rsid w:val="383E2A55"/>
    <w:rsid w:val="384253A1"/>
    <w:rsid w:val="38463214"/>
    <w:rsid w:val="384958E0"/>
    <w:rsid w:val="384F5D55"/>
    <w:rsid w:val="38575800"/>
    <w:rsid w:val="38613F89"/>
    <w:rsid w:val="38684D61"/>
    <w:rsid w:val="38887E25"/>
    <w:rsid w:val="388A3406"/>
    <w:rsid w:val="38BE0CD4"/>
    <w:rsid w:val="38BF4372"/>
    <w:rsid w:val="38BF587F"/>
    <w:rsid w:val="38C221A7"/>
    <w:rsid w:val="38C56C0D"/>
    <w:rsid w:val="38DE55D9"/>
    <w:rsid w:val="38F52C52"/>
    <w:rsid w:val="38FF470D"/>
    <w:rsid w:val="390E6189"/>
    <w:rsid w:val="391C20C9"/>
    <w:rsid w:val="392F000C"/>
    <w:rsid w:val="39384F3C"/>
    <w:rsid w:val="394F4B4D"/>
    <w:rsid w:val="399134E9"/>
    <w:rsid w:val="39993852"/>
    <w:rsid w:val="399A136C"/>
    <w:rsid w:val="399B16E7"/>
    <w:rsid w:val="399C3FB2"/>
    <w:rsid w:val="39C11183"/>
    <w:rsid w:val="39C40C73"/>
    <w:rsid w:val="39D23F78"/>
    <w:rsid w:val="39D5680E"/>
    <w:rsid w:val="39D8304E"/>
    <w:rsid w:val="39DC0F0C"/>
    <w:rsid w:val="39E07D5A"/>
    <w:rsid w:val="39EB7882"/>
    <w:rsid w:val="39FF4EBA"/>
    <w:rsid w:val="3A122855"/>
    <w:rsid w:val="3A2E3825"/>
    <w:rsid w:val="3A363C5B"/>
    <w:rsid w:val="3A3A2A4C"/>
    <w:rsid w:val="3A577292"/>
    <w:rsid w:val="3A647D60"/>
    <w:rsid w:val="3A9E1FCE"/>
    <w:rsid w:val="3AAC02A7"/>
    <w:rsid w:val="3AB72D75"/>
    <w:rsid w:val="3AC5364A"/>
    <w:rsid w:val="3ACF2D37"/>
    <w:rsid w:val="3AD747CB"/>
    <w:rsid w:val="3AE567FA"/>
    <w:rsid w:val="3AEF4874"/>
    <w:rsid w:val="3AF076CF"/>
    <w:rsid w:val="3B0F4689"/>
    <w:rsid w:val="3B117EE8"/>
    <w:rsid w:val="3B1E3E0B"/>
    <w:rsid w:val="3B2C7E99"/>
    <w:rsid w:val="3B2D77F6"/>
    <w:rsid w:val="3B47518E"/>
    <w:rsid w:val="3B4E6A46"/>
    <w:rsid w:val="3B5115D7"/>
    <w:rsid w:val="3B5406E3"/>
    <w:rsid w:val="3B57557E"/>
    <w:rsid w:val="3B5F5E2D"/>
    <w:rsid w:val="3B8E5945"/>
    <w:rsid w:val="3B9A5F77"/>
    <w:rsid w:val="3B9F2B02"/>
    <w:rsid w:val="3BB619FA"/>
    <w:rsid w:val="3BC84D65"/>
    <w:rsid w:val="3BCF6EE8"/>
    <w:rsid w:val="3BDE546E"/>
    <w:rsid w:val="3BDE6E0C"/>
    <w:rsid w:val="3BFA4E20"/>
    <w:rsid w:val="3C0669B5"/>
    <w:rsid w:val="3C241E9D"/>
    <w:rsid w:val="3C2740F1"/>
    <w:rsid w:val="3C34604F"/>
    <w:rsid w:val="3C552F27"/>
    <w:rsid w:val="3C5E715D"/>
    <w:rsid w:val="3C720E5A"/>
    <w:rsid w:val="3C845A72"/>
    <w:rsid w:val="3C9C3FBB"/>
    <w:rsid w:val="3CA05778"/>
    <w:rsid w:val="3CCC23FE"/>
    <w:rsid w:val="3CCE3D8F"/>
    <w:rsid w:val="3CD6312E"/>
    <w:rsid w:val="3CD6364C"/>
    <w:rsid w:val="3CDC4371"/>
    <w:rsid w:val="3CE60FBC"/>
    <w:rsid w:val="3CF02E4F"/>
    <w:rsid w:val="3D0D6C1B"/>
    <w:rsid w:val="3D145CCB"/>
    <w:rsid w:val="3D3D59C0"/>
    <w:rsid w:val="3D434173"/>
    <w:rsid w:val="3D4C0C6B"/>
    <w:rsid w:val="3D502893"/>
    <w:rsid w:val="3D5702AE"/>
    <w:rsid w:val="3D5904B8"/>
    <w:rsid w:val="3D8E7DF4"/>
    <w:rsid w:val="3D901521"/>
    <w:rsid w:val="3D9C12F8"/>
    <w:rsid w:val="3DA56A8D"/>
    <w:rsid w:val="3DB11BFE"/>
    <w:rsid w:val="3DB50D35"/>
    <w:rsid w:val="3DB70445"/>
    <w:rsid w:val="3DB80AEF"/>
    <w:rsid w:val="3DB863DE"/>
    <w:rsid w:val="3DCC25AD"/>
    <w:rsid w:val="3DD126CC"/>
    <w:rsid w:val="3DEF3EBB"/>
    <w:rsid w:val="3E1A73F6"/>
    <w:rsid w:val="3E294291"/>
    <w:rsid w:val="3E2E6F1F"/>
    <w:rsid w:val="3E3F7843"/>
    <w:rsid w:val="3E4165C5"/>
    <w:rsid w:val="3E492B69"/>
    <w:rsid w:val="3E763D2B"/>
    <w:rsid w:val="3E7D64D3"/>
    <w:rsid w:val="3E8310FD"/>
    <w:rsid w:val="3E863F64"/>
    <w:rsid w:val="3EA0361F"/>
    <w:rsid w:val="3EB72B54"/>
    <w:rsid w:val="3EC061DC"/>
    <w:rsid w:val="3EC207BB"/>
    <w:rsid w:val="3EDB39B9"/>
    <w:rsid w:val="3F0542BE"/>
    <w:rsid w:val="3F21541D"/>
    <w:rsid w:val="3F2B0443"/>
    <w:rsid w:val="3F3963D5"/>
    <w:rsid w:val="3F3F6515"/>
    <w:rsid w:val="3F48403D"/>
    <w:rsid w:val="3F724CCD"/>
    <w:rsid w:val="3F7A704F"/>
    <w:rsid w:val="3F7C7A07"/>
    <w:rsid w:val="3FAD1F98"/>
    <w:rsid w:val="3FAF7348"/>
    <w:rsid w:val="3FBA6DA7"/>
    <w:rsid w:val="3FBB0F4E"/>
    <w:rsid w:val="3FC649FE"/>
    <w:rsid w:val="3FD65F26"/>
    <w:rsid w:val="3FDE1369"/>
    <w:rsid w:val="3FDE6C8C"/>
    <w:rsid w:val="3FE1257F"/>
    <w:rsid w:val="3FED5A12"/>
    <w:rsid w:val="3FF71DD9"/>
    <w:rsid w:val="4026423C"/>
    <w:rsid w:val="403703F1"/>
    <w:rsid w:val="40827192"/>
    <w:rsid w:val="408C7DB9"/>
    <w:rsid w:val="409B4256"/>
    <w:rsid w:val="40E26603"/>
    <w:rsid w:val="40F46D7E"/>
    <w:rsid w:val="410B7153"/>
    <w:rsid w:val="410D1725"/>
    <w:rsid w:val="41183D2F"/>
    <w:rsid w:val="411A73CB"/>
    <w:rsid w:val="414A4B7B"/>
    <w:rsid w:val="416B7FA2"/>
    <w:rsid w:val="41850071"/>
    <w:rsid w:val="41A3584C"/>
    <w:rsid w:val="41C53266"/>
    <w:rsid w:val="41D852BC"/>
    <w:rsid w:val="4204463E"/>
    <w:rsid w:val="42062F0D"/>
    <w:rsid w:val="420E5600"/>
    <w:rsid w:val="420F52E2"/>
    <w:rsid w:val="4212266F"/>
    <w:rsid w:val="421E2EB8"/>
    <w:rsid w:val="422760B6"/>
    <w:rsid w:val="42324373"/>
    <w:rsid w:val="42483AD4"/>
    <w:rsid w:val="429B4825"/>
    <w:rsid w:val="42E42681"/>
    <w:rsid w:val="42E80DD0"/>
    <w:rsid w:val="42F52E49"/>
    <w:rsid w:val="42FC1ACB"/>
    <w:rsid w:val="42FC7DE4"/>
    <w:rsid w:val="42FE7C02"/>
    <w:rsid w:val="43017098"/>
    <w:rsid w:val="430A138C"/>
    <w:rsid w:val="43340998"/>
    <w:rsid w:val="433D43F8"/>
    <w:rsid w:val="435D5832"/>
    <w:rsid w:val="437609D4"/>
    <w:rsid w:val="4385013C"/>
    <w:rsid w:val="439F5307"/>
    <w:rsid w:val="43AD01DE"/>
    <w:rsid w:val="43F66706"/>
    <w:rsid w:val="43FE0ADF"/>
    <w:rsid w:val="43FF1225"/>
    <w:rsid w:val="44083F9D"/>
    <w:rsid w:val="4409405A"/>
    <w:rsid w:val="440C72F0"/>
    <w:rsid w:val="44284832"/>
    <w:rsid w:val="44475533"/>
    <w:rsid w:val="44515136"/>
    <w:rsid w:val="445363F2"/>
    <w:rsid w:val="447D68B2"/>
    <w:rsid w:val="44817E8C"/>
    <w:rsid w:val="44851B60"/>
    <w:rsid w:val="44890AEF"/>
    <w:rsid w:val="448E71A0"/>
    <w:rsid w:val="44987A65"/>
    <w:rsid w:val="44DE768D"/>
    <w:rsid w:val="44EB47E9"/>
    <w:rsid w:val="44F568C5"/>
    <w:rsid w:val="451E58AF"/>
    <w:rsid w:val="454F15A0"/>
    <w:rsid w:val="45502572"/>
    <w:rsid w:val="455070B0"/>
    <w:rsid w:val="4552380A"/>
    <w:rsid w:val="4556164B"/>
    <w:rsid w:val="45602F8D"/>
    <w:rsid w:val="457832D8"/>
    <w:rsid w:val="458A17E0"/>
    <w:rsid w:val="45A70781"/>
    <w:rsid w:val="45A87AA0"/>
    <w:rsid w:val="45B2283A"/>
    <w:rsid w:val="45D0789E"/>
    <w:rsid w:val="45D4223E"/>
    <w:rsid w:val="45D60B50"/>
    <w:rsid w:val="45FC1A8F"/>
    <w:rsid w:val="45FF5A15"/>
    <w:rsid w:val="460318C7"/>
    <w:rsid w:val="4603387A"/>
    <w:rsid w:val="461E2BC3"/>
    <w:rsid w:val="462A5DC1"/>
    <w:rsid w:val="463902F3"/>
    <w:rsid w:val="464013C3"/>
    <w:rsid w:val="464473C4"/>
    <w:rsid w:val="465A46A3"/>
    <w:rsid w:val="465B470D"/>
    <w:rsid w:val="46673C6F"/>
    <w:rsid w:val="468202EB"/>
    <w:rsid w:val="46825BAE"/>
    <w:rsid w:val="46836925"/>
    <w:rsid w:val="46853538"/>
    <w:rsid w:val="469C20A3"/>
    <w:rsid w:val="46AB032F"/>
    <w:rsid w:val="46C21CA7"/>
    <w:rsid w:val="46CB7AFD"/>
    <w:rsid w:val="46D85967"/>
    <w:rsid w:val="46E82445"/>
    <w:rsid w:val="46F00934"/>
    <w:rsid w:val="46F64465"/>
    <w:rsid w:val="4700687E"/>
    <w:rsid w:val="47016B00"/>
    <w:rsid w:val="471862AF"/>
    <w:rsid w:val="471B26A7"/>
    <w:rsid w:val="47395104"/>
    <w:rsid w:val="4770669D"/>
    <w:rsid w:val="47745FEA"/>
    <w:rsid w:val="477C5E69"/>
    <w:rsid w:val="47AF0ED8"/>
    <w:rsid w:val="47B86A19"/>
    <w:rsid w:val="47BE020A"/>
    <w:rsid w:val="47C431B4"/>
    <w:rsid w:val="47E94800"/>
    <w:rsid w:val="47ED5AA3"/>
    <w:rsid w:val="48020B49"/>
    <w:rsid w:val="48223F0E"/>
    <w:rsid w:val="482408A3"/>
    <w:rsid w:val="48242B08"/>
    <w:rsid w:val="484F7C73"/>
    <w:rsid w:val="48580F04"/>
    <w:rsid w:val="488A371C"/>
    <w:rsid w:val="488A76F2"/>
    <w:rsid w:val="489F2B74"/>
    <w:rsid w:val="48B627D1"/>
    <w:rsid w:val="48E50355"/>
    <w:rsid w:val="48E81328"/>
    <w:rsid w:val="48EF28F5"/>
    <w:rsid w:val="48FB6EC9"/>
    <w:rsid w:val="49086431"/>
    <w:rsid w:val="490C34C6"/>
    <w:rsid w:val="493E4120"/>
    <w:rsid w:val="493F7FCA"/>
    <w:rsid w:val="494125AE"/>
    <w:rsid w:val="4981488A"/>
    <w:rsid w:val="49A11E0F"/>
    <w:rsid w:val="49A72BDC"/>
    <w:rsid w:val="49A872F0"/>
    <w:rsid w:val="49C17939"/>
    <w:rsid w:val="49C71B9B"/>
    <w:rsid w:val="49CB4F78"/>
    <w:rsid w:val="49DD4F89"/>
    <w:rsid w:val="49E24BC4"/>
    <w:rsid w:val="49EC082B"/>
    <w:rsid w:val="49FE3D2D"/>
    <w:rsid w:val="4A280DAA"/>
    <w:rsid w:val="4A92599C"/>
    <w:rsid w:val="4AAD3270"/>
    <w:rsid w:val="4ABD76F4"/>
    <w:rsid w:val="4AD31C0B"/>
    <w:rsid w:val="4B043E01"/>
    <w:rsid w:val="4B0C4DEB"/>
    <w:rsid w:val="4B14399D"/>
    <w:rsid w:val="4B15132F"/>
    <w:rsid w:val="4B1C1C70"/>
    <w:rsid w:val="4B296B88"/>
    <w:rsid w:val="4B35031C"/>
    <w:rsid w:val="4B5E3469"/>
    <w:rsid w:val="4B663938"/>
    <w:rsid w:val="4B69167A"/>
    <w:rsid w:val="4B931D52"/>
    <w:rsid w:val="4B991F60"/>
    <w:rsid w:val="4BA34B8C"/>
    <w:rsid w:val="4BAD4EDE"/>
    <w:rsid w:val="4BE156B5"/>
    <w:rsid w:val="4BF92017"/>
    <w:rsid w:val="4BFE3C6B"/>
    <w:rsid w:val="4BFF0012"/>
    <w:rsid w:val="4C0B616F"/>
    <w:rsid w:val="4C2E5854"/>
    <w:rsid w:val="4C453E95"/>
    <w:rsid w:val="4C6D702A"/>
    <w:rsid w:val="4C6E7478"/>
    <w:rsid w:val="4C7A4B2F"/>
    <w:rsid w:val="4C7D0ECA"/>
    <w:rsid w:val="4C8653D5"/>
    <w:rsid w:val="4C962C74"/>
    <w:rsid w:val="4C9A0796"/>
    <w:rsid w:val="4CA87F80"/>
    <w:rsid w:val="4CC36B68"/>
    <w:rsid w:val="4CD91863"/>
    <w:rsid w:val="4CDB59D6"/>
    <w:rsid w:val="4D0E4DE1"/>
    <w:rsid w:val="4D112DA8"/>
    <w:rsid w:val="4D2402C2"/>
    <w:rsid w:val="4D3A44BF"/>
    <w:rsid w:val="4D3A6A88"/>
    <w:rsid w:val="4D4A7A24"/>
    <w:rsid w:val="4D5E1284"/>
    <w:rsid w:val="4D7366E0"/>
    <w:rsid w:val="4D7C491D"/>
    <w:rsid w:val="4D7D0258"/>
    <w:rsid w:val="4D895102"/>
    <w:rsid w:val="4D8F56BC"/>
    <w:rsid w:val="4DC14B8E"/>
    <w:rsid w:val="4DC67C75"/>
    <w:rsid w:val="4DE6700B"/>
    <w:rsid w:val="4DE83547"/>
    <w:rsid w:val="4DEE1E64"/>
    <w:rsid w:val="4DF60881"/>
    <w:rsid w:val="4DFA070A"/>
    <w:rsid w:val="4DFE2137"/>
    <w:rsid w:val="4DFF1048"/>
    <w:rsid w:val="4E140243"/>
    <w:rsid w:val="4E157897"/>
    <w:rsid w:val="4E1B6017"/>
    <w:rsid w:val="4E2B3844"/>
    <w:rsid w:val="4E2E5EC4"/>
    <w:rsid w:val="4E3521F6"/>
    <w:rsid w:val="4E4B52E9"/>
    <w:rsid w:val="4E4F6905"/>
    <w:rsid w:val="4E581B64"/>
    <w:rsid w:val="4E6B1F38"/>
    <w:rsid w:val="4E734804"/>
    <w:rsid w:val="4EA33D33"/>
    <w:rsid w:val="4EA976F4"/>
    <w:rsid w:val="4EC0264A"/>
    <w:rsid w:val="4ED92654"/>
    <w:rsid w:val="4ED93BF6"/>
    <w:rsid w:val="4EDE5286"/>
    <w:rsid w:val="4EE90FF5"/>
    <w:rsid w:val="4EED735C"/>
    <w:rsid w:val="4EF125CD"/>
    <w:rsid w:val="4F313192"/>
    <w:rsid w:val="4F3C1283"/>
    <w:rsid w:val="4F462821"/>
    <w:rsid w:val="4F527BBD"/>
    <w:rsid w:val="4F53048D"/>
    <w:rsid w:val="4F6603AB"/>
    <w:rsid w:val="4F705FC0"/>
    <w:rsid w:val="4F756840"/>
    <w:rsid w:val="4F776936"/>
    <w:rsid w:val="4F8B32C0"/>
    <w:rsid w:val="4F943E61"/>
    <w:rsid w:val="4F9D18F3"/>
    <w:rsid w:val="4FA01E4A"/>
    <w:rsid w:val="4FA67D62"/>
    <w:rsid w:val="4FC316D7"/>
    <w:rsid w:val="4FC36930"/>
    <w:rsid w:val="4FD33BDF"/>
    <w:rsid w:val="4FE129DF"/>
    <w:rsid w:val="4FE14B21"/>
    <w:rsid w:val="4FF61E17"/>
    <w:rsid w:val="500567C5"/>
    <w:rsid w:val="500A43B0"/>
    <w:rsid w:val="500D1369"/>
    <w:rsid w:val="50230B0A"/>
    <w:rsid w:val="503F6D5E"/>
    <w:rsid w:val="507D1A9C"/>
    <w:rsid w:val="508E0EBA"/>
    <w:rsid w:val="509136C3"/>
    <w:rsid w:val="50AC6291"/>
    <w:rsid w:val="50AE7211"/>
    <w:rsid w:val="50C501FF"/>
    <w:rsid w:val="50CE2DE7"/>
    <w:rsid w:val="50EF39E3"/>
    <w:rsid w:val="50F8438E"/>
    <w:rsid w:val="5111266A"/>
    <w:rsid w:val="511A6F97"/>
    <w:rsid w:val="51311368"/>
    <w:rsid w:val="51323182"/>
    <w:rsid w:val="513803C8"/>
    <w:rsid w:val="5146315D"/>
    <w:rsid w:val="51503FBD"/>
    <w:rsid w:val="5153184D"/>
    <w:rsid w:val="51584729"/>
    <w:rsid w:val="516A1CA8"/>
    <w:rsid w:val="5177490B"/>
    <w:rsid w:val="517B1236"/>
    <w:rsid w:val="517D19DC"/>
    <w:rsid w:val="51972CC6"/>
    <w:rsid w:val="51977B34"/>
    <w:rsid w:val="51AC26B5"/>
    <w:rsid w:val="51B250B4"/>
    <w:rsid w:val="51C60123"/>
    <w:rsid w:val="51D1485E"/>
    <w:rsid w:val="51DC7E6B"/>
    <w:rsid w:val="51E30047"/>
    <w:rsid w:val="51F1219E"/>
    <w:rsid w:val="51FB15FD"/>
    <w:rsid w:val="51FB65D5"/>
    <w:rsid w:val="520A3E5D"/>
    <w:rsid w:val="520A4CE3"/>
    <w:rsid w:val="523B04D8"/>
    <w:rsid w:val="52512F91"/>
    <w:rsid w:val="526C5709"/>
    <w:rsid w:val="529B0F41"/>
    <w:rsid w:val="52C1362D"/>
    <w:rsid w:val="52CF5A89"/>
    <w:rsid w:val="52D61FEA"/>
    <w:rsid w:val="52EF483C"/>
    <w:rsid w:val="53000933"/>
    <w:rsid w:val="53085A7F"/>
    <w:rsid w:val="53111328"/>
    <w:rsid w:val="53382529"/>
    <w:rsid w:val="53407165"/>
    <w:rsid w:val="534E5C72"/>
    <w:rsid w:val="535A0284"/>
    <w:rsid w:val="53747A89"/>
    <w:rsid w:val="53803225"/>
    <w:rsid w:val="53A07C03"/>
    <w:rsid w:val="53AA467E"/>
    <w:rsid w:val="53AC700E"/>
    <w:rsid w:val="53CC5472"/>
    <w:rsid w:val="53D06D48"/>
    <w:rsid w:val="53F438E5"/>
    <w:rsid w:val="54052D07"/>
    <w:rsid w:val="5412373F"/>
    <w:rsid w:val="54175C1A"/>
    <w:rsid w:val="54203727"/>
    <w:rsid w:val="547613C5"/>
    <w:rsid w:val="547C4C19"/>
    <w:rsid w:val="549F4288"/>
    <w:rsid w:val="54A93061"/>
    <w:rsid w:val="54D77655"/>
    <w:rsid w:val="54E07531"/>
    <w:rsid w:val="55004DFD"/>
    <w:rsid w:val="550150FE"/>
    <w:rsid w:val="552D6F3B"/>
    <w:rsid w:val="55332E81"/>
    <w:rsid w:val="55393040"/>
    <w:rsid w:val="5543118E"/>
    <w:rsid w:val="554E5B7C"/>
    <w:rsid w:val="555331C0"/>
    <w:rsid w:val="55562C7D"/>
    <w:rsid w:val="55641301"/>
    <w:rsid w:val="55855303"/>
    <w:rsid w:val="559F0D6F"/>
    <w:rsid w:val="55A6125E"/>
    <w:rsid w:val="55B1067F"/>
    <w:rsid w:val="55B3667D"/>
    <w:rsid w:val="55B6370E"/>
    <w:rsid w:val="56026953"/>
    <w:rsid w:val="5629335E"/>
    <w:rsid w:val="563A2887"/>
    <w:rsid w:val="56730311"/>
    <w:rsid w:val="56747A1D"/>
    <w:rsid w:val="567F2CB6"/>
    <w:rsid w:val="5691750E"/>
    <w:rsid w:val="56953FBA"/>
    <w:rsid w:val="569D6B9C"/>
    <w:rsid w:val="569E30A5"/>
    <w:rsid w:val="56BE744B"/>
    <w:rsid w:val="56D5175F"/>
    <w:rsid w:val="56E92022"/>
    <w:rsid w:val="56F364CD"/>
    <w:rsid w:val="570272D3"/>
    <w:rsid w:val="570D3902"/>
    <w:rsid w:val="571B77E0"/>
    <w:rsid w:val="57434254"/>
    <w:rsid w:val="576D09F2"/>
    <w:rsid w:val="57700659"/>
    <w:rsid w:val="577D60D7"/>
    <w:rsid w:val="57831480"/>
    <w:rsid w:val="579D5212"/>
    <w:rsid w:val="57AF6667"/>
    <w:rsid w:val="57D42DEF"/>
    <w:rsid w:val="57E5091D"/>
    <w:rsid w:val="57EB302F"/>
    <w:rsid w:val="57F20242"/>
    <w:rsid w:val="57FF3C18"/>
    <w:rsid w:val="58142773"/>
    <w:rsid w:val="58160012"/>
    <w:rsid w:val="581C5378"/>
    <w:rsid w:val="58204E76"/>
    <w:rsid w:val="582B09FA"/>
    <w:rsid w:val="582D1833"/>
    <w:rsid w:val="582E60E9"/>
    <w:rsid w:val="582F1471"/>
    <w:rsid w:val="583B60B6"/>
    <w:rsid w:val="58422E44"/>
    <w:rsid w:val="58462498"/>
    <w:rsid w:val="58482E1E"/>
    <w:rsid w:val="585F008D"/>
    <w:rsid w:val="587A1968"/>
    <w:rsid w:val="58814859"/>
    <w:rsid w:val="58AA07E4"/>
    <w:rsid w:val="58B95B77"/>
    <w:rsid w:val="58C54444"/>
    <w:rsid w:val="58EC0159"/>
    <w:rsid w:val="59063B59"/>
    <w:rsid w:val="59084281"/>
    <w:rsid w:val="5920008A"/>
    <w:rsid w:val="59207600"/>
    <w:rsid w:val="59442BC5"/>
    <w:rsid w:val="596D2398"/>
    <w:rsid w:val="598451F7"/>
    <w:rsid w:val="59B223FC"/>
    <w:rsid w:val="59C13A6B"/>
    <w:rsid w:val="59C97E94"/>
    <w:rsid w:val="59D40607"/>
    <w:rsid w:val="5A0D02E3"/>
    <w:rsid w:val="5A2D0680"/>
    <w:rsid w:val="5A321824"/>
    <w:rsid w:val="5A360BBF"/>
    <w:rsid w:val="5A3B2434"/>
    <w:rsid w:val="5A3F4BC2"/>
    <w:rsid w:val="5A410E60"/>
    <w:rsid w:val="5A5163E1"/>
    <w:rsid w:val="5A593D93"/>
    <w:rsid w:val="5A6D1467"/>
    <w:rsid w:val="5A7C767A"/>
    <w:rsid w:val="5A80410D"/>
    <w:rsid w:val="5AA60667"/>
    <w:rsid w:val="5AB501BE"/>
    <w:rsid w:val="5AB55D87"/>
    <w:rsid w:val="5ABD75D9"/>
    <w:rsid w:val="5AC410D7"/>
    <w:rsid w:val="5AED38E3"/>
    <w:rsid w:val="5AF874CF"/>
    <w:rsid w:val="5B01471E"/>
    <w:rsid w:val="5B056F42"/>
    <w:rsid w:val="5B197915"/>
    <w:rsid w:val="5B1C189D"/>
    <w:rsid w:val="5B277E3A"/>
    <w:rsid w:val="5B2E2CE3"/>
    <w:rsid w:val="5B310BA1"/>
    <w:rsid w:val="5B3A348C"/>
    <w:rsid w:val="5B6A0BBB"/>
    <w:rsid w:val="5B7F0F01"/>
    <w:rsid w:val="5B855D19"/>
    <w:rsid w:val="5B8C08BD"/>
    <w:rsid w:val="5BB03F90"/>
    <w:rsid w:val="5BB4735D"/>
    <w:rsid w:val="5BBA4A23"/>
    <w:rsid w:val="5BD2261A"/>
    <w:rsid w:val="5BD47531"/>
    <w:rsid w:val="5BD67F9F"/>
    <w:rsid w:val="5BEC6596"/>
    <w:rsid w:val="5BEE5D68"/>
    <w:rsid w:val="5C0250D7"/>
    <w:rsid w:val="5C0471F6"/>
    <w:rsid w:val="5C0A367F"/>
    <w:rsid w:val="5C1E05FB"/>
    <w:rsid w:val="5C3968A9"/>
    <w:rsid w:val="5C4F7E5D"/>
    <w:rsid w:val="5C525015"/>
    <w:rsid w:val="5C591642"/>
    <w:rsid w:val="5C765A1A"/>
    <w:rsid w:val="5C7C0F92"/>
    <w:rsid w:val="5C893B3E"/>
    <w:rsid w:val="5C9F5B66"/>
    <w:rsid w:val="5CA317AF"/>
    <w:rsid w:val="5CA908D6"/>
    <w:rsid w:val="5CAA6983"/>
    <w:rsid w:val="5CBF2DB8"/>
    <w:rsid w:val="5CCB3019"/>
    <w:rsid w:val="5CD951D5"/>
    <w:rsid w:val="5CF356BD"/>
    <w:rsid w:val="5CFF0FEB"/>
    <w:rsid w:val="5D0E5B55"/>
    <w:rsid w:val="5D1A554C"/>
    <w:rsid w:val="5D1D4073"/>
    <w:rsid w:val="5D3A29D5"/>
    <w:rsid w:val="5D41378F"/>
    <w:rsid w:val="5D4904EA"/>
    <w:rsid w:val="5D557CB0"/>
    <w:rsid w:val="5D5979FB"/>
    <w:rsid w:val="5D60281A"/>
    <w:rsid w:val="5D6E59FB"/>
    <w:rsid w:val="5D746389"/>
    <w:rsid w:val="5D8421D8"/>
    <w:rsid w:val="5D9B5DE9"/>
    <w:rsid w:val="5DA10C9C"/>
    <w:rsid w:val="5DAD48A9"/>
    <w:rsid w:val="5DCF0817"/>
    <w:rsid w:val="5DCF319F"/>
    <w:rsid w:val="5DED38D7"/>
    <w:rsid w:val="5DF457B6"/>
    <w:rsid w:val="5E167C76"/>
    <w:rsid w:val="5E283407"/>
    <w:rsid w:val="5E773D6E"/>
    <w:rsid w:val="5E7A39B5"/>
    <w:rsid w:val="5E984AC9"/>
    <w:rsid w:val="5E9B7945"/>
    <w:rsid w:val="5EBC2728"/>
    <w:rsid w:val="5ECB0CFB"/>
    <w:rsid w:val="5ED010B6"/>
    <w:rsid w:val="5EE72B8A"/>
    <w:rsid w:val="5F0539D7"/>
    <w:rsid w:val="5F0A7FE8"/>
    <w:rsid w:val="5F112D8A"/>
    <w:rsid w:val="5F153C4E"/>
    <w:rsid w:val="5F170891"/>
    <w:rsid w:val="5F5024DD"/>
    <w:rsid w:val="5F7967E1"/>
    <w:rsid w:val="5F7F1015"/>
    <w:rsid w:val="5F8E6039"/>
    <w:rsid w:val="5F9B3153"/>
    <w:rsid w:val="5F9D24AC"/>
    <w:rsid w:val="5FC269DA"/>
    <w:rsid w:val="5FC829BC"/>
    <w:rsid w:val="5FDA624B"/>
    <w:rsid w:val="5FEC27E7"/>
    <w:rsid w:val="5FEF550A"/>
    <w:rsid w:val="6006076D"/>
    <w:rsid w:val="60326087"/>
    <w:rsid w:val="6038524C"/>
    <w:rsid w:val="603A3585"/>
    <w:rsid w:val="60455DBA"/>
    <w:rsid w:val="606641DA"/>
    <w:rsid w:val="606D7B50"/>
    <w:rsid w:val="607E3A0E"/>
    <w:rsid w:val="608C39E9"/>
    <w:rsid w:val="60A17107"/>
    <w:rsid w:val="60A92266"/>
    <w:rsid w:val="60B3420C"/>
    <w:rsid w:val="60C21189"/>
    <w:rsid w:val="60C34216"/>
    <w:rsid w:val="60CB467E"/>
    <w:rsid w:val="60CB79CD"/>
    <w:rsid w:val="60D86C2E"/>
    <w:rsid w:val="60DB2685"/>
    <w:rsid w:val="60E5591C"/>
    <w:rsid w:val="60F17CF0"/>
    <w:rsid w:val="60F45546"/>
    <w:rsid w:val="60F65306"/>
    <w:rsid w:val="6100471A"/>
    <w:rsid w:val="611E172F"/>
    <w:rsid w:val="61332F01"/>
    <w:rsid w:val="61356179"/>
    <w:rsid w:val="61390D49"/>
    <w:rsid w:val="613F513E"/>
    <w:rsid w:val="614E36A1"/>
    <w:rsid w:val="615D774F"/>
    <w:rsid w:val="61614E76"/>
    <w:rsid w:val="616528B8"/>
    <w:rsid w:val="617B1C12"/>
    <w:rsid w:val="61893B57"/>
    <w:rsid w:val="61A33822"/>
    <w:rsid w:val="61AB73D5"/>
    <w:rsid w:val="61AF10F3"/>
    <w:rsid w:val="61BA4586"/>
    <w:rsid w:val="61C16D32"/>
    <w:rsid w:val="61E06F7B"/>
    <w:rsid w:val="61EB4CB8"/>
    <w:rsid w:val="61EE6E74"/>
    <w:rsid w:val="61F53810"/>
    <w:rsid w:val="62167063"/>
    <w:rsid w:val="62270BB2"/>
    <w:rsid w:val="62303572"/>
    <w:rsid w:val="6239260D"/>
    <w:rsid w:val="625A06C8"/>
    <w:rsid w:val="62912BBB"/>
    <w:rsid w:val="62B47227"/>
    <w:rsid w:val="62E70781"/>
    <w:rsid w:val="62E95E25"/>
    <w:rsid w:val="62EF0CF4"/>
    <w:rsid w:val="62F064CB"/>
    <w:rsid w:val="62FB0977"/>
    <w:rsid w:val="62FE04A2"/>
    <w:rsid w:val="631303F2"/>
    <w:rsid w:val="631950C0"/>
    <w:rsid w:val="631D6B99"/>
    <w:rsid w:val="634009AE"/>
    <w:rsid w:val="63485421"/>
    <w:rsid w:val="634C7790"/>
    <w:rsid w:val="639B4D25"/>
    <w:rsid w:val="63AC06D3"/>
    <w:rsid w:val="63AD6150"/>
    <w:rsid w:val="63AF28A3"/>
    <w:rsid w:val="63C92DEB"/>
    <w:rsid w:val="63D77FE6"/>
    <w:rsid w:val="63E1404C"/>
    <w:rsid w:val="64156614"/>
    <w:rsid w:val="64251B7E"/>
    <w:rsid w:val="64395C36"/>
    <w:rsid w:val="64435760"/>
    <w:rsid w:val="644448D7"/>
    <w:rsid w:val="644C3D10"/>
    <w:rsid w:val="64670084"/>
    <w:rsid w:val="646A1312"/>
    <w:rsid w:val="64A06477"/>
    <w:rsid w:val="64B266B2"/>
    <w:rsid w:val="64E1380F"/>
    <w:rsid w:val="64E5045F"/>
    <w:rsid w:val="64EC07FD"/>
    <w:rsid w:val="64FF6FD8"/>
    <w:rsid w:val="65006754"/>
    <w:rsid w:val="650F2712"/>
    <w:rsid w:val="6520131B"/>
    <w:rsid w:val="65222684"/>
    <w:rsid w:val="652F6759"/>
    <w:rsid w:val="65302608"/>
    <w:rsid w:val="656C3E87"/>
    <w:rsid w:val="657173F1"/>
    <w:rsid w:val="658118B9"/>
    <w:rsid w:val="65832BBC"/>
    <w:rsid w:val="6583754E"/>
    <w:rsid w:val="65E91D22"/>
    <w:rsid w:val="65F0687A"/>
    <w:rsid w:val="65F51604"/>
    <w:rsid w:val="66133BAC"/>
    <w:rsid w:val="661778FF"/>
    <w:rsid w:val="661C52EC"/>
    <w:rsid w:val="66372562"/>
    <w:rsid w:val="663803A9"/>
    <w:rsid w:val="66823B7C"/>
    <w:rsid w:val="669730E8"/>
    <w:rsid w:val="669C2B8F"/>
    <w:rsid w:val="66A66B4D"/>
    <w:rsid w:val="66C147A1"/>
    <w:rsid w:val="66DA3682"/>
    <w:rsid w:val="66FE50D2"/>
    <w:rsid w:val="670856BD"/>
    <w:rsid w:val="673243C0"/>
    <w:rsid w:val="67440005"/>
    <w:rsid w:val="675A207D"/>
    <w:rsid w:val="67773C10"/>
    <w:rsid w:val="678751A9"/>
    <w:rsid w:val="67935E87"/>
    <w:rsid w:val="679B048F"/>
    <w:rsid w:val="67A352DF"/>
    <w:rsid w:val="67AD4BD7"/>
    <w:rsid w:val="67B867FB"/>
    <w:rsid w:val="67C4205D"/>
    <w:rsid w:val="67C454CF"/>
    <w:rsid w:val="67C70176"/>
    <w:rsid w:val="67DC0DB7"/>
    <w:rsid w:val="67E22141"/>
    <w:rsid w:val="67E62F8D"/>
    <w:rsid w:val="67F3186A"/>
    <w:rsid w:val="68064081"/>
    <w:rsid w:val="68103AC9"/>
    <w:rsid w:val="68264723"/>
    <w:rsid w:val="682911C6"/>
    <w:rsid w:val="68470C10"/>
    <w:rsid w:val="684C0244"/>
    <w:rsid w:val="685B25F0"/>
    <w:rsid w:val="687A2D7A"/>
    <w:rsid w:val="687C4343"/>
    <w:rsid w:val="689E392C"/>
    <w:rsid w:val="68BF19C2"/>
    <w:rsid w:val="68D76E19"/>
    <w:rsid w:val="68F24605"/>
    <w:rsid w:val="68F47009"/>
    <w:rsid w:val="6905275F"/>
    <w:rsid w:val="690923F2"/>
    <w:rsid w:val="69126363"/>
    <w:rsid w:val="6924589E"/>
    <w:rsid w:val="692D181F"/>
    <w:rsid w:val="69325729"/>
    <w:rsid w:val="693E3101"/>
    <w:rsid w:val="69492903"/>
    <w:rsid w:val="696657B3"/>
    <w:rsid w:val="69763114"/>
    <w:rsid w:val="697F27AA"/>
    <w:rsid w:val="69906192"/>
    <w:rsid w:val="69992CD3"/>
    <w:rsid w:val="69A22BD8"/>
    <w:rsid w:val="69B2241B"/>
    <w:rsid w:val="69F85378"/>
    <w:rsid w:val="69F90D87"/>
    <w:rsid w:val="6A0F480A"/>
    <w:rsid w:val="6A32119E"/>
    <w:rsid w:val="6A3A4059"/>
    <w:rsid w:val="6A48221F"/>
    <w:rsid w:val="6A5376C0"/>
    <w:rsid w:val="6A5F2E3E"/>
    <w:rsid w:val="6A6D6598"/>
    <w:rsid w:val="6A7A15ED"/>
    <w:rsid w:val="6A9379BF"/>
    <w:rsid w:val="6AA926DB"/>
    <w:rsid w:val="6AC4492E"/>
    <w:rsid w:val="6AC71270"/>
    <w:rsid w:val="6AD02A30"/>
    <w:rsid w:val="6AF0009F"/>
    <w:rsid w:val="6B167E70"/>
    <w:rsid w:val="6B2C6008"/>
    <w:rsid w:val="6B3329E1"/>
    <w:rsid w:val="6B6853B8"/>
    <w:rsid w:val="6B7C71CC"/>
    <w:rsid w:val="6B8A6F1C"/>
    <w:rsid w:val="6B8A7511"/>
    <w:rsid w:val="6B8D388C"/>
    <w:rsid w:val="6BB8352C"/>
    <w:rsid w:val="6BC71D79"/>
    <w:rsid w:val="6BCC2E2B"/>
    <w:rsid w:val="6BDA0285"/>
    <w:rsid w:val="6BE21B12"/>
    <w:rsid w:val="6C027255"/>
    <w:rsid w:val="6C1F534C"/>
    <w:rsid w:val="6C28661F"/>
    <w:rsid w:val="6C3210B3"/>
    <w:rsid w:val="6C615D2A"/>
    <w:rsid w:val="6C64581A"/>
    <w:rsid w:val="6C755437"/>
    <w:rsid w:val="6C7A5F87"/>
    <w:rsid w:val="6C7A6DEC"/>
    <w:rsid w:val="6C871509"/>
    <w:rsid w:val="6C975BF0"/>
    <w:rsid w:val="6CA16A6E"/>
    <w:rsid w:val="6CB76A1F"/>
    <w:rsid w:val="6CBA2CB2"/>
    <w:rsid w:val="6CBC3CD5"/>
    <w:rsid w:val="6CBD1BA4"/>
    <w:rsid w:val="6CD23552"/>
    <w:rsid w:val="6CF32DDE"/>
    <w:rsid w:val="6CFF3DA4"/>
    <w:rsid w:val="6D0C5F86"/>
    <w:rsid w:val="6D2B09A0"/>
    <w:rsid w:val="6D4C59A4"/>
    <w:rsid w:val="6D5C30AD"/>
    <w:rsid w:val="6D627F95"/>
    <w:rsid w:val="6D641606"/>
    <w:rsid w:val="6D6F3827"/>
    <w:rsid w:val="6D725C73"/>
    <w:rsid w:val="6D814075"/>
    <w:rsid w:val="6DA70F3B"/>
    <w:rsid w:val="6DAC5D7B"/>
    <w:rsid w:val="6DB728DD"/>
    <w:rsid w:val="6E0273BE"/>
    <w:rsid w:val="6E0F7AC0"/>
    <w:rsid w:val="6E1E4275"/>
    <w:rsid w:val="6E2910FE"/>
    <w:rsid w:val="6E3C7099"/>
    <w:rsid w:val="6E3F23B6"/>
    <w:rsid w:val="6E485541"/>
    <w:rsid w:val="6E665EE0"/>
    <w:rsid w:val="6EA368A1"/>
    <w:rsid w:val="6EB2672B"/>
    <w:rsid w:val="6EC7245D"/>
    <w:rsid w:val="6ED91740"/>
    <w:rsid w:val="6EDE105D"/>
    <w:rsid w:val="6EEC015E"/>
    <w:rsid w:val="6EFB41EA"/>
    <w:rsid w:val="6F272B0A"/>
    <w:rsid w:val="6F342967"/>
    <w:rsid w:val="6F5140A7"/>
    <w:rsid w:val="6F6964E2"/>
    <w:rsid w:val="6F852CC1"/>
    <w:rsid w:val="6F9864DF"/>
    <w:rsid w:val="6FB16FC8"/>
    <w:rsid w:val="6FBA7E4A"/>
    <w:rsid w:val="6FC21BFD"/>
    <w:rsid w:val="6FDB4045"/>
    <w:rsid w:val="6FDC1B6B"/>
    <w:rsid w:val="6FE21A0A"/>
    <w:rsid w:val="6FEA4288"/>
    <w:rsid w:val="6FF20C1C"/>
    <w:rsid w:val="6FF6642C"/>
    <w:rsid w:val="701F44D9"/>
    <w:rsid w:val="70251764"/>
    <w:rsid w:val="70490F9A"/>
    <w:rsid w:val="70501E6A"/>
    <w:rsid w:val="705B6F34"/>
    <w:rsid w:val="7060436C"/>
    <w:rsid w:val="708248EF"/>
    <w:rsid w:val="7093384F"/>
    <w:rsid w:val="70B20951"/>
    <w:rsid w:val="70C3348C"/>
    <w:rsid w:val="70CE1592"/>
    <w:rsid w:val="70DA779C"/>
    <w:rsid w:val="70E54658"/>
    <w:rsid w:val="70F10289"/>
    <w:rsid w:val="70F63F34"/>
    <w:rsid w:val="70FA03C6"/>
    <w:rsid w:val="70FA2957"/>
    <w:rsid w:val="71191BA9"/>
    <w:rsid w:val="711A1A7E"/>
    <w:rsid w:val="7128403A"/>
    <w:rsid w:val="713A2FED"/>
    <w:rsid w:val="71461992"/>
    <w:rsid w:val="714646D0"/>
    <w:rsid w:val="71601BAF"/>
    <w:rsid w:val="716F265E"/>
    <w:rsid w:val="71863958"/>
    <w:rsid w:val="718A294E"/>
    <w:rsid w:val="71952FF1"/>
    <w:rsid w:val="71B021AA"/>
    <w:rsid w:val="71B923B6"/>
    <w:rsid w:val="71BE5485"/>
    <w:rsid w:val="71BE59CD"/>
    <w:rsid w:val="71C1771F"/>
    <w:rsid w:val="71E36CE9"/>
    <w:rsid w:val="71FB277D"/>
    <w:rsid w:val="723F6B0D"/>
    <w:rsid w:val="724A1495"/>
    <w:rsid w:val="72501E67"/>
    <w:rsid w:val="725D6F93"/>
    <w:rsid w:val="72607FC1"/>
    <w:rsid w:val="726C19E5"/>
    <w:rsid w:val="72704D3C"/>
    <w:rsid w:val="729437A1"/>
    <w:rsid w:val="72C001F7"/>
    <w:rsid w:val="72C7414C"/>
    <w:rsid w:val="72D205A8"/>
    <w:rsid w:val="72DD678A"/>
    <w:rsid w:val="72F558DF"/>
    <w:rsid w:val="72F84F0E"/>
    <w:rsid w:val="7310614A"/>
    <w:rsid w:val="73377516"/>
    <w:rsid w:val="733C4B60"/>
    <w:rsid w:val="735F30A5"/>
    <w:rsid w:val="738B7885"/>
    <w:rsid w:val="738D1955"/>
    <w:rsid w:val="738D5656"/>
    <w:rsid w:val="73917960"/>
    <w:rsid w:val="7399049F"/>
    <w:rsid w:val="73A11CC9"/>
    <w:rsid w:val="73A62F58"/>
    <w:rsid w:val="73B959A7"/>
    <w:rsid w:val="73CB3C43"/>
    <w:rsid w:val="73D01546"/>
    <w:rsid w:val="73DA018A"/>
    <w:rsid w:val="73DB133F"/>
    <w:rsid w:val="73EA2208"/>
    <w:rsid w:val="73EB5522"/>
    <w:rsid w:val="73FF4349"/>
    <w:rsid w:val="74004353"/>
    <w:rsid w:val="74094D8A"/>
    <w:rsid w:val="741402C2"/>
    <w:rsid w:val="74242465"/>
    <w:rsid w:val="74371FA8"/>
    <w:rsid w:val="74586C60"/>
    <w:rsid w:val="745B5755"/>
    <w:rsid w:val="7471073C"/>
    <w:rsid w:val="748E78D8"/>
    <w:rsid w:val="74B310ED"/>
    <w:rsid w:val="74EA0747"/>
    <w:rsid w:val="74F130B6"/>
    <w:rsid w:val="74FB7B28"/>
    <w:rsid w:val="752B7F69"/>
    <w:rsid w:val="75483855"/>
    <w:rsid w:val="75543C2B"/>
    <w:rsid w:val="75585AE4"/>
    <w:rsid w:val="75640503"/>
    <w:rsid w:val="75840CDB"/>
    <w:rsid w:val="75864A53"/>
    <w:rsid w:val="758963A3"/>
    <w:rsid w:val="758C5A59"/>
    <w:rsid w:val="759470C4"/>
    <w:rsid w:val="75A4306F"/>
    <w:rsid w:val="75B84DD0"/>
    <w:rsid w:val="75BC2508"/>
    <w:rsid w:val="75CD5B83"/>
    <w:rsid w:val="75D02310"/>
    <w:rsid w:val="75EC4B45"/>
    <w:rsid w:val="75FF336D"/>
    <w:rsid w:val="760259F2"/>
    <w:rsid w:val="76222305"/>
    <w:rsid w:val="76270FD3"/>
    <w:rsid w:val="7633535B"/>
    <w:rsid w:val="76552D62"/>
    <w:rsid w:val="765B1A3C"/>
    <w:rsid w:val="76713A68"/>
    <w:rsid w:val="7688070C"/>
    <w:rsid w:val="76B1216C"/>
    <w:rsid w:val="76B41D30"/>
    <w:rsid w:val="76BF646F"/>
    <w:rsid w:val="76D64A71"/>
    <w:rsid w:val="76DF08BF"/>
    <w:rsid w:val="76FE2334"/>
    <w:rsid w:val="770F1B3B"/>
    <w:rsid w:val="77244CEC"/>
    <w:rsid w:val="777D36ED"/>
    <w:rsid w:val="778D20C9"/>
    <w:rsid w:val="779B2117"/>
    <w:rsid w:val="77F03269"/>
    <w:rsid w:val="78047EB1"/>
    <w:rsid w:val="780B38E6"/>
    <w:rsid w:val="78674951"/>
    <w:rsid w:val="786E491B"/>
    <w:rsid w:val="786F7A21"/>
    <w:rsid w:val="78822F09"/>
    <w:rsid w:val="78876764"/>
    <w:rsid w:val="78981FBE"/>
    <w:rsid w:val="78A343F3"/>
    <w:rsid w:val="78BB4A91"/>
    <w:rsid w:val="78BD3860"/>
    <w:rsid w:val="78C14AD9"/>
    <w:rsid w:val="78CB5A61"/>
    <w:rsid w:val="78CE6716"/>
    <w:rsid w:val="78D853AD"/>
    <w:rsid w:val="78DF03D8"/>
    <w:rsid w:val="78E92A67"/>
    <w:rsid w:val="78F91B22"/>
    <w:rsid w:val="78FA0730"/>
    <w:rsid w:val="7902542B"/>
    <w:rsid w:val="79147965"/>
    <w:rsid w:val="7925480F"/>
    <w:rsid w:val="79322401"/>
    <w:rsid w:val="79391B18"/>
    <w:rsid w:val="79693536"/>
    <w:rsid w:val="796F7969"/>
    <w:rsid w:val="797D709E"/>
    <w:rsid w:val="79833015"/>
    <w:rsid w:val="79922CCF"/>
    <w:rsid w:val="7997336F"/>
    <w:rsid w:val="79AC2A9B"/>
    <w:rsid w:val="79B3393D"/>
    <w:rsid w:val="79BB5298"/>
    <w:rsid w:val="79BB6C06"/>
    <w:rsid w:val="79C0342C"/>
    <w:rsid w:val="79C97604"/>
    <w:rsid w:val="79CF70B5"/>
    <w:rsid w:val="79EB673A"/>
    <w:rsid w:val="79F0232E"/>
    <w:rsid w:val="7A0E4496"/>
    <w:rsid w:val="7A212F9C"/>
    <w:rsid w:val="7A42277B"/>
    <w:rsid w:val="7A50011F"/>
    <w:rsid w:val="7A536B06"/>
    <w:rsid w:val="7A544A71"/>
    <w:rsid w:val="7A5E5758"/>
    <w:rsid w:val="7A8B2272"/>
    <w:rsid w:val="7A96239F"/>
    <w:rsid w:val="7A9C4810"/>
    <w:rsid w:val="7ABB23D2"/>
    <w:rsid w:val="7AC83418"/>
    <w:rsid w:val="7AD4514B"/>
    <w:rsid w:val="7ADB4D4B"/>
    <w:rsid w:val="7AEE1351"/>
    <w:rsid w:val="7B00426A"/>
    <w:rsid w:val="7B012DD1"/>
    <w:rsid w:val="7B1A448B"/>
    <w:rsid w:val="7B1E10A9"/>
    <w:rsid w:val="7B3A2A2C"/>
    <w:rsid w:val="7B4B2905"/>
    <w:rsid w:val="7B4F480B"/>
    <w:rsid w:val="7B5C3293"/>
    <w:rsid w:val="7B5D1DB2"/>
    <w:rsid w:val="7B7506B3"/>
    <w:rsid w:val="7B767060"/>
    <w:rsid w:val="7B7B1C9B"/>
    <w:rsid w:val="7B847FC2"/>
    <w:rsid w:val="7B8F0F22"/>
    <w:rsid w:val="7B9920A4"/>
    <w:rsid w:val="7BC20C2B"/>
    <w:rsid w:val="7BC31CE6"/>
    <w:rsid w:val="7BCE4A5E"/>
    <w:rsid w:val="7C183F2B"/>
    <w:rsid w:val="7C19148F"/>
    <w:rsid w:val="7C2E27B7"/>
    <w:rsid w:val="7C3C2310"/>
    <w:rsid w:val="7C466CEA"/>
    <w:rsid w:val="7C4A7492"/>
    <w:rsid w:val="7C730BF4"/>
    <w:rsid w:val="7C824F1B"/>
    <w:rsid w:val="7C957896"/>
    <w:rsid w:val="7CB2612E"/>
    <w:rsid w:val="7CB636E7"/>
    <w:rsid w:val="7CC65BD4"/>
    <w:rsid w:val="7CDA6A98"/>
    <w:rsid w:val="7CEA5B10"/>
    <w:rsid w:val="7CEF5919"/>
    <w:rsid w:val="7CF44E22"/>
    <w:rsid w:val="7CF65C72"/>
    <w:rsid w:val="7CFC3962"/>
    <w:rsid w:val="7D0D1D93"/>
    <w:rsid w:val="7D0F5BDF"/>
    <w:rsid w:val="7D250ED6"/>
    <w:rsid w:val="7D3752F4"/>
    <w:rsid w:val="7D3B3F86"/>
    <w:rsid w:val="7D6101B7"/>
    <w:rsid w:val="7D741737"/>
    <w:rsid w:val="7D74557D"/>
    <w:rsid w:val="7D871368"/>
    <w:rsid w:val="7D9A5C91"/>
    <w:rsid w:val="7DA61462"/>
    <w:rsid w:val="7DAE335F"/>
    <w:rsid w:val="7DC465FF"/>
    <w:rsid w:val="7DCF746C"/>
    <w:rsid w:val="7DFEB795"/>
    <w:rsid w:val="7E0E1901"/>
    <w:rsid w:val="7E18651E"/>
    <w:rsid w:val="7E38201D"/>
    <w:rsid w:val="7E3F62D7"/>
    <w:rsid w:val="7E525C79"/>
    <w:rsid w:val="7E5C27F5"/>
    <w:rsid w:val="7E7558F0"/>
    <w:rsid w:val="7E757A0A"/>
    <w:rsid w:val="7E7C096F"/>
    <w:rsid w:val="7EB919F5"/>
    <w:rsid w:val="7EC63E34"/>
    <w:rsid w:val="7ECD724F"/>
    <w:rsid w:val="7ECE0398"/>
    <w:rsid w:val="7F133F38"/>
    <w:rsid w:val="7F2257ED"/>
    <w:rsid w:val="7F3F01ED"/>
    <w:rsid w:val="7F532BD2"/>
    <w:rsid w:val="7F54477B"/>
    <w:rsid w:val="7F6B4832"/>
    <w:rsid w:val="7F6F25EB"/>
    <w:rsid w:val="7F792F33"/>
    <w:rsid w:val="7F816808"/>
    <w:rsid w:val="7F8843E8"/>
    <w:rsid w:val="7F8B0FF5"/>
    <w:rsid w:val="7F976CEE"/>
    <w:rsid w:val="7FA2150A"/>
    <w:rsid w:val="7FA96CDD"/>
    <w:rsid w:val="7FAE0848"/>
    <w:rsid w:val="7FC95C68"/>
    <w:rsid w:val="7FD90736"/>
    <w:rsid w:val="7FDA60C7"/>
    <w:rsid w:val="7FE37A53"/>
    <w:rsid w:val="7FF61172"/>
    <w:rsid w:val="7FF82F77"/>
    <w:rsid w:val="7FFC5359"/>
    <w:rsid w:val="B3F53DBC"/>
    <w:rsid w:val="B7A320B7"/>
    <w:rsid w:val="BFF01221"/>
    <w:rsid w:val="C3BF64B7"/>
    <w:rsid w:val="D5DDDF8B"/>
    <w:rsid w:val="D8FF112D"/>
    <w:rsid w:val="DCCDAA92"/>
    <w:rsid w:val="DEFBD9D9"/>
    <w:rsid w:val="DFD4D296"/>
    <w:rsid w:val="E7FCFF93"/>
    <w:rsid w:val="EF7B8BA4"/>
    <w:rsid w:val="F5FB969F"/>
    <w:rsid w:val="FFDD7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link w:val="38"/>
    <w:qFormat/>
    <w:uiPriority w:val="0"/>
    <w:pPr>
      <w:keepNext/>
      <w:keepLines/>
      <w:spacing w:before="312" w:after="312"/>
      <w:jc w:val="center"/>
      <w:outlineLvl w:val="0"/>
    </w:pPr>
    <w:rPr>
      <w:rFonts w:ascii="Times New Roman" w:hAnsi="Times New Roman" w:eastAsia="黑体"/>
      <w:b/>
      <w:bCs/>
      <w:kern w:val="44"/>
      <w:szCs w:val="44"/>
    </w:rPr>
  </w:style>
  <w:style w:type="paragraph" w:styleId="5">
    <w:name w:val="heading 2"/>
    <w:basedOn w:val="1"/>
    <w:next w:val="1"/>
    <w:link w:val="42"/>
    <w:qFormat/>
    <w:uiPriority w:val="0"/>
    <w:pPr>
      <w:keepNext/>
      <w:keepLines/>
      <w:spacing w:before="187" w:after="187"/>
      <w:jc w:val="center"/>
      <w:outlineLvl w:val="1"/>
    </w:pPr>
    <w:rPr>
      <w:rFonts w:ascii="等线 Light" w:hAnsi="等线 Light" w:eastAsia="黑体"/>
      <w:bCs/>
      <w:szCs w:val="32"/>
    </w:rPr>
  </w:style>
  <w:style w:type="paragraph" w:styleId="6">
    <w:name w:val="heading 3"/>
    <w:basedOn w:val="1"/>
    <w:next w:val="1"/>
    <w:link w:val="124"/>
    <w:qFormat/>
    <w:uiPriority w:val="0"/>
    <w:pPr>
      <w:keepNext/>
      <w:keepLines/>
      <w:outlineLvl w:val="2"/>
    </w:pPr>
    <w:rPr>
      <w:rFonts w:eastAsia="黑体"/>
      <w:bCs/>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5"/>
    <w:qFormat/>
    <w:uiPriority w:val="99"/>
    <w:pPr>
      <w:spacing w:after="120"/>
    </w:pPr>
  </w:style>
  <w:style w:type="paragraph" w:styleId="3">
    <w:name w:val="Body Text First Indent"/>
    <w:basedOn w:val="2"/>
    <w:qFormat/>
    <w:uiPriority w:val="0"/>
    <w:pPr>
      <w:ind w:firstLine="420" w:firstLineChars="100"/>
    </w:pPr>
    <w:rPr>
      <w:rFonts w:eastAsia="文星简小标宋"/>
      <w:sz w:val="44"/>
      <w:szCs w:val="20"/>
    </w:rPr>
  </w:style>
  <w:style w:type="paragraph" w:styleId="7">
    <w:name w:val="toc 7"/>
    <w:basedOn w:val="1"/>
    <w:next w:val="1"/>
    <w:qFormat/>
    <w:uiPriority w:val="39"/>
    <w:pPr>
      <w:spacing w:line="240" w:lineRule="auto"/>
      <w:ind w:left="2520" w:leftChars="1200" w:firstLine="0" w:firstLineChars="0"/>
    </w:pPr>
    <w:rPr>
      <w:rFonts w:ascii="Times New Roman" w:hAnsi="Times New Roman" w:eastAsia="宋体"/>
      <w:sz w:val="21"/>
      <w:szCs w:val="24"/>
    </w:rPr>
  </w:style>
  <w:style w:type="paragraph" w:styleId="8">
    <w:name w:val="table of authorities"/>
    <w:basedOn w:val="1"/>
    <w:next w:val="1"/>
    <w:qFormat/>
    <w:uiPriority w:val="0"/>
    <w:pPr>
      <w:ind w:left="420" w:leftChars="200"/>
    </w:pPr>
    <w:rPr>
      <w:rFonts w:ascii="Times New Roman" w:hAnsi="Times New Roman"/>
    </w:rPr>
  </w:style>
  <w:style w:type="paragraph" w:styleId="9">
    <w:name w:val="Normal Indent"/>
    <w:basedOn w:val="1"/>
    <w:unhideWhenUsed/>
    <w:qFormat/>
    <w:uiPriority w:val="99"/>
    <w:pPr>
      <w:ind w:firstLine="420"/>
    </w:pPr>
  </w:style>
  <w:style w:type="paragraph" w:styleId="10">
    <w:name w:val="annotation text"/>
    <w:basedOn w:val="1"/>
    <w:link w:val="111"/>
    <w:qFormat/>
    <w:uiPriority w:val="0"/>
    <w:pPr>
      <w:jc w:val="left"/>
    </w:pPr>
    <w:rPr>
      <w:rFonts w:ascii="Times New Roman" w:hAnsi="Times New Roman" w:eastAsia="宋体"/>
    </w:rPr>
  </w:style>
  <w:style w:type="paragraph" w:styleId="11">
    <w:name w:val="toc 5"/>
    <w:basedOn w:val="1"/>
    <w:next w:val="1"/>
    <w:qFormat/>
    <w:uiPriority w:val="39"/>
    <w:pPr>
      <w:spacing w:line="240" w:lineRule="auto"/>
      <w:ind w:left="1680" w:leftChars="800" w:firstLine="0" w:firstLineChars="0"/>
    </w:pPr>
    <w:rPr>
      <w:rFonts w:ascii="Times New Roman" w:hAnsi="Times New Roman" w:eastAsia="宋体"/>
      <w:sz w:val="21"/>
      <w:szCs w:val="24"/>
    </w:rPr>
  </w:style>
  <w:style w:type="paragraph" w:styleId="12">
    <w:name w:val="toc 3"/>
    <w:basedOn w:val="1"/>
    <w:next w:val="1"/>
    <w:qFormat/>
    <w:uiPriority w:val="39"/>
    <w:pPr>
      <w:spacing w:line="240" w:lineRule="auto"/>
      <w:ind w:left="840" w:leftChars="400" w:firstLine="0" w:firstLineChars="0"/>
    </w:pPr>
    <w:rPr>
      <w:rFonts w:ascii="Times New Roman" w:hAnsi="Times New Roman" w:eastAsia="宋体"/>
      <w:sz w:val="21"/>
      <w:szCs w:val="24"/>
    </w:rPr>
  </w:style>
  <w:style w:type="paragraph" w:styleId="13">
    <w:name w:val="toc 8"/>
    <w:basedOn w:val="1"/>
    <w:next w:val="1"/>
    <w:qFormat/>
    <w:uiPriority w:val="39"/>
    <w:pPr>
      <w:spacing w:line="240" w:lineRule="auto"/>
      <w:ind w:left="2940" w:leftChars="1400" w:firstLine="0" w:firstLineChars="0"/>
    </w:pPr>
    <w:rPr>
      <w:rFonts w:ascii="Times New Roman" w:hAnsi="Times New Roman" w:eastAsia="宋体"/>
      <w:sz w:val="21"/>
      <w:szCs w:val="24"/>
    </w:rPr>
  </w:style>
  <w:style w:type="paragraph" w:styleId="14">
    <w:name w:val="Body Text Indent 2"/>
    <w:basedOn w:val="1"/>
    <w:qFormat/>
    <w:uiPriority w:val="99"/>
    <w:pPr>
      <w:spacing w:after="120" w:line="480" w:lineRule="auto"/>
      <w:ind w:left="420" w:leftChars="200"/>
    </w:pPr>
  </w:style>
  <w:style w:type="paragraph" w:styleId="15">
    <w:name w:val="Balloon Text"/>
    <w:basedOn w:val="1"/>
    <w:link w:val="40"/>
    <w:qFormat/>
    <w:uiPriority w:val="0"/>
    <w:rPr>
      <w:rFonts w:eastAsia="宋体"/>
      <w:sz w:val="18"/>
      <w:szCs w:val="18"/>
    </w:rPr>
  </w:style>
  <w:style w:type="paragraph" w:styleId="16">
    <w:name w:val="footer"/>
    <w:basedOn w:val="1"/>
    <w:link w:val="81"/>
    <w:qFormat/>
    <w:uiPriority w:val="99"/>
    <w:pPr>
      <w:tabs>
        <w:tab w:val="center" w:pos="4153"/>
        <w:tab w:val="right" w:pos="8306"/>
      </w:tabs>
      <w:snapToGrid w:val="0"/>
      <w:jc w:val="left"/>
    </w:pPr>
    <w:rPr>
      <w:rFonts w:ascii="Times New Roman" w:hAnsi="Times New Roman" w:eastAsia="宋体"/>
      <w:sz w:val="18"/>
      <w:szCs w:val="18"/>
    </w:rPr>
  </w:style>
  <w:style w:type="paragraph" w:styleId="17">
    <w:name w:val="header"/>
    <w:basedOn w:val="1"/>
    <w:link w:val="43"/>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8">
    <w:name w:val="toc 1"/>
    <w:basedOn w:val="1"/>
    <w:next w:val="1"/>
    <w:qFormat/>
    <w:uiPriority w:val="39"/>
    <w:pPr>
      <w:spacing w:line="240" w:lineRule="auto"/>
      <w:ind w:firstLine="0" w:firstLineChars="0"/>
    </w:pPr>
    <w:rPr>
      <w:rFonts w:ascii="Times New Roman" w:hAnsi="Times New Roman" w:eastAsia="宋体"/>
      <w:sz w:val="21"/>
      <w:szCs w:val="24"/>
    </w:rPr>
  </w:style>
  <w:style w:type="paragraph" w:styleId="19">
    <w:name w:val="toc 4"/>
    <w:basedOn w:val="1"/>
    <w:next w:val="1"/>
    <w:qFormat/>
    <w:uiPriority w:val="39"/>
    <w:pPr>
      <w:spacing w:line="240" w:lineRule="auto"/>
      <w:ind w:left="1260" w:leftChars="600" w:firstLine="0" w:firstLineChars="0"/>
    </w:pPr>
    <w:rPr>
      <w:rFonts w:ascii="Times New Roman" w:hAnsi="Times New Roman" w:eastAsia="宋体"/>
      <w:sz w:val="21"/>
      <w:szCs w:val="24"/>
    </w:rPr>
  </w:style>
  <w:style w:type="paragraph" w:styleId="20">
    <w:name w:val="toc 6"/>
    <w:basedOn w:val="1"/>
    <w:next w:val="1"/>
    <w:qFormat/>
    <w:uiPriority w:val="39"/>
    <w:pPr>
      <w:spacing w:line="240" w:lineRule="auto"/>
      <w:ind w:left="2100" w:leftChars="1000" w:firstLine="0" w:firstLineChars="0"/>
    </w:pPr>
    <w:rPr>
      <w:rFonts w:ascii="Times New Roman" w:hAnsi="Times New Roman" w:eastAsia="宋体"/>
      <w:sz w:val="21"/>
      <w:szCs w:val="24"/>
    </w:rPr>
  </w:style>
  <w:style w:type="paragraph" w:styleId="21">
    <w:name w:val="toc 2"/>
    <w:basedOn w:val="1"/>
    <w:next w:val="1"/>
    <w:qFormat/>
    <w:uiPriority w:val="39"/>
    <w:pPr>
      <w:spacing w:line="240" w:lineRule="auto"/>
      <w:ind w:left="420" w:leftChars="200" w:firstLine="0" w:firstLineChars="0"/>
    </w:pPr>
    <w:rPr>
      <w:rFonts w:ascii="Times New Roman" w:hAnsi="Times New Roman" w:eastAsia="宋体"/>
      <w:sz w:val="21"/>
      <w:szCs w:val="24"/>
    </w:rPr>
  </w:style>
  <w:style w:type="paragraph" w:styleId="22">
    <w:name w:val="toc 9"/>
    <w:basedOn w:val="1"/>
    <w:next w:val="1"/>
    <w:qFormat/>
    <w:uiPriority w:val="39"/>
    <w:pPr>
      <w:spacing w:line="240" w:lineRule="auto"/>
      <w:ind w:left="3360" w:leftChars="1600" w:firstLine="0" w:firstLineChars="0"/>
    </w:pPr>
    <w:rPr>
      <w:rFonts w:ascii="Times New Roman" w:hAnsi="Times New Roman" w:eastAsia="宋体"/>
      <w:sz w:val="21"/>
      <w:szCs w:val="24"/>
    </w:rPr>
  </w:style>
  <w:style w:type="paragraph" w:styleId="23">
    <w:name w:val="Normal (Web)"/>
    <w:basedOn w:val="1"/>
    <w:qFormat/>
    <w:uiPriority w:val="0"/>
    <w:pPr>
      <w:wordWrap w:val="0"/>
      <w:spacing w:line="240" w:lineRule="auto"/>
      <w:ind w:firstLine="0" w:firstLineChars="0"/>
      <w:jc w:val="left"/>
    </w:pPr>
    <w:rPr>
      <w:rFonts w:ascii="Times New Roman" w:hAnsi="Times New Roman" w:eastAsia="宋体"/>
      <w:kern w:val="0"/>
      <w:sz w:val="24"/>
      <w:szCs w:val="24"/>
    </w:rPr>
  </w:style>
  <w:style w:type="paragraph" w:styleId="24">
    <w:name w:val="annotation subject"/>
    <w:basedOn w:val="10"/>
    <w:next w:val="10"/>
    <w:link w:val="55"/>
    <w:qFormat/>
    <w:uiPriority w:val="0"/>
    <w:pPr>
      <w:spacing w:line="240" w:lineRule="auto"/>
      <w:ind w:firstLine="0" w:firstLineChars="0"/>
    </w:pPr>
    <w:rPr>
      <w:b/>
      <w:bCs/>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qFormat/>
    <w:uiPriority w:val="0"/>
    <w:rPr>
      <w:rFonts w:ascii="Times New Roman" w:hAnsi="Times New Roman" w:eastAsia="宋体" w:cs="Times New Roman"/>
    </w:rPr>
  </w:style>
  <w:style w:type="character" w:styleId="30">
    <w:name w:val="FollowedHyperlink"/>
    <w:qFormat/>
    <w:uiPriority w:val="0"/>
    <w:rPr>
      <w:color w:val="333333"/>
      <w:u w:val="none"/>
    </w:rPr>
  </w:style>
  <w:style w:type="character" w:styleId="31">
    <w:name w:val="Emphasis"/>
    <w:basedOn w:val="27"/>
    <w:qFormat/>
    <w:uiPriority w:val="0"/>
  </w:style>
  <w:style w:type="character" w:styleId="32">
    <w:name w:val="HTML Definition"/>
    <w:basedOn w:val="27"/>
    <w:qFormat/>
    <w:uiPriority w:val="0"/>
  </w:style>
  <w:style w:type="character" w:styleId="33">
    <w:name w:val="HTML Variable"/>
    <w:basedOn w:val="27"/>
    <w:qFormat/>
    <w:uiPriority w:val="0"/>
  </w:style>
  <w:style w:type="character" w:styleId="34">
    <w:name w:val="Hyperlink"/>
    <w:qFormat/>
    <w:uiPriority w:val="99"/>
    <w:rPr>
      <w:color w:val="333333"/>
      <w:u w:val="none"/>
    </w:rPr>
  </w:style>
  <w:style w:type="character" w:styleId="35">
    <w:name w:val="HTML Code"/>
    <w:qFormat/>
    <w:uiPriority w:val="0"/>
    <w:rPr>
      <w:rFonts w:ascii="Courier New" w:hAnsi="Courier New"/>
      <w:sz w:val="20"/>
    </w:rPr>
  </w:style>
  <w:style w:type="character" w:styleId="36">
    <w:name w:val="annotation reference"/>
    <w:qFormat/>
    <w:uiPriority w:val="0"/>
    <w:rPr>
      <w:sz w:val="21"/>
      <w:szCs w:val="21"/>
    </w:rPr>
  </w:style>
  <w:style w:type="character" w:styleId="37">
    <w:name w:val="HTML Cite"/>
    <w:basedOn w:val="27"/>
    <w:qFormat/>
    <w:uiPriority w:val="0"/>
  </w:style>
  <w:style w:type="character" w:customStyle="1" w:styleId="38">
    <w:name w:val="标题 1 字符"/>
    <w:link w:val="4"/>
    <w:qFormat/>
    <w:uiPriority w:val="0"/>
    <w:rPr>
      <w:rFonts w:eastAsia="黑体"/>
      <w:b/>
      <w:bCs/>
      <w:kern w:val="44"/>
      <w:sz w:val="32"/>
      <w:szCs w:val="44"/>
    </w:rPr>
  </w:style>
  <w:style w:type="character" w:customStyle="1" w:styleId="39">
    <w:name w:val="标题 3 字符"/>
    <w:basedOn w:val="27"/>
    <w:link w:val="6"/>
    <w:qFormat/>
    <w:uiPriority w:val="0"/>
    <w:rPr>
      <w:rFonts w:ascii="Calibri" w:hAnsi="Calibri" w:eastAsia="黑体" w:cs="Times New Roman"/>
      <w:bCs/>
      <w:kern w:val="2"/>
      <w:sz w:val="32"/>
      <w:szCs w:val="32"/>
    </w:rPr>
  </w:style>
  <w:style w:type="character" w:customStyle="1" w:styleId="40">
    <w:name w:val="批注框文本 字符"/>
    <w:link w:val="15"/>
    <w:qFormat/>
    <w:uiPriority w:val="0"/>
    <w:rPr>
      <w:rFonts w:ascii="Calibri" w:hAnsi="Calibri" w:eastAsia="宋体" w:cs="Times New Roman"/>
      <w:kern w:val="2"/>
      <w:sz w:val="18"/>
      <w:szCs w:val="18"/>
    </w:rPr>
  </w:style>
  <w:style w:type="character" w:customStyle="1" w:styleId="41">
    <w:name w:val="fontstyle01"/>
    <w:qFormat/>
    <w:uiPriority w:val="0"/>
    <w:rPr>
      <w:rFonts w:ascii="FZXBSJW--GB1-0" w:hAnsi="FZXBSJW--GB1-0" w:eastAsia="FZXBSJW--GB1-0" w:cs="FZXBSJW--GB1-0"/>
      <w:color w:val="000000"/>
      <w:sz w:val="44"/>
      <w:szCs w:val="44"/>
    </w:rPr>
  </w:style>
  <w:style w:type="character" w:customStyle="1" w:styleId="42">
    <w:name w:val="标题 2 字符"/>
    <w:link w:val="5"/>
    <w:qFormat/>
    <w:uiPriority w:val="0"/>
    <w:rPr>
      <w:rFonts w:ascii="等线 Light" w:hAnsi="等线 Light" w:eastAsia="黑体"/>
      <w:bCs/>
      <w:kern w:val="2"/>
      <w:sz w:val="32"/>
      <w:szCs w:val="32"/>
    </w:rPr>
  </w:style>
  <w:style w:type="character" w:customStyle="1" w:styleId="43">
    <w:name w:val="页眉 字符"/>
    <w:link w:val="17"/>
    <w:qFormat/>
    <w:uiPriority w:val="0"/>
    <w:rPr>
      <w:rFonts w:ascii="Calibri" w:hAnsi="Calibri" w:eastAsia="宋体" w:cs="Times New Roman"/>
      <w:kern w:val="2"/>
      <w:sz w:val="18"/>
      <w:szCs w:val="18"/>
    </w:rPr>
  </w:style>
  <w:style w:type="character" w:customStyle="1" w:styleId="44">
    <w:name w:val="bg25"/>
    <w:basedOn w:val="27"/>
    <w:qFormat/>
    <w:uiPriority w:val="0"/>
  </w:style>
  <w:style w:type="character" w:customStyle="1" w:styleId="45">
    <w:name w:val="bg10"/>
    <w:qFormat/>
    <w:uiPriority w:val="0"/>
    <w:rPr>
      <w:shd w:val="clear" w:color="auto" w:fill="FFFFFF"/>
    </w:rPr>
  </w:style>
  <w:style w:type="character" w:customStyle="1" w:styleId="46">
    <w:name w:val="bg32"/>
    <w:basedOn w:val="27"/>
    <w:qFormat/>
    <w:uiPriority w:val="0"/>
  </w:style>
  <w:style w:type="character" w:customStyle="1" w:styleId="47">
    <w:name w:val="bg151"/>
    <w:basedOn w:val="27"/>
    <w:qFormat/>
    <w:uiPriority w:val="0"/>
  </w:style>
  <w:style w:type="character" w:customStyle="1" w:styleId="48">
    <w:name w:val="批注文字 字符"/>
    <w:qFormat/>
    <w:uiPriority w:val="0"/>
    <w:rPr>
      <w:kern w:val="2"/>
      <w:sz w:val="21"/>
      <w:szCs w:val="24"/>
    </w:rPr>
  </w:style>
  <w:style w:type="character" w:customStyle="1" w:styleId="49">
    <w:name w:val="标题一"/>
    <w:qFormat/>
    <w:uiPriority w:val="0"/>
    <w:rPr>
      <w:color w:val="FFFFFF"/>
      <w:shd w:val="clear" w:color="auto" w:fill="1BD1D3"/>
    </w:rPr>
  </w:style>
  <w:style w:type="character" w:customStyle="1" w:styleId="50">
    <w:name w:val="bg141"/>
    <w:basedOn w:val="27"/>
    <w:qFormat/>
    <w:uiPriority w:val="0"/>
  </w:style>
  <w:style w:type="character" w:customStyle="1" w:styleId="51">
    <w:name w:val="bg61"/>
    <w:basedOn w:val="27"/>
    <w:qFormat/>
    <w:uiPriority w:val="0"/>
  </w:style>
  <w:style w:type="character" w:customStyle="1" w:styleId="52">
    <w:name w:val="m5"/>
    <w:basedOn w:val="27"/>
    <w:qFormat/>
    <w:uiPriority w:val="0"/>
  </w:style>
  <w:style w:type="character" w:customStyle="1" w:styleId="53">
    <w:name w:val="diqu"/>
    <w:qFormat/>
    <w:uiPriority w:val="0"/>
    <w:rPr>
      <w:color w:val="FFFFFF"/>
    </w:rPr>
  </w:style>
  <w:style w:type="character" w:customStyle="1" w:styleId="54">
    <w:name w:val="font41"/>
    <w:qFormat/>
    <w:uiPriority w:val="0"/>
    <w:rPr>
      <w:rFonts w:hint="eastAsia" w:ascii="宋体" w:hAnsi="宋体" w:eastAsia="宋体" w:cs="宋体"/>
      <w:b/>
      <w:color w:val="000000"/>
      <w:sz w:val="21"/>
      <w:szCs w:val="21"/>
      <w:u w:val="none"/>
    </w:rPr>
  </w:style>
  <w:style w:type="character" w:customStyle="1" w:styleId="55">
    <w:name w:val="批注主题 字符"/>
    <w:link w:val="24"/>
    <w:qFormat/>
    <w:uiPriority w:val="0"/>
    <w:rPr>
      <w:b/>
      <w:bCs/>
      <w:kern w:val="2"/>
      <w:sz w:val="21"/>
      <w:szCs w:val="24"/>
    </w:rPr>
  </w:style>
  <w:style w:type="character" w:customStyle="1" w:styleId="56">
    <w:name w:val="bg6"/>
    <w:qFormat/>
    <w:uiPriority w:val="0"/>
    <w:rPr>
      <w:shd w:val="clear" w:color="auto" w:fill="FFFFFF"/>
    </w:rPr>
  </w:style>
  <w:style w:type="character" w:customStyle="1" w:styleId="57">
    <w:name w:val="bg17"/>
    <w:qFormat/>
    <w:uiPriority w:val="0"/>
    <w:rPr>
      <w:shd w:val="clear" w:color="auto" w:fill="FFFFFF"/>
    </w:rPr>
  </w:style>
  <w:style w:type="character" w:customStyle="1" w:styleId="58">
    <w:name w:val="pictitle"/>
    <w:qFormat/>
    <w:uiPriority w:val="0"/>
    <w:rPr>
      <w:color w:val="FFFFFF"/>
      <w:sz w:val="14"/>
      <w:szCs w:val="14"/>
    </w:rPr>
  </w:style>
  <w:style w:type="character" w:customStyle="1" w:styleId="59">
    <w:name w:val="bg11"/>
    <w:qFormat/>
    <w:uiPriority w:val="0"/>
    <w:rPr>
      <w:shd w:val="clear" w:color="auto" w:fill="FFFFFF"/>
    </w:rPr>
  </w:style>
  <w:style w:type="character" w:customStyle="1" w:styleId="60">
    <w:name w:val="name"/>
    <w:basedOn w:val="27"/>
    <w:qFormat/>
    <w:uiPriority w:val="0"/>
  </w:style>
  <w:style w:type="character" w:customStyle="1" w:styleId="61">
    <w:name w:val="number1"/>
    <w:basedOn w:val="27"/>
    <w:qFormat/>
    <w:uiPriority w:val="0"/>
  </w:style>
  <w:style w:type="character" w:customStyle="1" w:styleId="62">
    <w:name w:val="m1"/>
    <w:basedOn w:val="27"/>
    <w:qFormat/>
    <w:uiPriority w:val="0"/>
  </w:style>
  <w:style w:type="character" w:customStyle="1" w:styleId="63">
    <w:name w:val="timebox"/>
    <w:basedOn w:val="27"/>
    <w:qFormat/>
    <w:uiPriority w:val="0"/>
  </w:style>
  <w:style w:type="character" w:customStyle="1" w:styleId="64">
    <w:name w:val="bg23"/>
    <w:qFormat/>
    <w:uiPriority w:val="0"/>
    <w:rPr>
      <w:shd w:val="clear" w:color="auto" w:fill="66D399"/>
    </w:rPr>
  </w:style>
  <w:style w:type="character" w:customStyle="1" w:styleId="65">
    <w:name w:val="bsharetext"/>
    <w:basedOn w:val="27"/>
    <w:qFormat/>
    <w:uiPriority w:val="0"/>
  </w:style>
  <w:style w:type="character" w:customStyle="1" w:styleId="66">
    <w:name w:val="bg9"/>
    <w:qFormat/>
    <w:uiPriority w:val="0"/>
    <w:rPr>
      <w:shd w:val="clear" w:color="auto" w:fill="FFFFFF"/>
    </w:rPr>
  </w:style>
  <w:style w:type="character" w:customStyle="1" w:styleId="67">
    <w:name w:val="t_tit"/>
    <w:basedOn w:val="27"/>
    <w:qFormat/>
    <w:uiPriority w:val="0"/>
  </w:style>
  <w:style w:type="character" w:customStyle="1" w:styleId="68">
    <w:name w:val="bg31"/>
    <w:qFormat/>
    <w:uiPriority w:val="0"/>
    <w:rPr>
      <w:shd w:val="clear" w:color="auto" w:fill="FFFFFF"/>
    </w:rPr>
  </w:style>
  <w:style w:type="character" w:customStyle="1" w:styleId="69">
    <w:name w:val="bg131"/>
    <w:basedOn w:val="27"/>
    <w:qFormat/>
    <w:uiPriority w:val="0"/>
  </w:style>
  <w:style w:type="character" w:customStyle="1" w:styleId="70">
    <w:name w:val="number"/>
    <w:basedOn w:val="27"/>
    <w:qFormat/>
    <w:uiPriority w:val="0"/>
  </w:style>
  <w:style w:type="character" w:customStyle="1" w:styleId="71">
    <w:name w:val="szlogo"/>
    <w:basedOn w:val="27"/>
    <w:qFormat/>
    <w:uiPriority w:val="0"/>
  </w:style>
  <w:style w:type="character" w:customStyle="1" w:styleId="72">
    <w:name w:val="bg5"/>
    <w:qFormat/>
    <w:uiPriority w:val="0"/>
    <w:rPr>
      <w:shd w:val="clear" w:color="auto" w:fill="FFFFFF"/>
    </w:rPr>
  </w:style>
  <w:style w:type="character" w:customStyle="1" w:styleId="73">
    <w:name w:val="bg15"/>
    <w:qFormat/>
    <w:uiPriority w:val="0"/>
    <w:rPr>
      <w:shd w:val="clear" w:color="auto" w:fill="FFFFFF"/>
    </w:rPr>
  </w:style>
  <w:style w:type="character" w:customStyle="1" w:styleId="74">
    <w:name w:val="tit8"/>
    <w:basedOn w:val="27"/>
    <w:qFormat/>
    <w:uiPriority w:val="0"/>
  </w:style>
  <w:style w:type="character" w:customStyle="1" w:styleId="75">
    <w:name w:val="bg71"/>
    <w:basedOn w:val="27"/>
    <w:qFormat/>
    <w:uiPriority w:val="0"/>
  </w:style>
  <w:style w:type="character" w:customStyle="1" w:styleId="76">
    <w:name w:val="android"/>
    <w:qFormat/>
    <w:uiPriority w:val="0"/>
    <w:rPr>
      <w:color w:val="52B529"/>
    </w:rPr>
  </w:style>
  <w:style w:type="character" w:customStyle="1" w:styleId="77">
    <w:name w:val="diqu2"/>
    <w:qFormat/>
    <w:uiPriority w:val="0"/>
    <w:rPr>
      <w:color w:val="FFFFFF"/>
    </w:rPr>
  </w:style>
  <w:style w:type="character" w:customStyle="1" w:styleId="78">
    <w:name w:val="bg8"/>
    <w:qFormat/>
    <w:uiPriority w:val="0"/>
    <w:rPr>
      <w:shd w:val="clear" w:color="auto" w:fill="FFFFFF"/>
    </w:rPr>
  </w:style>
  <w:style w:type="character" w:customStyle="1" w:styleId="79">
    <w:name w:val="hover15"/>
    <w:basedOn w:val="27"/>
    <w:qFormat/>
    <w:uiPriority w:val="0"/>
  </w:style>
  <w:style w:type="character" w:customStyle="1" w:styleId="80">
    <w:name w:val="bg101"/>
    <w:basedOn w:val="27"/>
    <w:qFormat/>
    <w:uiPriority w:val="0"/>
  </w:style>
  <w:style w:type="character" w:customStyle="1" w:styleId="81">
    <w:name w:val="页脚 字符"/>
    <w:link w:val="16"/>
    <w:qFormat/>
    <w:uiPriority w:val="99"/>
    <w:rPr>
      <w:kern w:val="2"/>
      <w:sz w:val="18"/>
      <w:szCs w:val="18"/>
    </w:rPr>
  </w:style>
  <w:style w:type="character" w:customStyle="1" w:styleId="82">
    <w:name w:val="bg121"/>
    <w:qFormat/>
    <w:uiPriority w:val="0"/>
    <w:rPr>
      <w:shd w:val="clear" w:color="auto" w:fill="FFFFFF"/>
    </w:rPr>
  </w:style>
  <w:style w:type="character" w:customStyle="1" w:styleId="83">
    <w:name w:val="logotxt"/>
    <w:qFormat/>
    <w:uiPriority w:val="0"/>
    <w:rPr>
      <w:b/>
      <w:vanish/>
      <w:sz w:val="20"/>
      <w:szCs w:val="20"/>
    </w:rPr>
  </w:style>
  <w:style w:type="character" w:customStyle="1" w:styleId="84">
    <w:name w:val="linestyle"/>
    <w:basedOn w:val="27"/>
    <w:qFormat/>
    <w:uiPriority w:val="0"/>
  </w:style>
  <w:style w:type="character" w:customStyle="1" w:styleId="85">
    <w:name w:val="current5"/>
    <w:qFormat/>
    <w:uiPriority w:val="0"/>
    <w:rPr>
      <w:shd w:val="clear" w:color="auto" w:fill="FFFFFF"/>
    </w:rPr>
  </w:style>
  <w:style w:type="character" w:customStyle="1" w:styleId="86">
    <w:name w:val="pictitle1"/>
    <w:qFormat/>
    <w:uiPriority w:val="0"/>
    <w:rPr>
      <w:color w:val="FFFFFF"/>
      <w:sz w:val="14"/>
      <w:szCs w:val="14"/>
    </w:rPr>
  </w:style>
  <w:style w:type="character" w:customStyle="1" w:styleId="87">
    <w:name w:val="jiab"/>
    <w:basedOn w:val="27"/>
    <w:qFormat/>
    <w:uiPriority w:val="0"/>
  </w:style>
  <w:style w:type="character" w:customStyle="1" w:styleId="88">
    <w:name w:val="hover33"/>
    <w:qFormat/>
    <w:uiPriority w:val="0"/>
    <w:rPr>
      <w:color w:val="FFFFFF"/>
      <w:shd w:val="clear" w:color="auto" w:fill="80B6EB"/>
    </w:rPr>
  </w:style>
  <w:style w:type="character" w:customStyle="1" w:styleId="89">
    <w:name w:val="font11"/>
    <w:qFormat/>
    <w:uiPriority w:val="0"/>
    <w:rPr>
      <w:rFonts w:hint="default" w:ascii="Times New Roman" w:hAnsi="Times New Roman" w:eastAsia="宋体" w:cs="Times New Roman"/>
      <w:color w:val="000000"/>
      <w:sz w:val="21"/>
      <w:szCs w:val="21"/>
      <w:u w:val="none"/>
    </w:rPr>
  </w:style>
  <w:style w:type="character" w:customStyle="1" w:styleId="90">
    <w:name w:val="f-fr4"/>
    <w:basedOn w:val="27"/>
    <w:qFormat/>
    <w:uiPriority w:val="0"/>
  </w:style>
  <w:style w:type="character" w:customStyle="1" w:styleId="91">
    <w:name w:val="bg24"/>
    <w:basedOn w:val="27"/>
    <w:qFormat/>
    <w:uiPriority w:val="0"/>
  </w:style>
  <w:style w:type="character" w:customStyle="1" w:styleId="92">
    <w:name w:val="m4"/>
    <w:basedOn w:val="27"/>
    <w:qFormat/>
    <w:uiPriority w:val="0"/>
  </w:style>
  <w:style w:type="character" w:customStyle="1" w:styleId="93">
    <w:name w:val="login_box"/>
    <w:qFormat/>
    <w:uiPriority w:val="0"/>
    <w:rPr>
      <w:color w:val="43CB83"/>
    </w:rPr>
  </w:style>
  <w:style w:type="character" w:customStyle="1" w:styleId="94">
    <w:name w:val="标题 3 Char1"/>
    <w:qFormat/>
    <w:uiPriority w:val="0"/>
    <w:rPr>
      <w:rFonts w:ascii="Times New Roman" w:hAnsi="Times New Roman" w:eastAsia="黑体" w:cs="Times New Roman"/>
      <w:sz w:val="32"/>
      <w:szCs w:val="24"/>
    </w:rPr>
  </w:style>
  <w:style w:type="character" w:customStyle="1" w:styleId="95">
    <w:name w:val="m2"/>
    <w:basedOn w:val="27"/>
    <w:qFormat/>
    <w:uiPriority w:val="0"/>
  </w:style>
  <w:style w:type="character" w:customStyle="1" w:styleId="96">
    <w:name w:val="bg42"/>
    <w:basedOn w:val="27"/>
    <w:qFormat/>
    <w:uiPriority w:val="0"/>
  </w:style>
  <w:style w:type="character" w:customStyle="1" w:styleId="97">
    <w:name w:val="bg22"/>
    <w:basedOn w:val="27"/>
    <w:qFormat/>
    <w:uiPriority w:val="0"/>
  </w:style>
  <w:style w:type="character" w:customStyle="1" w:styleId="98">
    <w:name w:val="bg21"/>
    <w:qFormat/>
    <w:uiPriority w:val="0"/>
    <w:rPr>
      <w:shd w:val="clear" w:color="auto" w:fill="FFFFFF"/>
    </w:rPr>
  </w:style>
  <w:style w:type="character" w:customStyle="1" w:styleId="99">
    <w:name w:val="font21"/>
    <w:qFormat/>
    <w:uiPriority w:val="0"/>
    <w:rPr>
      <w:rFonts w:hint="eastAsia" w:ascii="宋体" w:hAnsi="宋体" w:eastAsia="宋体" w:cs="宋体"/>
      <w:color w:val="000000"/>
      <w:sz w:val="21"/>
      <w:szCs w:val="21"/>
      <w:u w:val="none"/>
    </w:rPr>
  </w:style>
  <w:style w:type="character" w:customStyle="1" w:styleId="100">
    <w:name w:val="jiab1"/>
    <w:basedOn w:val="27"/>
    <w:qFormat/>
    <w:uiPriority w:val="0"/>
  </w:style>
  <w:style w:type="character" w:customStyle="1" w:styleId="101">
    <w:name w:val="m3"/>
    <w:basedOn w:val="27"/>
    <w:qFormat/>
    <w:uiPriority w:val="0"/>
  </w:style>
  <w:style w:type="character" w:customStyle="1" w:styleId="102">
    <w:name w:val="bg7"/>
    <w:qFormat/>
    <w:uiPriority w:val="0"/>
    <w:rPr>
      <w:shd w:val="clear" w:color="auto" w:fill="FFFFFF"/>
    </w:rPr>
  </w:style>
  <w:style w:type="character" w:customStyle="1" w:styleId="103">
    <w:name w:val="bg12"/>
    <w:qFormat/>
    <w:uiPriority w:val="0"/>
    <w:rPr>
      <w:shd w:val="clear" w:color="auto" w:fill="FFFFFF"/>
    </w:rPr>
  </w:style>
  <w:style w:type="character" w:customStyle="1" w:styleId="104">
    <w:name w:val="bg13"/>
    <w:qFormat/>
    <w:uiPriority w:val="0"/>
    <w:rPr>
      <w:shd w:val="clear" w:color="auto" w:fill="FFFFFF"/>
    </w:rPr>
  </w:style>
  <w:style w:type="character" w:customStyle="1" w:styleId="105">
    <w:name w:val="bg16"/>
    <w:qFormat/>
    <w:uiPriority w:val="0"/>
    <w:rPr>
      <w:shd w:val="clear" w:color="auto" w:fill="FFFFFF"/>
    </w:rPr>
  </w:style>
  <w:style w:type="character" w:customStyle="1" w:styleId="106">
    <w:name w:val="bg14"/>
    <w:qFormat/>
    <w:uiPriority w:val="0"/>
    <w:rPr>
      <w:shd w:val="clear" w:color="auto" w:fill="FFFFFF"/>
    </w:rPr>
  </w:style>
  <w:style w:type="character" w:customStyle="1" w:styleId="107">
    <w:name w:val="bg41"/>
    <w:qFormat/>
    <w:uiPriority w:val="0"/>
    <w:rPr>
      <w:shd w:val="clear" w:color="auto" w:fill="FFFFFF"/>
    </w:rPr>
  </w:style>
  <w:style w:type="character" w:customStyle="1" w:styleId="108">
    <w:name w:val="bg81"/>
    <w:basedOn w:val="27"/>
    <w:qFormat/>
    <w:uiPriority w:val="0"/>
  </w:style>
  <w:style w:type="character" w:customStyle="1" w:styleId="109">
    <w:name w:val="hover32"/>
    <w:qFormat/>
    <w:uiPriority w:val="0"/>
    <w:rPr>
      <w:color w:val="FFFFFF"/>
      <w:shd w:val="clear" w:color="auto" w:fill="508ECA"/>
    </w:rPr>
  </w:style>
  <w:style w:type="character" w:customStyle="1" w:styleId="110">
    <w:name w:val="bg111"/>
    <w:basedOn w:val="27"/>
    <w:qFormat/>
    <w:uiPriority w:val="0"/>
  </w:style>
  <w:style w:type="character" w:customStyle="1" w:styleId="111">
    <w:name w:val="批注文字 字符1"/>
    <w:basedOn w:val="27"/>
    <w:link w:val="10"/>
    <w:qFormat/>
    <w:uiPriority w:val="0"/>
    <w:rPr>
      <w:kern w:val="2"/>
      <w:sz w:val="32"/>
      <w:szCs w:val="22"/>
    </w:rPr>
  </w:style>
  <w:style w:type="character" w:customStyle="1" w:styleId="112">
    <w:name w:val="批注主题 字符1"/>
    <w:basedOn w:val="111"/>
    <w:qFormat/>
    <w:uiPriority w:val="0"/>
    <w:rPr>
      <w:rFonts w:ascii="Calibri" w:hAnsi="Calibri" w:eastAsia="仿宋_GB2312"/>
      <w:b/>
      <w:bCs/>
      <w:kern w:val="2"/>
      <w:sz w:val="32"/>
      <w:szCs w:val="22"/>
    </w:rPr>
  </w:style>
  <w:style w:type="paragraph" w:customStyle="1" w:styleId="113">
    <w:name w:val="p1"/>
    <w:basedOn w:val="1"/>
    <w:qFormat/>
    <w:uiPriority w:val="0"/>
    <w:pPr>
      <w:spacing w:line="380" w:lineRule="atLeast"/>
      <w:ind w:firstLine="0" w:firstLineChars="0"/>
      <w:jc w:val="left"/>
    </w:pPr>
    <w:rPr>
      <w:rFonts w:ascii="Helvetica Neue" w:hAnsi="Helvetica Neue" w:eastAsia="Helvetica Neue"/>
      <w:color w:val="000000"/>
      <w:kern w:val="0"/>
      <w:sz w:val="26"/>
      <w:szCs w:val="26"/>
    </w:rPr>
  </w:style>
  <w:style w:type="paragraph" w:styleId="114">
    <w:name w:val="List Paragraph"/>
    <w:basedOn w:val="1"/>
    <w:qFormat/>
    <w:uiPriority w:val="99"/>
    <w:pPr>
      <w:spacing w:line="240" w:lineRule="auto"/>
      <w:ind w:firstLine="420"/>
    </w:pPr>
    <w:rPr>
      <w:rFonts w:ascii="Times New Roman" w:hAnsi="Times New Roman" w:eastAsia="宋体"/>
      <w:sz w:val="21"/>
      <w:szCs w:val="24"/>
    </w:rPr>
  </w:style>
  <w:style w:type="paragraph" w:customStyle="1" w:styleId="115">
    <w:name w:val="列表段落1"/>
    <w:basedOn w:val="1"/>
    <w:qFormat/>
    <w:uiPriority w:val="99"/>
    <w:pPr>
      <w:spacing w:line="240" w:lineRule="auto"/>
      <w:ind w:firstLine="420"/>
    </w:pPr>
    <w:rPr>
      <w:rFonts w:ascii="Times New Roman" w:hAnsi="Times New Roman" w:eastAsia="宋体"/>
      <w:sz w:val="21"/>
      <w:szCs w:val="24"/>
    </w:rPr>
  </w:style>
  <w:style w:type="paragraph" w:customStyle="1" w:styleId="116">
    <w:name w:val="列出段落3"/>
    <w:basedOn w:val="1"/>
    <w:qFormat/>
    <w:uiPriority w:val="99"/>
    <w:pPr>
      <w:spacing w:line="240" w:lineRule="auto"/>
      <w:ind w:firstLine="420"/>
    </w:pPr>
    <w:rPr>
      <w:rFonts w:ascii="Times New Roman" w:hAnsi="Times New Roman" w:eastAsia="宋体"/>
      <w:sz w:val="21"/>
      <w:szCs w:val="24"/>
    </w:rPr>
  </w:style>
  <w:style w:type="paragraph" w:customStyle="1" w:styleId="117">
    <w:name w:val="修订1"/>
    <w:qFormat/>
    <w:uiPriority w:val="99"/>
    <w:rPr>
      <w:rFonts w:ascii="Times New Roman" w:hAnsi="Times New Roman" w:eastAsia="宋体" w:cs="Times New Roman"/>
      <w:kern w:val="2"/>
      <w:sz w:val="21"/>
      <w:szCs w:val="24"/>
      <w:lang w:val="en-US" w:eastAsia="zh-CN" w:bidi="ar-SA"/>
    </w:rPr>
  </w:style>
  <w:style w:type="paragraph" w:customStyle="1" w:styleId="118">
    <w:name w:val="列出段落1"/>
    <w:basedOn w:val="1"/>
    <w:qFormat/>
    <w:uiPriority w:val="99"/>
    <w:pPr>
      <w:spacing w:line="240" w:lineRule="auto"/>
      <w:ind w:firstLine="420"/>
    </w:pPr>
    <w:rPr>
      <w:rFonts w:ascii="Times New Roman" w:hAnsi="Times New Roman" w:eastAsia="宋体"/>
      <w:sz w:val="21"/>
      <w:szCs w:val="24"/>
    </w:rPr>
  </w:style>
  <w:style w:type="paragraph" w:customStyle="1" w:styleId="119">
    <w:name w:val="列出段落2"/>
    <w:basedOn w:val="1"/>
    <w:qFormat/>
    <w:uiPriority w:val="99"/>
    <w:pPr>
      <w:spacing w:line="240" w:lineRule="auto"/>
      <w:ind w:firstLine="420"/>
    </w:pPr>
    <w:rPr>
      <w:rFonts w:ascii="Times New Roman" w:hAnsi="Times New Roman" w:eastAsia="宋体"/>
      <w:sz w:val="21"/>
      <w:szCs w:val="24"/>
    </w:rPr>
  </w:style>
  <w:style w:type="paragraph" w:customStyle="1" w:styleId="120">
    <w:name w:val="列出段落4"/>
    <w:basedOn w:val="1"/>
    <w:qFormat/>
    <w:uiPriority w:val="99"/>
    <w:pPr>
      <w:spacing w:line="240" w:lineRule="auto"/>
      <w:ind w:firstLine="420"/>
    </w:pPr>
    <w:rPr>
      <w:rFonts w:ascii="Times New Roman" w:hAnsi="Times New Roman" w:eastAsia="宋体"/>
      <w:sz w:val="21"/>
      <w:szCs w:val="24"/>
    </w:rPr>
  </w:style>
  <w:style w:type="character" w:customStyle="1" w:styleId="121">
    <w:name w:val="标题 3 字符2"/>
    <w:basedOn w:val="27"/>
    <w:qFormat/>
    <w:uiPriority w:val="0"/>
    <w:rPr>
      <w:rFonts w:eastAsia="黑体"/>
      <w:sz w:val="32"/>
    </w:rPr>
  </w:style>
  <w:style w:type="character" w:customStyle="1" w:styleId="122">
    <w:name w:val="标题 3 字符3"/>
    <w:qFormat/>
    <w:uiPriority w:val="0"/>
    <w:rPr>
      <w:rFonts w:eastAsia="黑体"/>
      <w:sz w:val="32"/>
    </w:rPr>
  </w:style>
  <w:style w:type="character" w:customStyle="1" w:styleId="123">
    <w:name w:val="标题 3 字符4"/>
    <w:qFormat/>
    <w:uiPriority w:val="0"/>
    <w:rPr>
      <w:rFonts w:eastAsia="黑体"/>
      <w:kern w:val="0"/>
      <w:sz w:val="32"/>
      <w:szCs w:val="20"/>
    </w:rPr>
  </w:style>
  <w:style w:type="character" w:customStyle="1" w:styleId="124">
    <w:name w:val="标题 3 字符1"/>
    <w:link w:val="6"/>
    <w:qFormat/>
    <w:uiPriority w:val="0"/>
    <w:rPr>
      <w:rFonts w:ascii="Calibri" w:hAnsi="Calibri" w:eastAsia="黑体" w:cs="Times New Roman"/>
      <w:bCs/>
      <w:kern w:val="2"/>
      <w:sz w:val="32"/>
      <w:szCs w:val="32"/>
    </w:rPr>
  </w:style>
  <w:style w:type="character" w:customStyle="1" w:styleId="125">
    <w:name w:val="正文文本 字符"/>
    <w:basedOn w:val="27"/>
    <w:link w:val="2"/>
    <w:qFormat/>
    <w:uiPriority w:val="0"/>
    <w:rPr>
      <w:rFonts w:hint="default" w:ascii="Calibri" w:hAnsi="Calibri" w:eastAsia="仿宋_GB2312" w:cs="Calibri"/>
      <w:kern w:val="2"/>
      <w:sz w:val="32"/>
      <w:szCs w:val="22"/>
    </w:rPr>
  </w:style>
  <w:style w:type="paragraph" w:customStyle="1" w:styleId="126">
    <w:name w:val="修订2"/>
    <w:hidden/>
    <w:semiHidden/>
    <w:qFormat/>
    <w:uiPriority w:val="99"/>
    <w:rPr>
      <w:rFonts w:ascii="Calibri" w:hAnsi="Calibri" w:eastAsia="仿宋_GB2312" w:cs="Times New Roman"/>
      <w:kern w:val="2"/>
      <w:sz w:val="32"/>
      <w:szCs w:val="22"/>
      <w:lang w:val="en-US" w:eastAsia="zh-CN" w:bidi="ar-SA"/>
    </w:rPr>
  </w:style>
  <w:style w:type="paragraph" w:customStyle="1" w:styleId="127">
    <w:name w:val="修订3"/>
    <w:hidden/>
    <w:semiHidden/>
    <w:qFormat/>
    <w:uiPriority w:val="99"/>
    <w:rPr>
      <w:rFonts w:ascii="Calibri" w:hAnsi="Calibri" w:eastAsia="仿宋_GB2312" w:cs="Times New Roman"/>
      <w:kern w:val="2"/>
      <w:sz w:val="32"/>
      <w:szCs w:val="22"/>
      <w:lang w:val="en-US" w:eastAsia="zh-CN" w:bidi="ar-SA"/>
    </w:rPr>
  </w:style>
  <w:style w:type="paragraph" w:customStyle="1" w:styleId="128">
    <w:name w:val="修订4"/>
    <w:hidden/>
    <w:semiHidden/>
    <w:qFormat/>
    <w:uiPriority w:val="99"/>
    <w:rPr>
      <w:rFonts w:ascii="Calibri" w:hAnsi="Calibri" w:eastAsia="仿宋_GB2312" w:cs="Times New Roman"/>
      <w:kern w:val="2"/>
      <w:sz w:val="32"/>
      <w:szCs w:val="22"/>
      <w:lang w:val="en-US" w:eastAsia="zh-CN" w:bidi="ar-SA"/>
    </w:rPr>
  </w:style>
  <w:style w:type="paragraph" w:customStyle="1" w:styleId="129">
    <w:name w:val="Revision"/>
    <w:hidden/>
    <w:semiHidden/>
    <w:qFormat/>
    <w:uiPriority w:val="99"/>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6505</Words>
  <Characters>6514</Characters>
  <Lines>10</Lines>
  <Paragraphs>14</Paragraphs>
  <TotalTime>13</TotalTime>
  <ScaleCrop>false</ScaleCrop>
  <LinksUpToDate>false</LinksUpToDate>
  <CharactersWithSpaces>6606</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2020-05-11T11:39:00Z</dcterms:created>
  <dc:creator>闫桂媚</dc:creator>
  <cp:lastModifiedBy>CYH</cp:lastModifiedBy>
  <cp:lastPrinted>2023-01-15T17:21:00Z</cp:lastPrinted>
  <dcterms:modified xsi:type="dcterms:W3CDTF">2023-01-16T09:48:52Z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5872E22BA6E94E4F9E0588C9DD35560A</vt:lpwstr>
  </property>
</Properties>
</file>