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overflowPunct/>
        <w:topLinePunct w:val="0"/>
        <w:autoSpaceDE/>
        <w:autoSpaceDN/>
        <w:bidi w:val="0"/>
        <w:adjustRightInd/>
        <w:snapToGrid/>
        <w:spacing w:after="0" w:line="578" w:lineRule="exact"/>
        <w:ind w:firstLine="0" w:firstLineChars="0"/>
        <w:textAlignment w:val="auto"/>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附件7</w:t>
      </w:r>
    </w:p>
    <w:p>
      <w:pPr>
        <w:pStyle w:val="3"/>
        <w:rPr>
          <w:rFonts w:hint="eastAsia"/>
          <w:lang w:val="en-US" w:eastAsia="zh-CN"/>
        </w:rPr>
      </w:pPr>
    </w:p>
    <w:p>
      <w:pPr>
        <w:keepNext w:val="0"/>
        <w:keepLines w:val="0"/>
        <w:pageBreakBefore w:val="0"/>
        <w:numPr>
          <w:ilvl w:val="255"/>
          <w:numId w:val="0"/>
        </w:numPr>
        <w:kinsoku/>
        <w:overflowPunct/>
        <w:topLinePunct w:val="0"/>
        <w:autoSpaceDE/>
        <w:autoSpaceDN/>
        <w:bidi w:val="0"/>
        <w:adjustRightInd/>
        <w:snapToGrid/>
        <w:spacing w:line="578" w:lineRule="exact"/>
        <w:jc w:val="center"/>
        <w:textAlignment w:val="auto"/>
        <w:outlineLvl w:val="0"/>
        <w:rPr>
          <w:rFonts w:hint="eastAsia" w:ascii="方正小标宋简体" w:hAnsi="方正小标宋简体" w:eastAsia="方正小标宋简体" w:cs="方正小标宋简体"/>
          <w:b w:val="0"/>
          <w:bCs w:val="0"/>
          <w:color w:val="auto"/>
          <w:sz w:val="44"/>
          <w:szCs w:val="44"/>
          <w:highlight w:val="none"/>
          <w:u w:val="none"/>
        </w:rPr>
      </w:pPr>
      <w:r>
        <w:rPr>
          <w:rFonts w:hint="eastAsia" w:ascii="方正小标宋简体" w:hAnsi="方正小标宋简体" w:eastAsia="方正小标宋简体" w:cs="方正小标宋简体"/>
          <w:b w:val="0"/>
          <w:bCs w:val="0"/>
          <w:color w:val="auto"/>
          <w:sz w:val="44"/>
          <w:szCs w:val="44"/>
          <w:highlight w:val="none"/>
          <w:u w:val="none"/>
        </w:rPr>
        <w:t>深圳市共有产权住房管理办</w:t>
      </w:r>
      <w:bookmarkStart w:id="0" w:name="_Toc21631_WPSOffice_Level2"/>
      <w:bookmarkStart w:id="1" w:name="_Toc27944_WPSOffice_Level2"/>
      <w:bookmarkStart w:id="2" w:name="_Toc25360_WPSOffice_Level2"/>
      <w:bookmarkStart w:id="3" w:name="_Toc23015_WPSOffice_Level2"/>
      <w:bookmarkStart w:id="4" w:name="_Toc13645_WPSOffice_Level1"/>
      <w:r>
        <w:rPr>
          <w:rFonts w:hint="eastAsia" w:ascii="方正小标宋简体" w:hAnsi="方正小标宋简体" w:eastAsia="方正小标宋简体" w:cs="方正小标宋简体"/>
          <w:b w:val="0"/>
          <w:bCs w:val="0"/>
          <w:color w:val="auto"/>
          <w:sz w:val="44"/>
          <w:szCs w:val="44"/>
          <w:highlight w:val="none"/>
          <w:u w:val="none"/>
        </w:rPr>
        <w:t>法</w:t>
      </w:r>
    </w:p>
    <w:p>
      <w:pPr>
        <w:keepNext w:val="0"/>
        <w:keepLines w:val="0"/>
        <w:pageBreakBefore w:val="0"/>
        <w:kinsoku/>
        <w:overflowPunct/>
        <w:topLinePunct w:val="0"/>
        <w:autoSpaceDE/>
        <w:autoSpaceDN/>
        <w:bidi w:val="0"/>
        <w:adjustRightInd/>
        <w:snapToGrid/>
        <w:spacing w:line="578" w:lineRule="exact"/>
        <w:ind w:firstLine="0" w:firstLineChars="0"/>
        <w:jc w:val="center"/>
        <w:textAlignment w:val="auto"/>
        <w:rPr>
          <w:rFonts w:ascii="楷体_GB2312" w:hAnsi="楷体_GB2312" w:eastAsia="楷体_GB2312" w:cs="楷体_GB2312"/>
          <w:color w:val="auto"/>
          <w:szCs w:val="32"/>
          <w:highlight w:val="none"/>
          <w:u w:val="none"/>
        </w:rPr>
      </w:pPr>
      <w:r>
        <w:rPr>
          <w:rFonts w:hint="eastAsia" w:ascii="楷体_GB2312" w:hAnsi="楷体_GB2312" w:eastAsia="楷体_GB2312" w:cs="楷体_GB2312"/>
          <w:color w:val="auto"/>
          <w:szCs w:val="32"/>
          <w:highlight w:val="none"/>
          <w:u w:val="none"/>
        </w:rPr>
        <w:t>（</w:t>
      </w:r>
      <w:r>
        <w:rPr>
          <w:rFonts w:hint="eastAsia" w:ascii="楷体_GB2312" w:hAnsi="楷体_GB2312" w:eastAsia="楷体_GB2312" w:cs="楷体_GB2312"/>
          <w:color w:val="auto"/>
          <w:szCs w:val="32"/>
          <w:highlight w:val="none"/>
          <w:u w:val="none"/>
          <w:lang w:val="en-US" w:eastAsia="zh-CN"/>
        </w:rPr>
        <w:t>征求意见稿</w:t>
      </w:r>
      <w:r>
        <w:rPr>
          <w:rFonts w:hint="eastAsia" w:ascii="楷体_GB2312" w:hAnsi="楷体_GB2312" w:eastAsia="楷体_GB2312" w:cs="楷体_GB2312"/>
          <w:color w:val="auto"/>
          <w:szCs w:val="32"/>
          <w:highlight w:val="none"/>
          <w:u w:val="none"/>
        </w:rPr>
        <w:t>）</w:t>
      </w:r>
      <w:bookmarkEnd w:id="0"/>
      <w:bookmarkEnd w:id="1"/>
      <w:bookmarkEnd w:id="2"/>
      <w:bookmarkEnd w:id="3"/>
      <w:bookmarkEnd w:id="4"/>
    </w:p>
    <w:p>
      <w:pPr>
        <w:keepNext w:val="0"/>
        <w:keepLines w:val="0"/>
        <w:pageBreakBefore w:val="0"/>
        <w:kinsoku/>
        <w:overflowPunct/>
        <w:topLinePunct w:val="0"/>
        <w:autoSpaceDE/>
        <w:autoSpaceDN/>
        <w:bidi w:val="0"/>
        <w:adjustRightInd/>
        <w:snapToGrid/>
        <w:spacing w:line="578" w:lineRule="exact"/>
        <w:ind w:firstLine="640"/>
        <w:jc w:val="center"/>
        <w:textAlignment w:val="auto"/>
        <w:rPr>
          <w:rFonts w:ascii="楷体_GB2312" w:hAnsi="楷体_GB2312" w:eastAsia="楷体_GB2312" w:cs="楷体_GB2312"/>
          <w:color w:val="auto"/>
          <w:szCs w:val="32"/>
          <w:highlight w:val="none"/>
          <w:u w:val="none"/>
        </w:rPr>
      </w:pPr>
    </w:p>
    <w:p>
      <w:pPr>
        <w:keepNext w:val="0"/>
        <w:keepLines w:val="0"/>
        <w:pageBreakBefore w:val="0"/>
        <w:kinsoku/>
        <w:overflowPunct/>
        <w:topLinePunct w:val="0"/>
        <w:autoSpaceDE/>
        <w:autoSpaceDN/>
        <w:bidi w:val="0"/>
        <w:adjustRightInd/>
        <w:snapToGrid/>
        <w:spacing w:line="578" w:lineRule="exact"/>
        <w:ind w:firstLine="0" w:firstLineChars="0"/>
        <w:jc w:val="center"/>
        <w:textAlignment w:val="auto"/>
        <w:outlineLvl w:val="1"/>
        <w:rPr>
          <w:rFonts w:hint="eastAsia" w:ascii="仿宋_GB2312" w:hAnsi="仿宋_GB2312" w:eastAsia="黑体" w:cs="仿宋_GB2312"/>
          <w:color w:val="auto"/>
          <w:szCs w:val="32"/>
          <w:highlight w:val="none"/>
          <w:u w:val="none"/>
          <w:lang w:val="en-US" w:eastAsia="zh-CN"/>
        </w:rPr>
      </w:pPr>
      <w:bookmarkStart w:id="5" w:name="_Toc1213"/>
      <w:bookmarkStart w:id="6" w:name="_Toc26343"/>
      <w:bookmarkStart w:id="7" w:name="_Toc25360_WPSOffice_Level1"/>
      <w:bookmarkStart w:id="8" w:name="_Toc7089_WPSOffice_Level1"/>
      <w:bookmarkStart w:id="9" w:name="_Toc1584"/>
      <w:bookmarkStart w:id="10" w:name="_Toc1008"/>
      <w:bookmarkStart w:id="11" w:name="_Toc4300"/>
      <w:bookmarkStart w:id="12" w:name="_Toc13779_WPSOffice_Level2"/>
      <w:bookmarkStart w:id="13" w:name="_Toc6015"/>
      <w:bookmarkStart w:id="14" w:name="_Toc11167_WPSOffice_Level1"/>
      <w:bookmarkStart w:id="15" w:name="_Toc3426"/>
      <w:bookmarkStart w:id="16" w:name="_Toc32595"/>
      <w:bookmarkStart w:id="17" w:name="_Toc9639_WPSOffice_Level1"/>
      <w:bookmarkStart w:id="18" w:name="_Toc13128"/>
      <w:bookmarkStart w:id="19" w:name="_Toc14344_WPSOffice_Level1"/>
      <w:bookmarkStart w:id="20" w:name="_Toc523428775"/>
      <w:r>
        <w:rPr>
          <w:rFonts w:hint="eastAsia" w:ascii="黑体" w:hAnsi="黑体" w:eastAsia="黑体"/>
          <w:bCs/>
          <w:color w:val="auto"/>
          <w:szCs w:val="32"/>
          <w:highlight w:val="none"/>
          <w:u w:val="none"/>
        </w:rPr>
        <w:t>第一章</w:t>
      </w:r>
      <w:r>
        <w:rPr>
          <w:rFonts w:ascii="黑体" w:hAnsi="黑体" w:eastAsia="黑体"/>
          <w:bCs/>
          <w:color w:val="auto"/>
          <w:szCs w:val="32"/>
          <w:highlight w:val="none"/>
          <w:u w:val="none"/>
        </w:rPr>
        <w:t xml:space="preserve"> </w:t>
      </w:r>
      <w:r>
        <w:rPr>
          <w:rFonts w:hint="eastAsia" w:ascii="黑体" w:hAnsi="黑体" w:eastAsia="黑体"/>
          <w:bCs/>
          <w:color w:val="auto"/>
          <w:szCs w:val="32"/>
          <w:highlight w:val="none"/>
          <w:u w:val="none"/>
        </w:rPr>
        <w:t>总则</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pPr>
        <w:keepNext w:val="0"/>
        <w:keepLines w:val="0"/>
        <w:pageBreakBefore w:val="0"/>
        <w:numPr>
          <w:ilvl w:val="255"/>
          <w:numId w:val="0"/>
        </w:numPr>
        <w:kinsoku/>
        <w:overflowPunct/>
        <w:topLinePunct w:val="0"/>
        <w:autoSpaceDE/>
        <w:autoSpaceDN/>
        <w:bidi w:val="0"/>
        <w:adjustRightInd/>
        <w:snapToGrid/>
        <w:spacing w:line="578" w:lineRule="exact"/>
        <w:ind w:firstLine="640" w:firstLineChars="200"/>
        <w:textAlignment w:val="auto"/>
        <w:outlineLvl w:val="2"/>
        <w:rPr>
          <w:rFonts w:hint="eastAsia" w:ascii="黑体" w:hAnsi="黑体" w:eastAsia="黑体"/>
          <w:bCs/>
          <w:color w:val="auto"/>
          <w:szCs w:val="32"/>
          <w:highlight w:val="none"/>
          <w:u w:val="none"/>
        </w:rPr>
      </w:pPr>
      <w:bookmarkStart w:id="21" w:name="_Toc30716_WPSOffice_Level2"/>
      <w:bookmarkStart w:id="22" w:name="_Toc13445"/>
      <w:bookmarkStart w:id="23" w:name="_Toc6092"/>
      <w:bookmarkStart w:id="24" w:name="_Toc22214"/>
      <w:bookmarkStart w:id="25" w:name="_Toc17868"/>
      <w:bookmarkStart w:id="26" w:name="_Toc523428776"/>
      <w:bookmarkStart w:id="27" w:name="_Toc18264"/>
      <w:bookmarkStart w:id="28" w:name="_Toc13803"/>
      <w:bookmarkStart w:id="29" w:name="_Toc14879"/>
      <w:bookmarkStart w:id="30" w:name="_Toc350"/>
    </w:p>
    <w:p>
      <w:pPr>
        <w:keepNext w:val="0"/>
        <w:keepLines w:val="0"/>
        <w:pageBreakBefore w:val="0"/>
        <w:numPr>
          <w:ilvl w:val="255"/>
          <w:numId w:val="0"/>
        </w:numPr>
        <w:kinsoku/>
        <w:overflowPunct/>
        <w:topLinePunct w:val="0"/>
        <w:autoSpaceDE/>
        <w:autoSpaceDN/>
        <w:bidi w:val="0"/>
        <w:adjustRightInd/>
        <w:snapToGrid/>
        <w:spacing w:line="578" w:lineRule="exact"/>
        <w:ind w:firstLine="640" w:firstLineChars="200"/>
        <w:textAlignment w:val="auto"/>
        <w:outlineLvl w:val="2"/>
        <w:rPr>
          <w:rFonts w:ascii="仿宋_GB2312" w:hAnsi="仿宋_GB2312" w:cs="仿宋_GB2312"/>
          <w:color w:val="auto"/>
          <w:szCs w:val="32"/>
          <w:highlight w:val="none"/>
          <w:u w:val="none"/>
        </w:rPr>
      </w:pPr>
      <w:r>
        <w:rPr>
          <w:rFonts w:hint="eastAsia" w:ascii="黑体" w:hAnsi="黑体" w:eastAsia="黑体"/>
          <w:bCs/>
          <w:color w:val="auto"/>
          <w:szCs w:val="32"/>
          <w:highlight w:val="none"/>
          <w:u w:val="none"/>
        </w:rPr>
        <w:t>第一条</w:t>
      </w:r>
      <w:bookmarkEnd w:id="21"/>
      <w:r>
        <w:rPr>
          <w:rFonts w:hint="eastAsia" w:ascii="黑体" w:hAnsi="黑体" w:eastAsia="黑体"/>
          <w:bCs/>
          <w:color w:val="auto"/>
          <w:szCs w:val="32"/>
          <w:highlight w:val="none"/>
          <w:u w:val="none"/>
        </w:rPr>
        <w:t>【立法目的</w:t>
      </w:r>
      <w:r>
        <w:rPr>
          <w:rFonts w:hint="eastAsia" w:ascii="楷体_GB2312" w:hAnsi="楷体_GB2312" w:eastAsia="楷体_GB2312" w:cs="楷体_GB2312"/>
          <w:color w:val="auto"/>
          <w:szCs w:val="32"/>
          <w:highlight w:val="none"/>
          <w:u w:val="none"/>
        </w:rPr>
        <w:t>】</w:t>
      </w:r>
      <w:r>
        <w:rPr>
          <w:rFonts w:hint="eastAsia" w:ascii="楷体_GB2312" w:hAnsi="楷体_GB2312" w:eastAsia="楷体_GB2312" w:cs="楷体_GB2312"/>
          <w:color w:val="auto"/>
          <w:szCs w:val="32"/>
          <w:highlight w:val="none"/>
          <w:u w:val="none"/>
          <w:lang w:val="en-US" w:eastAsia="zh-CN"/>
        </w:rPr>
        <w:t xml:space="preserve">  </w:t>
      </w:r>
      <w:r>
        <w:rPr>
          <w:rFonts w:hint="eastAsia" w:ascii="仿宋_GB2312" w:hAnsi="仿宋_GB2312" w:cs="仿宋_GB2312"/>
          <w:color w:val="auto"/>
          <w:szCs w:val="32"/>
          <w:highlight w:val="none"/>
          <w:u w:val="none"/>
        </w:rPr>
        <w:t>为了贯彻落实党中央、国务院关于加快建立多主体供给、多渠道保障、租购并举</w:t>
      </w:r>
      <w:r>
        <w:rPr>
          <w:rFonts w:hint="eastAsia" w:ascii="仿宋_GB2312" w:hAnsi="仿宋_GB2312" w:cs="仿宋_GB2312"/>
          <w:color w:val="auto"/>
          <w:szCs w:val="32"/>
          <w:highlight w:val="none"/>
          <w:u w:val="none"/>
          <w:lang w:val="en-US" w:eastAsia="zh-CN"/>
        </w:rPr>
        <w:t>的</w:t>
      </w:r>
      <w:r>
        <w:rPr>
          <w:rFonts w:hint="eastAsia" w:ascii="仿宋_GB2312" w:hAnsi="仿宋_GB2312" w:cs="仿宋_GB2312"/>
          <w:color w:val="auto"/>
          <w:szCs w:val="32"/>
          <w:highlight w:val="none"/>
          <w:u w:val="none"/>
        </w:rPr>
        <w:t>住房制度的决策部署,完善本市住房保障体系，规范共有产权住房的</w:t>
      </w:r>
      <w:r>
        <w:rPr>
          <w:rFonts w:hint="eastAsia" w:ascii="仿宋_GB2312" w:hAnsi="仿宋_GB2312" w:cs="仿宋_GB2312"/>
          <w:color w:val="auto"/>
          <w:szCs w:val="32"/>
          <w:highlight w:val="none"/>
          <w:u w:val="none"/>
          <w:lang w:val="en-US" w:eastAsia="zh-CN"/>
        </w:rPr>
        <w:t>配售</w:t>
      </w:r>
      <w:r>
        <w:rPr>
          <w:rFonts w:hint="eastAsia" w:ascii="仿宋_GB2312" w:hAnsi="仿宋_GB2312" w:cs="仿宋_GB2312"/>
          <w:color w:val="auto"/>
          <w:szCs w:val="32"/>
          <w:highlight w:val="none"/>
          <w:u w:val="none"/>
        </w:rPr>
        <w:t>管理</w:t>
      </w:r>
      <w:bookmarkStart w:id="31" w:name="_Hlk519776183"/>
      <w:r>
        <w:rPr>
          <w:rFonts w:hint="eastAsia" w:ascii="仿宋_GB2312" w:hAnsi="仿宋_GB2312" w:cs="仿宋_GB2312"/>
          <w:color w:val="auto"/>
          <w:szCs w:val="32"/>
          <w:highlight w:val="none"/>
          <w:u w:val="none"/>
        </w:rPr>
        <w:t>，</w:t>
      </w:r>
      <w:bookmarkEnd w:id="31"/>
      <w:r>
        <w:rPr>
          <w:rFonts w:hint="eastAsia" w:ascii="仿宋_GB2312" w:hAnsi="仿宋_GB2312" w:cs="仿宋_GB2312"/>
          <w:color w:val="auto"/>
          <w:szCs w:val="32"/>
          <w:highlight w:val="none"/>
          <w:u w:val="none"/>
        </w:rPr>
        <w:t>结合本市实际，制定本办法。</w:t>
      </w:r>
      <w:bookmarkEnd w:id="22"/>
      <w:bookmarkEnd w:id="23"/>
      <w:bookmarkEnd w:id="24"/>
      <w:bookmarkEnd w:id="25"/>
      <w:bookmarkEnd w:id="26"/>
      <w:bookmarkEnd w:id="27"/>
      <w:bookmarkEnd w:id="28"/>
      <w:bookmarkEnd w:id="29"/>
      <w:bookmarkEnd w:id="30"/>
    </w:p>
    <w:p>
      <w:pPr>
        <w:keepNext w:val="0"/>
        <w:keepLines w:val="0"/>
        <w:pageBreakBefore w:val="0"/>
        <w:numPr>
          <w:ilvl w:val="255"/>
          <w:numId w:val="0"/>
        </w:numPr>
        <w:kinsoku/>
        <w:overflowPunct/>
        <w:topLinePunct w:val="0"/>
        <w:autoSpaceDE/>
        <w:autoSpaceDN/>
        <w:bidi w:val="0"/>
        <w:adjustRightInd/>
        <w:snapToGrid/>
        <w:spacing w:line="578" w:lineRule="exact"/>
        <w:ind w:firstLine="640" w:firstLineChars="200"/>
        <w:textAlignment w:val="auto"/>
        <w:outlineLvl w:val="2"/>
        <w:rPr>
          <w:rFonts w:ascii="仿宋_GB2312" w:hAnsi="仿宋_GB2312" w:cs="仿宋_GB2312"/>
          <w:color w:val="auto"/>
          <w:szCs w:val="32"/>
          <w:highlight w:val="none"/>
          <w:u w:val="none"/>
        </w:rPr>
      </w:pPr>
      <w:bookmarkStart w:id="32" w:name="_Toc10848_WPSOffice_Level2"/>
      <w:bookmarkStart w:id="33" w:name="_Toc27662"/>
      <w:bookmarkStart w:id="34" w:name="_Toc23722"/>
      <w:bookmarkStart w:id="35" w:name="_Toc15062"/>
      <w:bookmarkStart w:id="36" w:name="_Toc13658"/>
      <w:bookmarkStart w:id="37" w:name="_Toc21331"/>
      <w:bookmarkStart w:id="38" w:name="_Toc523428777"/>
      <w:bookmarkStart w:id="39" w:name="_Toc14510"/>
      <w:bookmarkStart w:id="40" w:name="_Toc9948"/>
      <w:bookmarkStart w:id="41" w:name="_Toc20918"/>
      <w:r>
        <w:rPr>
          <w:rFonts w:hint="eastAsia" w:ascii="黑体" w:hAnsi="黑体" w:eastAsia="黑体"/>
          <w:bCs/>
          <w:color w:val="auto"/>
          <w:szCs w:val="32"/>
          <w:highlight w:val="none"/>
          <w:u w:val="none"/>
        </w:rPr>
        <w:t>第二条</w:t>
      </w:r>
      <w:bookmarkEnd w:id="32"/>
      <w:r>
        <w:rPr>
          <w:rFonts w:hint="eastAsia" w:ascii="黑体" w:hAnsi="黑体" w:eastAsia="黑体"/>
          <w:bCs/>
          <w:color w:val="auto"/>
          <w:szCs w:val="32"/>
          <w:highlight w:val="none"/>
          <w:u w:val="none"/>
        </w:rPr>
        <w:t>【适用范围】</w:t>
      </w:r>
      <w:r>
        <w:rPr>
          <w:rFonts w:hint="eastAsia" w:ascii="黑体" w:hAnsi="黑体" w:eastAsia="黑体"/>
          <w:bCs/>
          <w:color w:val="auto"/>
          <w:szCs w:val="32"/>
          <w:highlight w:val="none"/>
          <w:u w:val="none"/>
          <w:lang w:val="en-US" w:eastAsia="zh-CN"/>
        </w:rPr>
        <w:t xml:space="preserve">  </w:t>
      </w:r>
      <w:r>
        <w:rPr>
          <w:rFonts w:hint="eastAsia" w:ascii="仿宋_GB2312" w:hAnsi="仿宋_GB2312" w:cs="仿宋_GB2312"/>
          <w:color w:val="auto"/>
          <w:szCs w:val="32"/>
          <w:highlight w:val="none"/>
          <w:u w:val="none"/>
        </w:rPr>
        <w:t>本办法适用于本市共有产权住房的供应</w:t>
      </w:r>
      <w:r>
        <w:rPr>
          <w:rFonts w:hint="eastAsia" w:ascii="仿宋_GB2312" w:hAnsi="仿宋_GB2312" w:cs="仿宋_GB2312"/>
          <w:color w:val="auto"/>
          <w:szCs w:val="32"/>
          <w:highlight w:val="none"/>
          <w:u w:val="none"/>
          <w:lang w:val="en-US" w:eastAsia="zh-CN"/>
        </w:rPr>
        <w:t>配售</w:t>
      </w:r>
      <w:r>
        <w:rPr>
          <w:rFonts w:hint="eastAsia" w:ascii="仿宋_GB2312" w:hAnsi="仿宋_GB2312" w:cs="仿宋_GB2312"/>
          <w:color w:val="auto"/>
          <w:szCs w:val="32"/>
          <w:highlight w:val="none"/>
          <w:u w:val="none"/>
        </w:rPr>
        <w:t>、使用和处分、监督管理等活动。</w:t>
      </w:r>
      <w:bookmarkEnd w:id="33"/>
      <w:bookmarkEnd w:id="34"/>
      <w:bookmarkEnd w:id="35"/>
      <w:bookmarkEnd w:id="36"/>
      <w:bookmarkEnd w:id="37"/>
      <w:bookmarkEnd w:id="38"/>
      <w:bookmarkEnd w:id="39"/>
      <w:bookmarkEnd w:id="40"/>
      <w:bookmarkEnd w:id="41"/>
    </w:p>
    <w:p>
      <w:pPr>
        <w:pStyle w:val="2"/>
        <w:keepNext w:val="0"/>
        <w:keepLines w:val="0"/>
        <w:pageBreakBefore w:val="0"/>
        <w:kinsoku/>
        <w:overflowPunct/>
        <w:topLinePunct w:val="0"/>
        <w:autoSpaceDE/>
        <w:autoSpaceDN/>
        <w:bidi w:val="0"/>
        <w:adjustRightInd/>
        <w:snapToGrid/>
        <w:spacing w:after="0" w:line="578" w:lineRule="exact"/>
        <w:ind w:firstLine="640" w:firstLineChars="200"/>
        <w:textAlignment w:val="auto"/>
        <w:outlineLvl w:val="2"/>
        <w:rPr>
          <w:rFonts w:hint="eastAsia"/>
          <w:color w:val="auto"/>
          <w:szCs w:val="32"/>
          <w:highlight w:val="none"/>
          <w:u w:val="none"/>
          <w:lang w:val="en-US" w:eastAsia="zh-CN"/>
        </w:rPr>
      </w:pPr>
      <w:r>
        <w:rPr>
          <w:rFonts w:hint="eastAsia" w:ascii="黑体" w:hAnsi="黑体" w:eastAsia="黑体"/>
          <w:bCs/>
          <w:color w:val="auto"/>
          <w:szCs w:val="32"/>
          <w:highlight w:val="none"/>
          <w:u w:val="none"/>
        </w:rPr>
        <w:t>第三条【定义】</w:t>
      </w:r>
      <w:r>
        <w:rPr>
          <w:rFonts w:hint="eastAsia" w:ascii="黑体" w:hAnsi="黑体" w:eastAsia="黑体"/>
          <w:bCs/>
          <w:color w:val="auto"/>
          <w:szCs w:val="32"/>
          <w:highlight w:val="none"/>
          <w:u w:val="none"/>
          <w:lang w:val="en-US" w:eastAsia="zh-CN"/>
        </w:rPr>
        <w:t xml:space="preserve">  </w:t>
      </w:r>
      <w:r>
        <w:rPr>
          <w:rFonts w:hint="eastAsia" w:ascii="仿宋_GB2312" w:hAnsi="仿宋_GB2312" w:cs="仿宋_GB2312"/>
          <w:bCs/>
          <w:color w:val="auto"/>
          <w:szCs w:val="32"/>
          <w:highlight w:val="none"/>
          <w:u w:val="none"/>
        </w:rPr>
        <w:t>本办法所称共有产权住房，是指政府提供政策支持，</w:t>
      </w:r>
      <w:r>
        <w:rPr>
          <w:rFonts w:hint="eastAsia" w:ascii="仿宋_GB2312" w:hAnsi="仿宋_GB2312" w:cs="仿宋_GB2312"/>
          <w:bCs/>
          <w:color w:val="auto"/>
          <w:szCs w:val="32"/>
          <w:highlight w:val="none"/>
          <w:u w:val="none"/>
          <w:lang w:val="en-US" w:eastAsia="zh-CN"/>
        </w:rPr>
        <w:t>主要采用市场化方式建设筹集，</w:t>
      </w:r>
      <w:r>
        <w:rPr>
          <w:rFonts w:hint="eastAsia" w:ascii="仿宋_GB2312" w:hAnsi="仿宋_GB2312" w:cs="仿宋_GB2312"/>
          <w:bCs/>
          <w:color w:val="auto"/>
          <w:szCs w:val="32"/>
          <w:highlight w:val="none"/>
          <w:u w:val="none"/>
        </w:rPr>
        <w:t>限定套型面积、销售价格、使用和处分权利等，面向符合条件的居民供应，实行政府与购房人按份共有产权的住房。</w:t>
      </w:r>
    </w:p>
    <w:p>
      <w:pPr>
        <w:pStyle w:val="2"/>
        <w:keepNext w:val="0"/>
        <w:keepLines w:val="0"/>
        <w:pageBreakBefore w:val="0"/>
        <w:kinsoku/>
        <w:overflowPunct/>
        <w:topLinePunct w:val="0"/>
        <w:autoSpaceDE/>
        <w:autoSpaceDN/>
        <w:bidi w:val="0"/>
        <w:adjustRightInd/>
        <w:snapToGrid/>
        <w:spacing w:after="0" w:line="578" w:lineRule="exact"/>
        <w:ind w:firstLine="640" w:firstLineChars="200"/>
        <w:textAlignment w:val="auto"/>
        <w:rPr>
          <w:rFonts w:hint="default" w:eastAsia="仿宋_GB2312"/>
          <w:color w:val="auto"/>
          <w:szCs w:val="32"/>
          <w:highlight w:val="none"/>
          <w:u w:val="none"/>
          <w:lang w:val="en-US" w:eastAsia="zh-CN"/>
        </w:rPr>
      </w:pPr>
      <w:r>
        <w:rPr>
          <w:rFonts w:hint="eastAsia" w:ascii="仿宋_GB2312" w:hAnsi="仿宋_GB2312" w:cs="仿宋_GB2312"/>
          <w:color w:val="auto"/>
          <w:sz w:val="32"/>
          <w:szCs w:val="32"/>
          <w:highlight w:val="none"/>
          <w:u w:val="none"/>
          <w:lang w:val="en-US" w:eastAsia="zh-CN"/>
        </w:rPr>
        <w:t>对非本市户籍常住居民，市政府可以根据经济社会发展状况和住房供需情况，合理设定条件，逐步纳入供应范围。</w:t>
      </w:r>
    </w:p>
    <w:p>
      <w:pPr>
        <w:keepNext w:val="0"/>
        <w:keepLines w:val="0"/>
        <w:pageBreakBefore w:val="0"/>
        <w:kinsoku/>
        <w:overflowPunct/>
        <w:topLinePunct w:val="0"/>
        <w:autoSpaceDE/>
        <w:autoSpaceDN/>
        <w:bidi w:val="0"/>
        <w:adjustRightInd/>
        <w:snapToGrid/>
        <w:spacing w:line="578" w:lineRule="exact"/>
        <w:ind w:firstLine="640" w:firstLineChars="200"/>
        <w:textAlignment w:val="auto"/>
        <w:outlineLvl w:val="2"/>
        <w:rPr>
          <w:rFonts w:ascii="仿宋_GB2312" w:hAnsi="仿宋_GB2312" w:cs="仿宋_GB2312"/>
          <w:color w:val="auto"/>
          <w:szCs w:val="32"/>
          <w:highlight w:val="none"/>
          <w:u w:val="none"/>
        </w:rPr>
      </w:pPr>
      <w:bookmarkStart w:id="42" w:name="_Toc3760_WPSOffice_Level2"/>
      <w:bookmarkStart w:id="43" w:name="_Toc689"/>
      <w:bookmarkStart w:id="44" w:name="_Toc28421"/>
      <w:bookmarkStart w:id="45" w:name="_Toc14316"/>
      <w:bookmarkStart w:id="46" w:name="_Toc523428778"/>
      <w:bookmarkStart w:id="47" w:name="_Toc21772"/>
      <w:bookmarkStart w:id="48" w:name="_Toc21404"/>
      <w:bookmarkStart w:id="49" w:name="_Toc17309"/>
      <w:bookmarkStart w:id="50" w:name="_Toc7420"/>
      <w:bookmarkStart w:id="51" w:name="_Toc31050"/>
      <w:r>
        <w:rPr>
          <w:rFonts w:hint="eastAsia" w:ascii="黑体" w:hAnsi="黑体" w:eastAsia="黑体"/>
          <w:bCs/>
          <w:color w:val="auto"/>
          <w:szCs w:val="32"/>
          <w:highlight w:val="none"/>
          <w:u w:val="none"/>
        </w:rPr>
        <w:t>第四条</w:t>
      </w:r>
      <w:bookmarkEnd w:id="42"/>
      <w:r>
        <w:rPr>
          <w:rFonts w:hint="eastAsia" w:ascii="黑体" w:hAnsi="黑体" w:eastAsia="黑体"/>
          <w:bCs/>
          <w:color w:val="auto"/>
          <w:szCs w:val="32"/>
          <w:highlight w:val="none"/>
          <w:u w:val="none"/>
        </w:rPr>
        <w:t>【基本原则】</w:t>
      </w:r>
      <w:r>
        <w:rPr>
          <w:rFonts w:hint="eastAsia" w:ascii="黑体" w:hAnsi="黑体" w:eastAsia="黑体"/>
          <w:bCs/>
          <w:color w:val="auto"/>
          <w:szCs w:val="32"/>
          <w:highlight w:val="none"/>
          <w:u w:val="none"/>
          <w:lang w:val="en-US" w:eastAsia="zh-CN"/>
        </w:rPr>
        <w:t xml:space="preserve">  </w:t>
      </w:r>
      <w:r>
        <w:rPr>
          <w:rFonts w:hint="eastAsia" w:ascii="仿宋_GB2312" w:hAnsi="仿宋_GB2312" w:cs="仿宋_GB2312"/>
          <w:bCs/>
          <w:color w:val="auto"/>
          <w:szCs w:val="32"/>
          <w:highlight w:val="none"/>
          <w:u w:val="none"/>
        </w:rPr>
        <w:t>共有产权住房</w:t>
      </w:r>
      <w:r>
        <w:rPr>
          <w:rFonts w:hint="eastAsia" w:ascii="仿宋_GB2312" w:hAnsi="仿宋_GB2312" w:cs="仿宋_GB2312"/>
          <w:color w:val="auto"/>
          <w:szCs w:val="32"/>
          <w:highlight w:val="none"/>
          <w:u w:val="none"/>
          <w:lang w:val="en-US" w:eastAsia="zh-CN"/>
        </w:rPr>
        <w:t>配售</w:t>
      </w:r>
      <w:r>
        <w:rPr>
          <w:rFonts w:hint="eastAsia" w:ascii="仿宋_GB2312" w:hAnsi="仿宋_GB2312" w:cs="仿宋_GB2312"/>
          <w:color w:val="auto"/>
          <w:szCs w:val="32"/>
          <w:highlight w:val="none"/>
          <w:u w:val="none"/>
        </w:rPr>
        <w:t>管理遵循政府主导、</w:t>
      </w:r>
      <w:r>
        <w:rPr>
          <w:rFonts w:hint="eastAsia" w:ascii="仿宋_GB2312" w:hAnsi="仿宋_GB2312" w:cs="仿宋_GB2312"/>
          <w:color w:val="auto"/>
          <w:szCs w:val="32"/>
          <w:highlight w:val="none"/>
          <w:u w:val="none"/>
          <w:lang w:val="en-US" w:eastAsia="zh-CN"/>
        </w:rPr>
        <w:t>市场参与、公开透明、封闭流转和</w:t>
      </w:r>
      <w:r>
        <w:rPr>
          <w:rFonts w:hint="eastAsia" w:ascii="仿宋_GB2312" w:hAnsi="仿宋_GB2312" w:cs="仿宋_GB2312"/>
          <w:color w:val="auto"/>
          <w:szCs w:val="32"/>
          <w:highlight w:val="none"/>
          <w:u w:val="none"/>
        </w:rPr>
        <w:t>诚实信用的原则。</w:t>
      </w:r>
      <w:bookmarkEnd w:id="43"/>
      <w:bookmarkEnd w:id="44"/>
      <w:bookmarkEnd w:id="45"/>
      <w:bookmarkEnd w:id="46"/>
      <w:bookmarkEnd w:id="47"/>
      <w:bookmarkEnd w:id="48"/>
      <w:bookmarkEnd w:id="49"/>
      <w:bookmarkEnd w:id="50"/>
      <w:bookmarkEnd w:id="51"/>
    </w:p>
    <w:p>
      <w:pPr>
        <w:pStyle w:val="2"/>
        <w:keepNext w:val="0"/>
        <w:keepLines w:val="0"/>
        <w:pageBreakBefore w:val="0"/>
        <w:kinsoku/>
        <w:overflowPunct/>
        <w:topLinePunct w:val="0"/>
        <w:autoSpaceDE/>
        <w:autoSpaceDN/>
        <w:bidi w:val="0"/>
        <w:adjustRightInd/>
        <w:snapToGrid/>
        <w:spacing w:after="0" w:line="578" w:lineRule="exact"/>
        <w:ind w:firstLine="640" w:firstLineChars="200"/>
        <w:textAlignment w:val="auto"/>
        <w:outlineLvl w:val="2"/>
        <w:rPr>
          <w:rFonts w:hint="eastAsia" w:ascii="仿宋_GB2312" w:hAnsi="仿宋_GB2312" w:cs="仿宋_GB2312"/>
          <w:color w:val="auto"/>
          <w:szCs w:val="32"/>
          <w:highlight w:val="none"/>
          <w:u w:val="none"/>
          <w:lang w:val="en-US" w:eastAsia="zh-CN"/>
        </w:rPr>
      </w:pPr>
      <w:bookmarkStart w:id="52" w:name="_Toc17022_WPSOffice_Level2"/>
      <w:bookmarkStart w:id="53" w:name="_Toc25097"/>
      <w:bookmarkStart w:id="54" w:name="_Toc523428779"/>
      <w:bookmarkStart w:id="55" w:name="_Toc22614"/>
      <w:bookmarkStart w:id="56" w:name="_Toc12171"/>
      <w:bookmarkStart w:id="57" w:name="_Toc2397"/>
      <w:r>
        <w:rPr>
          <w:rFonts w:hint="eastAsia" w:ascii="黑体" w:hAnsi="黑体" w:eastAsia="黑体"/>
          <w:bCs/>
          <w:color w:val="auto"/>
          <w:szCs w:val="32"/>
          <w:highlight w:val="none"/>
          <w:u w:val="none"/>
        </w:rPr>
        <w:t>第五条【市</w:t>
      </w:r>
      <w:r>
        <w:rPr>
          <w:rFonts w:hint="eastAsia" w:ascii="黑体" w:hAnsi="黑体" w:eastAsia="黑体"/>
          <w:bCs/>
          <w:color w:val="auto"/>
          <w:szCs w:val="32"/>
          <w:highlight w:val="none"/>
          <w:u w:val="none"/>
          <w:lang w:val="en-US" w:eastAsia="zh-CN"/>
        </w:rPr>
        <w:t>级</w:t>
      </w:r>
      <w:r>
        <w:rPr>
          <w:rFonts w:hint="eastAsia" w:ascii="黑体" w:hAnsi="黑体" w:eastAsia="黑体"/>
          <w:bCs/>
          <w:color w:val="auto"/>
          <w:szCs w:val="32"/>
          <w:highlight w:val="none"/>
          <w:u w:val="none"/>
        </w:rPr>
        <w:t>部门职责】</w:t>
      </w:r>
      <w:r>
        <w:rPr>
          <w:rFonts w:hint="eastAsia" w:ascii="黑体" w:hAnsi="黑体" w:eastAsia="黑体"/>
          <w:bCs/>
          <w:color w:val="auto"/>
          <w:szCs w:val="32"/>
          <w:highlight w:val="none"/>
          <w:u w:val="none"/>
          <w:lang w:val="en-US" w:eastAsia="zh-CN"/>
        </w:rPr>
        <w:t xml:space="preserve">  </w:t>
      </w:r>
      <w:r>
        <w:rPr>
          <w:rFonts w:hint="eastAsia" w:ascii="仿宋_GB2312" w:hAnsi="仿宋_GB2312" w:cs="仿宋_GB2312"/>
          <w:color w:val="auto"/>
          <w:szCs w:val="32"/>
          <w:highlight w:val="none"/>
          <w:u w:val="none"/>
        </w:rPr>
        <w:t>市住房主管部门（以下简称市主管部门）是本市共有产权住房</w:t>
      </w:r>
      <w:r>
        <w:rPr>
          <w:rFonts w:hint="eastAsia" w:ascii="仿宋_GB2312" w:hAnsi="仿宋_GB2312" w:cs="仿宋_GB2312"/>
          <w:color w:val="auto"/>
          <w:szCs w:val="32"/>
          <w:highlight w:val="none"/>
          <w:u w:val="none"/>
          <w:lang w:val="en-US" w:eastAsia="zh-CN"/>
        </w:rPr>
        <w:t>配售</w:t>
      </w:r>
      <w:r>
        <w:rPr>
          <w:rFonts w:hint="eastAsia" w:ascii="仿宋_GB2312" w:hAnsi="仿宋_GB2312" w:cs="仿宋_GB2312"/>
          <w:color w:val="auto"/>
          <w:szCs w:val="32"/>
          <w:highlight w:val="none"/>
          <w:u w:val="none"/>
        </w:rPr>
        <w:t>管理工作的行政主管部门，</w:t>
      </w:r>
      <w:r>
        <w:rPr>
          <w:rFonts w:hint="eastAsia" w:ascii="仿宋_GB2312" w:hAnsi="仿宋_GB2312" w:cs="仿宋_GB2312"/>
          <w:color w:val="auto"/>
          <w:szCs w:val="32"/>
          <w:highlight w:val="none"/>
          <w:u w:val="none"/>
          <w:lang w:val="en-US" w:eastAsia="zh-CN"/>
        </w:rPr>
        <w:t>制定</w:t>
      </w:r>
      <w:r>
        <w:rPr>
          <w:rFonts w:hint="eastAsia" w:ascii="仿宋_GB2312" w:hAnsi="仿宋_GB2312" w:cs="仿宋_GB2312"/>
          <w:color w:val="auto"/>
          <w:szCs w:val="32"/>
          <w:highlight w:val="none"/>
          <w:u w:val="none"/>
        </w:rPr>
        <w:t>配套政策</w:t>
      </w:r>
      <w:r>
        <w:rPr>
          <w:rFonts w:hint="eastAsia" w:ascii="仿宋_GB2312" w:hAnsi="仿宋_GB2312" w:cs="仿宋_GB2312"/>
          <w:color w:val="auto"/>
          <w:szCs w:val="32"/>
          <w:highlight w:val="none"/>
          <w:u w:val="none"/>
          <w:lang w:eastAsia="zh-CN"/>
        </w:rPr>
        <w:t>，</w:t>
      </w:r>
      <w:r>
        <w:rPr>
          <w:rFonts w:hint="eastAsia" w:ascii="仿宋_GB2312" w:hAnsi="仿宋_GB2312" w:cs="仿宋_GB2312"/>
          <w:color w:val="auto"/>
          <w:szCs w:val="32"/>
          <w:highlight w:val="none"/>
          <w:u w:val="none"/>
        </w:rPr>
        <w:t>拟定全市</w:t>
      </w:r>
      <w:r>
        <w:rPr>
          <w:rFonts w:hint="eastAsia" w:ascii="仿宋_GB2312" w:hAnsi="仿宋_GB2312" w:cs="仿宋_GB2312"/>
          <w:color w:val="auto"/>
          <w:szCs w:val="32"/>
          <w:highlight w:val="none"/>
          <w:u w:val="none"/>
          <w:lang w:val="en-US" w:eastAsia="zh-CN"/>
        </w:rPr>
        <w:t>共有产权住房供应</w:t>
      </w:r>
      <w:r>
        <w:rPr>
          <w:rFonts w:hint="eastAsia" w:ascii="仿宋_GB2312" w:hAnsi="仿宋_GB2312" w:cs="仿宋_GB2312"/>
          <w:color w:val="auto"/>
          <w:szCs w:val="32"/>
          <w:highlight w:val="none"/>
          <w:u w:val="none"/>
        </w:rPr>
        <w:t>计划；统筹调配</w:t>
      </w:r>
      <w:r>
        <w:rPr>
          <w:rFonts w:hint="eastAsia" w:ascii="仿宋_GB2312" w:hAnsi="仿宋_GB2312" w:cs="仿宋_GB2312"/>
          <w:color w:val="auto"/>
          <w:szCs w:val="32"/>
          <w:highlight w:val="none"/>
          <w:u w:val="none"/>
          <w:lang w:val="en-US" w:eastAsia="zh-CN"/>
        </w:rPr>
        <w:t>全市</w:t>
      </w:r>
      <w:r>
        <w:rPr>
          <w:rFonts w:hint="eastAsia" w:ascii="仿宋_GB2312" w:hAnsi="仿宋_GB2312" w:cs="仿宋_GB2312"/>
          <w:color w:val="auto"/>
          <w:szCs w:val="32"/>
          <w:highlight w:val="none"/>
          <w:u w:val="none"/>
        </w:rPr>
        <w:t>共有产权住房</w:t>
      </w:r>
      <w:r>
        <w:rPr>
          <w:rFonts w:hint="eastAsia" w:ascii="仿宋_GB2312" w:hAnsi="仿宋_GB2312" w:cs="仿宋_GB2312"/>
          <w:color w:val="auto"/>
          <w:szCs w:val="32"/>
          <w:highlight w:val="none"/>
          <w:u w:val="none"/>
          <w:lang w:val="en-US" w:eastAsia="zh-CN"/>
        </w:rPr>
        <w:t>房源</w:t>
      </w:r>
      <w:r>
        <w:rPr>
          <w:rFonts w:hint="eastAsia" w:ascii="仿宋_GB2312" w:hAnsi="仿宋_GB2312" w:cs="仿宋_GB2312"/>
          <w:color w:val="auto"/>
          <w:szCs w:val="32"/>
          <w:highlight w:val="none"/>
          <w:u w:val="none"/>
          <w:lang w:eastAsia="zh-CN"/>
        </w:rPr>
        <w:t>；</w:t>
      </w:r>
      <w:r>
        <w:rPr>
          <w:rFonts w:hint="eastAsia" w:ascii="仿宋_GB2312" w:hAnsi="仿宋_GB2312" w:cs="仿宋_GB2312"/>
          <w:color w:val="auto"/>
          <w:szCs w:val="32"/>
          <w:highlight w:val="none"/>
          <w:u w:val="none"/>
        </w:rPr>
        <w:t>指导、监督各区开展相关工作</w:t>
      </w:r>
      <w:r>
        <w:rPr>
          <w:rFonts w:hint="eastAsia" w:ascii="仿宋_GB2312" w:hAnsi="仿宋_GB2312" w:cs="仿宋_GB2312"/>
          <w:color w:val="auto"/>
          <w:szCs w:val="32"/>
          <w:highlight w:val="none"/>
          <w:u w:val="none"/>
          <w:lang w:eastAsia="zh-CN"/>
        </w:rPr>
        <w:t>；</w:t>
      </w:r>
      <w:r>
        <w:rPr>
          <w:rFonts w:hint="eastAsia" w:ascii="仿宋_GB2312"/>
          <w:color w:val="auto"/>
          <w:szCs w:val="32"/>
          <w:highlight w:val="none"/>
          <w:u w:val="none"/>
        </w:rPr>
        <w:t>组织实施市本级</w:t>
      </w:r>
      <w:r>
        <w:rPr>
          <w:rFonts w:hint="eastAsia" w:ascii="仿宋_GB2312" w:hAnsi="仿宋_GB2312" w:cs="仿宋_GB2312"/>
          <w:color w:val="auto"/>
          <w:szCs w:val="32"/>
          <w:highlight w:val="none"/>
          <w:u w:val="none"/>
        </w:rPr>
        <w:t>共有产权住房</w:t>
      </w:r>
      <w:r>
        <w:rPr>
          <w:rFonts w:hint="eastAsia" w:ascii="仿宋_GB2312"/>
          <w:color w:val="auto"/>
          <w:szCs w:val="32"/>
          <w:highlight w:val="none"/>
          <w:u w:val="none"/>
        </w:rPr>
        <w:t>供应</w:t>
      </w:r>
      <w:r>
        <w:rPr>
          <w:rFonts w:hint="eastAsia" w:ascii="仿宋_GB2312"/>
          <w:color w:val="auto"/>
          <w:szCs w:val="32"/>
          <w:highlight w:val="none"/>
          <w:u w:val="none"/>
          <w:lang w:val="en-US" w:eastAsia="zh-CN"/>
        </w:rPr>
        <w:t>配售</w:t>
      </w:r>
      <w:r>
        <w:rPr>
          <w:rFonts w:hint="eastAsia" w:ascii="仿宋_GB2312"/>
          <w:color w:val="auto"/>
          <w:szCs w:val="32"/>
          <w:highlight w:val="none"/>
          <w:u w:val="none"/>
        </w:rPr>
        <w:t>、监督管理</w:t>
      </w:r>
      <w:r>
        <w:rPr>
          <w:rFonts w:hint="eastAsia" w:ascii="仿宋_GB2312"/>
          <w:color w:val="auto"/>
          <w:szCs w:val="32"/>
          <w:highlight w:val="none"/>
          <w:u w:val="none"/>
          <w:lang w:val="en-US" w:eastAsia="zh-CN"/>
        </w:rPr>
        <w:t>以及全市</w:t>
      </w:r>
      <w:r>
        <w:rPr>
          <w:rFonts w:hint="eastAsia" w:ascii="仿宋_GB2312" w:hAnsi="仿宋_GB2312" w:cs="仿宋_GB2312"/>
          <w:color w:val="auto"/>
          <w:szCs w:val="32"/>
          <w:highlight w:val="none"/>
          <w:u w:val="none"/>
        </w:rPr>
        <w:t>共有产权住房</w:t>
      </w:r>
      <w:r>
        <w:rPr>
          <w:rFonts w:hint="eastAsia" w:ascii="仿宋_GB2312" w:hAnsi="仿宋_GB2312" w:cs="仿宋_GB2312"/>
          <w:color w:val="auto"/>
          <w:szCs w:val="32"/>
          <w:highlight w:val="none"/>
          <w:u w:val="none"/>
          <w:lang w:val="en-US" w:eastAsia="zh-CN"/>
        </w:rPr>
        <w:t>封闭流转</w:t>
      </w:r>
      <w:r>
        <w:rPr>
          <w:rFonts w:hint="eastAsia" w:ascii="仿宋_GB2312"/>
          <w:color w:val="auto"/>
          <w:szCs w:val="32"/>
          <w:highlight w:val="none"/>
          <w:u w:val="none"/>
        </w:rPr>
        <w:t>等工作</w:t>
      </w:r>
      <w:r>
        <w:rPr>
          <w:rFonts w:hint="eastAsia" w:ascii="仿宋_GB2312" w:hAnsi="仿宋_GB2312" w:cs="仿宋_GB2312"/>
          <w:color w:val="auto"/>
          <w:szCs w:val="32"/>
          <w:highlight w:val="none"/>
          <w:u w:val="none"/>
          <w:lang w:val="en-US" w:eastAsia="zh-CN"/>
        </w:rPr>
        <w:t>。</w:t>
      </w:r>
    </w:p>
    <w:p>
      <w:pPr>
        <w:pStyle w:val="2"/>
        <w:keepNext w:val="0"/>
        <w:keepLines w:val="0"/>
        <w:pageBreakBefore w:val="0"/>
        <w:kinsoku/>
        <w:overflowPunct/>
        <w:topLinePunct w:val="0"/>
        <w:autoSpaceDE/>
        <w:autoSpaceDN/>
        <w:bidi w:val="0"/>
        <w:adjustRightInd/>
        <w:snapToGrid/>
        <w:spacing w:after="0" w:line="578" w:lineRule="exact"/>
        <w:ind w:firstLine="640" w:firstLineChars="200"/>
        <w:textAlignment w:val="auto"/>
        <w:outlineLvl w:val="2"/>
        <w:rPr>
          <w:rFonts w:hint="eastAsia" w:ascii="仿宋_GB2312" w:hAnsi="仿宋_GB2312" w:cs="仿宋_GB2312"/>
          <w:bCs/>
          <w:color w:val="auto"/>
          <w:szCs w:val="32"/>
          <w:highlight w:val="none"/>
          <w:u w:val="none"/>
        </w:rPr>
      </w:pPr>
      <w:r>
        <w:rPr>
          <w:rFonts w:hint="eastAsia" w:ascii="仿宋_GB2312" w:hAnsi="仿宋_GB2312" w:cs="仿宋_GB2312"/>
          <w:bCs/>
          <w:color w:val="auto"/>
          <w:szCs w:val="32"/>
          <w:highlight w:val="none"/>
          <w:u w:val="none"/>
        </w:rPr>
        <w:t>市</w:t>
      </w:r>
      <w:r>
        <w:rPr>
          <w:rFonts w:hint="eastAsia" w:ascii="仿宋_GB2312"/>
          <w:color w:val="auto"/>
          <w:szCs w:val="32"/>
          <w:highlight w:val="none"/>
          <w:u w:val="none"/>
        </w:rPr>
        <w:t>发展改革</w:t>
      </w:r>
      <w:r>
        <w:rPr>
          <w:rFonts w:hint="eastAsia" w:ascii="仿宋_GB2312" w:hAnsi="仿宋_GB2312" w:cs="仿宋_GB2312"/>
          <w:bCs/>
          <w:color w:val="auto"/>
          <w:szCs w:val="32"/>
          <w:highlight w:val="none"/>
          <w:u w:val="none"/>
        </w:rPr>
        <w:t>、公安、民政、财政、</w:t>
      </w:r>
      <w:r>
        <w:rPr>
          <w:rFonts w:hint="eastAsia" w:ascii="仿宋_GB2312" w:hAnsi="仿宋_GB2312" w:cs="仿宋_GB2312"/>
          <w:bCs/>
          <w:color w:val="auto"/>
          <w:szCs w:val="32"/>
          <w:highlight w:val="none"/>
          <w:u w:val="none"/>
          <w:lang w:val="en-US" w:eastAsia="zh-CN"/>
        </w:rPr>
        <w:t>人力资源保障、</w:t>
      </w:r>
      <w:r>
        <w:rPr>
          <w:rFonts w:hint="eastAsia" w:ascii="仿宋_GB2312" w:hAnsi="仿宋_GB2312" w:cs="仿宋_GB2312"/>
          <w:bCs/>
          <w:color w:val="auto"/>
          <w:szCs w:val="32"/>
          <w:highlight w:val="none"/>
          <w:u w:val="none"/>
        </w:rPr>
        <w:t>规划和自然资源、交通运输、市场监督管理、</w:t>
      </w:r>
      <w:r>
        <w:rPr>
          <w:rFonts w:hint="eastAsia" w:ascii="仿宋_GB2312" w:hAnsi="仿宋_GB2312" w:cs="仿宋_GB2312"/>
          <w:bCs/>
          <w:color w:val="auto"/>
          <w:szCs w:val="32"/>
          <w:highlight w:val="none"/>
          <w:u w:val="none"/>
          <w:lang w:val="en-US" w:eastAsia="zh-CN"/>
        </w:rPr>
        <w:t>税务</w:t>
      </w:r>
      <w:r>
        <w:rPr>
          <w:rFonts w:hint="eastAsia" w:ascii="仿宋_GB2312" w:hAnsi="仿宋_GB2312" w:cs="仿宋_GB2312"/>
          <w:bCs/>
          <w:color w:val="auto"/>
          <w:szCs w:val="32"/>
          <w:highlight w:val="none"/>
          <w:u w:val="none"/>
        </w:rPr>
        <w:t>等部门应当在各自职责范围内做好共有产权住房的</w:t>
      </w:r>
      <w:r>
        <w:rPr>
          <w:rFonts w:hint="eastAsia" w:ascii="仿宋_GB2312" w:hAnsi="仿宋_GB2312" w:cs="仿宋_GB2312"/>
          <w:bCs/>
          <w:color w:val="auto"/>
          <w:szCs w:val="32"/>
          <w:highlight w:val="none"/>
          <w:u w:val="none"/>
          <w:lang w:val="en-US" w:eastAsia="zh-CN"/>
        </w:rPr>
        <w:t>配售</w:t>
      </w:r>
      <w:r>
        <w:rPr>
          <w:rFonts w:hint="eastAsia" w:ascii="仿宋_GB2312" w:hAnsi="仿宋_GB2312" w:cs="仿宋_GB2312"/>
          <w:bCs/>
          <w:color w:val="auto"/>
          <w:szCs w:val="32"/>
          <w:highlight w:val="none"/>
          <w:u w:val="none"/>
        </w:rPr>
        <w:t>管理相关工作。</w:t>
      </w:r>
    </w:p>
    <w:p>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ascii="仿宋_GB2312" w:hAnsi="仿宋_GB2312" w:cs="仿宋_GB2312"/>
          <w:color w:val="auto"/>
          <w:szCs w:val="32"/>
          <w:highlight w:val="none"/>
          <w:u w:val="none"/>
        </w:rPr>
      </w:pPr>
      <w:r>
        <w:rPr>
          <w:rFonts w:hint="eastAsia" w:ascii="黑体" w:hAnsi="黑体" w:eastAsia="黑体"/>
          <w:bCs/>
          <w:color w:val="auto"/>
          <w:szCs w:val="32"/>
          <w:highlight w:val="none"/>
          <w:u w:val="none"/>
        </w:rPr>
        <w:t>第六条【区政府及部门职责】</w:t>
      </w:r>
      <w:r>
        <w:rPr>
          <w:rFonts w:hint="eastAsia" w:ascii="黑体" w:hAnsi="黑体" w:eastAsia="黑体"/>
          <w:bCs/>
          <w:color w:val="auto"/>
          <w:szCs w:val="32"/>
          <w:highlight w:val="none"/>
          <w:u w:val="none"/>
          <w:lang w:val="en-US" w:eastAsia="zh-CN"/>
        </w:rPr>
        <w:t xml:space="preserve">  </w:t>
      </w:r>
      <w:r>
        <w:rPr>
          <w:rFonts w:hint="eastAsia" w:ascii="仿宋_GB2312" w:hAnsi="仿宋_GB2312" w:cs="仿宋_GB2312"/>
          <w:color w:val="auto"/>
          <w:szCs w:val="32"/>
          <w:highlight w:val="none"/>
          <w:u w:val="none"/>
          <w:lang w:eastAsia="zh-CN"/>
        </w:rPr>
        <w:t>区政府</w:t>
      </w:r>
      <w:r>
        <w:rPr>
          <w:rFonts w:hint="eastAsia" w:ascii="仿宋_GB2312" w:hAnsi="仿宋_GB2312" w:cs="仿宋_GB2312"/>
          <w:color w:val="auto"/>
          <w:szCs w:val="32"/>
          <w:highlight w:val="none"/>
          <w:u w:val="none"/>
        </w:rPr>
        <w:t>（含新区管理机构，下同）负责组织实施本区共有产权住房</w:t>
      </w:r>
      <w:r>
        <w:rPr>
          <w:rFonts w:hint="eastAsia" w:ascii="仿宋_GB2312" w:hAnsi="仿宋_GB2312" w:cs="仿宋_GB2312"/>
          <w:color w:val="auto"/>
          <w:szCs w:val="32"/>
          <w:highlight w:val="none"/>
          <w:u w:val="none"/>
          <w:lang w:val="en-US" w:eastAsia="zh-CN"/>
        </w:rPr>
        <w:t>配售</w:t>
      </w:r>
      <w:r>
        <w:rPr>
          <w:rFonts w:hint="eastAsia" w:ascii="仿宋_GB2312" w:hAnsi="仿宋_GB2312" w:cs="仿宋_GB2312"/>
          <w:color w:val="auto"/>
          <w:szCs w:val="32"/>
          <w:highlight w:val="none"/>
          <w:u w:val="none"/>
        </w:rPr>
        <w:t>管理工作。</w:t>
      </w:r>
    </w:p>
    <w:p>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ascii="仿宋_GB2312"/>
          <w:color w:val="auto"/>
          <w:szCs w:val="32"/>
          <w:highlight w:val="none"/>
          <w:u w:val="none"/>
        </w:rPr>
      </w:pPr>
      <w:r>
        <w:rPr>
          <w:rFonts w:hint="eastAsia" w:ascii="仿宋_GB2312" w:hAnsi="仿宋_GB2312" w:cs="仿宋_GB2312"/>
          <w:bCs/>
          <w:color w:val="auto"/>
          <w:szCs w:val="32"/>
          <w:highlight w:val="none"/>
          <w:u w:val="none"/>
        </w:rPr>
        <w:t>区住房主管部门（以下简称区主管部门）负责本区共有产权住房的供应分配、监督管理等工作</w:t>
      </w:r>
      <w:r>
        <w:rPr>
          <w:rFonts w:hint="eastAsia" w:ascii="仿宋_GB2312" w:hAnsi="仿宋_GB2312" w:cs="仿宋_GB2312"/>
          <w:bCs/>
          <w:color w:val="auto"/>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可以委托区住房保障实施机构开展行政执法及其他事务性工作</w:t>
      </w:r>
      <w:r>
        <w:rPr>
          <w:rFonts w:hint="eastAsia" w:ascii="仿宋_GB2312" w:hAnsi="仿宋_GB2312" w:cs="仿宋_GB2312"/>
          <w:bCs/>
          <w:color w:val="auto"/>
          <w:szCs w:val="32"/>
          <w:highlight w:val="none"/>
          <w:u w:val="none"/>
        </w:rPr>
        <w:t>。区相关部门按照职责分工做好相关工作。</w:t>
      </w:r>
    </w:p>
    <w:p>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hint="default" w:ascii="仿宋_GB2312" w:eastAsia="仿宋_GB2312"/>
          <w:color w:val="auto"/>
          <w:szCs w:val="32"/>
          <w:highlight w:val="none"/>
          <w:u w:val="none"/>
          <w:lang w:val="en-US" w:eastAsia="zh-CN"/>
        </w:rPr>
      </w:pPr>
      <w:bookmarkStart w:id="58" w:name="_Toc2831"/>
      <w:bookmarkStart w:id="59" w:name="_Toc523511423"/>
      <w:bookmarkStart w:id="60" w:name="_Toc21219"/>
      <w:bookmarkStart w:id="61" w:name="_Toc3333"/>
      <w:bookmarkStart w:id="62" w:name="_Toc24652"/>
      <w:r>
        <w:rPr>
          <w:rFonts w:hint="eastAsia" w:ascii="黑体" w:hAnsi="黑体" w:eastAsia="黑体"/>
          <w:bCs/>
          <w:color w:val="auto"/>
          <w:szCs w:val="32"/>
          <w:highlight w:val="none"/>
          <w:u w:val="none"/>
        </w:rPr>
        <w:t>第</w:t>
      </w:r>
      <w:r>
        <w:rPr>
          <w:rFonts w:hint="eastAsia" w:ascii="黑体" w:hAnsi="黑体" w:eastAsia="黑体"/>
          <w:bCs/>
          <w:color w:val="auto"/>
          <w:szCs w:val="32"/>
          <w:highlight w:val="none"/>
          <w:u w:val="none"/>
          <w:lang w:val="en-US" w:eastAsia="zh-CN"/>
        </w:rPr>
        <w:t>七</w:t>
      </w:r>
      <w:r>
        <w:rPr>
          <w:rFonts w:hint="eastAsia" w:ascii="黑体" w:hAnsi="黑体" w:eastAsia="黑体"/>
          <w:bCs/>
          <w:color w:val="auto"/>
          <w:szCs w:val="32"/>
          <w:highlight w:val="none"/>
          <w:u w:val="none"/>
        </w:rPr>
        <w:t>条【</w:t>
      </w:r>
      <w:r>
        <w:rPr>
          <w:rFonts w:hint="eastAsia" w:ascii="黑体" w:hAnsi="黑体" w:eastAsia="黑体"/>
          <w:bCs/>
          <w:color w:val="auto"/>
          <w:szCs w:val="32"/>
          <w:highlight w:val="none"/>
          <w:u w:val="none"/>
          <w:lang w:val="en-US" w:eastAsia="zh-CN"/>
        </w:rPr>
        <w:t>住房保障实施机构</w:t>
      </w:r>
      <w:r>
        <w:rPr>
          <w:rFonts w:hint="eastAsia" w:ascii="黑体" w:hAnsi="黑体" w:eastAsia="黑体"/>
          <w:bCs/>
          <w:color w:val="auto"/>
          <w:szCs w:val="32"/>
          <w:highlight w:val="none"/>
          <w:u w:val="none"/>
        </w:rPr>
        <w:t>】</w:t>
      </w:r>
      <w:r>
        <w:rPr>
          <w:rFonts w:hint="eastAsia" w:ascii="黑体" w:hAnsi="黑体" w:eastAsia="黑体"/>
          <w:bCs/>
          <w:color w:val="auto"/>
          <w:szCs w:val="32"/>
          <w:highlight w:val="none"/>
          <w:u w:val="none"/>
          <w:lang w:val="en-US" w:eastAsia="zh-CN"/>
        </w:rPr>
        <w:t xml:space="preserve">  </w:t>
      </w:r>
      <w:r>
        <w:rPr>
          <w:rFonts w:hint="eastAsia" w:ascii="仿宋_GB2312" w:hAnsi="仿宋_GB2312" w:cs="仿宋_GB2312"/>
          <w:bCs/>
          <w:color w:val="auto"/>
          <w:szCs w:val="32"/>
          <w:highlight w:val="none"/>
          <w:u w:val="none"/>
        </w:rPr>
        <w:t>市</w:t>
      </w:r>
      <w:r>
        <w:rPr>
          <w:rFonts w:hint="eastAsia" w:ascii="仿宋_GB2312" w:hAnsi="仿宋_GB2312" w:cs="仿宋_GB2312"/>
          <w:bCs/>
          <w:color w:val="auto"/>
          <w:szCs w:val="32"/>
          <w:highlight w:val="none"/>
          <w:u w:val="none"/>
          <w:lang w:eastAsia="zh-CN"/>
        </w:rPr>
        <w:t>、</w:t>
      </w:r>
      <w:r>
        <w:rPr>
          <w:rFonts w:hint="eastAsia" w:ascii="仿宋_GB2312" w:hAnsi="仿宋_GB2312" w:cs="仿宋_GB2312"/>
          <w:bCs/>
          <w:color w:val="auto"/>
          <w:szCs w:val="32"/>
          <w:highlight w:val="none"/>
          <w:u w:val="none"/>
          <w:lang w:val="en-US" w:eastAsia="zh-CN"/>
        </w:rPr>
        <w:t>区</w:t>
      </w:r>
      <w:r>
        <w:rPr>
          <w:rFonts w:hint="eastAsia" w:ascii="仿宋_GB2312" w:hAnsi="仿宋_GB2312" w:cs="仿宋_GB2312"/>
          <w:bCs/>
          <w:color w:val="auto"/>
          <w:szCs w:val="32"/>
          <w:highlight w:val="none"/>
          <w:u w:val="none"/>
        </w:rPr>
        <w:t>住房保障实施机构作为代持机构，代表政府持有和管理</w:t>
      </w:r>
      <w:r>
        <w:rPr>
          <w:rFonts w:hint="eastAsia" w:ascii="仿宋_GB2312" w:hAnsi="仿宋_GB2312" w:cs="仿宋_GB2312"/>
          <w:bCs/>
          <w:color w:val="auto"/>
          <w:szCs w:val="32"/>
          <w:highlight w:val="none"/>
          <w:u w:val="none"/>
          <w:lang w:val="en-US" w:eastAsia="zh-CN"/>
        </w:rPr>
        <w:t>共有产权住房</w:t>
      </w:r>
      <w:r>
        <w:rPr>
          <w:rFonts w:hint="eastAsia" w:ascii="仿宋_GB2312" w:hAnsi="仿宋_GB2312" w:cs="仿宋_GB2312"/>
          <w:bCs/>
          <w:color w:val="auto"/>
          <w:szCs w:val="32"/>
          <w:highlight w:val="none"/>
          <w:u w:val="none"/>
        </w:rPr>
        <w:t>政府产权份额，</w:t>
      </w:r>
      <w:r>
        <w:rPr>
          <w:rFonts w:hint="eastAsia" w:ascii="仿宋_GB2312" w:hAnsi="仿宋_GB2312" w:cs="仿宋_GB2312"/>
          <w:bCs/>
          <w:color w:val="auto"/>
          <w:szCs w:val="32"/>
          <w:highlight w:val="none"/>
          <w:u w:val="none"/>
          <w:lang w:val="en-US" w:eastAsia="zh-CN"/>
        </w:rPr>
        <w:t>按照有关规定和合同约定，负责相关管理工作</w:t>
      </w:r>
      <w:r>
        <w:rPr>
          <w:rFonts w:hint="eastAsia" w:ascii="仿宋_GB2312" w:hAnsi="仿宋_GB2312" w:cs="仿宋_GB2312"/>
          <w:bCs/>
          <w:color w:val="auto"/>
          <w:szCs w:val="32"/>
          <w:highlight w:val="none"/>
          <w:u w:val="none"/>
        </w:rPr>
        <w:t>。</w:t>
      </w:r>
      <w:bookmarkEnd w:id="52"/>
      <w:bookmarkEnd w:id="53"/>
      <w:bookmarkEnd w:id="54"/>
      <w:bookmarkEnd w:id="55"/>
      <w:bookmarkEnd w:id="56"/>
      <w:bookmarkEnd w:id="57"/>
      <w:bookmarkEnd w:id="58"/>
      <w:bookmarkEnd w:id="59"/>
      <w:bookmarkEnd w:id="60"/>
      <w:bookmarkEnd w:id="61"/>
      <w:bookmarkEnd w:id="62"/>
    </w:p>
    <w:p>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ascii="仿宋_GB2312" w:hAnsi="仿宋_GB2312" w:cs="仿宋_GB2312"/>
          <w:color w:val="auto"/>
          <w:szCs w:val="32"/>
          <w:highlight w:val="none"/>
          <w:u w:val="none"/>
        </w:rPr>
      </w:pPr>
      <w:bookmarkStart w:id="63" w:name="_Toc16211"/>
      <w:bookmarkStart w:id="64" w:name="_Toc11234"/>
      <w:bookmarkStart w:id="65" w:name="_Toc27073"/>
      <w:bookmarkStart w:id="66" w:name="_Toc22086"/>
      <w:bookmarkStart w:id="67" w:name="_Toc16953"/>
      <w:bookmarkStart w:id="68" w:name="_Toc523428783"/>
      <w:bookmarkStart w:id="69" w:name="_Toc15302"/>
      <w:bookmarkStart w:id="70" w:name="_Toc24514"/>
      <w:r>
        <w:rPr>
          <w:rFonts w:hint="eastAsia" w:ascii="黑体" w:hAnsi="黑体" w:eastAsia="黑体"/>
          <w:bCs/>
          <w:color w:val="auto"/>
          <w:szCs w:val="32"/>
          <w:highlight w:val="none"/>
          <w:u w:val="none"/>
        </w:rPr>
        <w:t>第</w:t>
      </w:r>
      <w:r>
        <w:rPr>
          <w:rFonts w:hint="eastAsia" w:ascii="黑体" w:hAnsi="黑体" w:eastAsia="黑体"/>
          <w:bCs/>
          <w:color w:val="auto"/>
          <w:szCs w:val="32"/>
          <w:highlight w:val="none"/>
          <w:u w:val="none"/>
          <w:lang w:val="en-US" w:eastAsia="zh-CN"/>
        </w:rPr>
        <w:t>八</w:t>
      </w:r>
      <w:r>
        <w:rPr>
          <w:rFonts w:hint="eastAsia" w:ascii="黑体" w:hAnsi="黑体" w:eastAsia="黑体"/>
          <w:bCs/>
          <w:color w:val="auto"/>
          <w:szCs w:val="32"/>
          <w:highlight w:val="none"/>
          <w:u w:val="none"/>
        </w:rPr>
        <w:t>条</w:t>
      </w:r>
      <w:bookmarkEnd w:id="63"/>
      <w:bookmarkEnd w:id="64"/>
      <w:bookmarkEnd w:id="65"/>
      <w:bookmarkEnd w:id="66"/>
      <w:bookmarkEnd w:id="67"/>
      <w:bookmarkEnd w:id="68"/>
      <w:bookmarkEnd w:id="69"/>
      <w:bookmarkEnd w:id="70"/>
      <w:r>
        <w:rPr>
          <w:rFonts w:hint="eastAsia" w:ascii="黑体" w:hAnsi="黑体" w:eastAsia="黑体"/>
          <w:bCs/>
          <w:color w:val="auto"/>
          <w:szCs w:val="32"/>
          <w:highlight w:val="none"/>
          <w:u w:val="none"/>
        </w:rPr>
        <w:t>【信息平台】</w:t>
      </w:r>
      <w:r>
        <w:rPr>
          <w:rFonts w:hint="eastAsia" w:ascii="黑体" w:hAnsi="黑体" w:eastAsia="黑体"/>
          <w:bCs/>
          <w:color w:val="auto"/>
          <w:szCs w:val="32"/>
          <w:highlight w:val="none"/>
          <w:u w:val="none"/>
          <w:lang w:val="en-US" w:eastAsia="zh-CN"/>
        </w:rPr>
        <w:t xml:space="preserve">  </w:t>
      </w:r>
      <w:r>
        <w:rPr>
          <w:rFonts w:hint="eastAsia" w:ascii="仿宋_GB2312" w:hAnsi="仿宋_GB2312" w:cs="仿宋_GB2312"/>
          <w:color w:val="auto"/>
          <w:szCs w:val="32"/>
          <w:highlight w:val="none"/>
          <w:u w:val="none"/>
        </w:rPr>
        <w:t>市主管部门</w:t>
      </w:r>
      <w:r>
        <w:rPr>
          <w:rFonts w:hint="eastAsia" w:ascii="仿宋_GB2312" w:hAnsi="仿宋_GB2312" w:cs="仿宋_GB2312"/>
          <w:color w:val="auto"/>
          <w:szCs w:val="32"/>
          <w:highlight w:val="none"/>
          <w:u w:val="none"/>
          <w:lang w:val="en-US" w:eastAsia="zh-CN"/>
        </w:rPr>
        <w:t>统筹建立和完善</w:t>
      </w:r>
      <w:r>
        <w:rPr>
          <w:rFonts w:hint="eastAsia" w:ascii="仿宋_GB2312" w:hAnsi="仿宋_GB2312" w:cs="仿宋_GB2312"/>
          <w:color w:val="auto"/>
          <w:szCs w:val="32"/>
          <w:highlight w:val="none"/>
          <w:u w:val="none"/>
        </w:rPr>
        <w:t>全市统一的住房信息平台（以下简称信息平台），</w:t>
      </w:r>
      <w:r>
        <w:rPr>
          <w:rFonts w:hint="eastAsia" w:ascii="仿宋_GB2312"/>
          <w:color w:val="auto"/>
          <w:szCs w:val="32"/>
          <w:highlight w:val="none"/>
          <w:u w:val="none"/>
        </w:rPr>
        <w:t>共有产权住房</w:t>
      </w:r>
      <w:r>
        <w:rPr>
          <w:rFonts w:hint="eastAsia" w:ascii="仿宋_GB2312" w:hAnsi="仿宋_GB2312" w:cs="仿宋_GB2312"/>
          <w:color w:val="auto"/>
          <w:szCs w:val="32"/>
          <w:highlight w:val="none"/>
          <w:u w:val="none"/>
        </w:rPr>
        <w:t>的</w:t>
      </w:r>
      <w:r>
        <w:rPr>
          <w:rFonts w:hint="eastAsia" w:ascii="仿宋_GB2312" w:hAnsi="仿宋_GB2312" w:cs="仿宋_GB2312"/>
          <w:color w:val="auto"/>
          <w:szCs w:val="32"/>
          <w:highlight w:val="none"/>
          <w:u w:val="none"/>
          <w:lang w:val="en-US" w:eastAsia="zh-CN"/>
        </w:rPr>
        <w:t>配售</w:t>
      </w:r>
      <w:r>
        <w:rPr>
          <w:rFonts w:hint="eastAsia" w:ascii="仿宋_GB2312" w:hAnsi="仿宋_GB2312" w:cs="仿宋_GB2312"/>
          <w:color w:val="auto"/>
          <w:szCs w:val="32"/>
          <w:highlight w:val="none"/>
          <w:u w:val="none"/>
        </w:rPr>
        <w:t>管理活动</w:t>
      </w:r>
      <w:r>
        <w:rPr>
          <w:rFonts w:hint="eastAsia" w:ascii="仿宋_GB2312" w:hAnsi="仿宋_GB2312" w:cs="仿宋_GB2312"/>
          <w:color w:val="auto"/>
          <w:szCs w:val="32"/>
          <w:highlight w:val="none"/>
          <w:u w:val="none"/>
          <w:lang w:val="en-US" w:eastAsia="zh-CN"/>
        </w:rPr>
        <w:t>应当</w:t>
      </w:r>
      <w:r>
        <w:rPr>
          <w:rFonts w:hint="eastAsia" w:ascii="仿宋_GB2312" w:hAnsi="仿宋_GB2312" w:cs="仿宋_GB2312"/>
          <w:color w:val="auto"/>
          <w:szCs w:val="32"/>
          <w:highlight w:val="none"/>
          <w:u w:val="none"/>
        </w:rPr>
        <w:t>纳入信息平台管理。</w:t>
      </w:r>
    </w:p>
    <w:p>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hint="eastAsia" w:ascii="仿宋_GB2312" w:hAnsi="仿宋_GB2312" w:cs="仿宋_GB2312"/>
          <w:bCs/>
          <w:color w:val="auto"/>
          <w:szCs w:val="32"/>
          <w:highlight w:val="none"/>
          <w:u w:val="none"/>
        </w:rPr>
      </w:pPr>
      <w:r>
        <w:rPr>
          <w:rFonts w:hint="eastAsia" w:ascii="仿宋_GB2312" w:hAnsi="仿宋_GB2312" w:cs="仿宋_GB2312"/>
          <w:bCs/>
          <w:color w:val="auto"/>
          <w:szCs w:val="32"/>
          <w:highlight w:val="none"/>
          <w:u w:val="none"/>
        </w:rPr>
        <w:t>公安、民政、人力资源保障、规划和自然资源、退役军人事务、市场监督管理、税务等部门应当协同配合，实现信息平台与户籍、婚姻、学历、技术技能水平、社会保险、不动产登记、退役军人、征信、税收等信息化平台互联互通，信息共享。</w:t>
      </w:r>
    </w:p>
    <w:p>
      <w:pPr>
        <w:keepNext w:val="0"/>
        <w:keepLines w:val="0"/>
        <w:pageBreakBefore w:val="0"/>
        <w:kinsoku/>
        <w:overflowPunct/>
        <w:topLinePunct w:val="0"/>
        <w:autoSpaceDE/>
        <w:autoSpaceDN/>
        <w:bidi w:val="0"/>
        <w:adjustRightInd/>
        <w:snapToGrid/>
        <w:spacing w:line="578" w:lineRule="exact"/>
        <w:ind w:firstLine="0" w:firstLineChars="0"/>
        <w:jc w:val="center"/>
        <w:textAlignment w:val="auto"/>
        <w:outlineLvl w:val="2"/>
        <w:rPr>
          <w:rFonts w:hint="eastAsia" w:ascii="黑体" w:hAnsi="黑体" w:eastAsia="黑体"/>
          <w:bCs/>
          <w:color w:val="auto"/>
          <w:szCs w:val="32"/>
          <w:highlight w:val="none"/>
          <w:u w:val="none"/>
        </w:rPr>
      </w:pPr>
      <w:bookmarkStart w:id="71" w:name="_Toc5936"/>
      <w:bookmarkStart w:id="72" w:name="_Toc21197"/>
      <w:bookmarkStart w:id="73" w:name="_Toc13827"/>
      <w:bookmarkStart w:id="74" w:name="_Toc16565"/>
      <w:bookmarkStart w:id="75" w:name="_Toc20009_WPSOffice_Level1"/>
      <w:bookmarkStart w:id="76" w:name="_Toc32058"/>
      <w:bookmarkStart w:id="77" w:name="_Toc18786_WPSOffice_Level1"/>
      <w:bookmarkStart w:id="78" w:name="_Toc14769"/>
      <w:bookmarkStart w:id="79" w:name="_Toc8605"/>
      <w:bookmarkStart w:id="80" w:name="_Toc22376"/>
      <w:bookmarkStart w:id="81" w:name="_Toc523428817"/>
    </w:p>
    <w:p>
      <w:pPr>
        <w:keepNext w:val="0"/>
        <w:keepLines w:val="0"/>
        <w:pageBreakBefore w:val="0"/>
        <w:kinsoku/>
        <w:overflowPunct/>
        <w:topLinePunct w:val="0"/>
        <w:autoSpaceDE/>
        <w:autoSpaceDN/>
        <w:bidi w:val="0"/>
        <w:adjustRightInd/>
        <w:snapToGrid/>
        <w:spacing w:line="578" w:lineRule="exact"/>
        <w:ind w:firstLine="0" w:firstLineChars="0"/>
        <w:jc w:val="center"/>
        <w:textAlignment w:val="auto"/>
        <w:outlineLvl w:val="2"/>
        <w:rPr>
          <w:rFonts w:hint="eastAsia" w:ascii="黑体" w:hAnsi="黑体" w:eastAsia="黑体"/>
          <w:bCs/>
          <w:color w:val="auto"/>
          <w:szCs w:val="32"/>
          <w:highlight w:val="none"/>
          <w:u w:val="none"/>
          <w:lang w:val="en-US" w:eastAsia="zh-CN"/>
        </w:rPr>
      </w:pPr>
      <w:r>
        <w:rPr>
          <w:rFonts w:hint="eastAsia" w:ascii="黑体" w:hAnsi="黑体" w:eastAsia="黑体"/>
          <w:bCs/>
          <w:color w:val="auto"/>
          <w:szCs w:val="32"/>
          <w:highlight w:val="none"/>
          <w:u w:val="none"/>
        </w:rPr>
        <w:t>第</w:t>
      </w:r>
      <w:r>
        <w:rPr>
          <w:rFonts w:hint="eastAsia" w:ascii="黑体" w:hAnsi="黑体" w:eastAsia="黑体"/>
          <w:bCs/>
          <w:color w:val="auto"/>
          <w:szCs w:val="32"/>
          <w:highlight w:val="none"/>
          <w:u w:val="none"/>
          <w:lang w:val="en-US" w:eastAsia="zh-CN"/>
        </w:rPr>
        <w:t>二</w:t>
      </w:r>
      <w:r>
        <w:rPr>
          <w:rFonts w:hint="eastAsia" w:ascii="黑体" w:hAnsi="黑体" w:eastAsia="黑体"/>
          <w:bCs/>
          <w:color w:val="auto"/>
          <w:szCs w:val="32"/>
          <w:highlight w:val="none"/>
          <w:u w:val="none"/>
        </w:rPr>
        <w:t>章</w:t>
      </w:r>
      <w:r>
        <w:rPr>
          <w:rFonts w:ascii="黑体" w:hAnsi="黑体" w:eastAsia="黑体"/>
          <w:bCs/>
          <w:color w:val="auto"/>
          <w:szCs w:val="32"/>
          <w:highlight w:val="none"/>
          <w:u w:val="none"/>
        </w:rPr>
        <w:t xml:space="preserve"> </w:t>
      </w:r>
      <w:bookmarkEnd w:id="71"/>
      <w:bookmarkEnd w:id="72"/>
      <w:bookmarkEnd w:id="73"/>
      <w:bookmarkEnd w:id="74"/>
      <w:bookmarkEnd w:id="75"/>
      <w:bookmarkEnd w:id="76"/>
      <w:bookmarkEnd w:id="77"/>
      <w:bookmarkEnd w:id="78"/>
      <w:bookmarkEnd w:id="79"/>
      <w:bookmarkEnd w:id="80"/>
      <w:bookmarkEnd w:id="81"/>
      <w:r>
        <w:rPr>
          <w:rFonts w:hint="eastAsia" w:ascii="黑体" w:hAnsi="黑体" w:eastAsia="黑体"/>
          <w:bCs/>
          <w:color w:val="auto"/>
          <w:szCs w:val="32"/>
          <w:highlight w:val="none"/>
          <w:u w:val="none"/>
          <w:lang w:val="en-US" w:eastAsia="zh-CN"/>
        </w:rPr>
        <w:t>轮候与</w:t>
      </w:r>
      <w:bookmarkStart w:id="82" w:name="_Toc5777_WPSOffice_Level2"/>
      <w:r>
        <w:rPr>
          <w:rFonts w:hint="eastAsia" w:ascii="黑体" w:hAnsi="黑体" w:eastAsia="黑体"/>
          <w:bCs/>
          <w:color w:val="auto"/>
          <w:szCs w:val="32"/>
          <w:highlight w:val="none"/>
          <w:u w:val="none"/>
          <w:lang w:val="en-US" w:eastAsia="zh-CN"/>
        </w:rPr>
        <w:t>配售</w:t>
      </w:r>
    </w:p>
    <w:p>
      <w:pPr>
        <w:pStyle w:val="2"/>
        <w:keepNext w:val="0"/>
        <w:keepLines w:val="0"/>
        <w:pageBreakBefore w:val="0"/>
        <w:kinsoku/>
        <w:overflowPunct/>
        <w:topLinePunct w:val="0"/>
        <w:autoSpaceDE/>
        <w:autoSpaceDN/>
        <w:bidi w:val="0"/>
        <w:spacing w:after="0" w:line="578" w:lineRule="exact"/>
        <w:rPr>
          <w:rFonts w:hint="eastAsia"/>
          <w:color w:val="auto"/>
          <w:szCs w:val="32"/>
          <w:u w:val="none"/>
          <w:lang w:val="en-US" w:eastAsia="zh-CN"/>
        </w:rPr>
      </w:pPr>
    </w:p>
    <w:p>
      <w:pPr>
        <w:keepNext w:val="0"/>
        <w:keepLines w:val="0"/>
        <w:pageBreakBefore w:val="0"/>
        <w:tabs>
          <w:tab w:val="left" w:pos="6090"/>
        </w:tabs>
        <w:kinsoku/>
        <w:overflowPunct/>
        <w:topLinePunct w:val="0"/>
        <w:autoSpaceDE/>
        <w:autoSpaceDN/>
        <w:bidi w:val="0"/>
        <w:adjustRightInd/>
        <w:snapToGrid/>
        <w:spacing w:line="578" w:lineRule="exact"/>
        <w:ind w:firstLine="640" w:firstLineChars="200"/>
        <w:textAlignment w:val="auto"/>
        <w:outlineLvl w:val="2"/>
        <w:rPr>
          <w:rFonts w:hint="eastAsia" w:ascii="仿宋_GB2312" w:hAnsi="仿宋_GB2312" w:eastAsia="仿宋_GB2312" w:cs="仿宋_GB2312"/>
          <w:bCs w:val="0"/>
          <w:color w:val="auto"/>
          <w:szCs w:val="32"/>
          <w:highlight w:val="yellow"/>
          <w:u w:val="none"/>
          <w:lang w:val="en-US" w:eastAsia="zh-CN"/>
        </w:rPr>
      </w:pPr>
      <w:r>
        <w:rPr>
          <w:rFonts w:hint="eastAsia" w:ascii="黑体" w:hAnsi="黑体" w:eastAsia="黑体"/>
          <w:bCs/>
          <w:color w:val="auto"/>
          <w:szCs w:val="32"/>
          <w:highlight w:val="none"/>
          <w:u w:val="none"/>
        </w:rPr>
        <w:t>第</w:t>
      </w:r>
      <w:r>
        <w:rPr>
          <w:rFonts w:hint="eastAsia" w:ascii="黑体" w:hAnsi="黑体" w:eastAsia="黑体"/>
          <w:bCs/>
          <w:color w:val="auto"/>
          <w:szCs w:val="32"/>
          <w:highlight w:val="none"/>
          <w:u w:val="none"/>
          <w:lang w:val="en-US" w:eastAsia="zh-CN"/>
        </w:rPr>
        <w:t>九</w:t>
      </w:r>
      <w:r>
        <w:rPr>
          <w:rFonts w:hint="eastAsia" w:ascii="黑体" w:hAnsi="黑体" w:eastAsia="黑体"/>
          <w:bCs/>
          <w:color w:val="auto"/>
          <w:szCs w:val="32"/>
          <w:highlight w:val="none"/>
          <w:u w:val="none"/>
        </w:rPr>
        <w:t>条</w:t>
      </w:r>
      <w:r>
        <w:rPr>
          <w:rFonts w:hint="eastAsia" w:ascii="黑体" w:hAnsi="黑体" w:eastAsia="黑体"/>
          <w:bCs/>
          <w:color w:val="auto"/>
          <w:szCs w:val="32"/>
          <w:highlight w:val="none"/>
          <w:u w:val="none"/>
          <w:lang w:val="en-US" w:eastAsia="zh-CN"/>
        </w:rPr>
        <w:t xml:space="preserve">【配售计划】  </w:t>
      </w:r>
      <w:r>
        <w:rPr>
          <w:rFonts w:hint="eastAsia" w:ascii="仿宋_GB2312" w:hAnsi="仿宋_GB2312" w:eastAsia="仿宋_GB2312" w:cs="仿宋_GB2312"/>
          <w:bCs w:val="0"/>
          <w:color w:val="auto"/>
          <w:szCs w:val="32"/>
          <w:highlight w:val="none"/>
          <w:u w:val="none"/>
          <w:lang w:val="en-US" w:eastAsia="zh-CN"/>
        </w:rPr>
        <w:t>主管部门应当根据全市年度实施计划，结合</w:t>
      </w:r>
      <w:r>
        <w:rPr>
          <w:rFonts w:hint="eastAsia" w:ascii="仿宋_GB2312" w:hAnsi="仿宋_GB2312" w:cs="仿宋_GB2312"/>
          <w:bCs w:val="0"/>
          <w:color w:val="auto"/>
          <w:szCs w:val="32"/>
          <w:highlight w:val="none"/>
          <w:u w:val="none"/>
          <w:lang w:val="en-US" w:eastAsia="zh-CN"/>
        </w:rPr>
        <w:t>共有产权住房</w:t>
      </w:r>
      <w:r>
        <w:rPr>
          <w:rFonts w:hint="eastAsia" w:ascii="仿宋_GB2312" w:hAnsi="仿宋_GB2312" w:eastAsia="仿宋_GB2312" w:cs="仿宋_GB2312"/>
          <w:bCs w:val="0"/>
          <w:color w:val="auto"/>
          <w:szCs w:val="32"/>
          <w:highlight w:val="none"/>
          <w:u w:val="none"/>
          <w:lang w:val="en-US" w:eastAsia="zh-CN"/>
        </w:rPr>
        <w:t>房源和住房需求等情况，制定</w:t>
      </w:r>
      <w:r>
        <w:rPr>
          <w:rFonts w:hint="eastAsia" w:ascii="仿宋_GB2312" w:hAnsi="仿宋_GB2312" w:cs="仿宋_GB2312"/>
          <w:bCs w:val="0"/>
          <w:color w:val="auto"/>
          <w:szCs w:val="32"/>
          <w:highlight w:val="none"/>
          <w:u w:val="none"/>
          <w:lang w:val="en-US" w:eastAsia="zh-CN"/>
        </w:rPr>
        <w:t>共有产权住房面向在册轮候人的</w:t>
      </w:r>
      <w:r>
        <w:rPr>
          <w:rFonts w:hint="eastAsia" w:ascii="仿宋_GB2312" w:hAnsi="仿宋_GB2312" w:eastAsia="仿宋_GB2312" w:cs="仿宋_GB2312"/>
          <w:bCs w:val="0"/>
          <w:color w:val="auto"/>
          <w:szCs w:val="32"/>
          <w:highlight w:val="none"/>
          <w:u w:val="none"/>
          <w:lang w:val="en-US" w:eastAsia="zh-CN"/>
        </w:rPr>
        <w:t>年度配</w:t>
      </w:r>
      <w:r>
        <w:rPr>
          <w:rFonts w:hint="eastAsia" w:ascii="仿宋_GB2312" w:hAnsi="仿宋_GB2312" w:cs="仿宋_GB2312"/>
          <w:bCs w:val="0"/>
          <w:color w:val="auto"/>
          <w:szCs w:val="32"/>
          <w:highlight w:val="none"/>
          <w:u w:val="none"/>
          <w:lang w:val="en-US" w:eastAsia="zh-CN"/>
        </w:rPr>
        <w:t>售</w:t>
      </w:r>
      <w:r>
        <w:rPr>
          <w:rFonts w:hint="eastAsia" w:ascii="仿宋_GB2312" w:hAnsi="仿宋_GB2312" w:eastAsia="仿宋_GB2312" w:cs="仿宋_GB2312"/>
          <w:bCs w:val="0"/>
          <w:color w:val="auto"/>
          <w:szCs w:val="32"/>
          <w:highlight w:val="none"/>
          <w:u w:val="none"/>
          <w:lang w:val="en-US" w:eastAsia="zh-CN"/>
        </w:rPr>
        <w:t>计划，通过政府网站和信息平台发布。</w:t>
      </w:r>
    </w:p>
    <w:p>
      <w:pPr>
        <w:keepNext w:val="0"/>
        <w:keepLines w:val="0"/>
        <w:pageBreakBefore w:val="0"/>
        <w:tabs>
          <w:tab w:val="left" w:pos="6090"/>
        </w:tabs>
        <w:kinsoku/>
        <w:overflowPunct/>
        <w:topLinePunct w:val="0"/>
        <w:autoSpaceDE/>
        <w:autoSpaceDN/>
        <w:bidi w:val="0"/>
        <w:adjustRightInd/>
        <w:snapToGrid/>
        <w:spacing w:line="578" w:lineRule="exact"/>
        <w:ind w:firstLine="640" w:firstLineChars="200"/>
        <w:textAlignment w:val="auto"/>
        <w:outlineLvl w:val="2"/>
        <w:rPr>
          <w:rFonts w:hint="eastAsia" w:ascii="仿宋_GB2312" w:hAnsi="仿宋_GB2312" w:cs="仿宋_GB2312"/>
          <w:color w:val="auto"/>
          <w:sz w:val="32"/>
          <w:szCs w:val="32"/>
          <w:highlight w:val="yellow"/>
          <w:u w:val="none"/>
          <w:lang w:val="en-US" w:eastAsia="zh-CN"/>
        </w:rPr>
      </w:pPr>
      <w:r>
        <w:rPr>
          <w:rFonts w:hint="eastAsia" w:ascii="Arial" w:hAnsi="Arial" w:eastAsia="黑体" w:cs="Arial"/>
          <w:bCs/>
          <w:color w:val="auto"/>
          <w:sz w:val="32"/>
          <w:szCs w:val="32"/>
          <w:highlight w:val="none"/>
          <w:u w:val="none"/>
          <w:lang w:val="en-US" w:eastAsia="zh-CN"/>
        </w:rPr>
        <w:t xml:space="preserve">第十条【配售方式】  </w:t>
      </w:r>
      <w:r>
        <w:rPr>
          <w:rFonts w:hint="eastAsia" w:ascii="仿宋_GB2312" w:hAnsi="仿宋_GB2312" w:eastAsia="仿宋_GB2312" w:cs="仿宋_GB2312"/>
          <w:bCs w:val="0"/>
          <w:color w:val="auto"/>
          <w:kern w:val="0"/>
          <w:sz w:val="32"/>
          <w:szCs w:val="32"/>
          <w:highlight w:val="none"/>
          <w:u w:val="none"/>
          <w:lang w:val="en-US" w:eastAsia="zh-CN"/>
        </w:rPr>
        <w:t>共有产权住房</w:t>
      </w:r>
      <w:r>
        <w:rPr>
          <w:rFonts w:hint="eastAsia" w:ascii="仿宋_GB2312" w:hAnsi="仿宋_GB2312" w:cs="仿宋_GB2312"/>
          <w:bCs w:val="0"/>
          <w:color w:val="auto"/>
          <w:kern w:val="0"/>
          <w:sz w:val="32"/>
          <w:szCs w:val="32"/>
          <w:highlight w:val="none"/>
          <w:u w:val="none"/>
          <w:lang w:val="en-US" w:eastAsia="zh-CN"/>
        </w:rPr>
        <w:t>配售</w:t>
      </w:r>
      <w:r>
        <w:rPr>
          <w:rFonts w:hint="eastAsia" w:ascii="仿宋_GB2312" w:hAnsi="仿宋_GB2312"/>
          <w:color w:val="auto"/>
          <w:szCs w:val="32"/>
          <w:highlight w:val="none"/>
          <w:u w:val="none"/>
          <w:lang w:val="en-US" w:eastAsia="zh-CN"/>
        </w:rPr>
        <w:t>主要</w:t>
      </w:r>
      <w:r>
        <w:rPr>
          <w:rFonts w:ascii="仿宋_GB2312" w:hAnsi="仿宋_GB2312"/>
          <w:color w:val="auto"/>
          <w:szCs w:val="32"/>
          <w:highlight w:val="none"/>
          <w:u w:val="none"/>
        </w:rPr>
        <w:t>采取</w:t>
      </w:r>
      <w:r>
        <w:rPr>
          <w:rFonts w:hint="eastAsia" w:ascii="仿宋_GB2312" w:hAnsi="仿宋_GB2312"/>
          <w:color w:val="auto"/>
          <w:szCs w:val="32"/>
          <w:highlight w:val="none"/>
          <w:u w:val="none"/>
        </w:rPr>
        <w:t>日常轮候方式</w:t>
      </w:r>
      <w:r>
        <w:rPr>
          <w:rFonts w:hint="eastAsia" w:ascii="仿宋_GB2312" w:hAnsi="仿宋_GB2312"/>
          <w:color w:val="auto"/>
          <w:szCs w:val="32"/>
          <w:highlight w:val="none"/>
          <w:u w:val="none"/>
          <w:lang w:eastAsia="zh-CN"/>
        </w:rPr>
        <w:t>，</w:t>
      </w:r>
      <w:r>
        <w:rPr>
          <w:rFonts w:hint="eastAsia" w:ascii="仿宋_GB2312" w:hAnsi="仿宋_GB2312"/>
          <w:color w:val="auto"/>
          <w:szCs w:val="32"/>
          <w:highlight w:val="none"/>
          <w:u w:val="none"/>
          <w:lang w:val="en-US" w:eastAsia="zh-CN"/>
        </w:rPr>
        <w:t>也可以根据项目供应的实际情况，采取定向配售方式</w:t>
      </w:r>
      <w:r>
        <w:rPr>
          <w:rStyle w:val="14"/>
          <w:rFonts w:hint="eastAsia" w:ascii="仿宋_GB2312" w:hAnsi="仿宋_GB2312"/>
          <w:color w:val="auto"/>
          <w:szCs w:val="32"/>
          <w:highlight w:val="none"/>
          <w:u w:val="none"/>
          <w:lang w:eastAsia="zh-CN"/>
        </w:rPr>
        <w:t>。</w:t>
      </w:r>
    </w:p>
    <w:bookmarkEnd w:id="82"/>
    <w:p>
      <w:pPr>
        <w:keepNext w:val="0"/>
        <w:keepLines w:val="0"/>
        <w:pageBreakBefore w:val="0"/>
        <w:kinsoku/>
        <w:overflowPunct/>
        <w:topLinePunct w:val="0"/>
        <w:autoSpaceDE/>
        <w:autoSpaceDN/>
        <w:bidi w:val="0"/>
        <w:adjustRightInd/>
        <w:snapToGrid/>
        <w:spacing w:line="578" w:lineRule="exact"/>
        <w:ind w:firstLine="640" w:firstLineChars="200"/>
        <w:textAlignment w:val="auto"/>
        <w:outlineLvl w:val="9"/>
        <w:rPr>
          <w:rFonts w:hint="eastAsia" w:ascii="仿宋_GB2312"/>
          <w:color w:val="auto"/>
          <w:szCs w:val="32"/>
          <w:highlight w:val="none"/>
          <w:u w:val="none"/>
          <w:lang w:val="en-US" w:eastAsia="zh-CN"/>
        </w:rPr>
      </w:pPr>
      <w:r>
        <w:rPr>
          <w:rFonts w:ascii="黑体" w:hAnsi="黑体" w:eastAsia="黑体"/>
          <w:color w:val="auto"/>
          <w:szCs w:val="32"/>
          <w:highlight w:val="none"/>
          <w:u w:val="none"/>
        </w:rPr>
        <w:t>第</w:t>
      </w:r>
      <w:r>
        <w:rPr>
          <w:rFonts w:hint="eastAsia" w:ascii="黑体" w:hAnsi="黑体" w:eastAsia="黑体"/>
          <w:bCs/>
          <w:color w:val="auto"/>
          <w:szCs w:val="32"/>
          <w:highlight w:val="none"/>
          <w:u w:val="none"/>
          <w:lang w:val="en-US" w:eastAsia="zh-CN"/>
        </w:rPr>
        <w:t>十一</w:t>
      </w:r>
      <w:r>
        <w:rPr>
          <w:rFonts w:ascii="黑体" w:hAnsi="黑体" w:eastAsia="黑体"/>
          <w:color w:val="auto"/>
          <w:szCs w:val="32"/>
          <w:highlight w:val="none"/>
          <w:u w:val="none"/>
        </w:rPr>
        <w:t>条</w:t>
      </w:r>
      <w:r>
        <w:rPr>
          <w:rFonts w:hint="eastAsia" w:ascii="黑体" w:hAnsi="黑体" w:eastAsia="黑体"/>
          <w:bCs/>
          <w:color w:val="auto"/>
          <w:szCs w:val="32"/>
          <w:highlight w:val="none"/>
          <w:u w:val="none"/>
        </w:rPr>
        <w:t>【申请主体】</w:t>
      </w:r>
      <w:r>
        <w:rPr>
          <w:rFonts w:hint="eastAsia" w:ascii="黑体" w:hAnsi="黑体" w:eastAsia="黑体"/>
          <w:bCs/>
          <w:color w:val="auto"/>
          <w:szCs w:val="32"/>
          <w:highlight w:val="none"/>
          <w:u w:val="none"/>
          <w:lang w:val="en-US" w:eastAsia="zh-CN"/>
        </w:rPr>
        <w:t xml:space="preserve">  </w:t>
      </w:r>
      <w:r>
        <w:rPr>
          <w:rFonts w:hint="eastAsia" w:ascii="仿宋_GB2312" w:hAnsi="宋体"/>
          <w:color w:val="auto"/>
          <w:szCs w:val="32"/>
          <w:highlight w:val="none"/>
          <w:u w:val="none"/>
        </w:rPr>
        <w:t>申请人已经组建家庭的，应当以家庭为单位提出</w:t>
      </w:r>
      <w:r>
        <w:rPr>
          <w:rFonts w:hint="eastAsia" w:ascii="仿宋_GB2312" w:hAnsi="宋体"/>
          <w:color w:val="auto"/>
          <w:szCs w:val="32"/>
          <w:highlight w:val="none"/>
          <w:u w:val="none"/>
          <w:lang w:val="en-US" w:eastAsia="zh-CN"/>
        </w:rPr>
        <w:t>轮候和认购共有产权住房的</w:t>
      </w:r>
      <w:r>
        <w:rPr>
          <w:rFonts w:hint="eastAsia" w:ascii="仿宋_GB2312" w:hAnsi="宋体"/>
          <w:color w:val="auto"/>
          <w:szCs w:val="32"/>
          <w:highlight w:val="none"/>
          <w:u w:val="none"/>
        </w:rPr>
        <w:t>申请。申请人配偶、未满十八周岁的子女应当列为共同申请人。</w:t>
      </w:r>
      <w:r>
        <w:rPr>
          <w:rFonts w:hint="eastAsia" w:ascii="仿宋_GB2312" w:hAnsi="仿宋_GB2312" w:cs="仿宋_GB2312"/>
          <w:bCs/>
          <w:color w:val="auto"/>
          <w:szCs w:val="32"/>
          <w:highlight w:val="none"/>
          <w:u w:val="none"/>
        </w:rPr>
        <w:t>申请人父母、申请人配偶父母可以作为共同申请人。未满十八周岁的子女列为共同申请人的，不影响其达到规定年龄后</w:t>
      </w:r>
      <w:r>
        <w:rPr>
          <w:rFonts w:hint="eastAsia" w:ascii="仿宋_GB2312" w:hAnsi="仿宋_GB2312" w:cs="仿宋_GB2312"/>
          <w:bCs/>
          <w:color w:val="auto"/>
          <w:szCs w:val="32"/>
          <w:highlight w:val="none"/>
          <w:u w:val="none"/>
          <w:lang w:val="en-US" w:eastAsia="zh-CN"/>
        </w:rPr>
        <w:t>享受</w:t>
      </w:r>
      <w:r>
        <w:rPr>
          <w:rFonts w:hint="eastAsia" w:ascii="仿宋_GB2312" w:hAnsi="仿宋_GB2312" w:cs="仿宋_GB2312"/>
          <w:bCs/>
          <w:color w:val="auto"/>
          <w:szCs w:val="32"/>
          <w:highlight w:val="none"/>
          <w:u w:val="none"/>
        </w:rPr>
        <w:t>住房保障</w:t>
      </w:r>
      <w:r>
        <w:rPr>
          <w:rFonts w:hint="eastAsia" w:ascii="仿宋_GB2312" w:hAnsi="仿宋_GB2312" w:cs="仿宋_GB2312"/>
          <w:bCs/>
          <w:color w:val="auto"/>
          <w:szCs w:val="32"/>
          <w:highlight w:val="none"/>
          <w:u w:val="none"/>
          <w:lang w:val="en-US" w:eastAsia="zh-CN"/>
        </w:rPr>
        <w:t>优惠政策</w:t>
      </w:r>
      <w:r>
        <w:rPr>
          <w:rFonts w:hint="eastAsia" w:ascii="仿宋_GB2312" w:hAnsi="仿宋_GB2312" w:cs="仿宋_GB2312"/>
          <w:bCs/>
          <w:color w:val="auto"/>
          <w:szCs w:val="32"/>
          <w:highlight w:val="none"/>
          <w:u w:val="none"/>
        </w:rPr>
        <w:t>。</w:t>
      </w:r>
      <w:r>
        <w:rPr>
          <w:rFonts w:hint="eastAsia" w:ascii="仿宋_GB2312" w:hAnsi="宋体"/>
          <w:color w:val="auto"/>
          <w:szCs w:val="32"/>
          <w:highlight w:val="none"/>
          <w:u w:val="none"/>
        </w:rPr>
        <w:t>年满十八周岁的子女不得作为共同申请人，</w:t>
      </w:r>
      <w:r>
        <w:rPr>
          <w:rFonts w:hint="eastAsia" w:ascii="仿宋_GB2312"/>
          <w:color w:val="auto"/>
          <w:szCs w:val="32"/>
          <w:highlight w:val="none"/>
          <w:u w:val="none"/>
        </w:rPr>
        <w:t>但</w:t>
      </w:r>
      <w:r>
        <w:rPr>
          <w:rFonts w:hint="eastAsia" w:ascii="仿宋_GB2312"/>
          <w:color w:val="auto"/>
          <w:szCs w:val="32"/>
          <w:highlight w:val="none"/>
          <w:u w:val="none"/>
          <w:lang w:val="en-US" w:eastAsia="zh-CN"/>
        </w:rPr>
        <w:t>因残疾等不能独立生活，需要由申请人进行抚养的除外。</w:t>
      </w:r>
    </w:p>
    <w:p>
      <w:pPr>
        <w:keepNext w:val="0"/>
        <w:keepLines w:val="0"/>
        <w:pageBreakBefore w:val="0"/>
        <w:kinsoku/>
        <w:overflowPunct/>
        <w:topLinePunct w:val="0"/>
        <w:autoSpaceDE/>
        <w:autoSpaceDN/>
        <w:bidi w:val="0"/>
        <w:spacing w:line="578" w:lineRule="exact"/>
        <w:ind w:firstLine="640" w:firstLineChars="200"/>
        <w:rPr>
          <w:color w:val="auto"/>
          <w:szCs w:val="32"/>
          <w:u w:val="none"/>
        </w:rPr>
      </w:pPr>
      <w:r>
        <w:rPr>
          <w:rFonts w:hint="eastAsia" w:ascii="仿宋_GB2312" w:hAnsi="仿宋_GB2312" w:eastAsia="仿宋_GB2312" w:cs="仿宋_GB2312"/>
          <w:bCs/>
          <w:color w:val="auto"/>
          <w:szCs w:val="32"/>
          <w:highlight w:val="none"/>
          <w:u w:val="none"/>
          <w:lang w:val="en-US" w:eastAsia="zh-CN"/>
        </w:rPr>
        <w:t>申请人</w:t>
      </w:r>
      <w:r>
        <w:rPr>
          <w:rFonts w:hint="eastAsia" w:ascii="仿宋_GB2312" w:hAnsi="仿宋_GB2312" w:cs="仿宋_GB2312"/>
          <w:bCs/>
          <w:color w:val="auto"/>
          <w:szCs w:val="32"/>
          <w:highlight w:val="none"/>
          <w:u w:val="none"/>
        </w:rPr>
        <w:t>年满三十五周岁</w:t>
      </w:r>
      <w:r>
        <w:rPr>
          <w:rFonts w:hint="eastAsia" w:ascii="仿宋_GB2312" w:hAnsi="仿宋_GB2312" w:cs="仿宋_GB2312"/>
          <w:bCs/>
          <w:color w:val="auto"/>
          <w:szCs w:val="32"/>
          <w:highlight w:val="none"/>
          <w:u w:val="none"/>
          <w:lang w:val="en-US" w:eastAsia="zh-CN"/>
        </w:rPr>
        <w:t>未组建家庭</w:t>
      </w:r>
      <w:r>
        <w:rPr>
          <w:rFonts w:hint="eastAsia" w:ascii="仿宋_GB2312" w:hAnsi="仿宋_GB2312" w:cs="仿宋_GB2312"/>
          <w:bCs/>
          <w:color w:val="auto"/>
          <w:szCs w:val="32"/>
          <w:highlight w:val="none"/>
          <w:u w:val="none"/>
        </w:rPr>
        <w:t>的，可以</w:t>
      </w:r>
      <w:r>
        <w:rPr>
          <w:rFonts w:hint="eastAsia" w:ascii="仿宋_GB2312" w:hAnsi="仿宋_GB2312" w:cs="仿宋_GB2312"/>
          <w:bCs/>
          <w:color w:val="auto"/>
          <w:szCs w:val="32"/>
          <w:highlight w:val="none"/>
          <w:u w:val="none"/>
          <w:lang w:val="en-US" w:eastAsia="zh-CN"/>
        </w:rPr>
        <w:t>个人名义</w:t>
      </w:r>
      <w:r>
        <w:rPr>
          <w:rFonts w:hint="eastAsia" w:ascii="仿宋_GB2312" w:hAnsi="宋体"/>
          <w:color w:val="auto"/>
          <w:szCs w:val="32"/>
          <w:highlight w:val="none"/>
          <w:u w:val="none"/>
        </w:rPr>
        <w:t>提出</w:t>
      </w:r>
      <w:r>
        <w:rPr>
          <w:rFonts w:hint="eastAsia" w:ascii="仿宋_GB2312" w:hAnsi="宋体"/>
          <w:color w:val="auto"/>
          <w:szCs w:val="32"/>
          <w:highlight w:val="none"/>
          <w:u w:val="none"/>
          <w:lang w:val="en-US" w:eastAsia="zh-CN"/>
        </w:rPr>
        <w:t>轮候和认购共有产权住房的</w:t>
      </w:r>
      <w:r>
        <w:rPr>
          <w:rFonts w:hint="eastAsia" w:ascii="仿宋_GB2312" w:hAnsi="宋体"/>
          <w:color w:val="auto"/>
          <w:szCs w:val="32"/>
          <w:highlight w:val="none"/>
          <w:u w:val="none"/>
        </w:rPr>
        <w:t>申请</w:t>
      </w:r>
      <w:r>
        <w:rPr>
          <w:rFonts w:hint="eastAsia" w:ascii="仿宋_GB2312" w:hAnsi="仿宋_GB2312" w:cs="仿宋_GB2312"/>
          <w:bCs/>
          <w:color w:val="auto"/>
          <w:szCs w:val="32"/>
          <w:highlight w:val="none"/>
          <w:u w:val="none"/>
        </w:rPr>
        <w:t>。申请人父母可以作为共同申请人。</w:t>
      </w:r>
    </w:p>
    <w:p>
      <w:pPr>
        <w:pStyle w:val="2"/>
        <w:keepNext w:val="0"/>
        <w:keepLines w:val="0"/>
        <w:pageBreakBefore w:val="0"/>
        <w:kinsoku/>
        <w:overflowPunct/>
        <w:topLinePunct w:val="0"/>
        <w:autoSpaceDE/>
        <w:autoSpaceDN/>
        <w:bidi w:val="0"/>
        <w:adjustRightInd/>
        <w:snapToGrid/>
        <w:spacing w:after="0" w:line="578" w:lineRule="exact"/>
        <w:ind w:firstLine="640"/>
        <w:textAlignment w:val="auto"/>
        <w:rPr>
          <w:rFonts w:hint="eastAsia" w:ascii="仿宋_GB2312" w:hAnsi="仿宋_GB2312" w:cs="仿宋_GB2312"/>
          <w:bCs/>
          <w:color w:val="auto"/>
          <w:szCs w:val="32"/>
          <w:highlight w:val="none"/>
          <w:u w:val="none"/>
        </w:rPr>
      </w:pPr>
      <w:r>
        <w:rPr>
          <w:rFonts w:hint="eastAsia" w:ascii="仿宋_GB2312" w:hAnsi="仿宋_GB2312" w:cs="仿宋_GB2312"/>
          <w:bCs/>
          <w:color w:val="auto"/>
          <w:szCs w:val="32"/>
          <w:highlight w:val="none"/>
          <w:u w:val="none"/>
        </w:rPr>
        <w:t>投靠子女取得本市户籍的居民，不得作为申请人。</w:t>
      </w:r>
    </w:p>
    <w:p>
      <w:pPr>
        <w:keepNext w:val="0"/>
        <w:keepLines w:val="0"/>
        <w:pageBreakBefore w:val="0"/>
        <w:numPr>
          <w:ilvl w:val="-1"/>
          <w:numId w:val="0"/>
        </w:numPr>
        <w:kinsoku/>
        <w:overflowPunct/>
        <w:topLinePunct w:val="0"/>
        <w:autoSpaceDE/>
        <w:autoSpaceDN/>
        <w:bidi w:val="0"/>
        <w:adjustRightInd/>
        <w:snapToGrid/>
        <w:spacing w:line="578" w:lineRule="exact"/>
        <w:ind w:firstLine="640" w:firstLineChars="200"/>
        <w:textAlignment w:val="auto"/>
        <w:outlineLvl w:val="2"/>
        <w:rPr>
          <w:rFonts w:ascii="黑体" w:hAnsi="黑体" w:eastAsia="黑体"/>
          <w:bCs/>
          <w:color w:val="auto"/>
          <w:szCs w:val="32"/>
          <w:highlight w:val="none"/>
          <w:u w:val="none"/>
        </w:rPr>
      </w:pPr>
      <w:r>
        <w:rPr>
          <w:rFonts w:hint="eastAsia" w:ascii="黑体" w:hAnsi="黑体" w:eastAsia="黑体"/>
          <w:bCs/>
          <w:color w:val="auto"/>
          <w:szCs w:val="32"/>
          <w:highlight w:val="none"/>
          <w:u w:val="none"/>
        </w:rPr>
        <w:t>第</w:t>
      </w:r>
      <w:r>
        <w:rPr>
          <w:rFonts w:hint="eastAsia" w:ascii="黑体" w:hAnsi="黑体" w:eastAsia="黑体"/>
          <w:color w:val="auto"/>
          <w:szCs w:val="32"/>
          <w:highlight w:val="none"/>
          <w:u w:val="none"/>
          <w:lang w:val="en-US" w:eastAsia="zh-CN"/>
        </w:rPr>
        <w:t>十二</w:t>
      </w:r>
      <w:r>
        <w:rPr>
          <w:rFonts w:hint="eastAsia" w:ascii="黑体" w:hAnsi="黑体" w:eastAsia="黑体"/>
          <w:bCs/>
          <w:color w:val="auto"/>
          <w:szCs w:val="32"/>
          <w:highlight w:val="none"/>
          <w:u w:val="none"/>
        </w:rPr>
        <w:t>条【共有产权住房申请条件】</w:t>
      </w:r>
      <w:r>
        <w:rPr>
          <w:rFonts w:hint="eastAsia" w:ascii="黑体" w:hAnsi="黑体" w:eastAsia="黑体"/>
          <w:bCs/>
          <w:color w:val="auto"/>
          <w:szCs w:val="32"/>
          <w:highlight w:val="none"/>
          <w:u w:val="none"/>
          <w:lang w:val="en-US" w:eastAsia="zh-CN"/>
        </w:rPr>
        <w:t xml:space="preserve">  </w:t>
      </w:r>
      <w:r>
        <w:rPr>
          <w:rFonts w:hint="eastAsia" w:ascii="仿宋_GB2312" w:hAnsi="仿宋_GB2312" w:cs="仿宋_GB2312"/>
          <w:color w:val="auto"/>
          <w:szCs w:val="32"/>
          <w:highlight w:val="none"/>
          <w:u w:val="none"/>
        </w:rPr>
        <w:t>申请</w:t>
      </w:r>
      <w:r>
        <w:rPr>
          <w:rFonts w:hint="eastAsia" w:ascii="仿宋_GB2312" w:hAnsi="仿宋_GB2312"/>
          <w:color w:val="auto"/>
          <w:szCs w:val="32"/>
          <w:highlight w:val="none"/>
          <w:u w:val="none"/>
        </w:rPr>
        <w:t>轮候</w:t>
      </w:r>
      <w:r>
        <w:rPr>
          <w:rFonts w:hint="eastAsia" w:ascii="仿宋_GB2312" w:hAnsi="仿宋_GB2312"/>
          <w:color w:val="auto"/>
          <w:szCs w:val="32"/>
          <w:highlight w:val="none"/>
          <w:u w:val="none"/>
          <w:lang w:val="en-US" w:eastAsia="zh-CN"/>
        </w:rPr>
        <w:t>和认购</w:t>
      </w:r>
      <w:r>
        <w:rPr>
          <w:rFonts w:hint="eastAsia" w:ascii="仿宋_GB2312" w:hAnsi="仿宋_GB2312" w:cs="仿宋_GB2312"/>
          <w:color w:val="auto"/>
          <w:szCs w:val="32"/>
          <w:highlight w:val="none"/>
          <w:u w:val="none"/>
        </w:rPr>
        <w:t>共有产权住房</w:t>
      </w:r>
      <w:r>
        <w:rPr>
          <w:rFonts w:hint="eastAsia" w:ascii="仿宋_GB2312" w:hAnsi="仿宋_GB2312" w:cs="仿宋_GB2312"/>
          <w:color w:val="auto"/>
          <w:szCs w:val="32"/>
          <w:highlight w:val="none"/>
          <w:u w:val="none"/>
          <w:lang w:val="en-US" w:eastAsia="zh-CN"/>
        </w:rPr>
        <w:t>的</w:t>
      </w:r>
      <w:r>
        <w:rPr>
          <w:rFonts w:hint="eastAsia" w:ascii="仿宋_GB2312" w:hAnsi="仿宋_GB2312" w:cs="仿宋_GB2312"/>
          <w:color w:val="auto"/>
          <w:szCs w:val="32"/>
          <w:highlight w:val="none"/>
          <w:u w:val="none"/>
        </w:rPr>
        <w:t>，应当同时符合以下条件：</w:t>
      </w:r>
    </w:p>
    <w:p>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hint="eastAsia"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w:t>
      </w:r>
      <w:r>
        <w:rPr>
          <w:rFonts w:hint="eastAsia" w:ascii="仿宋_GB2312" w:hAnsi="仿宋_GB2312" w:cs="仿宋_GB2312"/>
          <w:color w:val="auto"/>
          <w:szCs w:val="32"/>
          <w:highlight w:val="none"/>
          <w:u w:val="none"/>
          <w:lang w:val="en-US" w:eastAsia="zh-CN"/>
        </w:rPr>
        <w:t>一</w:t>
      </w:r>
      <w:r>
        <w:rPr>
          <w:rFonts w:hint="eastAsia" w:ascii="仿宋_GB2312" w:hAnsi="仿宋_GB2312" w:cs="仿宋_GB2312"/>
          <w:color w:val="auto"/>
          <w:szCs w:val="32"/>
          <w:highlight w:val="none"/>
          <w:u w:val="none"/>
        </w:rPr>
        <w:t>）申请人及共同申请人均未在本市拥有自有住房（含住房建设用地，下同），在申请受理之日前</w:t>
      </w:r>
      <w:r>
        <w:rPr>
          <w:rFonts w:hint="eastAsia" w:ascii="仿宋_GB2312" w:hAnsi="宋体"/>
          <w:color w:val="auto"/>
          <w:szCs w:val="32"/>
          <w:highlight w:val="none"/>
          <w:u w:val="none"/>
        </w:rPr>
        <w:t>五</w:t>
      </w:r>
      <w:r>
        <w:rPr>
          <w:rFonts w:hint="eastAsia" w:ascii="仿宋_GB2312" w:hAnsi="仿宋_GB2312" w:cs="仿宋_GB2312"/>
          <w:color w:val="auto"/>
          <w:szCs w:val="32"/>
          <w:highlight w:val="none"/>
          <w:u w:val="none"/>
        </w:rPr>
        <w:t>年以内未在本市转让过或者因离婚分割过自有住房；</w:t>
      </w:r>
    </w:p>
    <w:p>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w:t>
      </w:r>
      <w:r>
        <w:rPr>
          <w:rFonts w:hint="eastAsia" w:ascii="仿宋_GB2312" w:hAnsi="仿宋_GB2312" w:cs="仿宋_GB2312"/>
          <w:color w:val="auto"/>
          <w:szCs w:val="32"/>
          <w:highlight w:val="none"/>
          <w:u w:val="none"/>
          <w:lang w:val="en-US" w:eastAsia="zh-CN"/>
        </w:rPr>
        <w:t>二</w:t>
      </w:r>
      <w:r>
        <w:rPr>
          <w:rFonts w:hint="eastAsia" w:ascii="仿宋_GB2312" w:hAnsi="仿宋_GB2312" w:cs="仿宋_GB2312"/>
          <w:color w:val="auto"/>
          <w:szCs w:val="32"/>
          <w:highlight w:val="none"/>
          <w:u w:val="none"/>
        </w:rPr>
        <w:t>）申请人及共同申请人均具有本市户籍。共同申请人为现役军人、</w:t>
      </w:r>
      <w:r>
        <w:rPr>
          <w:rFonts w:hint="eastAsia" w:ascii="仿宋_GB2312"/>
          <w:color w:val="auto"/>
          <w:szCs w:val="32"/>
          <w:highlight w:val="none"/>
          <w:u w:val="none"/>
        </w:rPr>
        <w:t>港澳台居民</w:t>
      </w:r>
      <w:r>
        <w:rPr>
          <w:rFonts w:hint="eastAsia" w:ascii="仿宋_GB2312" w:hAnsi="仿宋_GB2312" w:cs="仿宋_GB2312"/>
          <w:color w:val="auto"/>
          <w:szCs w:val="32"/>
          <w:highlight w:val="none"/>
          <w:u w:val="none"/>
        </w:rPr>
        <w:t>或者在就读全日制学校期间将户籍迁出本市的未满</w:t>
      </w:r>
      <w:r>
        <w:rPr>
          <w:rFonts w:hint="eastAsia" w:ascii="仿宋_GB2312" w:hAnsi="宋体"/>
          <w:color w:val="auto"/>
          <w:szCs w:val="32"/>
          <w:highlight w:val="none"/>
          <w:u w:val="none"/>
        </w:rPr>
        <w:t>十八</w:t>
      </w:r>
      <w:r>
        <w:rPr>
          <w:rFonts w:hint="eastAsia" w:ascii="仿宋_GB2312" w:hAnsi="仿宋_GB2312" w:cs="仿宋_GB2312"/>
          <w:color w:val="auto"/>
          <w:szCs w:val="32"/>
          <w:highlight w:val="none"/>
          <w:u w:val="none"/>
        </w:rPr>
        <w:t>周岁的子女，不受户籍限制</w:t>
      </w:r>
      <w:r>
        <w:rPr>
          <w:rFonts w:ascii="仿宋_GB2312" w:hAnsi="仿宋_GB2312" w:cs="仿宋_GB2312"/>
          <w:color w:val="auto"/>
          <w:szCs w:val="32"/>
          <w:highlight w:val="none"/>
          <w:u w:val="none"/>
        </w:rPr>
        <w:t>；</w:t>
      </w:r>
    </w:p>
    <w:p>
      <w:pPr>
        <w:keepNext w:val="0"/>
        <w:keepLines w:val="0"/>
        <w:pageBreakBefore w:val="0"/>
        <w:numPr>
          <w:ilvl w:val="0"/>
          <w:numId w:val="0"/>
        </w:numPr>
        <w:kinsoku/>
        <w:overflowPunct/>
        <w:topLinePunct w:val="0"/>
        <w:autoSpaceDE/>
        <w:autoSpaceDN/>
        <w:bidi w:val="0"/>
        <w:adjustRightInd/>
        <w:snapToGrid/>
        <w:spacing w:line="578" w:lineRule="exact"/>
        <w:ind w:firstLine="640" w:firstLineChars="200"/>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w:t>
      </w:r>
      <w:r>
        <w:rPr>
          <w:rFonts w:hint="eastAsia" w:ascii="仿宋_GB2312" w:hAnsi="仿宋_GB2312" w:cs="仿宋_GB2312"/>
          <w:color w:val="auto"/>
          <w:szCs w:val="32"/>
          <w:highlight w:val="none"/>
          <w:u w:val="none"/>
          <w:lang w:val="en-US" w:eastAsia="zh-CN"/>
        </w:rPr>
        <w:t>三</w:t>
      </w:r>
      <w:r>
        <w:rPr>
          <w:rFonts w:hint="eastAsia" w:ascii="仿宋_GB2312" w:hAnsi="仿宋_GB2312" w:cs="仿宋_GB2312"/>
          <w:color w:val="auto"/>
          <w:szCs w:val="32"/>
          <w:highlight w:val="none"/>
          <w:u w:val="none"/>
        </w:rPr>
        <w:t>）申请人在本市</w:t>
      </w:r>
      <w:r>
        <w:rPr>
          <w:rFonts w:hint="eastAsia" w:ascii="仿宋_GB2312" w:hAnsi="仿宋_GB2312" w:cs="仿宋_GB2312"/>
          <w:color w:val="auto"/>
          <w:szCs w:val="32"/>
          <w:highlight w:val="none"/>
          <w:u w:val="none"/>
          <w:lang w:eastAsia="zh-CN"/>
        </w:rPr>
        <w:t>符合社会保险规定并</w:t>
      </w:r>
      <w:r>
        <w:rPr>
          <w:rFonts w:hint="eastAsia" w:ascii="仿宋_GB2312" w:hAnsi="仿宋_GB2312" w:cs="仿宋_GB2312"/>
          <w:color w:val="auto"/>
          <w:szCs w:val="32"/>
          <w:highlight w:val="none"/>
          <w:u w:val="none"/>
        </w:rPr>
        <w:t>正常缴纳（不含少儿医疗保险，下同），但在本市退休的除外；申请人参加本市社会保险累计缴费</w:t>
      </w:r>
      <w:r>
        <w:rPr>
          <w:rFonts w:hint="eastAsia" w:ascii="仿宋_GB2312" w:hAnsi="宋体"/>
          <w:color w:val="auto"/>
          <w:szCs w:val="32"/>
          <w:highlight w:val="none"/>
          <w:u w:val="none"/>
          <w:lang w:val="en-US" w:eastAsia="zh-CN"/>
        </w:rPr>
        <w:t>五</w:t>
      </w:r>
      <w:r>
        <w:rPr>
          <w:rFonts w:hint="eastAsia" w:ascii="仿宋_GB2312" w:hAnsi="仿宋_GB2312" w:cs="仿宋_GB2312"/>
          <w:color w:val="auto"/>
          <w:szCs w:val="32"/>
          <w:highlight w:val="none"/>
          <w:u w:val="none"/>
        </w:rPr>
        <w:t>年以上；</w:t>
      </w:r>
      <w:r>
        <w:rPr>
          <w:rFonts w:hint="eastAsia" w:ascii="仿宋_GB2312" w:hAnsi="仿宋_GB2312" w:cs="仿宋_GB2312"/>
          <w:color w:val="auto"/>
          <w:szCs w:val="32"/>
          <w:highlight w:val="none"/>
          <w:u w:val="none"/>
          <w:lang w:val="en-US" w:eastAsia="zh-CN"/>
        </w:rPr>
        <w:t>在本市服役或者原本市户籍的</w:t>
      </w:r>
      <w:r>
        <w:rPr>
          <w:rFonts w:hint="eastAsia" w:ascii="仿宋_GB2312"/>
          <w:color w:val="auto"/>
          <w:szCs w:val="32"/>
          <w:highlight w:val="none"/>
          <w:u w:val="none"/>
        </w:rPr>
        <w:t>退役军人</w:t>
      </w:r>
      <w:r>
        <w:rPr>
          <w:rFonts w:hint="eastAsia" w:ascii="仿宋_GB2312"/>
          <w:color w:val="auto"/>
          <w:szCs w:val="32"/>
          <w:highlight w:val="none"/>
          <w:u w:val="none"/>
          <w:lang w:eastAsia="zh-CN"/>
        </w:rPr>
        <w:t>，</w:t>
      </w:r>
      <w:r>
        <w:rPr>
          <w:rFonts w:hint="eastAsia" w:ascii="仿宋_GB2312"/>
          <w:color w:val="auto"/>
          <w:szCs w:val="32"/>
          <w:highlight w:val="none"/>
          <w:u w:val="none"/>
          <w:lang w:val="en-US" w:eastAsia="zh-CN"/>
        </w:rPr>
        <w:t>其</w:t>
      </w:r>
      <w:r>
        <w:rPr>
          <w:rFonts w:hint="eastAsia" w:ascii="仿宋_GB2312"/>
          <w:color w:val="auto"/>
          <w:szCs w:val="32"/>
          <w:highlight w:val="none"/>
          <w:u w:val="none"/>
        </w:rPr>
        <w:t>服役年限计入</w:t>
      </w:r>
      <w:r>
        <w:rPr>
          <w:rFonts w:ascii="仿宋_GB2312" w:hAnsi="仿宋_GB2312" w:cs="仿宋_GB2312"/>
          <w:color w:val="auto"/>
          <w:szCs w:val="32"/>
          <w:highlight w:val="none"/>
          <w:u w:val="none"/>
        </w:rPr>
        <w:t>本市社会保险累计缴费年限</w:t>
      </w:r>
      <w:r>
        <w:rPr>
          <w:rFonts w:hint="eastAsia" w:ascii="仿宋_GB2312"/>
          <w:color w:val="auto"/>
          <w:szCs w:val="32"/>
          <w:highlight w:val="none"/>
          <w:u w:val="none"/>
        </w:rPr>
        <w:t>；</w:t>
      </w:r>
    </w:p>
    <w:p>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w:t>
      </w:r>
      <w:r>
        <w:rPr>
          <w:rFonts w:hint="eastAsia" w:ascii="仿宋_GB2312" w:hAnsi="仿宋_GB2312" w:cs="仿宋_GB2312"/>
          <w:color w:val="auto"/>
          <w:szCs w:val="32"/>
          <w:highlight w:val="none"/>
          <w:u w:val="none"/>
          <w:lang w:val="en-US" w:eastAsia="zh-CN"/>
        </w:rPr>
        <w:t>四</w:t>
      </w:r>
      <w:r>
        <w:rPr>
          <w:rFonts w:hint="eastAsia" w:ascii="仿宋_GB2312" w:hAnsi="仿宋_GB2312" w:cs="仿宋_GB2312"/>
          <w:color w:val="auto"/>
          <w:szCs w:val="32"/>
          <w:highlight w:val="none"/>
          <w:u w:val="none"/>
        </w:rPr>
        <w:t>）申请人及共同申请人均未在本市享受过购房优惠政策；</w:t>
      </w:r>
      <w:r>
        <w:rPr>
          <w:rFonts w:ascii="仿宋_GB2312" w:hAnsi="仿宋_GB2312" w:cs="仿宋_GB2312"/>
          <w:color w:val="auto"/>
          <w:szCs w:val="32"/>
          <w:highlight w:val="none"/>
          <w:u w:val="none"/>
        </w:rPr>
        <w:t>申请人配偶在</w:t>
      </w:r>
      <w:r>
        <w:rPr>
          <w:rFonts w:hint="eastAsia" w:ascii="仿宋_GB2312" w:hAnsi="仿宋_GB2312" w:cs="仿宋_GB2312"/>
          <w:color w:val="auto"/>
          <w:szCs w:val="32"/>
          <w:highlight w:val="none"/>
          <w:u w:val="none"/>
        </w:rPr>
        <w:t>原</w:t>
      </w:r>
      <w:r>
        <w:rPr>
          <w:rFonts w:ascii="仿宋_GB2312" w:hAnsi="仿宋_GB2312" w:cs="仿宋_GB2312"/>
          <w:color w:val="auto"/>
          <w:szCs w:val="32"/>
          <w:highlight w:val="none"/>
          <w:u w:val="none"/>
        </w:rPr>
        <w:t>婚姻存续期间购买过政策性住房，</w:t>
      </w:r>
      <w:r>
        <w:rPr>
          <w:rFonts w:hint="eastAsia" w:ascii="仿宋_GB2312" w:hAnsi="仿宋_GB2312" w:cs="仿宋_GB2312"/>
          <w:color w:val="auto"/>
          <w:szCs w:val="32"/>
          <w:highlight w:val="none"/>
          <w:u w:val="none"/>
        </w:rPr>
        <w:t>但在原婚姻存续期间已转让该住房或者</w:t>
      </w:r>
      <w:r>
        <w:rPr>
          <w:rFonts w:ascii="仿宋_GB2312" w:hAnsi="仿宋_GB2312" w:cs="仿宋_GB2312"/>
          <w:color w:val="auto"/>
          <w:szCs w:val="32"/>
          <w:highlight w:val="none"/>
          <w:u w:val="none"/>
        </w:rPr>
        <w:t>离异时该住房归原配偶所有的，可以作为共同申请人</w:t>
      </w:r>
      <w:r>
        <w:rPr>
          <w:rFonts w:hint="eastAsia" w:ascii="仿宋_GB2312" w:hAnsi="仿宋_GB2312" w:cs="仿宋_GB2312"/>
          <w:color w:val="auto"/>
          <w:szCs w:val="32"/>
          <w:highlight w:val="none"/>
          <w:u w:val="none"/>
        </w:rPr>
        <w:t>；</w:t>
      </w:r>
    </w:p>
    <w:p>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w:t>
      </w:r>
      <w:r>
        <w:rPr>
          <w:rFonts w:hint="eastAsia" w:ascii="仿宋_GB2312" w:hAnsi="仿宋_GB2312" w:cs="仿宋_GB2312"/>
          <w:color w:val="auto"/>
          <w:szCs w:val="32"/>
          <w:highlight w:val="none"/>
          <w:u w:val="none"/>
          <w:lang w:val="en-US" w:eastAsia="zh-CN"/>
        </w:rPr>
        <w:t>五</w:t>
      </w:r>
      <w:r>
        <w:rPr>
          <w:rFonts w:hint="eastAsia" w:ascii="仿宋_GB2312" w:hAnsi="仿宋_GB2312" w:cs="仿宋_GB2312"/>
          <w:color w:val="auto"/>
          <w:szCs w:val="32"/>
          <w:highlight w:val="none"/>
          <w:u w:val="none"/>
        </w:rPr>
        <w:t>）</w:t>
      </w:r>
      <w:r>
        <w:rPr>
          <w:rFonts w:hint="eastAsia" w:ascii="仿宋_GB2312"/>
          <w:color w:val="auto"/>
          <w:szCs w:val="32"/>
          <w:highlight w:val="none"/>
          <w:u w:val="none"/>
        </w:rPr>
        <w:t>法律、法规、规章和</w:t>
      </w:r>
      <w:r>
        <w:rPr>
          <w:rFonts w:hint="eastAsia" w:ascii="仿宋_GB2312"/>
          <w:color w:val="auto"/>
          <w:szCs w:val="32"/>
          <w:highlight w:val="none"/>
          <w:u w:val="none"/>
          <w:lang w:eastAsia="zh-CN"/>
        </w:rPr>
        <w:t>市政府</w:t>
      </w:r>
      <w:r>
        <w:rPr>
          <w:rFonts w:hint="eastAsia" w:ascii="仿宋_GB2312"/>
          <w:color w:val="auto"/>
          <w:szCs w:val="32"/>
          <w:highlight w:val="none"/>
          <w:u w:val="none"/>
        </w:rPr>
        <w:t>规定的其他条件</w:t>
      </w:r>
      <w:r>
        <w:rPr>
          <w:rFonts w:hint="eastAsia" w:ascii="仿宋_GB2312" w:hAnsi="仿宋_GB2312" w:cs="仿宋_GB2312"/>
          <w:color w:val="auto"/>
          <w:szCs w:val="32"/>
          <w:highlight w:val="none"/>
          <w:u w:val="none"/>
        </w:rPr>
        <w:t>。</w:t>
      </w:r>
    </w:p>
    <w:p>
      <w:pPr>
        <w:keepNext w:val="0"/>
        <w:keepLines w:val="0"/>
        <w:pageBreakBefore w:val="0"/>
        <w:numPr>
          <w:ilvl w:val="255"/>
          <w:numId w:val="0"/>
        </w:numPr>
        <w:kinsoku/>
        <w:overflowPunct/>
        <w:topLinePunct w:val="0"/>
        <w:autoSpaceDE/>
        <w:autoSpaceDN/>
        <w:bidi w:val="0"/>
        <w:adjustRightInd/>
        <w:snapToGrid/>
        <w:spacing w:line="578" w:lineRule="exact"/>
        <w:ind w:firstLine="640" w:firstLineChars="200"/>
        <w:textAlignment w:val="auto"/>
        <w:rPr>
          <w:rFonts w:hint="eastAsia" w:ascii="仿宋_GB2312" w:hAnsi="仿宋_GB2312" w:cs="仿宋_GB2312"/>
          <w:color w:val="auto"/>
          <w:szCs w:val="32"/>
          <w:highlight w:val="none"/>
          <w:u w:val="none"/>
          <w:lang w:val="en-US" w:eastAsia="zh-CN"/>
        </w:rPr>
      </w:pPr>
      <w:r>
        <w:rPr>
          <w:rFonts w:hint="eastAsia" w:ascii="仿宋_GB2312" w:hAnsi="仿宋_GB2312" w:cs="仿宋_GB2312"/>
          <w:color w:val="auto"/>
          <w:szCs w:val="32"/>
          <w:highlight w:val="none"/>
          <w:u w:val="none"/>
        </w:rPr>
        <w:t>申请人父母、申请人配偶父母在</w:t>
      </w:r>
      <w:r>
        <w:rPr>
          <w:rFonts w:ascii="仿宋_GB2312" w:hAnsi="仿宋_GB2312" w:cs="仿宋_GB2312"/>
          <w:color w:val="auto"/>
          <w:szCs w:val="32"/>
          <w:highlight w:val="none"/>
          <w:u w:val="none"/>
        </w:rPr>
        <w:t>婚姻存续期间</w:t>
      </w:r>
      <w:r>
        <w:rPr>
          <w:rFonts w:hint="eastAsia" w:ascii="仿宋_GB2312" w:hAnsi="仿宋_GB2312" w:cs="仿宋_GB2312"/>
          <w:color w:val="auto"/>
          <w:szCs w:val="32"/>
          <w:highlight w:val="none"/>
          <w:u w:val="none"/>
        </w:rPr>
        <w:t>，单独一方作为共同申请人的，双方应当同时满足</w:t>
      </w:r>
      <w:r>
        <w:rPr>
          <w:rFonts w:hint="eastAsia" w:ascii="仿宋_GB2312" w:hAnsi="仿宋_GB2312" w:cs="仿宋_GB2312"/>
          <w:color w:val="auto"/>
          <w:szCs w:val="32"/>
          <w:highlight w:val="none"/>
          <w:u w:val="none"/>
          <w:lang w:val="en-US" w:eastAsia="zh-CN"/>
        </w:rPr>
        <w:t>前款</w:t>
      </w:r>
      <w:r>
        <w:rPr>
          <w:rFonts w:hint="eastAsia" w:ascii="仿宋_GB2312" w:hAnsi="仿宋_GB2312" w:cs="仿宋_GB2312"/>
          <w:color w:val="auto"/>
          <w:szCs w:val="32"/>
          <w:highlight w:val="none"/>
          <w:u w:val="none"/>
        </w:rPr>
        <w:t>第</w:t>
      </w:r>
      <w:r>
        <w:rPr>
          <w:rFonts w:hint="eastAsia" w:ascii="仿宋_GB2312" w:hAnsi="仿宋_GB2312" w:cs="仿宋_GB2312"/>
          <w:color w:val="auto"/>
          <w:szCs w:val="32"/>
          <w:highlight w:val="none"/>
          <w:u w:val="none"/>
          <w:lang w:val="en-US" w:eastAsia="zh-CN"/>
        </w:rPr>
        <w:t>一</w:t>
      </w:r>
      <w:r>
        <w:rPr>
          <w:rFonts w:hint="eastAsia" w:ascii="仿宋_GB2312" w:hAnsi="仿宋_GB2312" w:cs="仿宋_GB2312"/>
          <w:color w:val="auto"/>
          <w:szCs w:val="32"/>
          <w:highlight w:val="none"/>
          <w:u w:val="none"/>
        </w:rPr>
        <w:t>项</w:t>
      </w:r>
      <w:r>
        <w:rPr>
          <w:rFonts w:hint="eastAsia" w:ascii="仿宋_GB2312" w:hAnsi="仿宋_GB2312" w:cs="仿宋_GB2312"/>
          <w:color w:val="auto"/>
          <w:szCs w:val="32"/>
          <w:highlight w:val="none"/>
          <w:u w:val="none"/>
          <w:lang w:eastAsia="zh-CN"/>
        </w:rPr>
        <w:t>、</w:t>
      </w:r>
      <w:r>
        <w:rPr>
          <w:rFonts w:hint="eastAsia" w:ascii="仿宋_GB2312" w:hAnsi="仿宋_GB2312" w:cs="仿宋_GB2312"/>
          <w:color w:val="auto"/>
          <w:szCs w:val="32"/>
          <w:highlight w:val="none"/>
          <w:u w:val="none"/>
          <w:lang w:val="en-US" w:eastAsia="zh-CN"/>
        </w:rPr>
        <w:t>第四项</w:t>
      </w:r>
      <w:r>
        <w:rPr>
          <w:rFonts w:hint="eastAsia" w:ascii="仿宋_GB2312" w:hAnsi="仿宋_GB2312" w:cs="仿宋_GB2312"/>
          <w:color w:val="auto"/>
          <w:szCs w:val="32"/>
          <w:highlight w:val="none"/>
          <w:u w:val="none"/>
        </w:rPr>
        <w:t>规定的条件。</w:t>
      </w:r>
    </w:p>
    <w:p>
      <w:pPr>
        <w:keepNext w:val="0"/>
        <w:keepLines w:val="0"/>
        <w:pageBreakBefore w:val="0"/>
        <w:numPr>
          <w:ilvl w:val="255"/>
          <w:numId w:val="0"/>
        </w:numPr>
        <w:kinsoku/>
        <w:overflowPunct/>
        <w:topLinePunct w:val="0"/>
        <w:autoSpaceDE/>
        <w:autoSpaceDN/>
        <w:bidi w:val="0"/>
        <w:adjustRightInd/>
        <w:snapToGrid/>
        <w:spacing w:line="578" w:lineRule="exact"/>
        <w:ind w:firstLine="640" w:firstLineChars="200"/>
        <w:textAlignment w:val="auto"/>
        <w:rPr>
          <w:rFonts w:hint="eastAsia"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市主管部门可以根据住房供需</w:t>
      </w:r>
      <w:r>
        <w:rPr>
          <w:rFonts w:hint="eastAsia" w:ascii="仿宋_GB2312" w:hAnsi="仿宋_GB2312" w:cs="仿宋_GB2312"/>
          <w:color w:val="auto"/>
          <w:szCs w:val="32"/>
          <w:highlight w:val="none"/>
          <w:u w:val="none"/>
          <w:lang w:val="en-US" w:eastAsia="zh-CN"/>
        </w:rPr>
        <w:t>等实际</w:t>
      </w:r>
      <w:r>
        <w:rPr>
          <w:rFonts w:hint="eastAsia" w:ascii="仿宋_GB2312" w:hAnsi="仿宋_GB2312" w:cs="仿宋_GB2312"/>
          <w:color w:val="auto"/>
          <w:szCs w:val="32"/>
          <w:highlight w:val="none"/>
          <w:u w:val="none"/>
        </w:rPr>
        <w:t>情况，适</w:t>
      </w:r>
      <w:r>
        <w:rPr>
          <w:rFonts w:hint="eastAsia" w:ascii="仿宋_GB2312" w:hAnsi="仿宋_GB2312" w:cs="仿宋_GB2312"/>
          <w:color w:val="auto"/>
          <w:szCs w:val="32"/>
          <w:highlight w:val="none"/>
          <w:u w:val="none"/>
          <w:lang w:val="en-US" w:eastAsia="zh-CN"/>
        </w:rPr>
        <w:t>时调整</w:t>
      </w:r>
      <w:r>
        <w:rPr>
          <w:rFonts w:hint="eastAsia" w:ascii="仿宋_GB2312" w:hAnsi="仿宋_GB2312" w:cs="仿宋_GB2312"/>
          <w:color w:val="auto"/>
          <w:szCs w:val="32"/>
          <w:highlight w:val="none"/>
          <w:u w:val="none"/>
        </w:rPr>
        <w:t>本条规定的申请条件，报</w:t>
      </w:r>
      <w:r>
        <w:rPr>
          <w:rFonts w:hint="eastAsia" w:ascii="仿宋_GB2312" w:hAnsi="仿宋_GB2312" w:cs="仿宋_GB2312"/>
          <w:color w:val="auto"/>
          <w:szCs w:val="32"/>
          <w:highlight w:val="none"/>
          <w:u w:val="none"/>
          <w:lang w:eastAsia="zh-CN"/>
        </w:rPr>
        <w:t>市政府</w:t>
      </w:r>
      <w:r>
        <w:rPr>
          <w:rFonts w:hint="eastAsia" w:ascii="仿宋_GB2312" w:hAnsi="仿宋_GB2312" w:cs="仿宋_GB2312"/>
          <w:color w:val="auto"/>
          <w:szCs w:val="32"/>
          <w:highlight w:val="none"/>
          <w:u w:val="none"/>
        </w:rPr>
        <w:t>批准后公布执行。</w:t>
      </w:r>
    </w:p>
    <w:p>
      <w:pPr>
        <w:keepNext w:val="0"/>
        <w:keepLines w:val="0"/>
        <w:pageBreakBefore w:val="0"/>
        <w:numPr>
          <w:ilvl w:val="-1"/>
          <w:numId w:val="0"/>
        </w:numPr>
        <w:tabs>
          <w:tab w:val="left" w:pos="0"/>
        </w:tabs>
        <w:kinsoku/>
        <w:overflowPunct/>
        <w:topLinePunct w:val="0"/>
        <w:autoSpaceDE/>
        <w:autoSpaceDN/>
        <w:bidi w:val="0"/>
        <w:adjustRightInd/>
        <w:snapToGrid/>
        <w:spacing w:line="578" w:lineRule="exact"/>
        <w:ind w:leftChars="0" w:firstLine="640"/>
        <w:textAlignment w:val="auto"/>
        <w:outlineLvl w:val="2"/>
        <w:rPr>
          <w:rFonts w:ascii="仿宋_GB2312" w:hAnsi="仿宋_GB2312"/>
          <w:color w:val="auto"/>
          <w:szCs w:val="32"/>
          <w:highlight w:val="none"/>
          <w:u w:val="none"/>
        </w:rPr>
      </w:pPr>
      <w:bookmarkStart w:id="83" w:name="_Toc15122"/>
      <w:bookmarkStart w:id="84" w:name="_Toc23752"/>
      <w:bookmarkStart w:id="85" w:name="_Toc31468"/>
      <w:bookmarkStart w:id="86" w:name="_Toc6457"/>
      <w:bookmarkStart w:id="87" w:name="_Toc5365"/>
      <w:bookmarkStart w:id="88" w:name="_Toc523428820"/>
      <w:bookmarkStart w:id="89" w:name="_Toc19154"/>
      <w:bookmarkStart w:id="90" w:name="_Toc19297_WPSOffice_Level2"/>
      <w:bookmarkStart w:id="91" w:name="_Toc7527"/>
      <w:bookmarkStart w:id="92" w:name="_Toc19546"/>
      <w:r>
        <w:rPr>
          <w:rStyle w:val="22"/>
          <w:rFonts w:hint="eastAsia" w:ascii="黑体" w:hAnsi="黑体"/>
          <w:color w:val="auto"/>
          <w:highlight w:val="none"/>
          <w:u w:val="none"/>
          <w:lang w:val="en-US" w:eastAsia="zh-CN"/>
        </w:rPr>
        <w:t>第十三条</w:t>
      </w:r>
      <w:r>
        <w:rPr>
          <w:rFonts w:hint="eastAsia" w:ascii="仿宋_GB2312"/>
          <w:color w:val="auto"/>
          <w:szCs w:val="32"/>
          <w:highlight w:val="none"/>
          <w:u w:val="none"/>
        </w:rPr>
        <w:t>【</w:t>
      </w:r>
      <w:r>
        <w:rPr>
          <w:rStyle w:val="22"/>
          <w:rFonts w:hint="eastAsia" w:ascii="黑体" w:hAnsi="黑体"/>
          <w:color w:val="auto"/>
          <w:highlight w:val="none"/>
          <w:u w:val="none"/>
        </w:rPr>
        <w:t>轮候申请程序</w:t>
      </w:r>
      <w:r>
        <w:rPr>
          <w:rFonts w:hint="eastAsia" w:ascii="仿宋_GB2312"/>
          <w:color w:val="auto"/>
          <w:szCs w:val="32"/>
          <w:highlight w:val="none"/>
          <w:u w:val="none"/>
        </w:rPr>
        <w:t>】</w:t>
      </w:r>
      <w:r>
        <w:rPr>
          <w:rFonts w:hint="eastAsia" w:ascii="仿宋_GB2312"/>
          <w:color w:val="auto"/>
          <w:szCs w:val="32"/>
          <w:highlight w:val="none"/>
          <w:u w:val="none"/>
          <w:lang w:val="en-US" w:eastAsia="zh-CN"/>
        </w:rPr>
        <w:t xml:space="preserve">  </w:t>
      </w:r>
      <w:r>
        <w:rPr>
          <w:rFonts w:hint="eastAsia" w:ascii="仿宋_GB2312" w:hAnsi="仿宋_GB2312"/>
          <w:color w:val="auto"/>
          <w:szCs w:val="32"/>
          <w:highlight w:val="none"/>
          <w:u w:val="none"/>
          <w:lang w:val="en-US" w:eastAsia="zh-CN"/>
        </w:rPr>
        <w:t>共有产权住房</w:t>
      </w:r>
      <w:r>
        <w:rPr>
          <w:rFonts w:hint="eastAsia" w:ascii="仿宋_GB2312" w:hAnsi="仿宋_GB2312"/>
          <w:color w:val="auto"/>
          <w:szCs w:val="32"/>
          <w:highlight w:val="none"/>
          <w:u w:val="none"/>
        </w:rPr>
        <w:t>轮候申请，按照以下流程办理：</w:t>
      </w:r>
    </w:p>
    <w:p>
      <w:pPr>
        <w:keepNext w:val="0"/>
        <w:keepLines w:val="0"/>
        <w:pageBreakBefore w:val="0"/>
        <w:kinsoku/>
        <w:overflowPunct/>
        <w:topLinePunct w:val="0"/>
        <w:autoSpaceDE/>
        <w:autoSpaceDN/>
        <w:bidi w:val="0"/>
        <w:adjustRightInd/>
        <w:snapToGrid/>
        <w:spacing w:line="578" w:lineRule="exact"/>
        <w:ind w:firstLine="640"/>
        <w:textAlignment w:val="auto"/>
        <w:rPr>
          <w:rFonts w:ascii="仿宋_GB2312" w:hAnsi="仿宋_GB2312"/>
          <w:color w:val="auto"/>
          <w:szCs w:val="32"/>
          <w:highlight w:val="none"/>
          <w:u w:val="none"/>
        </w:rPr>
      </w:pPr>
      <w:r>
        <w:rPr>
          <w:rFonts w:hint="eastAsia" w:ascii="仿宋_GB2312" w:hAnsi="仿宋_GB2312"/>
          <w:color w:val="auto"/>
          <w:szCs w:val="32"/>
          <w:highlight w:val="none"/>
          <w:u w:val="none"/>
        </w:rPr>
        <w:t>（一）申请人</w:t>
      </w:r>
      <w:r>
        <w:rPr>
          <w:rFonts w:hint="eastAsia" w:ascii="仿宋_GB2312" w:hAnsi="仿宋_GB2312" w:cs="仿宋_GB2312"/>
          <w:color w:val="auto"/>
          <w:szCs w:val="32"/>
          <w:highlight w:val="none"/>
          <w:u w:val="none"/>
        </w:rPr>
        <w:t>填报申请信息</w:t>
      </w:r>
      <w:r>
        <w:rPr>
          <w:rFonts w:hint="eastAsia" w:ascii="仿宋_GB2312" w:hAnsi="仿宋_GB2312"/>
          <w:color w:val="auto"/>
          <w:szCs w:val="32"/>
          <w:highlight w:val="none"/>
          <w:u w:val="none"/>
        </w:rPr>
        <w:t>，向区主管部门提交以下申请材料：申请表、身份证明、婚姻状况和特殊家庭证明等</w:t>
      </w:r>
      <w:r>
        <w:rPr>
          <w:rFonts w:hint="eastAsia" w:ascii="仿宋_GB2312" w:hAnsi="仿宋_GB2312" w:cs="仿宋_GB2312"/>
          <w:color w:val="auto"/>
          <w:szCs w:val="32"/>
          <w:highlight w:val="none"/>
          <w:u w:val="none"/>
        </w:rPr>
        <w:t>，并</w:t>
      </w:r>
      <w:r>
        <w:rPr>
          <w:rFonts w:hint="eastAsia" w:ascii="仿宋_GB2312" w:hAnsi="仿宋_GB2312"/>
          <w:color w:val="auto"/>
          <w:szCs w:val="32"/>
          <w:highlight w:val="none"/>
          <w:u w:val="none"/>
        </w:rPr>
        <w:t>签署诚信申报声明；</w:t>
      </w:r>
    </w:p>
    <w:p>
      <w:pPr>
        <w:keepNext w:val="0"/>
        <w:keepLines w:val="0"/>
        <w:pageBreakBefore w:val="0"/>
        <w:kinsoku/>
        <w:overflowPunct/>
        <w:topLinePunct w:val="0"/>
        <w:autoSpaceDE/>
        <w:autoSpaceDN/>
        <w:bidi w:val="0"/>
        <w:adjustRightInd/>
        <w:snapToGrid/>
        <w:spacing w:line="578" w:lineRule="exact"/>
        <w:ind w:firstLine="640"/>
        <w:textAlignment w:val="auto"/>
        <w:rPr>
          <w:color w:val="auto"/>
          <w:szCs w:val="32"/>
          <w:highlight w:val="none"/>
          <w:u w:val="none"/>
        </w:rPr>
      </w:pPr>
      <w:r>
        <w:rPr>
          <w:rFonts w:hint="eastAsia" w:ascii="仿宋_GB2312" w:hAnsi="仿宋_GB2312"/>
          <w:color w:val="auto"/>
          <w:szCs w:val="32"/>
          <w:highlight w:val="none"/>
          <w:u w:val="none"/>
        </w:rPr>
        <w:t>（二）区主管部门对申请人及共同申请人是否符合本办法</w:t>
      </w:r>
      <w:r>
        <w:rPr>
          <w:rFonts w:hint="eastAsia" w:ascii="仿宋_GB2312" w:hAnsi="仿宋_GB2312"/>
          <w:color w:val="auto"/>
          <w:szCs w:val="32"/>
          <w:highlight w:val="none"/>
          <w:u w:val="none"/>
          <w:lang w:val="en-US" w:eastAsia="zh-CN"/>
        </w:rPr>
        <w:t>第十二</w:t>
      </w:r>
      <w:r>
        <w:rPr>
          <w:rFonts w:hint="eastAsia" w:ascii="仿宋_GB2312" w:hAnsi="仿宋_GB2312"/>
          <w:color w:val="auto"/>
          <w:szCs w:val="32"/>
          <w:highlight w:val="none"/>
          <w:u w:val="none"/>
        </w:rPr>
        <w:t>条规定的条件进行审核；</w:t>
      </w:r>
    </w:p>
    <w:p>
      <w:pPr>
        <w:keepNext w:val="0"/>
        <w:keepLines w:val="0"/>
        <w:pageBreakBefore w:val="0"/>
        <w:kinsoku/>
        <w:overflowPunct/>
        <w:topLinePunct w:val="0"/>
        <w:autoSpaceDE/>
        <w:autoSpaceDN/>
        <w:bidi w:val="0"/>
        <w:adjustRightInd/>
        <w:snapToGrid/>
        <w:spacing w:line="578" w:lineRule="exact"/>
        <w:ind w:firstLine="640"/>
        <w:textAlignment w:val="auto"/>
        <w:rPr>
          <w:rFonts w:ascii="仿宋_GB2312" w:hAnsi="仿宋_GB2312"/>
          <w:color w:val="auto"/>
          <w:szCs w:val="32"/>
          <w:highlight w:val="none"/>
          <w:u w:val="none"/>
        </w:rPr>
      </w:pPr>
      <w:r>
        <w:rPr>
          <w:rFonts w:hint="eastAsia" w:ascii="仿宋_GB2312" w:hAnsi="仿宋_GB2312"/>
          <w:color w:val="auto"/>
          <w:szCs w:val="32"/>
          <w:highlight w:val="none"/>
          <w:u w:val="none"/>
        </w:rPr>
        <w:t>（</w:t>
      </w:r>
      <w:r>
        <w:rPr>
          <w:rFonts w:hint="eastAsia" w:ascii="仿宋_GB2312" w:hAnsi="仿宋_GB2312"/>
          <w:color w:val="auto"/>
          <w:szCs w:val="32"/>
          <w:highlight w:val="none"/>
          <w:u w:val="none"/>
          <w:lang w:val="en-US" w:eastAsia="zh-CN"/>
        </w:rPr>
        <w:t>三</w:t>
      </w:r>
      <w:r>
        <w:rPr>
          <w:rFonts w:hint="eastAsia" w:ascii="仿宋_GB2312" w:hAnsi="仿宋_GB2312"/>
          <w:color w:val="auto"/>
          <w:szCs w:val="32"/>
          <w:highlight w:val="none"/>
          <w:u w:val="none"/>
        </w:rPr>
        <w:t>）区主管部门审核合格的，经市主管部门复核后，通过政府网站和信息平台公示相关信息，公示期不少于十五日；审核不合格的，驳回申请并书面告知原因；</w:t>
      </w:r>
    </w:p>
    <w:p>
      <w:pPr>
        <w:keepNext w:val="0"/>
        <w:keepLines w:val="0"/>
        <w:pageBreakBefore w:val="0"/>
        <w:kinsoku/>
        <w:overflowPunct/>
        <w:topLinePunct w:val="0"/>
        <w:autoSpaceDE/>
        <w:autoSpaceDN/>
        <w:bidi w:val="0"/>
        <w:adjustRightInd/>
        <w:snapToGrid/>
        <w:spacing w:line="578" w:lineRule="exact"/>
        <w:ind w:firstLine="640"/>
        <w:textAlignment w:val="auto"/>
        <w:rPr>
          <w:rFonts w:ascii="仿宋_GB2312" w:hAnsi="仿宋_GB2312"/>
          <w:color w:val="auto"/>
          <w:szCs w:val="32"/>
          <w:highlight w:val="none"/>
          <w:u w:val="none"/>
        </w:rPr>
      </w:pPr>
      <w:r>
        <w:rPr>
          <w:rFonts w:hint="eastAsia" w:ascii="仿宋_GB2312" w:hAnsi="仿宋_GB2312"/>
          <w:color w:val="auto"/>
          <w:szCs w:val="32"/>
          <w:highlight w:val="none"/>
          <w:u w:val="none"/>
        </w:rPr>
        <w:t>（</w:t>
      </w:r>
      <w:r>
        <w:rPr>
          <w:rFonts w:hint="eastAsia" w:ascii="仿宋_GB2312" w:hAnsi="仿宋_GB2312"/>
          <w:color w:val="auto"/>
          <w:szCs w:val="32"/>
          <w:highlight w:val="none"/>
          <w:u w:val="none"/>
          <w:lang w:val="en-US" w:eastAsia="zh-CN"/>
        </w:rPr>
        <w:t>四</w:t>
      </w:r>
      <w:r>
        <w:rPr>
          <w:rFonts w:hint="eastAsia" w:ascii="仿宋_GB2312" w:hAnsi="仿宋_GB2312"/>
          <w:color w:val="auto"/>
          <w:szCs w:val="32"/>
          <w:highlight w:val="none"/>
          <w:u w:val="none"/>
        </w:rPr>
        <w:t>）公示期内，申请人可以就审核结果向区主管部门提出异议，由区主管部门处理。</w:t>
      </w:r>
    </w:p>
    <w:p>
      <w:pPr>
        <w:keepNext w:val="0"/>
        <w:keepLines w:val="0"/>
        <w:pageBreakBefore w:val="0"/>
        <w:kinsoku/>
        <w:overflowPunct/>
        <w:topLinePunct w:val="0"/>
        <w:autoSpaceDE/>
        <w:autoSpaceDN/>
        <w:bidi w:val="0"/>
        <w:adjustRightInd/>
        <w:snapToGrid/>
        <w:spacing w:line="578" w:lineRule="exact"/>
        <w:ind w:firstLine="640"/>
        <w:textAlignment w:val="auto"/>
        <w:rPr>
          <w:rFonts w:hint="eastAsia" w:ascii="仿宋_GB2312" w:hAnsi="仿宋_GB2312"/>
          <w:color w:val="auto"/>
          <w:szCs w:val="32"/>
          <w:highlight w:val="none"/>
          <w:u w:val="none"/>
        </w:rPr>
      </w:pPr>
      <w:r>
        <w:rPr>
          <w:rFonts w:hint="eastAsia" w:ascii="仿宋_GB2312" w:hAnsi="仿宋_GB2312"/>
          <w:color w:val="auto"/>
          <w:szCs w:val="32"/>
          <w:highlight w:val="none"/>
          <w:u w:val="none"/>
        </w:rPr>
        <w:t>区主管部门应当将审核通过并公示合格的申请人及共同申请人纳入</w:t>
      </w:r>
      <w:r>
        <w:rPr>
          <w:rFonts w:hint="eastAsia" w:ascii="仿宋_GB2312" w:hAnsi="仿宋_GB2312"/>
          <w:color w:val="auto"/>
          <w:szCs w:val="32"/>
          <w:highlight w:val="none"/>
          <w:u w:val="none"/>
          <w:lang w:eastAsia="zh-CN"/>
        </w:rPr>
        <w:t>共有产权住房</w:t>
      </w:r>
      <w:r>
        <w:rPr>
          <w:rFonts w:hint="eastAsia" w:ascii="仿宋_GB2312" w:hAnsi="仿宋_GB2312"/>
          <w:color w:val="auto"/>
          <w:szCs w:val="32"/>
          <w:highlight w:val="none"/>
          <w:u w:val="none"/>
        </w:rPr>
        <w:t>轮候册，并通过政府网站和信息平台向社会公开相关信息。</w:t>
      </w:r>
    </w:p>
    <w:p>
      <w:pPr>
        <w:keepNext w:val="0"/>
        <w:keepLines w:val="0"/>
        <w:pageBreakBefore w:val="0"/>
        <w:tabs>
          <w:tab w:val="left" w:pos="6090"/>
        </w:tabs>
        <w:kinsoku/>
        <w:overflowPunct/>
        <w:topLinePunct w:val="0"/>
        <w:autoSpaceDE/>
        <w:autoSpaceDN/>
        <w:bidi w:val="0"/>
        <w:spacing w:line="578" w:lineRule="exact"/>
        <w:ind w:firstLine="640" w:firstLineChars="200"/>
        <w:outlineLvl w:val="2"/>
        <w:rPr>
          <w:color w:val="auto"/>
          <w:szCs w:val="32"/>
          <w:u w:val="none"/>
        </w:rPr>
      </w:pPr>
      <w:r>
        <w:rPr>
          <w:rFonts w:hint="eastAsia" w:ascii="仿宋_GB2312"/>
          <w:bCs/>
          <w:color w:val="auto"/>
          <w:szCs w:val="32"/>
          <w:highlight w:val="none"/>
          <w:u w:val="none"/>
        </w:rPr>
        <w:t>申请</w:t>
      </w:r>
      <w:r>
        <w:rPr>
          <w:rFonts w:hint="eastAsia" w:ascii="仿宋_GB2312" w:hAnsi="仿宋_GB2312" w:cs="仿宋_GB2312"/>
          <w:color w:val="auto"/>
          <w:szCs w:val="32"/>
          <w:highlight w:val="none"/>
          <w:u w:val="none"/>
        </w:rPr>
        <w:t>共有产权住房</w:t>
      </w:r>
      <w:r>
        <w:rPr>
          <w:rFonts w:hint="eastAsia" w:ascii="仿宋_GB2312"/>
          <w:bCs/>
          <w:color w:val="auto"/>
          <w:szCs w:val="32"/>
          <w:highlight w:val="none"/>
          <w:u w:val="none"/>
        </w:rPr>
        <w:t>实行诚信申报制度。申请家庭</w:t>
      </w:r>
      <w:r>
        <w:rPr>
          <w:rFonts w:hint="eastAsia" w:ascii="仿宋_GB2312"/>
          <w:bCs/>
          <w:color w:val="auto"/>
          <w:szCs w:val="32"/>
          <w:highlight w:val="none"/>
          <w:u w:val="none"/>
          <w:lang w:val="en-US" w:eastAsia="zh-CN"/>
        </w:rPr>
        <w:t>和</w:t>
      </w:r>
      <w:r>
        <w:rPr>
          <w:rFonts w:hint="eastAsia" w:ascii="仿宋_GB2312"/>
          <w:bCs/>
          <w:color w:val="auto"/>
          <w:szCs w:val="32"/>
          <w:highlight w:val="none"/>
          <w:u w:val="none"/>
        </w:rPr>
        <w:t>单身居民对申报信息和申请材料的真实性、准确性、合法性负责。</w:t>
      </w:r>
    </w:p>
    <w:p>
      <w:pPr>
        <w:keepNext w:val="0"/>
        <w:keepLines w:val="0"/>
        <w:pageBreakBefore w:val="0"/>
        <w:numPr>
          <w:ilvl w:val="-1"/>
          <w:numId w:val="0"/>
        </w:numPr>
        <w:tabs>
          <w:tab w:val="left" w:pos="0"/>
        </w:tabs>
        <w:kinsoku/>
        <w:overflowPunct/>
        <w:topLinePunct w:val="0"/>
        <w:autoSpaceDE/>
        <w:autoSpaceDN/>
        <w:bidi w:val="0"/>
        <w:adjustRightInd/>
        <w:snapToGrid/>
        <w:spacing w:line="578" w:lineRule="exact"/>
        <w:ind w:leftChars="0" w:firstLine="640"/>
        <w:textAlignment w:val="auto"/>
        <w:outlineLvl w:val="2"/>
        <w:rPr>
          <w:rFonts w:ascii="仿宋_GB2312" w:hAnsi="仿宋_GB2312"/>
          <w:color w:val="auto"/>
          <w:szCs w:val="32"/>
          <w:highlight w:val="none"/>
          <w:u w:val="none"/>
        </w:rPr>
      </w:pPr>
      <w:r>
        <w:rPr>
          <w:rStyle w:val="22"/>
          <w:rFonts w:hint="eastAsia" w:ascii="黑体" w:hAnsi="黑体"/>
          <w:color w:val="auto"/>
          <w:highlight w:val="none"/>
          <w:u w:val="none"/>
          <w:lang w:val="en-US" w:eastAsia="zh-CN"/>
        </w:rPr>
        <w:t>第十四条</w:t>
      </w:r>
      <w:r>
        <w:rPr>
          <w:rStyle w:val="22"/>
          <w:rFonts w:hint="eastAsia" w:ascii="黑体" w:hAnsi="黑体"/>
          <w:color w:val="auto"/>
          <w:highlight w:val="none"/>
          <w:u w:val="none"/>
        </w:rPr>
        <w:t>【轮候排序</w:t>
      </w:r>
      <w:r>
        <w:rPr>
          <w:rFonts w:hint="eastAsia" w:ascii="仿宋_GB2312"/>
          <w:color w:val="auto"/>
          <w:szCs w:val="32"/>
          <w:highlight w:val="none"/>
          <w:u w:val="none"/>
        </w:rPr>
        <w:t>】</w:t>
      </w:r>
      <w:r>
        <w:rPr>
          <w:rFonts w:hint="eastAsia" w:ascii="仿宋_GB2312"/>
          <w:color w:val="auto"/>
          <w:szCs w:val="32"/>
          <w:highlight w:val="none"/>
          <w:u w:val="none"/>
          <w:lang w:val="en-US" w:eastAsia="zh-CN"/>
        </w:rPr>
        <w:t xml:space="preserve">  </w:t>
      </w:r>
      <w:r>
        <w:rPr>
          <w:rFonts w:hint="eastAsia" w:ascii="仿宋_GB2312" w:hAnsi="仿宋_GB2312"/>
          <w:color w:val="auto"/>
          <w:szCs w:val="32"/>
          <w:highlight w:val="none"/>
          <w:u w:val="none"/>
        </w:rPr>
        <w:t>在册轮候人</w:t>
      </w:r>
      <w:r>
        <w:rPr>
          <w:rFonts w:hint="eastAsia" w:ascii="仿宋_GB2312" w:hAnsi="仿宋_GB2312"/>
          <w:color w:val="auto"/>
          <w:szCs w:val="32"/>
          <w:highlight w:val="none"/>
          <w:u w:val="none"/>
          <w:lang w:val="en-US" w:eastAsia="zh-CN"/>
        </w:rPr>
        <w:t>的</w:t>
      </w:r>
      <w:r>
        <w:rPr>
          <w:rFonts w:hint="eastAsia" w:ascii="仿宋_GB2312" w:hAnsi="仿宋_GB2312"/>
          <w:color w:val="auto"/>
          <w:szCs w:val="32"/>
          <w:highlight w:val="none"/>
          <w:u w:val="none"/>
        </w:rPr>
        <w:t>轮候排序依照受理回执号的先后顺序确定。受理回执号按照轮候申请时间的先后顺序，由信息平台即时自动生成。申请人户籍在市内跨区迁移后，在户籍迁入区的轮候排序仍按照全市的轮候排序确定。</w:t>
      </w:r>
    </w:p>
    <w:p>
      <w:pPr>
        <w:keepNext w:val="0"/>
        <w:keepLines w:val="0"/>
        <w:pageBreakBefore w:val="0"/>
        <w:numPr>
          <w:ilvl w:val="-1"/>
          <w:numId w:val="0"/>
        </w:numPr>
        <w:tabs>
          <w:tab w:val="left" w:pos="0"/>
        </w:tabs>
        <w:kinsoku/>
        <w:overflowPunct/>
        <w:topLinePunct w:val="0"/>
        <w:autoSpaceDE/>
        <w:autoSpaceDN/>
        <w:bidi w:val="0"/>
        <w:adjustRightInd/>
        <w:snapToGrid/>
        <w:spacing w:line="578" w:lineRule="exact"/>
        <w:ind w:leftChars="0" w:firstLine="640"/>
        <w:textAlignment w:val="auto"/>
        <w:outlineLvl w:val="2"/>
        <w:rPr>
          <w:rFonts w:ascii="仿宋_GB2312"/>
          <w:color w:val="auto"/>
          <w:szCs w:val="32"/>
          <w:highlight w:val="none"/>
          <w:u w:val="none"/>
        </w:rPr>
      </w:pPr>
      <w:r>
        <w:rPr>
          <w:rStyle w:val="22"/>
          <w:rFonts w:hint="eastAsia" w:ascii="黑体" w:hAnsi="黑体"/>
          <w:color w:val="auto"/>
          <w:sz w:val="32"/>
          <w:szCs w:val="32"/>
          <w:highlight w:val="none"/>
          <w:u w:val="none"/>
        </w:rPr>
        <w:t>第</w:t>
      </w:r>
      <w:r>
        <w:rPr>
          <w:rStyle w:val="22"/>
          <w:rFonts w:hint="eastAsia" w:ascii="黑体" w:hAnsi="黑体" w:eastAsia="黑体"/>
          <w:color w:val="auto"/>
          <w:highlight w:val="none"/>
          <w:u w:val="none"/>
          <w:lang w:val="en-US" w:eastAsia="zh-CN"/>
        </w:rPr>
        <w:t>十五</w:t>
      </w:r>
      <w:r>
        <w:rPr>
          <w:rStyle w:val="22"/>
          <w:rFonts w:hint="eastAsia" w:ascii="黑体" w:hAnsi="黑体"/>
          <w:color w:val="auto"/>
          <w:sz w:val="32"/>
          <w:szCs w:val="32"/>
          <w:highlight w:val="none"/>
          <w:u w:val="none"/>
        </w:rPr>
        <w:t>条</w:t>
      </w:r>
      <w:r>
        <w:rPr>
          <w:rFonts w:hint="eastAsia" w:ascii="仿宋_GB2312"/>
          <w:color w:val="auto"/>
          <w:szCs w:val="32"/>
          <w:highlight w:val="none"/>
          <w:u w:val="none"/>
        </w:rPr>
        <w:t>【</w:t>
      </w:r>
      <w:r>
        <w:rPr>
          <w:rStyle w:val="22"/>
          <w:rFonts w:hint="eastAsia" w:ascii="黑体" w:hAnsi="黑体"/>
          <w:color w:val="auto"/>
          <w:highlight w:val="none"/>
          <w:u w:val="none"/>
        </w:rPr>
        <w:t>轮候期间信息变更</w:t>
      </w:r>
      <w:r>
        <w:rPr>
          <w:rFonts w:hint="eastAsia" w:ascii="仿宋_GB2312"/>
          <w:color w:val="auto"/>
          <w:szCs w:val="32"/>
          <w:highlight w:val="none"/>
          <w:u w:val="none"/>
        </w:rPr>
        <w:t>】</w:t>
      </w:r>
      <w:r>
        <w:rPr>
          <w:rFonts w:hint="eastAsia" w:ascii="仿宋_GB2312"/>
          <w:color w:val="auto"/>
          <w:szCs w:val="32"/>
          <w:highlight w:val="none"/>
          <w:u w:val="none"/>
          <w:lang w:val="en-US" w:eastAsia="zh-CN"/>
        </w:rPr>
        <w:t xml:space="preserve">  </w:t>
      </w:r>
      <w:r>
        <w:rPr>
          <w:rFonts w:hint="eastAsia" w:ascii="仿宋_GB2312" w:hAnsi="仿宋_GB2312"/>
          <w:color w:val="auto"/>
          <w:szCs w:val="32"/>
          <w:highlight w:val="none"/>
          <w:u w:val="none"/>
        </w:rPr>
        <w:t>轮候期间，在册轮候人的住房、户籍、婚姻、家庭人口、抚恤定补优抚、残疾等情况发生变化的，应当自发生变化之日起三十日</w:t>
      </w:r>
      <w:r>
        <w:rPr>
          <w:rFonts w:hint="eastAsia" w:ascii="仿宋_GB2312" w:hAnsi="仿宋_GB2312"/>
          <w:color w:val="auto"/>
          <w:szCs w:val="32"/>
          <w:highlight w:val="none"/>
          <w:u w:val="none"/>
          <w:lang w:val="en-US" w:eastAsia="zh-CN"/>
        </w:rPr>
        <w:t>以内</w:t>
      </w:r>
      <w:r>
        <w:rPr>
          <w:rFonts w:hint="eastAsia" w:ascii="仿宋_GB2312" w:hAnsi="仿宋_GB2312"/>
          <w:color w:val="auto"/>
          <w:szCs w:val="32"/>
          <w:highlight w:val="none"/>
          <w:u w:val="none"/>
        </w:rPr>
        <w:t>办理轮候信息变更。经户籍所在区主管部门核查，符合本办法第十</w:t>
      </w:r>
      <w:r>
        <w:rPr>
          <w:rFonts w:hint="eastAsia" w:ascii="仿宋_GB2312" w:hAnsi="仿宋_GB2312"/>
          <w:color w:val="auto"/>
          <w:szCs w:val="32"/>
          <w:highlight w:val="none"/>
          <w:u w:val="none"/>
          <w:lang w:val="en-US" w:eastAsia="zh-CN"/>
        </w:rPr>
        <w:t>二</w:t>
      </w:r>
      <w:r>
        <w:rPr>
          <w:rFonts w:hint="eastAsia" w:ascii="仿宋_GB2312" w:hAnsi="仿宋_GB2312"/>
          <w:color w:val="auto"/>
          <w:szCs w:val="32"/>
          <w:highlight w:val="none"/>
          <w:u w:val="none"/>
        </w:rPr>
        <w:t>条规定条件的，变更相关信息后继续轮候；不符合条件的，退出</w:t>
      </w:r>
      <w:r>
        <w:rPr>
          <w:rFonts w:hint="eastAsia" w:ascii="仿宋_GB2312" w:hAnsi="仿宋_GB2312"/>
          <w:color w:val="auto"/>
          <w:szCs w:val="32"/>
          <w:highlight w:val="none"/>
          <w:u w:val="none"/>
          <w:lang w:val="en-US" w:eastAsia="zh-CN"/>
        </w:rPr>
        <w:t>共有产权住房</w:t>
      </w:r>
      <w:r>
        <w:rPr>
          <w:rFonts w:hint="eastAsia" w:ascii="仿宋_GB2312" w:hAnsi="仿宋_GB2312"/>
          <w:color w:val="auto"/>
          <w:szCs w:val="32"/>
          <w:highlight w:val="none"/>
          <w:u w:val="none"/>
        </w:rPr>
        <w:t>轮候册，并书面告知原因。</w:t>
      </w:r>
    </w:p>
    <w:p>
      <w:pPr>
        <w:keepNext w:val="0"/>
        <w:keepLines w:val="0"/>
        <w:pageBreakBefore w:val="0"/>
        <w:numPr>
          <w:ilvl w:val="-1"/>
          <w:numId w:val="0"/>
        </w:numPr>
        <w:tabs>
          <w:tab w:val="left" w:pos="0"/>
        </w:tabs>
        <w:kinsoku/>
        <w:overflowPunct/>
        <w:topLinePunct w:val="0"/>
        <w:autoSpaceDE/>
        <w:autoSpaceDN/>
        <w:bidi w:val="0"/>
        <w:adjustRightInd/>
        <w:snapToGrid/>
        <w:spacing w:line="578" w:lineRule="exact"/>
        <w:ind w:leftChars="0" w:firstLine="640"/>
        <w:textAlignment w:val="auto"/>
        <w:outlineLvl w:val="2"/>
        <w:rPr>
          <w:rFonts w:ascii="仿宋_GB2312" w:hAnsi="仿宋_GB2312"/>
          <w:color w:val="auto"/>
          <w:szCs w:val="32"/>
          <w:highlight w:val="none"/>
          <w:u w:val="none"/>
        </w:rPr>
      </w:pPr>
      <w:r>
        <w:rPr>
          <w:rStyle w:val="22"/>
          <w:rFonts w:hint="eastAsia" w:ascii="黑体" w:hAnsi="黑体"/>
          <w:color w:val="auto"/>
          <w:sz w:val="32"/>
          <w:szCs w:val="32"/>
          <w:highlight w:val="none"/>
          <w:u w:val="none"/>
        </w:rPr>
        <w:t>第</w:t>
      </w:r>
      <w:r>
        <w:rPr>
          <w:rStyle w:val="22"/>
          <w:rFonts w:hint="eastAsia" w:ascii="黑体" w:hAnsi="黑体" w:eastAsia="黑体"/>
          <w:color w:val="auto"/>
          <w:highlight w:val="none"/>
          <w:u w:val="none"/>
          <w:lang w:val="en-US" w:eastAsia="zh-CN"/>
        </w:rPr>
        <w:t>十六</w:t>
      </w:r>
      <w:r>
        <w:rPr>
          <w:rStyle w:val="22"/>
          <w:rFonts w:hint="eastAsia" w:ascii="黑体" w:hAnsi="黑体"/>
          <w:color w:val="auto"/>
          <w:sz w:val="32"/>
          <w:szCs w:val="32"/>
          <w:highlight w:val="none"/>
          <w:u w:val="none"/>
        </w:rPr>
        <w:t>条</w:t>
      </w:r>
      <w:r>
        <w:rPr>
          <w:rFonts w:hint="eastAsia" w:ascii="仿宋_GB2312"/>
          <w:color w:val="auto"/>
          <w:szCs w:val="32"/>
          <w:highlight w:val="none"/>
          <w:u w:val="none"/>
        </w:rPr>
        <w:t>【</w:t>
      </w:r>
      <w:r>
        <w:rPr>
          <w:rStyle w:val="22"/>
          <w:rFonts w:hint="eastAsia" w:ascii="黑体" w:hAnsi="黑体"/>
          <w:color w:val="auto"/>
          <w:highlight w:val="none"/>
          <w:u w:val="none"/>
        </w:rPr>
        <w:t>申请人变更</w:t>
      </w:r>
      <w:r>
        <w:rPr>
          <w:rFonts w:hint="eastAsia" w:ascii="仿宋_GB2312"/>
          <w:color w:val="auto"/>
          <w:szCs w:val="32"/>
          <w:highlight w:val="none"/>
          <w:u w:val="none"/>
        </w:rPr>
        <w:t>】</w:t>
      </w:r>
      <w:r>
        <w:rPr>
          <w:rFonts w:hint="eastAsia" w:ascii="仿宋_GB2312"/>
          <w:color w:val="auto"/>
          <w:szCs w:val="32"/>
          <w:highlight w:val="none"/>
          <w:u w:val="none"/>
          <w:lang w:val="en-US" w:eastAsia="zh-CN"/>
        </w:rPr>
        <w:t xml:space="preserve">  </w:t>
      </w:r>
      <w:r>
        <w:rPr>
          <w:rFonts w:hint="eastAsia" w:ascii="仿宋_GB2312" w:hAnsi="仿宋_GB2312"/>
          <w:color w:val="auto"/>
          <w:szCs w:val="32"/>
          <w:highlight w:val="none"/>
          <w:u w:val="none"/>
        </w:rPr>
        <w:t>申请人死亡的，</w:t>
      </w:r>
      <w:r>
        <w:rPr>
          <w:rFonts w:hint="eastAsia" w:ascii="仿宋_GB2312"/>
          <w:color w:val="auto"/>
          <w:szCs w:val="32"/>
          <w:highlight w:val="none"/>
          <w:u w:val="none"/>
        </w:rPr>
        <w:t>在册轮候人</w:t>
      </w:r>
      <w:r>
        <w:rPr>
          <w:rFonts w:hint="eastAsia" w:ascii="仿宋_GB2312" w:hAnsi="仿宋_GB2312"/>
          <w:color w:val="auto"/>
          <w:szCs w:val="32"/>
          <w:highlight w:val="none"/>
          <w:u w:val="none"/>
        </w:rPr>
        <w:t>应当在共同申请人中重新确定申请人，新确定的申请人符合本办法第十</w:t>
      </w:r>
      <w:r>
        <w:rPr>
          <w:rFonts w:hint="eastAsia" w:ascii="仿宋_GB2312" w:hAnsi="仿宋_GB2312"/>
          <w:color w:val="auto"/>
          <w:szCs w:val="32"/>
          <w:highlight w:val="none"/>
          <w:u w:val="none"/>
          <w:lang w:val="en-US" w:eastAsia="zh-CN"/>
        </w:rPr>
        <w:t>二</w:t>
      </w:r>
      <w:r>
        <w:rPr>
          <w:rFonts w:hint="eastAsia" w:ascii="仿宋_GB2312" w:hAnsi="仿宋_GB2312"/>
          <w:color w:val="auto"/>
          <w:szCs w:val="32"/>
          <w:highlight w:val="none"/>
          <w:u w:val="none"/>
        </w:rPr>
        <w:t>条规定条件的，保留其轮候排序；不符合本办法第十</w:t>
      </w:r>
      <w:r>
        <w:rPr>
          <w:rFonts w:hint="eastAsia" w:ascii="仿宋_GB2312" w:hAnsi="仿宋_GB2312"/>
          <w:color w:val="auto"/>
          <w:szCs w:val="32"/>
          <w:highlight w:val="none"/>
          <w:u w:val="none"/>
          <w:lang w:val="en-US" w:eastAsia="zh-CN"/>
        </w:rPr>
        <w:t>二</w:t>
      </w:r>
      <w:r>
        <w:rPr>
          <w:rFonts w:hint="eastAsia" w:ascii="仿宋_GB2312" w:hAnsi="仿宋_GB2312"/>
          <w:color w:val="auto"/>
          <w:szCs w:val="32"/>
          <w:highlight w:val="none"/>
          <w:u w:val="none"/>
        </w:rPr>
        <w:t>条规定条件的，退出</w:t>
      </w:r>
      <w:r>
        <w:rPr>
          <w:rFonts w:hint="eastAsia" w:ascii="仿宋_GB2312" w:hAnsi="仿宋_GB2312"/>
          <w:color w:val="auto"/>
          <w:szCs w:val="32"/>
          <w:highlight w:val="none"/>
          <w:u w:val="none"/>
          <w:lang w:val="en-US" w:eastAsia="zh-CN"/>
        </w:rPr>
        <w:t>共有产权住房</w:t>
      </w:r>
      <w:r>
        <w:rPr>
          <w:rFonts w:hint="eastAsia" w:ascii="仿宋_GB2312" w:hAnsi="仿宋_GB2312"/>
          <w:color w:val="auto"/>
          <w:szCs w:val="32"/>
          <w:highlight w:val="none"/>
          <w:u w:val="none"/>
        </w:rPr>
        <w:t>轮候册。</w:t>
      </w:r>
    </w:p>
    <w:p>
      <w:pPr>
        <w:pStyle w:val="2"/>
        <w:keepNext w:val="0"/>
        <w:keepLines w:val="0"/>
        <w:pageBreakBefore w:val="0"/>
        <w:kinsoku/>
        <w:overflowPunct/>
        <w:topLinePunct w:val="0"/>
        <w:autoSpaceDE/>
        <w:autoSpaceDN/>
        <w:bidi w:val="0"/>
        <w:adjustRightInd/>
        <w:snapToGrid/>
        <w:spacing w:after="0" w:line="578" w:lineRule="exact"/>
        <w:ind w:firstLine="640" w:firstLineChars="200"/>
        <w:textAlignment w:val="auto"/>
        <w:outlineLvl w:val="2"/>
        <w:rPr>
          <w:rFonts w:hint="eastAsia" w:ascii="仿宋_GB2312" w:hAnsi="仿宋_GB2312"/>
          <w:color w:val="auto"/>
          <w:szCs w:val="32"/>
          <w:highlight w:val="none"/>
          <w:u w:val="none"/>
        </w:rPr>
      </w:pPr>
      <w:r>
        <w:rPr>
          <w:rFonts w:hint="eastAsia" w:ascii="仿宋_GB2312" w:hAnsi="仿宋_GB2312"/>
          <w:color w:val="auto"/>
          <w:szCs w:val="32"/>
          <w:highlight w:val="none"/>
          <w:u w:val="none"/>
        </w:rPr>
        <w:t>申请人离异的，由符合本办法第十</w:t>
      </w:r>
      <w:r>
        <w:rPr>
          <w:rFonts w:hint="eastAsia" w:ascii="仿宋_GB2312" w:hAnsi="仿宋_GB2312"/>
          <w:color w:val="auto"/>
          <w:szCs w:val="32"/>
          <w:highlight w:val="none"/>
          <w:u w:val="none"/>
          <w:lang w:val="en-US" w:eastAsia="zh-CN"/>
        </w:rPr>
        <w:t>二</w:t>
      </w:r>
      <w:r>
        <w:rPr>
          <w:rFonts w:hint="eastAsia" w:ascii="仿宋_GB2312" w:hAnsi="仿宋_GB2312"/>
          <w:color w:val="auto"/>
          <w:szCs w:val="32"/>
          <w:highlight w:val="none"/>
          <w:u w:val="none"/>
        </w:rPr>
        <w:t>条规定条件的一方按照原轮候排序继续轮候；离异双方</w:t>
      </w:r>
      <w:r>
        <w:rPr>
          <w:rFonts w:hint="eastAsia" w:ascii="仿宋_GB2312" w:hAnsi="仿宋_GB2312"/>
          <w:color w:val="auto"/>
          <w:szCs w:val="32"/>
          <w:highlight w:val="none"/>
          <w:u w:val="none"/>
          <w:lang w:val="en-US" w:eastAsia="zh-CN"/>
        </w:rPr>
        <w:t>均</w:t>
      </w:r>
      <w:r>
        <w:rPr>
          <w:rFonts w:hint="eastAsia" w:ascii="仿宋_GB2312" w:hAnsi="仿宋_GB2312"/>
          <w:color w:val="auto"/>
          <w:szCs w:val="32"/>
          <w:highlight w:val="none"/>
          <w:u w:val="none"/>
        </w:rPr>
        <w:t>符合本办法第十</w:t>
      </w:r>
      <w:r>
        <w:rPr>
          <w:rFonts w:hint="eastAsia" w:ascii="仿宋_GB2312" w:hAnsi="仿宋_GB2312"/>
          <w:color w:val="auto"/>
          <w:szCs w:val="32"/>
          <w:highlight w:val="none"/>
          <w:u w:val="none"/>
          <w:lang w:val="en-US" w:eastAsia="zh-CN"/>
        </w:rPr>
        <w:t>二</w:t>
      </w:r>
      <w:r>
        <w:rPr>
          <w:rFonts w:hint="eastAsia" w:ascii="仿宋_GB2312" w:hAnsi="仿宋_GB2312"/>
          <w:color w:val="auto"/>
          <w:szCs w:val="32"/>
          <w:highlight w:val="none"/>
          <w:u w:val="none"/>
        </w:rPr>
        <w:t>条</w:t>
      </w:r>
      <w:r>
        <w:rPr>
          <w:rFonts w:ascii="仿宋_GB2312" w:hAnsi="仿宋_GB2312"/>
          <w:color w:val="auto"/>
          <w:szCs w:val="32"/>
          <w:highlight w:val="none"/>
          <w:u w:val="none"/>
        </w:rPr>
        <w:t>规定条件的，经</w:t>
      </w:r>
      <w:r>
        <w:rPr>
          <w:rFonts w:hint="eastAsia" w:ascii="仿宋_GB2312" w:hAnsi="仿宋_GB2312"/>
          <w:color w:val="auto"/>
          <w:szCs w:val="32"/>
          <w:highlight w:val="none"/>
          <w:u w:val="none"/>
          <w:lang w:val="en-US" w:eastAsia="zh-CN"/>
        </w:rPr>
        <w:t>双方</w:t>
      </w:r>
      <w:r>
        <w:rPr>
          <w:rFonts w:ascii="仿宋_GB2312" w:hAnsi="仿宋_GB2312"/>
          <w:color w:val="auto"/>
          <w:szCs w:val="32"/>
          <w:highlight w:val="none"/>
          <w:u w:val="none"/>
        </w:rPr>
        <w:t>协商</w:t>
      </w:r>
      <w:r>
        <w:rPr>
          <w:rFonts w:hint="eastAsia" w:ascii="仿宋_GB2312" w:hAnsi="仿宋_GB2312"/>
          <w:color w:val="auto"/>
          <w:szCs w:val="32"/>
          <w:highlight w:val="none"/>
          <w:u w:val="none"/>
          <w:lang w:val="en-US" w:eastAsia="zh-CN"/>
        </w:rPr>
        <w:t>确定后</w:t>
      </w:r>
      <w:r>
        <w:rPr>
          <w:rFonts w:ascii="仿宋_GB2312" w:hAnsi="仿宋_GB2312"/>
          <w:color w:val="auto"/>
          <w:szCs w:val="32"/>
          <w:highlight w:val="none"/>
          <w:u w:val="none"/>
        </w:rPr>
        <w:t>，由其中一方按照原轮候排序</w:t>
      </w:r>
      <w:r>
        <w:rPr>
          <w:rFonts w:hint="eastAsia" w:ascii="仿宋_GB2312" w:hAnsi="仿宋_GB2312"/>
          <w:color w:val="auto"/>
          <w:szCs w:val="32"/>
          <w:highlight w:val="none"/>
          <w:u w:val="none"/>
        </w:rPr>
        <w:t>继续轮候</w:t>
      </w:r>
      <w:r>
        <w:rPr>
          <w:rFonts w:hint="eastAsia" w:ascii="仿宋_GB2312" w:hAnsi="仿宋_GB2312"/>
          <w:color w:val="auto"/>
          <w:szCs w:val="32"/>
          <w:highlight w:val="none"/>
          <w:u w:val="none"/>
          <w:lang w:eastAsia="zh-CN"/>
        </w:rPr>
        <w:t>。</w:t>
      </w:r>
    </w:p>
    <w:p>
      <w:pPr>
        <w:pStyle w:val="3"/>
        <w:keepNext w:val="0"/>
        <w:keepLines w:val="0"/>
        <w:pageBreakBefore w:val="0"/>
        <w:kinsoku/>
        <w:overflowPunct/>
        <w:topLinePunct w:val="0"/>
        <w:autoSpaceDE/>
        <w:autoSpaceDN/>
        <w:bidi w:val="0"/>
        <w:adjustRightInd/>
        <w:snapToGrid/>
        <w:spacing w:after="0" w:line="578" w:lineRule="exact"/>
        <w:ind w:firstLine="640" w:firstLineChars="200"/>
        <w:textAlignment w:val="auto"/>
        <w:rPr>
          <w:rFonts w:hint="eastAsia" w:ascii="仿宋_GB2312" w:hAnsi="仿宋_GB2312" w:eastAsia="仿宋_GB2312"/>
          <w:color w:val="auto"/>
          <w:sz w:val="32"/>
          <w:szCs w:val="32"/>
          <w:highlight w:val="none"/>
          <w:u w:val="none"/>
        </w:rPr>
      </w:pPr>
      <w:r>
        <w:rPr>
          <w:rStyle w:val="22"/>
          <w:rFonts w:hint="eastAsia" w:ascii="黑体" w:hAnsi="黑体"/>
          <w:color w:val="auto"/>
          <w:sz w:val="32"/>
          <w:highlight w:val="none"/>
          <w:u w:val="none"/>
        </w:rPr>
        <w:t>第</w:t>
      </w:r>
      <w:r>
        <w:rPr>
          <w:rStyle w:val="22"/>
          <w:rFonts w:hint="eastAsia" w:ascii="黑体" w:hAnsi="黑体" w:eastAsia="黑体" w:cs="黑体"/>
          <w:color w:val="auto"/>
          <w:sz w:val="32"/>
          <w:szCs w:val="32"/>
          <w:highlight w:val="none"/>
          <w:u w:val="none"/>
          <w:lang w:val="en-US" w:eastAsia="zh-CN"/>
        </w:rPr>
        <w:t>十七</w:t>
      </w:r>
      <w:r>
        <w:rPr>
          <w:rStyle w:val="22"/>
          <w:rFonts w:hint="eastAsia" w:ascii="黑体" w:hAnsi="黑体"/>
          <w:color w:val="auto"/>
          <w:sz w:val="32"/>
          <w:highlight w:val="none"/>
          <w:u w:val="none"/>
        </w:rPr>
        <w:t>条【</w:t>
      </w:r>
      <w:r>
        <w:rPr>
          <w:rFonts w:hint="eastAsia" w:ascii="黑体" w:hAnsi="黑体" w:eastAsia="黑体" w:cs="黑体"/>
          <w:color w:val="auto"/>
          <w:sz w:val="32"/>
          <w:szCs w:val="32"/>
          <w:highlight w:val="none"/>
          <w:u w:val="none"/>
        </w:rPr>
        <w:t>轮候排序调整</w:t>
      </w:r>
      <w:r>
        <w:rPr>
          <w:rFonts w:hint="eastAsia" w:ascii="仿宋_GB2312" w:hAnsi="仿宋_GB2312" w:eastAsia="仿宋_GB2312"/>
          <w:color w:val="auto"/>
          <w:sz w:val="32"/>
          <w:szCs w:val="32"/>
          <w:highlight w:val="none"/>
          <w:u w:val="none"/>
        </w:rPr>
        <w:t>】</w:t>
      </w:r>
      <w:r>
        <w:rPr>
          <w:rFonts w:hint="eastAsia" w:ascii="仿宋_GB2312" w:hAnsi="仿宋_GB2312" w:eastAsia="仿宋_GB2312"/>
          <w:color w:val="auto"/>
          <w:sz w:val="32"/>
          <w:szCs w:val="32"/>
          <w:highlight w:val="none"/>
          <w:u w:val="none"/>
          <w:lang w:val="en-US" w:eastAsia="zh-CN"/>
        </w:rPr>
        <w:t xml:space="preserve">  </w:t>
      </w:r>
      <w:r>
        <w:rPr>
          <w:rFonts w:hint="eastAsia" w:ascii="仿宋_GB2312" w:hAnsi="仿宋_GB2312" w:eastAsia="仿宋_GB2312"/>
          <w:color w:val="auto"/>
          <w:sz w:val="32"/>
          <w:szCs w:val="32"/>
          <w:highlight w:val="none"/>
          <w:u w:val="none"/>
        </w:rPr>
        <w:t>在册轮候人发生下列变化，且符合规定条件的，其轮候排序按照以下规则处理：</w:t>
      </w:r>
    </w:p>
    <w:p>
      <w:pPr>
        <w:pStyle w:val="3"/>
        <w:keepNext w:val="0"/>
        <w:keepLines w:val="0"/>
        <w:pageBreakBefore w:val="0"/>
        <w:kinsoku/>
        <w:overflowPunct/>
        <w:topLinePunct w:val="0"/>
        <w:autoSpaceDE/>
        <w:autoSpaceDN/>
        <w:bidi w:val="0"/>
        <w:adjustRightInd/>
        <w:snapToGrid/>
        <w:spacing w:after="0" w:line="578" w:lineRule="exact"/>
        <w:ind w:firstLine="640" w:firstLineChars="200"/>
        <w:textAlignment w:val="auto"/>
        <w:rPr>
          <w:rFonts w:hint="eastAsia" w:ascii="仿宋_GB2312" w:hAnsi="仿宋_GB2312" w:eastAsia="仿宋_GB2312"/>
          <w:color w:val="auto"/>
          <w:sz w:val="32"/>
          <w:szCs w:val="32"/>
          <w:highlight w:val="none"/>
          <w:u w:val="none"/>
        </w:rPr>
      </w:pPr>
      <w:r>
        <w:rPr>
          <w:rFonts w:hint="eastAsia" w:ascii="仿宋_GB2312" w:hAnsi="仿宋_GB2312" w:eastAsia="仿宋_GB2312"/>
          <w:color w:val="auto"/>
          <w:sz w:val="32"/>
          <w:szCs w:val="32"/>
          <w:highlight w:val="none"/>
          <w:u w:val="none"/>
        </w:rPr>
        <w:t>（一）因婚姻状况变化等增加配偶、未满十八周岁的子女作为共同申请人的，保留其轮候排序；</w:t>
      </w:r>
    </w:p>
    <w:p>
      <w:pPr>
        <w:pStyle w:val="3"/>
        <w:keepNext w:val="0"/>
        <w:keepLines w:val="0"/>
        <w:pageBreakBefore w:val="0"/>
        <w:kinsoku/>
        <w:overflowPunct/>
        <w:topLinePunct w:val="0"/>
        <w:autoSpaceDE/>
        <w:autoSpaceDN/>
        <w:bidi w:val="0"/>
        <w:adjustRightInd/>
        <w:snapToGrid/>
        <w:spacing w:after="0" w:line="578" w:lineRule="exact"/>
        <w:ind w:firstLine="640" w:firstLineChars="200"/>
        <w:textAlignment w:val="auto"/>
        <w:rPr>
          <w:rFonts w:hint="eastAsia" w:ascii="仿宋_GB2312" w:hAnsi="仿宋_GB2312" w:eastAsia="仿宋_GB2312"/>
          <w:color w:val="auto"/>
          <w:sz w:val="32"/>
          <w:szCs w:val="32"/>
          <w:highlight w:val="none"/>
          <w:u w:val="none"/>
        </w:rPr>
      </w:pPr>
      <w:r>
        <w:rPr>
          <w:rFonts w:hint="eastAsia" w:ascii="仿宋_GB2312" w:hAnsi="仿宋_GB2312" w:eastAsia="仿宋_GB2312"/>
          <w:color w:val="auto"/>
          <w:sz w:val="32"/>
          <w:szCs w:val="32"/>
          <w:highlight w:val="none"/>
          <w:u w:val="none"/>
        </w:rPr>
        <w:t>（二）因户籍迁出本市、死亡等导致共同申请人减少的，保留其轮候排序；</w:t>
      </w:r>
    </w:p>
    <w:p>
      <w:pPr>
        <w:pStyle w:val="3"/>
        <w:keepNext w:val="0"/>
        <w:keepLines w:val="0"/>
        <w:pageBreakBefore w:val="0"/>
        <w:kinsoku/>
        <w:overflowPunct/>
        <w:topLinePunct w:val="0"/>
        <w:autoSpaceDE/>
        <w:autoSpaceDN/>
        <w:bidi w:val="0"/>
        <w:adjustRightInd/>
        <w:snapToGrid/>
        <w:spacing w:after="0" w:line="578" w:lineRule="exact"/>
        <w:ind w:firstLine="640" w:firstLineChars="200"/>
        <w:textAlignment w:val="auto"/>
        <w:rPr>
          <w:rFonts w:hint="eastAsia" w:ascii="仿宋_GB2312" w:hAnsi="仿宋_GB2312" w:eastAsia="仿宋_GB2312"/>
          <w:color w:val="auto"/>
          <w:sz w:val="32"/>
          <w:szCs w:val="32"/>
          <w:highlight w:val="none"/>
          <w:u w:val="none"/>
        </w:rPr>
      </w:pPr>
      <w:r>
        <w:rPr>
          <w:rFonts w:hint="eastAsia" w:ascii="仿宋_GB2312" w:hAnsi="仿宋_GB2312" w:eastAsia="仿宋_GB2312"/>
          <w:color w:val="auto"/>
          <w:sz w:val="32"/>
          <w:szCs w:val="32"/>
          <w:highlight w:val="none"/>
          <w:u w:val="none"/>
        </w:rPr>
        <w:t>（三）增加申请人父母、申请人配偶父母、年满十八周岁的子女</w:t>
      </w:r>
      <w:r>
        <w:rPr>
          <w:rFonts w:hint="eastAsia" w:ascii="仿宋_GB2312" w:hAnsi="仿宋_GB2312" w:eastAsia="仿宋_GB2312"/>
          <w:color w:val="auto"/>
          <w:sz w:val="32"/>
          <w:szCs w:val="32"/>
          <w:highlight w:val="none"/>
          <w:u w:val="none"/>
          <w:lang w:val="en-US" w:eastAsia="zh-CN"/>
        </w:rPr>
        <w:t>作</w:t>
      </w:r>
      <w:r>
        <w:rPr>
          <w:rFonts w:hint="eastAsia" w:ascii="仿宋_GB2312" w:hAnsi="仿宋_GB2312" w:eastAsia="仿宋_GB2312"/>
          <w:color w:val="auto"/>
          <w:sz w:val="32"/>
          <w:szCs w:val="32"/>
          <w:highlight w:val="none"/>
          <w:u w:val="none"/>
        </w:rPr>
        <w:t>为共同申请人的，应当重新申请轮候。</w:t>
      </w:r>
    </w:p>
    <w:p>
      <w:pPr>
        <w:pStyle w:val="2"/>
        <w:keepNext w:val="0"/>
        <w:keepLines w:val="0"/>
        <w:pageBreakBefore w:val="0"/>
        <w:kinsoku/>
        <w:overflowPunct/>
        <w:topLinePunct w:val="0"/>
        <w:autoSpaceDE/>
        <w:autoSpaceDN/>
        <w:bidi w:val="0"/>
        <w:adjustRightInd/>
        <w:snapToGrid/>
        <w:spacing w:after="0" w:line="578" w:lineRule="exact"/>
        <w:ind w:firstLine="640" w:firstLineChars="200"/>
        <w:textAlignment w:val="auto"/>
        <w:outlineLvl w:val="2"/>
        <w:rPr>
          <w:rFonts w:ascii="仿宋_GB2312" w:hAnsi="仿宋_GB2312" w:cs="仿宋_GB2312"/>
          <w:color w:val="auto"/>
          <w:szCs w:val="32"/>
          <w:highlight w:val="none"/>
          <w:u w:val="none"/>
        </w:rPr>
      </w:pPr>
      <w:r>
        <w:rPr>
          <w:rFonts w:hint="eastAsia" w:ascii="黑体" w:hAnsi="黑体" w:eastAsia="黑体"/>
          <w:bCs/>
          <w:color w:val="auto"/>
          <w:szCs w:val="32"/>
          <w:highlight w:val="none"/>
          <w:u w:val="none"/>
        </w:rPr>
        <w:t>第</w:t>
      </w:r>
      <w:r>
        <w:rPr>
          <w:rFonts w:hint="eastAsia" w:ascii="黑体" w:hAnsi="黑体" w:eastAsia="黑体"/>
          <w:color w:val="auto"/>
          <w:szCs w:val="32"/>
          <w:highlight w:val="none"/>
          <w:u w:val="none"/>
          <w:lang w:val="en-US" w:eastAsia="zh-CN"/>
        </w:rPr>
        <w:t>十八</w:t>
      </w:r>
      <w:r>
        <w:rPr>
          <w:rFonts w:hint="eastAsia" w:ascii="黑体" w:hAnsi="黑体" w:eastAsia="黑体"/>
          <w:bCs/>
          <w:color w:val="auto"/>
          <w:szCs w:val="32"/>
          <w:highlight w:val="none"/>
          <w:u w:val="none"/>
        </w:rPr>
        <w:t>条</w:t>
      </w:r>
      <w:bookmarkEnd w:id="83"/>
      <w:bookmarkEnd w:id="84"/>
      <w:bookmarkEnd w:id="85"/>
      <w:bookmarkEnd w:id="86"/>
      <w:bookmarkEnd w:id="87"/>
      <w:bookmarkEnd w:id="88"/>
      <w:bookmarkEnd w:id="89"/>
      <w:bookmarkEnd w:id="90"/>
      <w:bookmarkEnd w:id="91"/>
      <w:bookmarkEnd w:id="92"/>
      <w:r>
        <w:rPr>
          <w:rFonts w:hint="eastAsia" w:ascii="黑体" w:hAnsi="黑体" w:eastAsia="黑体"/>
          <w:bCs/>
          <w:color w:val="auto"/>
          <w:szCs w:val="32"/>
          <w:highlight w:val="none"/>
          <w:u w:val="none"/>
        </w:rPr>
        <w:t>【配售方案】</w:t>
      </w:r>
      <w:r>
        <w:rPr>
          <w:rFonts w:hint="eastAsia" w:ascii="黑体" w:hAnsi="黑体" w:eastAsia="黑体"/>
          <w:bCs/>
          <w:color w:val="auto"/>
          <w:szCs w:val="32"/>
          <w:highlight w:val="none"/>
          <w:u w:val="none"/>
          <w:lang w:val="en-US" w:eastAsia="zh-CN"/>
        </w:rPr>
        <w:t xml:space="preserve">  </w:t>
      </w:r>
      <w:r>
        <w:rPr>
          <w:rFonts w:hint="eastAsia" w:ascii="仿宋_GB2312" w:hAnsi="仿宋_GB2312" w:cs="仿宋_GB2312"/>
          <w:color w:val="auto"/>
          <w:szCs w:val="32"/>
          <w:highlight w:val="none"/>
          <w:u w:val="none"/>
        </w:rPr>
        <w:t>开发建设单位应当</w:t>
      </w:r>
      <w:r>
        <w:rPr>
          <w:rFonts w:hint="eastAsia" w:ascii="仿宋_GB2312" w:hAnsi="仿宋_GB2312" w:cs="仿宋_GB2312"/>
          <w:color w:val="auto"/>
          <w:szCs w:val="32"/>
          <w:highlight w:val="none"/>
          <w:u w:val="none"/>
          <w:lang w:val="en-US" w:eastAsia="zh-CN"/>
        </w:rPr>
        <w:t>自共有产权</w:t>
      </w:r>
      <w:r>
        <w:rPr>
          <w:rFonts w:hint="eastAsia" w:ascii="仿宋_GB2312" w:hAnsi="仿宋_GB2312" w:cs="仿宋_GB2312"/>
          <w:color w:val="auto"/>
          <w:szCs w:val="32"/>
          <w:highlight w:val="none"/>
          <w:u w:val="none"/>
        </w:rPr>
        <w:t>住房项目达到配售条件</w:t>
      </w:r>
      <w:r>
        <w:rPr>
          <w:rFonts w:hint="eastAsia" w:ascii="仿宋_GB2312" w:hAnsi="仿宋_GB2312" w:cs="仿宋_GB2312"/>
          <w:color w:val="auto"/>
          <w:szCs w:val="32"/>
          <w:highlight w:val="none"/>
          <w:u w:val="none"/>
          <w:lang w:val="en-US" w:eastAsia="zh-CN"/>
        </w:rPr>
        <w:t>之日起三个月以内</w:t>
      </w:r>
      <w:r>
        <w:rPr>
          <w:rFonts w:hint="eastAsia" w:ascii="仿宋_GB2312" w:hAnsi="仿宋_GB2312" w:cs="仿宋_GB2312"/>
          <w:color w:val="auto"/>
          <w:szCs w:val="32"/>
          <w:highlight w:val="none"/>
          <w:u w:val="none"/>
        </w:rPr>
        <w:t>拟定配售方案，报主管部门批准。区主管部门组织配售的项目，配售方案报市主管部门</w:t>
      </w:r>
      <w:r>
        <w:rPr>
          <w:rFonts w:hint="eastAsia" w:ascii="仿宋_GB2312" w:hAnsi="仿宋_GB2312" w:cs="仿宋_GB2312"/>
          <w:color w:val="auto"/>
          <w:szCs w:val="32"/>
          <w:highlight w:val="none"/>
          <w:u w:val="none"/>
          <w:lang w:val="en-US" w:eastAsia="zh-CN"/>
        </w:rPr>
        <w:t>备案</w:t>
      </w:r>
      <w:r>
        <w:rPr>
          <w:rFonts w:hint="eastAsia" w:ascii="仿宋_GB2312" w:hAnsi="仿宋_GB2312" w:cs="仿宋_GB2312"/>
          <w:color w:val="auto"/>
          <w:szCs w:val="32"/>
          <w:highlight w:val="none"/>
          <w:u w:val="none"/>
        </w:rPr>
        <w:t>后实施。</w:t>
      </w:r>
    </w:p>
    <w:p>
      <w:pPr>
        <w:keepNext w:val="0"/>
        <w:keepLines w:val="0"/>
        <w:pageBreakBefore w:val="0"/>
        <w:kinsoku/>
        <w:overflowPunct/>
        <w:topLinePunct w:val="0"/>
        <w:autoSpaceDE/>
        <w:autoSpaceDN/>
        <w:bidi w:val="0"/>
        <w:adjustRightInd/>
        <w:snapToGrid/>
        <w:spacing w:line="578" w:lineRule="exact"/>
        <w:ind w:firstLine="640" w:firstLineChars="200"/>
        <w:textAlignment w:val="auto"/>
        <w:outlineLvl w:val="2"/>
        <w:rPr>
          <w:rFonts w:ascii="仿宋_GB2312" w:hAnsi="仿宋_GB2312" w:cs="仿宋_GB2312"/>
          <w:bCs/>
          <w:color w:val="auto"/>
          <w:szCs w:val="32"/>
          <w:highlight w:val="none"/>
          <w:u w:val="none"/>
        </w:rPr>
      </w:pPr>
      <w:r>
        <w:rPr>
          <w:rFonts w:hint="eastAsia" w:ascii="黑体" w:hAnsi="黑体" w:eastAsia="黑体"/>
          <w:bCs/>
          <w:color w:val="auto"/>
          <w:szCs w:val="32"/>
          <w:highlight w:val="none"/>
          <w:u w:val="none"/>
        </w:rPr>
        <w:t>第</w:t>
      </w:r>
      <w:r>
        <w:rPr>
          <w:rFonts w:hint="eastAsia" w:ascii="黑体" w:hAnsi="黑体" w:eastAsia="黑体"/>
          <w:bCs/>
          <w:color w:val="auto"/>
          <w:szCs w:val="32"/>
          <w:highlight w:val="none"/>
          <w:u w:val="none"/>
          <w:lang w:val="en-US" w:eastAsia="zh-CN"/>
        </w:rPr>
        <w:t>十九</w:t>
      </w:r>
      <w:r>
        <w:rPr>
          <w:rFonts w:hint="eastAsia" w:ascii="黑体" w:hAnsi="黑体" w:eastAsia="黑体"/>
          <w:bCs/>
          <w:color w:val="auto"/>
          <w:szCs w:val="32"/>
          <w:highlight w:val="none"/>
          <w:u w:val="none"/>
        </w:rPr>
        <w:t>条【</w:t>
      </w:r>
      <w:r>
        <w:rPr>
          <w:rFonts w:ascii="黑体" w:hAnsi="黑体" w:eastAsia="黑体"/>
          <w:bCs/>
          <w:color w:val="auto"/>
          <w:szCs w:val="32"/>
          <w:highlight w:val="none"/>
          <w:u w:val="none"/>
        </w:rPr>
        <w:t>选房</w:t>
      </w:r>
      <w:r>
        <w:rPr>
          <w:rFonts w:hint="eastAsia" w:ascii="黑体" w:hAnsi="黑体" w:eastAsia="黑体"/>
          <w:bCs/>
          <w:color w:val="auto"/>
          <w:szCs w:val="32"/>
          <w:highlight w:val="none"/>
          <w:u w:val="none"/>
        </w:rPr>
        <w:t>方式】</w:t>
      </w:r>
      <w:r>
        <w:rPr>
          <w:rFonts w:hint="eastAsia" w:ascii="黑体" w:hAnsi="黑体" w:eastAsia="黑体"/>
          <w:bCs/>
          <w:color w:val="auto"/>
          <w:szCs w:val="32"/>
          <w:highlight w:val="none"/>
          <w:u w:val="none"/>
          <w:lang w:val="en-US" w:eastAsia="zh-CN"/>
        </w:rPr>
        <w:t xml:space="preserve">  </w:t>
      </w:r>
      <w:r>
        <w:rPr>
          <w:rFonts w:hint="eastAsia" w:ascii="仿宋_GB2312" w:hAnsi="仿宋_GB2312" w:cs="仿宋_GB2312"/>
          <w:color w:val="auto"/>
          <w:szCs w:val="32"/>
          <w:highlight w:val="none"/>
          <w:u w:val="none"/>
        </w:rPr>
        <w:t>共有产权住房的</w:t>
      </w:r>
      <w:r>
        <w:rPr>
          <w:rFonts w:hint="eastAsia" w:ascii="仿宋_GB2312" w:hAnsi="仿宋_GB2312" w:cs="仿宋_GB2312"/>
          <w:color w:val="auto"/>
          <w:szCs w:val="32"/>
          <w:highlight w:val="none"/>
          <w:u w:val="none"/>
          <w:lang w:val="en-US" w:eastAsia="zh-CN"/>
        </w:rPr>
        <w:t>配售</w:t>
      </w:r>
      <w:r>
        <w:rPr>
          <w:rFonts w:hint="eastAsia" w:ascii="仿宋_GB2312" w:hAnsi="仿宋_GB2312" w:cs="仿宋_GB2312"/>
          <w:color w:val="auto"/>
          <w:szCs w:val="32"/>
          <w:highlight w:val="none"/>
          <w:u w:val="none"/>
        </w:rPr>
        <w:t>应当遵循公开、公平和公正的原则</w:t>
      </w:r>
      <w:r>
        <w:rPr>
          <w:rFonts w:hint="eastAsia" w:ascii="仿宋_GB2312" w:hAnsi="仿宋_GB2312" w:cs="仿宋_GB2312"/>
          <w:color w:val="auto"/>
          <w:szCs w:val="32"/>
          <w:highlight w:val="none"/>
          <w:u w:val="none"/>
          <w:lang w:eastAsia="zh-CN"/>
        </w:rPr>
        <w:t>，</w:t>
      </w:r>
      <w:r>
        <w:rPr>
          <w:rFonts w:hint="eastAsia" w:ascii="仿宋_GB2312"/>
          <w:color w:val="auto"/>
          <w:szCs w:val="32"/>
          <w:highlight w:val="none"/>
          <w:u w:val="none"/>
          <w:lang w:val="en-US" w:eastAsia="zh-CN"/>
        </w:rPr>
        <w:t>根据实际情况采取线上或者线下方式，</w:t>
      </w:r>
      <w:r>
        <w:rPr>
          <w:rFonts w:hint="eastAsia" w:ascii="仿宋_GB2312"/>
          <w:color w:val="auto"/>
          <w:szCs w:val="32"/>
          <w:highlight w:val="none"/>
          <w:u w:val="none"/>
        </w:rPr>
        <w:t>按照轮候排序</w:t>
      </w:r>
      <w:r>
        <w:rPr>
          <w:rFonts w:hint="eastAsia" w:ascii="仿宋_GB2312"/>
          <w:color w:val="auto"/>
          <w:szCs w:val="32"/>
          <w:highlight w:val="none"/>
          <w:u w:val="none"/>
          <w:lang w:val="en-US" w:eastAsia="zh-CN"/>
        </w:rPr>
        <w:t>依次自主选房、依次</w:t>
      </w:r>
      <w:r>
        <w:rPr>
          <w:rFonts w:hint="eastAsia" w:ascii="仿宋_GB2312"/>
          <w:color w:val="auto"/>
          <w:szCs w:val="32"/>
          <w:highlight w:val="none"/>
          <w:u w:val="none"/>
        </w:rPr>
        <w:t>抽签</w:t>
      </w:r>
      <w:r>
        <w:rPr>
          <w:rFonts w:hint="eastAsia" w:ascii="仿宋_GB2312"/>
          <w:color w:val="auto"/>
          <w:szCs w:val="32"/>
          <w:highlight w:val="none"/>
          <w:u w:val="none"/>
          <w:lang w:val="en-US" w:eastAsia="zh-CN"/>
        </w:rPr>
        <w:t>选房</w:t>
      </w:r>
      <w:r>
        <w:rPr>
          <w:rFonts w:hint="eastAsia" w:ascii="仿宋_GB2312"/>
          <w:color w:val="auto"/>
          <w:szCs w:val="32"/>
          <w:highlight w:val="none"/>
          <w:u w:val="none"/>
        </w:rPr>
        <w:t>或者通过计算机自动编配</w:t>
      </w:r>
      <w:r>
        <w:rPr>
          <w:rFonts w:hint="eastAsia" w:ascii="仿宋_GB2312"/>
          <w:color w:val="auto"/>
          <w:szCs w:val="32"/>
          <w:highlight w:val="none"/>
          <w:u w:val="none"/>
          <w:lang w:val="en-US" w:eastAsia="zh-CN"/>
        </w:rPr>
        <w:t>选房等</w:t>
      </w:r>
      <w:r>
        <w:rPr>
          <w:rFonts w:hint="eastAsia" w:ascii="仿宋_GB2312"/>
          <w:color w:val="auto"/>
          <w:szCs w:val="32"/>
          <w:highlight w:val="none"/>
          <w:u w:val="none"/>
          <w:lang w:eastAsia="zh-CN"/>
        </w:rPr>
        <w:t>。</w:t>
      </w:r>
      <w:r>
        <w:rPr>
          <w:rFonts w:hint="eastAsia" w:ascii="仿宋_GB2312" w:hAnsi="仿宋_GB2312" w:cs="仿宋_GB2312"/>
          <w:color w:val="auto"/>
          <w:szCs w:val="32"/>
          <w:highlight w:val="none"/>
          <w:u w:val="none"/>
        </w:rPr>
        <w:t>具体方式应当在配售通告中载明。</w:t>
      </w:r>
      <w:bookmarkStart w:id="93" w:name="_Toc17406"/>
      <w:bookmarkEnd w:id="93"/>
      <w:bookmarkStart w:id="94" w:name="_Toc9804"/>
      <w:bookmarkEnd w:id="94"/>
      <w:bookmarkStart w:id="95" w:name="_Toc26036"/>
      <w:bookmarkEnd w:id="95"/>
      <w:bookmarkStart w:id="96" w:name="_Toc523428823"/>
      <w:bookmarkEnd w:id="96"/>
      <w:bookmarkStart w:id="97" w:name="_Toc210"/>
      <w:bookmarkEnd w:id="97"/>
    </w:p>
    <w:p>
      <w:pPr>
        <w:pStyle w:val="2"/>
        <w:keepNext w:val="0"/>
        <w:keepLines w:val="0"/>
        <w:pageBreakBefore w:val="0"/>
        <w:kinsoku/>
        <w:overflowPunct/>
        <w:topLinePunct w:val="0"/>
        <w:autoSpaceDE/>
        <w:autoSpaceDN/>
        <w:bidi w:val="0"/>
        <w:adjustRightInd/>
        <w:snapToGrid/>
        <w:spacing w:after="0" w:line="578" w:lineRule="exact"/>
        <w:ind w:firstLine="640" w:firstLineChars="200"/>
        <w:textAlignment w:val="auto"/>
        <w:rPr>
          <w:rFonts w:hint="eastAsia" w:ascii="仿宋_GB2312" w:hAnsi="仿宋_GB2312" w:cs="仿宋_GB2312"/>
          <w:color w:val="auto"/>
          <w:szCs w:val="32"/>
          <w:highlight w:val="none"/>
          <w:u w:val="none"/>
          <w:lang w:eastAsia="zh-CN"/>
        </w:rPr>
      </w:pPr>
      <w:r>
        <w:rPr>
          <w:rFonts w:hint="eastAsia" w:ascii="黑体" w:hAnsi="黑体" w:eastAsia="黑体"/>
          <w:bCs/>
          <w:color w:val="auto"/>
          <w:szCs w:val="32"/>
          <w:highlight w:val="none"/>
          <w:u w:val="none"/>
        </w:rPr>
        <w:t>第</w:t>
      </w:r>
      <w:r>
        <w:rPr>
          <w:rFonts w:hint="eastAsia" w:ascii="黑体" w:hAnsi="黑体" w:eastAsia="黑体"/>
          <w:bCs/>
          <w:color w:val="auto"/>
          <w:szCs w:val="32"/>
          <w:highlight w:val="none"/>
          <w:u w:val="none"/>
          <w:lang w:val="en-US" w:eastAsia="zh-CN"/>
        </w:rPr>
        <w:t>二十</w:t>
      </w:r>
      <w:r>
        <w:rPr>
          <w:rFonts w:hint="eastAsia" w:ascii="黑体" w:hAnsi="黑体" w:eastAsia="黑体"/>
          <w:bCs/>
          <w:color w:val="auto"/>
          <w:szCs w:val="32"/>
          <w:highlight w:val="none"/>
          <w:u w:val="none"/>
        </w:rPr>
        <w:t>条【售价】</w:t>
      </w:r>
      <w:r>
        <w:rPr>
          <w:rFonts w:hint="eastAsia" w:ascii="黑体" w:hAnsi="黑体" w:eastAsia="黑体"/>
          <w:bCs/>
          <w:color w:val="auto"/>
          <w:szCs w:val="32"/>
          <w:highlight w:val="none"/>
          <w:u w:val="none"/>
          <w:lang w:val="en-US" w:eastAsia="zh-CN"/>
        </w:rPr>
        <w:t xml:space="preserve">  </w:t>
      </w:r>
      <w:r>
        <w:rPr>
          <w:rFonts w:hint="eastAsia" w:ascii="仿宋_GB2312" w:hAnsi="仿宋_GB2312" w:cs="仿宋_GB2312"/>
          <w:color w:val="auto"/>
          <w:szCs w:val="32"/>
          <w:highlight w:val="none"/>
          <w:u w:val="none"/>
        </w:rPr>
        <w:t>共有产权住房</w:t>
      </w:r>
      <w:r>
        <w:rPr>
          <w:rFonts w:hint="eastAsia" w:ascii="仿宋_GB2312" w:hAnsi="仿宋_GB2312" w:cs="仿宋_GB2312"/>
          <w:color w:val="auto"/>
          <w:szCs w:val="32"/>
          <w:highlight w:val="none"/>
          <w:u w:val="none"/>
          <w:lang w:val="en-US" w:eastAsia="zh-CN"/>
        </w:rPr>
        <w:t>项目</w:t>
      </w:r>
      <w:r>
        <w:rPr>
          <w:rFonts w:hint="eastAsia" w:ascii="仿宋_GB2312" w:hAnsi="仿宋_GB2312" w:cs="仿宋_GB2312"/>
          <w:color w:val="auto"/>
          <w:szCs w:val="32"/>
          <w:highlight w:val="none"/>
          <w:u w:val="none"/>
        </w:rPr>
        <w:t>的销售</w:t>
      </w:r>
      <w:r>
        <w:rPr>
          <w:rFonts w:hint="eastAsia" w:ascii="仿宋_GB2312" w:hAnsi="仿宋_GB2312" w:cs="仿宋_GB2312"/>
          <w:color w:val="auto"/>
          <w:szCs w:val="32"/>
          <w:highlight w:val="none"/>
          <w:u w:val="none"/>
          <w:lang w:val="en-US" w:eastAsia="zh-CN"/>
        </w:rPr>
        <w:t>均价</w:t>
      </w:r>
      <w:r>
        <w:rPr>
          <w:rFonts w:hint="eastAsia" w:ascii="仿宋_GB2312" w:hAnsi="仿宋_GB2312" w:cs="仿宋_GB2312"/>
          <w:color w:val="auto"/>
          <w:szCs w:val="32"/>
          <w:highlight w:val="none"/>
          <w:u w:val="none"/>
        </w:rPr>
        <w:t>综合考虑本市住房困难居民经济承受能力、经济社会发展状况、物价变动水平等因素，按照土地出让时</w:t>
      </w:r>
      <w:r>
        <w:rPr>
          <w:rFonts w:hint="eastAsia" w:ascii="仿宋_GB2312" w:hAnsi="仿宋_GB2312" w:cs="仿宋_GB2312"/>
          <w:color w:val="auto"/>
          <w:szCs w:val="32"/>
          <w:highlight w:val="none"/>
          <w:u w:val="none"/>
          <w:lang w:val="en-US" w:eastAsia="zh-CN"/>
        </w:rPr>
        <w:t>市场参考价格</w:t>
      </w:r>
      <w:r>
        <w:rPr>
          <w:rFonts w:hint="eastAsia" w:ascii="仿宋_GB2312" w:hAnsi="仿宋_GB2312" w:cs="仿宋_GB2312"/>
          <w:color w:val="auto"/>
          <w:szCs w:val="32"/>
          <w:highlight w:val="none"/>
          <w:u w:val="none"/>
        </w:rPr>
        <w:t>的百分之五十左右确定。</w:t>
      </w:r>
      <w:r>
        <w:rPr>
          <w:rFonts w:hint="eastAsia" w:ascii="仿宋_GB2312" w:hAnsi="仿宋_GB2312" w:cs="仿宋_GB2312"/>
          <w:color w:val="auto"/>
          <w:szCs w:val="32"/>
          <w:highlight w:val="none"/>
          <w:u w:val="none"/>
          <w:lang w:val="en-US" w:eastAsia="zh-CN"/>
        </w:rPr>
        <w:t>单套住房销售价格</w:t>
      </w:r>
      <w:r>
        <w:rPr>
          <w:rFonts w:hint="eastAsia" w:ascii="仿宋_GB2312" w:hAnsi="仿宋_GB2312" w:cs="仿宋_GB2312"/>
          <w:color w:val="auto"/>
          <w:szCs w:val="32"/>
          <w:highlight w:val="none"/>
          <w:u w:val="none"/>
        </w:rPr>
        <w:t>根据</w:t>
      </w:r>
      <w:r>
        <w:rPr>
          <w:rFonts w:hint="eastAsia" w:ascii="仿宋_GB2312" w:hAnsi="仿宋_GB2312" w:cs="仿宋_GB2312"/>
          <w:color w:val="auto"/>
          <w:szCs w:val="32"/>
          <w:highlight w:val="none"/>
          <w:u w:val="none"/>
          <w:lang w:val="en-US" w:eastAsia="zh-CN"/>
        </w:rPr>
        <w:t>项目销售均价</w:t>
      </w:r>
      <w:r>
        <w:rPr>
          <w:rFonts w:hint="eastAsia" w:ascii="仿宋_GB2312" w:hAnsi="仿宋_GB2312" w:cs="仿宋_GB2312"/>
          <w:color w:val="auto"/>
          <w:szCs w:val="32"/>
          <w:highlight w:val="none"/>
          <w:u w:val="none"/>
        </w:rPr>
        <w:t>，结合楼层、朝向等因素</w:t>
      </w:r>
      <w:r>
        <w:rPr>
          <w:rFonts w:hint="eastAsia" w:ascii="仿宋_GB2312" w:hAnsi="仿宋_GB2312" w:cs="仿宋_GB2312"/>
          <w:color w:val="auto"/>
          <w:szCs w:val="32"/>
          <w:highlight w:val="none"/>
          <w:u w:val="none"/>
          <w:lang w:val="en-US" w:eastAsia="zh-CN"/>
        </w:rPr>
        <w:t>确定</w:t>
      </w:r>
      <w:r>
        <w:rPr>
          <w:rFonts w:hint="eastAsia" w:ascii="仿宋_GB2312" w:hAnsi="仿宋_GB2312" w:cs="仿宋_GB2312"/>
          <w:color w:val="auto"/>
          <w:szCs w:val="32"/>
          <w:highlight w:val="none"/>
          <w:u w:val="none"/>
        </w:rPr>
        <w:t>。</w:t>
      </w:r>
    </w:p>
    <w:p>
      <w:pPr>
        <w:pStyle w:val="2"/>
        <w:keepNext w:val="0"/>
        <w:keepLines w:val="0"/>
        <w:pageBreakBefore w:val="0"/>
        <w:kinsoku/>
        <w:overflowPunct/>
        <w:topLinePunct w:val="0"/>
        <w:autoSpaceDE/>
        <w:autoSpaceDN/>
        <w:bidi w:val="0"/>
        <w:adjustRightInd/>
        <w:snapToGrid/>
        <w:spacing w:after="0" w:line="578" w:lineRule="exact"/>
        <w:ind w:firstLine="640" w:firstLineChars="200"/>
        <w:textAlignment w:val="auto"/>
        <w:rPr>
          <w:rFonts w:hint="eastAsia"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共有产权住房项目的销售</w:t>
      </w:r>
      <w:r>
        <w:rPr>
          <w:rFonts w:hint="eastAsia" w:ascii="仿宋_GB2312" w:hAnsi="仿宋_GB2312" w:cs="仿宋_GB2312"/>
          <w:color w:val="auto"/>
          <w:szCs w:val="32"/>
          <w:highlight w:val="none"/>
          <w:u w:val="none"/>
          <w:lang w:val="en-US" w:eastAsia="zh-CN"/>
        </w:rPr>
        <w:t>均价</w:t>
      </w:r>
      <w:r>
        <w:rPr>
          <w:rFonts w:hint="eastAsia" w:ascii="仿宋_GB2312" w:hAnsi="仿宋_GB2312" w:cs="仿宋_GB2312"/>
          <w:color w:val="auto"/>
          <w:szCs w:val="32"/>
          <w:highlight w:val="none"/>
          <w:u w:val="none"/>
        </w:rPr>
        <w:t>和</w:t>
      </w:r>
      <w:r>
        <w:rPr>
          <w:rFonts w:hint="eastAsia" w:ascii="仿宋_GB2312" w:hAnsi="仿宋_GB2312" w:cs="仿宋_GB2312"/>
          <w:color w:val="auto"/>
          <w:szCs w:val="32"/>
          <w:highlight w:val="none"/>
          <w:u w:val="none"/>
          <w:lang w:val="en-US" w:eastAsia="zh-CN"/>
        </w:rPr>
        <w:t>单套住房</w:t>
      </w:r>
      <w:r>
        <w:rPr>
          <w:rFonts w:hint="eastAsia" w:ascii="仿宋_GB2312" w:hAnsi="仿宋_GB2312" w:cs="仿宋_GB2312"/>
          <w:color w:val="auto"/>
          <w:szCs w:val="32"/>
          <w:highlight w:val="none"/>
          <w:u w:val="none"/>
        </w:rPr>
        <w:t>销售价格</w:t>
      </w:r>
      <w:r>
        <w:rPr>
          <w:rFonts w:hint="eastAsia" w:ascii="仿宋_GB2312" w:hAnsi="仿宋_GB2312" w:cs="仿宋_GB2312"/>
          <w:color w:val="auto"/>
          <w:szCs w:val="32"/>
          <w:highlight w:val="none"/>
          <w:u w:val="none"/>
          <w:lang w:val="en-US" w:eastAsia="zh-CN"/>
        </w:rPr>
        <w:t>上限</w:t>
      </w:r>
      <w:r>
        <w:rPr>
          <w:rFonts w:hint="eastAsia" w:ascii="仿宋_GB2312" w:hAnsi="仿宋_GB2312" w:cs="仿宋_GB2312"/>
          <w:color w:val="auto"/>
          <w:szCs w:val="32"/>
          <w:highlight w:val="none"/>
          <w:u w:val="none"/>
        </w:rPr>
        <w:t>由市主管部门会同市发展改革部门，根据市主管部门委托的专业机构评估测算结果拟定，报</w:t>
      </w:r>
      <w:r>
        <w:rPr>
          <w:rFonts w:hint="eastAsia" w:ascii="仿宋_GB2312" w:hAnsi="仿宋_GB2312" w:cs="仿宋_GB2312"/>
          <w:color w:val="auto"/>
          <w:szCs w:val="32"/>
          <w:highlight w:val="none"/>
          <w:u w:val="none"/>
          <w:lang w:eastAsia="zh-CN"/>
        </w:rPr>
        <w:t>市政府</w:t>
      </w:r>
      <w:r>
        <w:rPr>
          <w:rFonts w:hint="eastAsia" w:ascii="仿宋_GB2312" w:hAnsi="仿宋_GB2312" w:cs="仿宋_GB2312"/>
          <w:color w:val="auto"/>
          <w:szCs w:val="32"/>
          <w:highlight w:val="none"/>
          <w:u w:val="none"/>
        </w:rPr>
        <w:t>批准后执行。开发建设单位</w:t>
      </w:r>
      <w:r>
        <w:rPr>
          <w:rFonts w:hint="eastAsia" w:ascii="仿宋_GB2312" w:hAnsi="仿宋_GB2312" w:cs="仿宋_GB2312"/>
          <w:color w:val="auto"/>
          <w:szCs w:val="32"/>
          <w:highlight w:val="none"/>
          <w:u w:val="none"/>
          <w:lang w:val="en-US" w:eastAsia="zh-CN"/>
        </w:rPr>
        <w:t>根据批准的项目</w:t>
      </w:r>
      <w:r>
        <w:rPr>
          <w:rFonts w:hint="eastAsia" w:ascii="仿宋_GB2312" w:hAnsi="仿宋_GB2312" w:cs="仿宋_GB2312"/>
          <w:color w:val="auto"/>
          <w:szCs w:val="32"/>
          <w:highlight w:val="none"/>
          <w:u w:val="none"/>
        </w:rPr>
        <w:t>销售</w:t>
      </w:r>
      <w:r>
        <w:rPr>
          <w:rFonts w:hint="eastAsia" w:ascii="仿宋_GB2312" w:hAnsi="仿宋_GB2312" w:cs="仿宋_GB2312"/>
          <w:color w:val="auto"/>
          <w:szCs w:val="32"/>
          <w:highlight w:val="none"/>
          <w:u w:val="none"/>
          <w:lang w:val="en-US" w:eastAsia="zh-CN"/>
        </w:rPr>
        <w:t>均价</w:t>
      </w:r>
      <w:r>
        <w:rPr>
          <w:rFonts w:hint="eastAsia" w:ascii="仿宋_GB2312" w:hAnsi="仿宋_GB2312" w:cs="仿宋_GB2312"/>
          <w:color w:val="auto"/>
          <w:szCs w:val="32"/>
          <w:highlight w:val="none"/>
          <w:u w:val="none"/>
        </w:rPr>
        <w:t>和</w:t>
      </w:r>
      <w:r>
        <w:rPr>
          <w:rFonts w:hint="eastAsia" w:ascii="仿宋_GB2312" w:hAnsi="仿宋_GB2312" w:cs="仿宋_GB2312"/>
          <w:color w:val="auto"/>
          <w:szCs w:val="32"/>
          <w:highlight w:val="none"/>
          <w:u w:val="none"/>
          <w:lang w:val="en-US" w:eastAsia="zh-CN"/>
        </w:rPr>
        <w:t>单套住房</w:t>
      </w:r>
      <w:r>
        <w:rPr>
          <w:rFonts w:hint="eastAsia" w:ascii="仿宋_GB2312" w:hAnsi="仿宋_GB2312" w:cs="仿宋_GB2312"/>
          <w:color w:val="auto"/>
          <w:szCs w:val="32"/>
          <w:highlight w:val="none"/>
          <w:u w:val="none"/>
        </w:rPr>
        <w:t>销售价格</w:t>
      </w:r>
      <w:r>
        <w:rPr>
          <w:rFonts w:hint="eastAsia" w:ascii="仿宋_GB2312" w:hAnsi="仿宋_GB2312" w:cs="仿宋_GB2312"/>
          <w:color w:val="auto"/>
          <w:szCs w:val="32"/>
          <w:highlight w:val="none"/>
          <w:u w:val="none"/>
          <w:lang w:val="en-US" w:eastAsia="zh-CN"/>
        </w:rPr>
        <w:t>上限</w:t>
      </w:r>
      <w:r>
        <w:rPr>
          <w:rFonts w:hint="eastAsia" w:ascii="仿宋_GB2312" w:hAnsi="仿宋_GB2312" w:cs="仿宋_GB2312"/>
          <w:color w:val="auto"/>
          <w:szCs w:val="32"/>
          <w:highlight w:val="none"/>
          <w:u w:val="none"/>
        </w:rPr>
        <w:t>拟定</w:t>
      </w:r>
      <w:r>
        <w:rPr>
          <w:rFonts w:hint="default" w:ascii="仿宋_GB2312" w:hAnsi="仿宋_GB2312" w:cs="仿宋_GB2312"/>
          <w:color w:val="auto"/>
          <w:szCs w:val="32"/>
          <w:highlight w:val="none"/>
          <w:u w:val="none"/>
          <w:lang w:val="en-US"/>
        </w:rPr>
        <w:t>单</w:t>
      </w:r>
      <w:r>
        <w:rPr>
          <w:rFonts w:hint="eastAsia" w:ascii="仿宋_GB2312" w:hAnsi="仿宋_GB2312" w:cs="仿宋_GB2312"/>
          <w:color w:val="auto"/>
          <w:szCs w:val="32"/>
          <w:highlight w:val="none"/>
          <w:u w:val="none"/>
        </w:rPr>
        <w:t>套住房</w:t>
      </w:r>
      <w:r>
        <w:rPr>
          <w:rFonts w:hint="eastAsia" w:ascii="仿宋_GB2312" w:hAnsi="仿宋_GB2312" w:cs="仿宋_GB2312"/>
          <w:color w:val="auto"/>
          <w:szCs w:val="32"/>
          <w:highlight w:val="none"/>
          <w:u w:val="none"/>
          <w:lang w:val="en-US" w:eastAsia="zh-CN"/>
        </w:rPr>
        <w:t>销售价格</w:t>
      </w:r>
      <w:r>
        <w:rPr>
          <w:rFonts w:hint="eastAsia" w:ascii="仿宋_GB2312" w:hAnsi="仿宋_GB2312" w:cs="仿宋_GB2312"/>
          <w:color w:val="auto"/>
          <w:szCs w:val="32"/>
          <w:highlight w:val="none"/>
          <w:u w:val="none"/>
        </w:rPr>
        <w:t>，</w:t>
      </w:r>
      <w:r>
        <w:rPr>
          <w:rFonts w:hint="eastAsia" w:ascii="仿宋_GB2312" w:hAnsi="仿宋_GB2312" w:cs="仿宋_GB2312"/>
          <w:color w:val="auto"/>
          <w:szCs w:val="32"/>
          <w:highlight w:val="none"/>
          <w:u w:val="none"/>
          <w:lang w:val="en-US" w:eastAsia="zh-CN"/>
        </w:rPr>
        <w:t>在项目销售前</w:t>
      </w:r>
      <w:r>
        <w:rPr>
          <w:rFonts w:hint="eastAsia" w:ascii="仿宋_GB2312" w:hAnsi="仿宋_GB2312" w:cs="仿宋_GB2312"/>
          <w:color w:val="auto"/>
          <w:szCs w:val="32"/>
          <w:highlight w:val="none"/>
          <w:u w:val="none"/>
        </w:rPr>
        <w:t>报市主管部门备案。</w:t>
      </w:r>
    </w:p>
    <w:p>
      <w:pPr>
        <w:pStyle w:val="2"/>
        <w:keepNext w:val="0"/>
        <w:keepLines w:val="0"/>
        <w:pageBreakBefore w:val="0"/>
        <w:kinsoku/>
        <w:overflowPunct/>
        <w:topLinePunct w:val="0"/>
        <w:autoSpaceDE/>
        <w:autoSpaceDN/>
        <w:bidi w:val="0"/>
        <w:adjustRightInd/>
        <w:snapToGrid/>
        <w:spacing w:after="0" w:line="578" w:lineRule="exact"/>
        <w:ind w:firstLine="640" w:firstLineChars="200"/>
        <w:textAlignment w:val="auto"/>
        <w:rPr>
          <w:rFonts w:hint="eastAsia" w:ascii="仿宋_GB2312" w:hAnsi="仿宋_GB2312" w:cs="仿宋_GB2312"/>
          <w:color w:val="auto"/>
          <w:szCs w:val="32"/>
          <w:highlight w:val="none"/>
          <w:u w:val="none"/>
          <w:lang w:val="en-US" w:eastAsia="zh-CN"/>
        </w:rPr>
      </w:pPr>
      <w:r>
        <w:rPr>
          <w:rFonts w:hint="eastAsia" w:ascii="仿宋_GB2312" w:hAnsi="仿宋_GB2312" w:cs="仿宋_GB2312"/>
          <w:bCs/>
          <w:color w:val="auto"/>
          <w:szCs w:val="32"/>
          <w:highlight w:val="none"/>
          <w:u w:val="none"/>
        </w:rPr>
        <w:t>共有产权住房</w:t>
      </w:r>
      <w:r>
        <w:rPr>
          <w:rFonts w:hint="eastAsia" w:ascii="仿宋_GB2312" w:hAnsi="仿宋_GB2312" w:cs="仿宋_GB2312"/>
          <w:bCs/>
          <w:color w:val="auto"/>
          <w:szCs w:val="32"/>
          <w:highlight w:val="none"/>
          <w:u w:val="none"/>
          <w:lang w:val="en-US" w:eastAsia="zh-CN"/>
        </w:rPr>
        <w:t>项目</w:t>
      </w:r>
      <w:r>
        <w:rPr>
          <w:rFonts w:hint="eastAsia" w:ascii="仿宋_GB2312" w:hAnsi="仿宋_GB2312" w:cs="仿宋_GB2312"/>
          <w:color w:val="auto"/>
          <w:szCs w:val="32"/>
          <w:highlight w:val="none"/>
          <w:u w:val="none"/>
          <w:lang w:val="en-US" w:eastAsia="zh-CN"/>
        </w:rPr>
        <w:t>用地通过</w:t>
      </w:r>
      <w:r>
        <w:rPr>
          <w:rFonts w:hint="eastAsia" w:ascii="仿宋_GB2312" w:hAnsi="仿宋_GB2312" w:cs="仿宋_GB2312"/>
          <w:color w:val="auto"/>
          <w:szCs w:val="32"/>
          <w:highlight w:val="none"/>
          <w:u w:val="none"/>
        </w:rPr>
        <w:t>招标、拍卖和挂牌等方式供应</w:t>
      </w:r>
      <w:r>
        <w:rPr>
          <w:rFonts w:hint="eastAsia" w:ascii="仿宋_GB2312" w:hAnsi="仿宋_GB2312" w:cs="仿宋_GB2312"/>
          <w:color w:val="auto"/>
          <w:szCs w:val="32"/>
          <w:highlight w:val="none"/>
          <w:u w:val="none"/>
          <w:lang w:val="en-US" w:eastAsia="zh-CN"/>
        </w:rPr>
        <w:t>的，销售价格按照土地出让时确定的</w:t>
      </w:r>
      <w:r>
        <w:rPr>
          <w:rFonts w:hint="eastAsia" w:ascii="仿宋_GB2312" w:hAnsi="仿宋_GB2312" w:cs="仿宋_GB2312"/>
          <w:color w:val="auto"/>
          <w:szCs w:val="32"/>
          <w:highlight w:val="none"/>
          <w:u w:val="none"/>
        </w:rPr>
        <w:t>销售</w:t>
      </w:r>
      <w:r>
        <w:rPr>
          <w:rFonts w:hint="eastAsia" w:ascii="仿宋_GB2312" w:hAnsi="仿宋_GB2312" w:cs="仿宋_GB2312"/>
          <w:color w:val="auto"/>
          <w:szCs w:val="32"/>
          <w:highlight w:val="none"/>
          <w:u w:val="none"/>
          <w:lang w:val="en-US" w:eastAsia="zh-CN"/>
        </w:rPr>
        <w:t>价格标准执行。</w:t>
      </w:r>
    </w:p>
    <w:p>
      <w:pPr>
        <w:keepNext w:val="0"/>
        <w:keepLines w:val="0"/>
        <w:pageBreakBefore w:val="0"/>
        <w:tabs>
          <w:tab w:val="left" w:pos="6090"/>
        </w:tabs>
        <w:kinsoku/>
        <w:overflowPunct/>
        <w:topLinePunct w:val="0"/>
        <w:autoSpaceDE/>
        <w:autoSpaceDN/>
        <w:bidi w:val="0"/>
        <w:adjustRightInd/>
        <w:snapToGrid/>
        <w:spacing w:line="578" w:lineRule="exact"/>
        <w:ind w:firstLine="640"/>
        <w:textAlignment w:val="auto"/>
        <w:outlineLvl w:val="2"/>
        <w:rPr>
          <w:rFonts w:hint="eastAsia"/>
          <w:color w:val="auto"/>
          <w:szCs w:val="32"/>
          <w:highlight w:val="none"/>
          <w:u w:val="none"/>
          <w:lang w:val="en-US" w:eastAsia="zh-CN"/>
        </w:rPr>
      </w:pPr>
      <w:r>
        <w:rPr>
          <w:rFonts w:hint="eastAsia" w:ascii="仿宋_GB2312" w:hAnsi="仿宋_GB2312" w:cs="仿宋_GB2312"/>
          <w:bCs/>
          <w:color w:val="auto"/>
          <w:szCs w:val="32"/>
          <w:highlight w:val="none"/>
          <w:u w:val="none"/>
          <w:lang w:val="en-US" w:eastAsia="zh-CN"/>
        </w:rPr>
        <w:t>市场参考价格由</w:t>
      </w:r>
      <w:r>
        <w:rPr>
          <w:rFonts w:hint="eastAsia" w:ascii="仿宋_GB2312" w:hAnsi="仿宋_GB2312" w:cs="仿宋_GB2312"/>
          <w:color w:val="auto"/>
          <w:szCs w:val="32"/>
          <w:highlight w:val="none"/>
          <w:u w:val="none"/>
        </w:rPr>
        <w:t>市主管部门委托专业机构评估测算</w:t>
      </w:r>
      <w:r>
        <w:rPr>
          <w:rFonts w:hint="eastAsia" w:ascii="仿宋_GB2312" w:hAnsi="仿宋_GB2312" w:cs="仿宋_GB2312"/>
          <w:color w:val="auto"/>
          <w:szCs w:val="32"/>
          <w:highlight w:val="none"/>
          <w:u w:val="none"/>
          <w:lang w:val="en-US" w:eastAsia="zh-CN"/>
        </w:rPr>
        <w:t>确定。</w:t>
      </w:r>
    </w:p>
    <w:p>
      <w:pPr>
        <w:pStyle w:val="2"/>
        <w:keepNext w:val="0"/>
        <w:keepLines w:val="0"/>
        <w:pageBreakBefore w:val="0"/>
        <w:kinsoku/>
        <w:overflowPunct/>
        <w:topLinePunct w:val="0"/>
        <w:autoSpaceDE/>
        <w:autoSpaceDN/>
        <w:bidi w:val="0"/>
        <w:adjustRightInd/>
        <w:snapToGrid/>
        <w:spacing w:after="0" w:line="578" w:lineRule="exact"/>
        <w:ind w:firstLine="640" w:firstLineChars="200"/>
        <w:textAlignment w:val="auto"/>
        <w:rPr>
          <w:rFonts w:hint="eastAsia" w:ascii="仿宋_GB2312"/>
          <w:color w:val="auto"/>
          <w:szCs w:val="32"/>
          <w:highlight w:val="none"/>
          <w:u w:val="none"/>
        </w:rPr>
      </w:pPr>
      <w:r>
        <w:rPr>
          <w:rFonts w:ascii="黑体" w:hAnsi="黑体" w:eastAsia="黑体"/>
          <w:color w:val="auto"/>
          <w:szCs w:val="32"/>
          <w:highlight w:val="none"/>
          <w:u w:val="none"/>
        </w:rPr>
        <w:t>第</w:t>
      </w:r>
      <w:r>
        <w:rPr>
          <w:rFonts w:hint="eastAsia" w:ascii="黑体" w:hAnsi="黑体" w:eastAsia="黑体"/>
          <w:color w:val="auto"/>
          <w:szCs w:val="32"/>
          <w:highlight w:val="none"/>
          <w:u w:val="none"/>
          <w:lang w:val="en-US" w:eastAsia="zh-CN"/>
        </w:rPr>
        <w:t>二十一</w:t>
      </w:r>
      <w:r>
        <w:rPr>
          <w:rFonts w:ascii="黑体" w:hAnsi="黑体" w:eastAsia="黑体"/>
          <w:color w:val="auto"/>
          <w:szCs w:val="32"/>
          <w:highlight w:val="none"/>
          <w:u w:val="none"/>
        </w:rPr>
        <w:t>条【产权份额】</w:t>
      </w:r>
      <w:r>
        <w:rPr>
          <w:rFonts w:hint="eastAsia" w:ascii="黑体" w:hAnsi="黑体" w:eastAsia="黑体"/>
          <w:color w:val="auto"/>
          <w:szCs w:val="32"/>
          <w:highlight w:val="none"/>
          <w:u w:val="none"/>
          <w:lang w:val="en-US" w:eastAsia="zh-CN"/>
        </w:rPr>
        <w:t xml:space="preserve">  </w:t>
      </w:r>
      <w:r>
        <w:rPr>
          <w:rFonts w:hint="eastAsia" w:ascii="仿宋_GB2312" w:hAnsi="仿宋_GB2312" w:cs="仿宋_GB2312"/>
          <w:color w:val="auto"/>
          <w:szCs w:val="32"/>
          <w:highlight w:val="none"/>
          <w:u w:val="none"/>
        </w:rPr>
        <w:t>购房人产权份额按照项目销售</w:t>
      </w:r>
      <w:r>
        <w:rPr>
          <w:rFonts w:hint="eastAsia" w:ascii="仿宋_GB2312" w:hAnsi="仿宋_GB2312" w:cs="仿宋_GB2312"/>
          <w:color w:val="auto"/>
          <w:szCs w:val="32"/>
          <w:highlight w:val="none"/>
          <w:u w:val="none"/>
          <w:lang w:val="en-US" w:eastAsia="zh-CN"/>
        </w:rPr>
        <w:t>均价</w:t>
      </w:r>
      <w:r>
        <w:rPr>
          <w:rFonts w:hint="eastAsia" w:ascii="仿宋_GB2312" w:hAnsi="仿宋_GB2312" w:cs="仿宋_GB2312"/>
          <w:color w:val="auto"/>
          <w:szCs w:val="32"/>
          <w:highlight w:val="none"/>
          <w:u w:val="none"/>
        </w:rPr>
        <w:t>占</w:t>
      </w:r>
      <w:r>
        <w:rPr>
          <w:rFonts w:hint="eastAsia" w:ascii="仿宋_GB2312" w:hAnsi="仿宋_GB2312" w:cs="仿宋_GB2312"/>
          <w:color w:val="auto"/>
          <w:szCs w:val="32"/>
          <w:highlight w:val="none"/>
          <w:u w:val="none"/>
          <w:lang w:val="en-US" w:eastAsia="zh-CN"/>
        </w:rPr>
        <w:t>市场参考</w:t>
      </w:r>
      <w:r>
        <w:rPr>
          <w:rFonts w:hint="eastAsia" w:ascii="仿宋_GB2312" w:hAnsi="仿宋_GB2312" w:cs="仿宋_GB2312"/>
          <w:color w:val="auto"/>
          <w:szCs w:val="32"/>
          <w:highlight w:val="none"/>
          <w:u w:val="none"/>
        </w:rPr>
        <w:t>价格的比例确定</w:t>
      </w:r>
      <w:r>
        <w:rPr>
          <w:rFonts w:hint="eastAsia" w:ascii="仿宋_GB2312" w:hAnsi="仿宋_GB2312" w:eastAsia="仿宋_GB2312" w:cs="仿宋_GB2312"/>
          <w:bCs w:val="0"/>
          <w:color w:val="auto"/>
          <w:kern w:val="2"/>
          <w:sz w:val="32"/>
          <w:szCs w:val="32"/>
          <w:highlight w:val="none"/>
          <w:u w:val="none"/>
          <w:lang w:val="en-US" w:eastAsia="zh-CN" w:bidi="ar-SA"/>
        </w:rPr>
        <w:t>，</w:t>
      </w:r>
      <w:r>
        <w:rPr>
          <w:rFonts w:hint="eastAsia" w:ascii="仿宋_GB2312" w:hAnsi="仿宋_GB2312" w:cs="仿宋_GB2312"/>
          <w:bCs w:val="0"/>
          <w:color w:val="auto"/>
          <w:kern w:val="2"/>
          <w:sz w:val="32"/>
          <w:szCs w:val="32"/>
          <w:highlight w:val="none"/>
          <w:u w:val="none"/>
          <w:lang w:val="en-US" w:eastAsia="zh-CN" w:bidi="ar-SA"/>
        </w:rPr>
        <w:t>原则上不</w:t>
      </w:r>
      <w:r>
        <w:rPr>
          <w:rFonts w:hint="eastAsia" w:ascii="仿宋_GB2312" w:hAnsi="仿宋_GB2312" w:eastAsia="仿宋_GB2312" w:cs="仿宋_GB2312"/>
          <w:bCs w:val="0"/>
          <w:color w:val="auto"/>
          <w:kern w:val="2"/>
          <w:sz w:val="32"/>
          <w:szCs w:val="32"/>
          <w:highlight w:val="none"/>
          <w:u w:val="none"/>
          <w:lang w:val="en-US" w:eastAsia="zh-CN" w:bidi="ar-SA"/>
        </w:rPr>
        <w:t>低于</w:t>
      </w:r>
      <w:r>
        <w:rPr>
          <w:rFonts w:hint="eastAsia" w:ascii="仿宋_GB2312" w:hAnsi="仿宋_GB2312" w:cs="仿宋_GB2312"/>
          <w:color w:val="auto"/>
          <w:szCs w:val="32"/>
          <w:highlight w:val="none"/>
          <w:u w:val="none"/>
        </w:rPr>
        <w:t>百分之五十；其余部分为</w:t>
      </w:r>
      <w:r>
        <w:rPr>
          <w:rFonts w:hint="eastAsia" w:ascii="仿宋_GB2312"/>
          <w:color w:val="auto"/>
          <w:szCs w:val="32"/>
          <w:highlight w:val="none"/>
          <w:u w:val="none"/>
        </w:rPr>
        <w:t>政府产权份额。</w:t>
      </w:r>
    </w:p>
    <w:p>
      <w:pPr>
        <w:keepNext w:val="0"/>
        <w:keepLines w:val="0"/>
        <w:pageBreakBefore w:val="0"/>
        <w:kinsoku/>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cs="仿宋_GB2312"/>
          <w:bCs/>
          <w:color w:val="auto"/>
          <w:szCs w:val="32"/>
          <w:highlight w:val="none"/>
          <w:u w:val="none"/>
          <w:lang w:eastAsia="zh-CN"/>
        </w:rPr>
      </w:pPr>
      <w:r>
        <w:rPr>
          <w:rFonts w:hint="eastAsia" w:ascii="仿宋_GB2312" w:hAnsi="仿宋_GB2312" w:cs="仿宋_GB2312"/>
          <w:color w:val="auto"/>
          <w:szCs w:val="32"/>
          <w:highlight w:val="none"/>
          <w:u w:val="none"/>
        </w:rPr>
        <w:t>同批次销售</w:t>
      </w:r>
      <w:r>
        <w:rPr>
          <w:rFonts w:hint="eastAsia" w:ascii="仿宋_GB2312" w:hAnsi="仿宋_GB2312" w:cs="仿宋_GB2312"/>
          <w:bCs/>
          <w:color w:val="auto"/>
          <w:szCs w:val="32"/>
          <w:highlight w:val="none"/>
          <w:u w:val="none"/>
        </w:rPr>
        <w:t>的同一项目的产权份额相同</w:t>
      </w:r>
      <w:r>
        <w:rPr>
          <w:rFonts w:hint="eastAsia" w:ascii="仿宋_GB2312" w:hAnsi="仿宋_GB2312" w:cs="仿宋_GB2312"/>
          <w:bCs/>
          <w:color w:val="auto"/>
          <w:szCs w:val="32"/>
          <w:highlight w:val="none"/>
          <w:u w:val="none"/>
          <w:lang w:eastAsia="zh-CN"/>
        </w:rPr>
        <w:t>。</w:t>
      </w:r>
      <w:r>
        <w:rPr>
          <w:rFonts w:hint="eastAsia" w:ascii="仿宋_GB2312" w:hAnsi="仿宋_GB2312" w:cs="仿宋_GB2312"/>
          <w:bCs/>
          <w:color w:val="auto"/>
          <w:szCs w:val="32"/>
          <w:highlight w:val="none"/>
          <w:u w:val="none"/>
        </w:rPr>
        <w:t>购房人产权份额和政府产权份额应当在</w:t>
      </w:r>
      <w:r>
        <w:rPr>
          <w:rFonts w:hint="eastAsia" w:ascii="仿宋_GB2312" w:hAnsi="仿宋_GB2312" w:cs="仿宋_GB2312"/>
          <w:bCs/>
          <w:color w:val="auto"/>
          <w:szCs w:val="32"/>
          <w:highlight w:val="none"/>
          <w:u w:val="none"/>
          <w:lang w:val="en-US" w:eastAsia="zh-CN"/>
        </w:rPr>
        <w:t>配售通告、</w:t>
      </w:r>
      <w:r>
        <w:rPr>
          <w:rFonts w:hint="eastAsia" w:ascii="仿宋_GB2312" w:hAnsi="仿宋_GB2312" w:cs="仿宋_GB2312"/>
          <w:bCs/>
          <w:color w:val="auto"/>
          <w:szCs w:val="32"/>
          <w:highlight w:val="none"/>
          <w:u w:val="none"/>
        </w:rPr>
        <w:t>买卖合同中明确</w:t>
      </w:r>
      <w:r>
        <w:rPr>
          <w:rFonts w:hint="eastAsia" w:ascii="仿宋_GB2312" w:hAnsi="仿宋_GB2312" w:cs="仿宋_GB2312"/>
          <w:bCs/>
          <w:color w:val="auto"/>
          <w:szCs w:val="32"/>
          <w:highlight w:val="none"/>
          <w:u w:val="none"/>
          <w:lang w:eastAsia="zh-CN"/>
        </w:rPr>
        <w:t>。</w:t>
      </w:r>
    </w:p>
    <w:p>
      <w:pPr>
        <w:pStyle w:val="2"/>
        <w:keepNext w:val="0"/>
        <w:keepLines w:val="0"/>
        <w:pageBreakBefore w:val="0"/>
        <w:kinsoku/>
        <w:overflowPunct/>
        <w:topLinePunct w:val="0"/>
        <w:autoSpaceDE/>
        <w:autoSpaceDN/>
        <w:bidi w:val="0"/>
        <w:adjustRightInd/>
        <w:snapToGrid/>
        <w:spacing w:after="0" w:line="578" w:lineRule="exact"/>
        <w:ind w:firstLine="640" w:firstLineChars="200"/>
        <w:textAlignment w:val="auto"/>
        <w:rPr>
          <w:rFonts w:ascii="仿宋_GB2312"/>
          <w:color w:val="auto"/>
          <w:szCs w:val="32"/>
          <w:highlight w:val="none"/>
          <w:u w:val="none"/>
        </w:rPr>
      </w:pPr>
      <w:r>
        <w:rPr>
          <w:rFonts w:hint="eastAsia" w:ascii="黑体" w:hAnsi="黑体" w:eastAsia="黑体"/>
          <w:bCs/>
          <w:color w:val="auto"/>
          <w:szCs w:val="32"/>
          <w:highlight w:val="none"/>
          <w:u w:val="none"/>
        </w:rPr>
        <w:t>第</w:t>
      </w:r>
      <w:r>
        <w:rPr>
          <w:rFonts w:hint="eastAsia" w:ascii="黑体" w:hAnsi="黑体" w:eastAsia="黑体"/>
          <w:bCs/>
          <w:color w:val="auto"/>
          <w:szCs w:val="32"/>
          <w:highlight w:val="none"/>
          <w:u w:val="none"/>
          <w:lang w:val="en-US" w:eastAsia="zh-CN"/>
        </w:rPr>
        <w:t>二十二</w:t>
      </w:r>
      <w:r>
        <w:rPr>
          <w:rFonts w:hint="eastAsia" w:ascii="黑体" w:hAnsi="黑体" w:eastAsia="黑体"/>
          <w:bCs/>
          <w:color w:val="auto"/>
          <w:szCs w:val="32"/>
          <w:highlight w:val="none"/>
          <w:u w:val="none"/>
        </w:rPr>
        <w:t>条【面积标准】</w:t>
      </w:r>
      <w:r>
        <w:rPr>
          <w:rFonts w:hint="eastAsia" w:ascii="黑体" w:hAnsi="黑体" w:eastAsia="黑体"/>
          <w:bCs/>
          <w:color w:val="auto"/>
          <w:szCs w:val="32"/>
          <w:highlight w:val="none"/>
          <w:u w:val="none"/>
          <w:lang w:val="en-US" w:eastAsia="zh-CN"/>
        </w:rPr>
        <w:t xml:space="preserve">  </w:t>
      </w:r>
      <w:r>
        <w:rPr>
          <w:rFonts w:hint="eastAsia" w:ascii="仿宋_GB2312"/>
          <w:color w:val="auto"/>
          <w:szCs w:val="32"/>
          <w:highlight w:val="none"/>
          <w:u w:val="none"/>
        </w:rPr>
        <w:t>共有产权住房配售建筑面积按照以下</w:t>
      </w:r>
      <w:r>
        <w:rPr>
          <w:rFonts w:hint="eastAsia" w:ascii="仿宋_GB2312"/>
          <w:color w:val="auto"/>
          <w:szCs w:val="32"/>
          <w:highlight w:val="none"/>
          <w:u w:val="none"/>
          <w:lang w:val="en-US" w:eastAsia="zh-CN"/>
        </w:rPr>
        <w:t>标准</w:t>
      </w:r>
      <w:r>
        <w:rPr>
          <w:rFonts w:hint="eastAsia" w:ascii="仿宋_GB2312"/>
          <w:color w:val="auto"/>
          <w:szCs w:val="32"/>
          <w:highlight w:val="none"/>
          <w:u w:val="none"/>
        </w:rPr>
        <w:t>确定：</w:t>
      </w:r>
    </w:p>
    <w:p>
      <w:pPr>
        <w:pStyle w:val="2"/>
        <w:keepNext w:val="0"/>
        <w:keepLines w:val="0"/>
        <w:pageBreakBefore w:val="0"/>
        <w:kinsoku/>
        <w:overflowPunct/>
        <w:topLinePunct w:val="0"/>
        <w:autoSpaceDE/>
        <w:autoSpaceDN/>
        <w:bidi w:val="0"/>
        <w:adjustRightInd/>
        <w:snapToGrid/>
        <w:spacing w:after="0" w:line="578" w:lineRule="exact"/>
        <w:ind w:firstLine="640" w:firstLineChars="200"/>
        <w:textAlignment w:val="auto"/>
        <w:rPr>
          <w:rFonts w:ascii="仿宋_GB2312"/>
          <w:color w:val="auto"/>
          <w:szCs w:val="32"/>
          <w:highlight w:val="none"/>
          <w:u w:val="none"/>
        </w:rPr>
      </w:pPr>
      <w:r>
        <w:rPr>
          <w:rFonts w:hint="eastAsia" w:ascii="仿宋_GB2312"/>
          <w:color w:val="auto"/>
          <w:szCs w:val="32"/>
          <w:highlight w:val="none"/>
          <w:u w:val="none"/>
        </w:rPr>
        <w:t>（一）三人以下家庭或者单身居民配售建筑面积为六十五平方米左右；</w:t>
      </w:r>
    </w:p>
    <w:p>
      <w:pPr>
        <w:pStyle w:val="2"/>
        <w:keepNext w:val="0"/>
        <w:keepLines w:val="0"/>
        <w:pageBreakBefore w:val="0"/>
        <w:kinsoku/>
        <w:overflowPunct/>
        <w:topLinePunct w:val="0"/>
        <w:autoSpaceDE/>
        <w:autoSpaceDN/>
        <w:bidi w:val="0"/>
        <w:adjustRightInd/>
        <w:snapToGrid/>
        <w:spacing w:after="0" w:line="578" w:lineRule="exact"/>
        <w:ind w:firstLine="640" w:firstLineChars="200"/>
        <w:textAlignment w:val="auto"/>
        <w:rPr>
          <w:rFonts w:ascii="仿宋_GB2312"/>
          <w:color w:val="auto"/>
          <w:szCs w:val="32"/>
          <w:highlight w:val="none"/>
          <w:u w:val="none"/>
        </w:rPr>
      </w:pPr>
      <w:r>
        <w:rPr>
          <w:rFonts w:hint="eastAsia" w:ascii="仿宋_GB2312"/>
          <w:color w:val="auto"/>
          <w:szCs w:val="32"/>
          <w:highlight w:val="none"/>
          <w:u w:val="none"/>
        </w:rPr>
        <w:t>（二）四人以上家庭配售建筑面积为八十五平方米左右。</w:t>
      </w:r>
    </w:p>
    <w:p>
      <w:pPr>
        <w:pStyle w:val="2"/>
        <w:keepNext w:val="0"/>
        <w:keepLines w:val="0"/>
        <w:pageBreakBefore w:val="0"/>
        <w:kinsoku/>
        <w:overflowPunct/>
        <w:topLinePunct w:val="0"/>
        <w:autoSpaceDE/>
        <w:autoSpaceDN/>
        <w:bidi w:val="0"/>
        <w:adjustRightInd/>
        <w:snapToGrid/>
        <w:spacing w:after="0" w:line="578" w:lineRule="exact"/>
        <w:ind w:firstLine="640" w:firstLineChars="200"/>
        <w:textAlignment w:val="auto"/>
        <w:rPr>
          <w:rFonts w:hint="eastAsia" w:ascii="仿宋_GB2312"/>
          <w:color w:val="auto"/>
          <w:szCs w:val="32"/>
          <w:highlight w:val="none"/>
          <w:u w:val="none"/>
        </w:rPr>
      </w:pPr>
      <w:r>
        <w:rPr>
          <w:rFonts w:hint="eastAsia" w:ascii="仿宋_GB2312"/>
          <w:color w:val="auto"/>
          <w:szCs w:val="32"/>
          <w:highlight w:val="none"/>
          <w:u w:val="none"/>
        </w:rPr>
        <w:t>家庭人口数按照申请人和共同申请人的总人数予以确定。申请人自愿</w:t>
      </w:r>
      <w:r>
        <w:rPr>
          <w:rFonts w:hint="eastAsia" w:ascii="仿宋_GB2312"/>
          <w:color w:val="auto"/>
          <w:szCs w:val="32"/>
          <w:highlight w:val="none"/>
          <w:u w:val="none"/>
          <w:lang w:val="en-US" w:eastAsia="zh-CN"/>
        </w:rPr>
        <w:t>认购</w:t>
      </w:r>
      <w:r>
        <w:rPr>
          <w:rFonts w:hint="eastAsia" w:ascii="仿宋_GB2312"/>
          <w:color w:val="auto"/>
          <w:szCs w:val="32"/>
          <w:highlight w:val="none"/>
          <w:u w:val="none"/>
        </w:rPr>
        <w:t>低于其家庭人口数对应建筑面积标准住房的，低于建筑面积标准的部分不予补偿。</w:t>
      </w:r>
    </w:p>
    <w:p>
      <w:pPr>
        <w:pStyle w:val="2"/>
        <w:keepNext w:val="0"/>
        <w:keepLines w:val="0"/>
        <w:pageBreakBefore w:val="0"/>
        <w:kinsoku/>
        <w:overflowPunct/>
        <w:topLinePunct w:val="0"/>
        <w:autoSpaceDE/>
        <w:autoSpaceDN/>
        <w:bidi w:val="0"/>
        <w:adjustRightInd/>
        <w:snapToGrid/>
        <w:spacing w:after="0" w:line="578" w:lineRule="exact"/>
        <w:ind w:firstLine="640" w:firstLineChars="200"/>
        <w:textAlignment w:val="auto"/>
        <w:rPr>
          <w:rFonts w:hint="eastAsia" w:ascii="仿宋_GB2312" w:hAnsi="Calibri" w:eastAsia="仿宋_GB2312" w:cs="Times New Roman"/>
          <w:color w:val="auto"/>
          <w:sz w:val="32"/>
          <w:szCs w:val="32"/>
          <w:highlight w:val="none"/>
          <w:u w:val="none"/>
        </w:rPr>
      </w:pPr>
      <w:r>
        <w:rPr>
          <w:rFonts w:hint="eastAsia" w:ascii="仿宋_GB2312" w:cs="Times New Roman"/>
          <w:color w:val="auto"/>
          <w:sz w:val="32"/>
          <w:szCs w:val="32"/>
          <w:highlight w:val="none"/>
          <w:u w:val="none"/>
          <w:lang w:val="en-US" w:eastAsia="zh-CN"/>
        </w:rPr>
        <w:t>市、区</w:t>
      </w:r>
      <w:r>
        <w:rPr>
          <w:rFonts w:hint="eastAsia" w:ascii="仿宋_GB2312" w:hAnsi="Calibri" w:eastAsia="仿宋_GB2312" w:cs="Times New Roman"/>
          <w:color w:val="auto"/>
          <w:sz w:val="32"/>
          <w:szCs w:val="32"/>
          <w:highlight w:val="none"/>
          <w:u w:val="none"/>
        </w:rPr>
        <w:t>主管部门可以根据</w:t>
      </w:r>
      <w:r>
        <w:rPr>
          <w:rFonts w:hint="eastAsia" w:ascii="仿宋_GB2312" w:cs="Times New Roman"/>
          <w:color w:val="auto"/>
          <w:sz w:val="32"/>
          <w:szCs w:val="32"/>
          <w:highlight w:val="none"/>
          <w:u w:val="none"/>
          <w:lang w:val="en-US" w:eastAsia="zh-CN"/>
        </w:rPr>
        <w:t>具体</w:t>
      </w:r>
      <w:r>
        <w:rPr>
          <w:rFonts w:hint="eastAsia" w:ascii="仿宋_GB2312" w:hAnsi="Calibri" w:eastAsia="仿宋_GB2312" w:cs="Times New Roman"/>
          <w:color w:val="auto"/>
          <w:sz w:val="32"/>
          <w:szCs w:val="32"/>
          <w:highlight w:val="none"/>
          <w:u w:val="none"/>
        </w:rPr>
        <w:t>项目实际情况，适时调整配售面积标准，</w:t>
      </w:r>
      <w:r>
        <w:rPr>
          <w:rFonts w:hint="eastAsia" w:ascii="仿宋_GB2312" w:cs="Times New Roman"/>
          <w:color w:val="auto"/>
          <w:sz w:val="32"/>
          <w:szCs w:val="32"/>
          <w:highlight w:val="none"/>
          <w:u w:val="none"/>
          <w:lang w:val="en-US" w:eastAsia="zh-CN"/>
        </w:rPr>
        <w:t>经本级</w:t>
      </w:r>
      <w:r>
        <w:rPr>
          <w:rFonts w:hint="eastAsia" w:ascii="仿宋_GB2312" w:hAnsi="Calibri" w:eastAsia="仿宋_GB2312" w:cs="Times New Roman"/>
          <w:color w:val="auto"/>
          <w:sz w:val="32"/>
          <w:szCs w:val="32"/>
          <w:highlight w:val="none"/>
          <w:u w:val="none"/>
        </w:rPr>
        <w:t>政府批准后执行。</w:t>
      </w:r>
    </w:p>
    <w:p>
      <w:pPr>
        <w:keepNext w:val="0"/>
        <w:keepLines w:val="0"/>
        <w:pageBreakBefore w:val="0"/>
        <w:kinsoku/>
        <w:overflowPunct/>
        <w:topLinePunct w:val="0"/>
        <w:autoSpaceDE/>
        <w:autoSpaceDN/>
        <w:bidi w:val="0"/>
        <w:adjustRightInd/>
        <w:snapToGrid/>
        <w:spacing w:line="578" w:lineRule="exact"/>
        <w:ind w:firstLine="640" w:firstLineChars="200"/>
        <w:textAlignment w:val="auto"/>
        <w:outlineLvl w:val="2"/>
        <w:rPr>
          <w:rFonts w:ascii="黑体" w:hAnsi="黑体" w:eastAsia="黑体"/>
          <w:bCs/>
          <w:color w:val="auto"/>
          <w:szCs w:val="32"/>
          <w:highlight w:val="none"/>
          <w:u w:val="none"/>
        </w:rPr>
      </w:pPr>
      <w:r>
        <w:rPr>
          <w:rFonts w:hint="eastAsia" w:ascii="黑体" w:hAnsi="黑体" w:eastAsia="黑体"/>
          <w:bCs/>
          <w:color w:val="auto"/>
          <w:szCs w:val="32"/>
          <w:highlight w:val="none"/>
          <w:u w:val="none"/>
        </w:rPr>
        <w:t>第</w:t>
      </w:r>
      <w:r>
        <w:rPr>
          <w:rFonts w:hint="eastAsia" w:ascii="黑体" w:hAnsi="黑体" w:eastAsia="黑体"/>
          <w:bCs/>
          <w:color w:val="auto"/>
          <w:szCs w:val="32"/>
          <w:highlight w:val="none"/>
          <w:u w:val="none"/>
          <w:lang w:val="en-US" w:eastAsia="zh-CN"/>
        </w:rPr>
        <w:t>二十三</w:t>
      </w:r>
      <w:r>
        <w:rPr>
          <w:rFonts w:hint="eastAsia" w:ascii="黑体" w:hAnsi="黑体" w:eastAsia="黑体"/>
          <w:bCs/>
          <w:color w:val="auto"/>
          <w:szCs w:val="32"/>
          <w:highlight w:val="none"/>
          <w:u w:val="none"/>
        </w:rPr>
        <w:t>条【配售程序】</w:t>
      </w:r>
      <w:r>
        <w:rPr>
          <w:rFonts w:hint="eastAsia" w:ascii="黑体" w:hAnsi="黑体" w:eastAsia="黑体"/>
          <w:bCs/>
          <w:color w:val="auto"/>
          <w:szCs w:val="32"/>
          <w:highlight w:val="none"/>
          <w:u w:val="none"/>
          <w:lang w:val="en-US" w:eastAsia="zh-CN"/>
        </w:rPr>
        <w:t xml:space="preserve">  </w:t>
      </w:r>
      <w:r>
        <w:rPr>
          <w:rFonts w:hint="eastAsia" w:ascii="仿宋_GB2312" w:hAnsi="仿宋_GB2312" w:cs="仿宋_GB2312"/>
          <w:color w:val="auto"/>
          <w:szCs w:val="32"/>
          <w:highlight w:val="none"/>
          <w:u w:val="none"/>
        </w:rPr>
        <w:t>共有产权住房</w:t>
      </w:r>
      <w:r>
        <w:rPr>
          <w:rFonts w:hint="eastAsia" w:ascii="仿宋_GB2312"/>
          <w:color w:val="auto"/>
          <w:szCs w:val="32"/>
          <w:highlight w:val="none"/>
          <w:u w:val="none"/>
        </w:rPr>
        <w:t>面向在册轮候人配</w:t>
      </w:r>
      <w:r>
        <w:rPr>
          <w:rFonts w:hint="eastAsia" w:ascii="仿宋_GB2312"/>
          <w:color w:val="auto"/>
          <w:szCs w:val="32"/>
          <w:highlight w:val="none"/>
          <w:u w:val="none"/>
          <w:lang w:val="en-US" w:eastAsia="zh-CN"/>
        </w:rPr>
        <w:t>售</w:t>
      </w:r>
      <w:r>
        <w:rPr>
          <w:rFonts w:hint="eastAsia" w:ascii="仿宋_GB2312"/>
          <w:color w:val="auto"/>
          <w:szCs w:val="32"/>
          <w:highlight w:val="none"/>
          <w:u w:val="none"/>
        </w:rPr>
        <w:t>，</w:t>
      </w:r>
      <w:r>
        <w:rPr>
          <w:rFonts w:hint="eastAsia" w:ascii="仿宋_GB2312" w:hAnsi="仿宋_GB2312" w:cs="仿宋_GB2312"/>
          <w:color w:val="auto"/>
          <w:szCs w:val="32"/>
          <w:highlight w:val="none"/>
          <w:u w:val="none"/>
        </w:rPr>
        <w:t>按照下列程序进行：</w:t>
      </w:r>
    </w:p>
    <w:p>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（一）在政府网站</w:t>
      </w:r>
      <w:r>
        <w:rPr>
          <w:rFonts w:hint="eastAsia" w:ascii="仿宋_GB2312" w:hAnsi="仿宋_GB2312" w:cs="仿宋_GB2312"/>
          <w:color w:val="auto"/>
          <w:szCs w:val="32"/>
          <w:highlight w:val="none"/>
          <w:u w:val="none"/>
          <w:lang w:val="en-US" w:eastAsia="zh-CN"/>
        </w:rPr>
        <w:t>和</w:t>
      </w:r>
      <w:r>
        <w:rPr>
          <w:rFonts w:hint="eastAsia" w:ascii="仿宋_GB2312" w:hAnsi="仿宋_GB2312" w:cs="仿宋_GB2312"/>
          <w:color w:val="auto"/>
          <w:szCs w:val="32"/>
          <w:highlight w:val="none"/>
          <w:u w:val="none"/>
        </w:rPr>
        <w:t>信息平台发布</w:t>
      </w:r>
      <w:r>
        <w:rPr>
          <w:rFonts w:hint="eastAsia" w:ascii="仿宋_GB2312" w:hAnsi="仿宋_GB2312" w:cs="仿宋_GB2312"/>
          <w:color w:val="auto"/>
          <w:szCs w:val="32"/>
          <w:highlight w:val="none"/>
          <w:u w:val="none"/>
          <w:lang w:val="en-US" w:eastAsia="zh-CN"/>
        </w:rPr>
        <w:t>共有产权住房</w:t>
      </w:r>
      <w:r>
        <w:rPr>
          <w:rFonts w:hint="eastAsia" w:ascii="仿宋_GB2312" w:hAnsi="仿宋_GB2312" w:cs="仿宋_GB2312"/>
          <w:color w:val="auto"/>
          <w:szCs w:val="32"/>
          <w:highlight w:val="none"/>
          <w:u w:val="none"/>
        </w:rPr>
        <w:t>配售通告；</w:t>
      </w:r>
    </w:p>
    <w:p>
      <w:pPr>
        <w:keepNext w:val="0"/>
        <w:keepLines w:val="0"/>
        <w:pageBreakBefore w:val="0"/>
        <w:numPr>
          <w:ilvl w:val="255"/>
          <w:numId w:val="0"/>
        </w:numPr>
        <w:kinsoku/>
        <w:overflowPunct/>
        <w:topLinePunct w:val="0"/>
        <w:autoSpaceDE/>
        <w:autoSpaceDN/>
        <w:bidi w:val="0"/>
        <w:adjustRightInd/>
        <w:snapToGrid/>
        <w:spacing w:line="578" w:lineRule="exact"/>
        <w:ind w:firstLine="640" w:firstLineChars="200"/>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（二）申请人按照配售通告的要求，提交认购申请</w:t>
      </w:r>
      <w:r>
        <w:rPr>
          <w:rFonts w:hint="eastAsia" w:ascii="仿宋_GB2312" w:hAnsi="仿宋_GB2312" w:cs="仿宋_GB2312"/>
          <w:color w:val="auto"/>
          <w:szCs w:val="32"/>
          <w:highlight w:val="none"/>
          <w:u w:val="none"/>
          <w:lang w:eastAsia="zh-CN"/>
        </w:rPr>
        <w:t>，</w:t>
      </w:r>
      <w:r>
        <w:rPr>
          <w:rFonts w:hint="eastAsia" w:ascii="仿宋_GB2312" w:hAnsi="仿宋_GB2312" w:cs="仿宋_GB2312"/>
          <w:color w:val="auto"/>
          <w:szCs w:val="32"/>
          <w:highlight w:val="none"/>
          <w:u w:val="none"/>
          <w:lang w:val="en-US" w:eastAsia="zh-CN"/>
        </w:rPr>
        <w:t>并</w:t>
      </w:r>
      <w:r>
        <w:rPr>
          <w:rFonts w:hint="eastAsia" w:ascii="仿宋_GB2312"/>
          <w:bCs/>
          <w:color w:val="auto"/>
          <w:szCs w:val="32"/>
          <w:highlight w:val="none"/>
          <w:u w:val="none"/>
        </w:rPr>
        <w:t>签署诚信申报声明</w:t>
      </w:r>
      <w:r>
        <w:rPr>
          <w:rFonts w:hint="eastAsia" w:ascii="仿宋_GB2312" w:hAnsi="仿宋_GB2312" w:cs="仿宋_GB2312"/>
          <w:color w:val="auto"/>
          <w:szCs w:val="32"/>
          <w:highlight w:val="none"/>
          <w:u w:val="none"/>
        </w:rPr>
        <w:t>；</w:t>
      </w:r>
    </w:p>
    <w:p>
      <w:pPr>
        <w:pStyle w:val="2"/>
        <w:keepNext w:val="0"/>
        <w:keepLines w:val="0"/>
        <w:pageBreakBefore w:val="0"/>
        <w:numPr>
          <w:ilvl w:val="255"/>
          <w:numId w:val="0"/>
        </w:numPr>
        <w:kinsoku/>
        <w:overflowPunct/>
        <w:topLinePunct w:val="0"/>
        <w:autoSpaceDE/>
        <w:autoSpaceDN/>
        <w:bidi w:val="0"/>
        <w:adjustRightInd/>
        <w:snapToGrid/>
        <w:spacing w:after="0" w:line="578" w:lineRule="exact"/>
        <w:ind w:firstLine="640" w:firstLineChars="200"/>
        <w:textAlignment w:val="auto"/>
        <w:outlineLvl w:val="2"/>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（三）主管部门</w:t>
      </w:r>
      <w:r>
        <w:rPr>
          <w:rFonts w:ascii="仿宋_GB2312" w:hAnsi="仿宋_GB2312" w:cs="仿宋_GB2312"/>
          <w:color w:val="auto"/>
          <w:szCs w:val="32"/>
          <w:highlight w:val="none"/>
          <w:u w:val="none"/>
        </w:rPr>
        <w:t>按照配售通告确定的规则</w:t>
      </w:r>
      <w:r>
        <w:rPr>
          <w:rFonts w:hint="eastAsia" w:ascii="仿宋_GB2312" w:hAnsi="仿宋_GB2312" w:cs="仿宋_GB2312"/>
          <w:color w:val="auto"/>
          <w:szCs w:val="32"/>
          <w:highlight w:val="none"/>
          <w:u w:val="none"/>
          <w:lang w:val="en-US" w:eastAsia="zh-CN"/>
        </w:rPr>
        <w:t>组织</w:t>
      </w:r>
      <w:r>
        <w:rPr>
          <w:rFonts w:hint="eastAsia" w:ascii="仿宋_GB2312" w:hAnsi="仿宋_GB2312" w:cs="仿宋_GB2312"/>
          <w:color w:val="auto"/>
          <w:szCs w:val="32"/>
          <w:highlight w:val="none"/>
          <w:u w:val="none"/>
        </w:rPr>
        <w:t>资格审核，审核结果由主管部门在政府网站</w:t>
      </w:r>
      <w:r>
        <w:rPr>
          <w:rFonts w:hint="eastAsia" w:ascii="仿宋_GB2312" w:hAnsi="仿宋_GB2312" w:cs="仿宋_GB2312"/>
          <w:color w:val="auto"/>
          <w:szCs w:val="32"/>
          <w:highlight w:val="none"/>
          <w:u w:val="none"/>
          <w:lang w:val="en-US" w:eastAsia="zh-CN"/>
        </w:rPr>
        <w:t>和</w:t>
      </w:r>
      <w:r>
        <w:rPr>
          <w:rFonts w:hint="eastAsia" w:ascii="仿宋_GB2312" w:hAnsi="仿宋_GB2312" w:cs="仿宋_GB2312"/>
          <w:color w:val="auto"/>
          <w:szCs w:val="32"/>
          <w:highlight w:val="none"/>
          <w:u w:val="none"/>
        </w:rPr>
        <w:t>信息平台公示五个工作日，公示期满无异议或者异议不成立的，确定合格申请人名单；</w:t>
      </w:r>
    </w:p>
    <w:p>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（四）合格申请人</w:t>
      </w:r>
      <w:r>
        <w:rPr>
          <w:rFonts w:ascii="仿宋_GB2312" w:hAnsi="仿宋_GB2312" w:cs="仿宋_GB2312"/>
          <w:color w:val="auto"/>
          <w:szCs w:val="32"/>
          <w:highlight w:val="none"/>
          <w:u w:val="none"/>
        </w:rPr>
        <w:t>按照配售通告</w:t>
      </w:r>
      <w:r>
        <w:rPr>
          <w:rFonts w:hint="eastAsia" w:ascii="仿宋_GB2312" w:hAnsi="仿宋_GB2312" w:cs="仿宋_GB2312"/>
          <w:color w:val="auto"/>
          <w:szCs w:val="32"/>
          <w:highlight w:val="none"/>
          <w:u w:val="none"/>
        </w:rPr>
        <w:t>确定的规则排序，分为入围申请人</w:t>
      </w:r>
      <w:r>
        <w:rPr>
          <w:rFonts w:hint="eastAsia" w:ascii="仿宋_GB2312" w:hAnsi="仿宋_GB2312" w:cs="仿宋_GB2312"/>
          <w:color w:val="auto"/>
          <w:szCs w:val="32"/>
          <w:highlight w:val="none"/>
          <w:u w:val="none"/>
          <w:lang w:val="en-US" w:eastAsia="zh-CN"/>
        </w:rPr>
        <w:t>以</w:t>
      </w:r>
      <w:r>
        <w:rPr>
          <w:rFonts w:hint="eastAsia" w:ascii="仿宋_GB2312" w:hAnsi="仿宋_GB2312" w:cs="仿宋_GB2312"/>
          <w:color w:val="auto"/>
          <w:szCs w:val="32"/>
          <w:highlight w:val="none"/>
          <w:u w:val="none"/>
        </w:rPr>
        <w:t>及候补入围申请人。入围申请人按照确定的排序选房，放弃选房的，排序在后的依次递补；</w:t>
      </w:r>
    </w:p>
    <w:p>
      <w:pPr>
        <w:pStyle w:val="2"/>
        <w:keepNext w:val="0"/>
        <w:keepLines w:val="0"/>
        <w:pageBreakBefore w:val="0"/>
        <w:kinsoku/>
        <w:overflowPunct/>
        <w:topLinePunct w:val="0"/>
        <w:autoSpaceDE/>
        <w:autoSpaceDN/>
        <w:bidi w:val="0"/>
        <w:adjustRightInd/>
        <w:snapToGrid/>
        <w:spacing w:after="0" w:line="578" w:lineRule="exact"/>
        <w:ind w:firstLine="640" w:firstLineChars="200"/>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（五）选定住房后，</w:t>
      </w:r>
      <w:r>
        <w:rPr>
          <w:rFonts w:ascii="仿宋_GB2312" w:hAnsi="仿宋_GB2312" w:cs="仿宋_GB2312"/>
          <w:color w:val="auto"/>
          <w:szCs w:val="32"/>
          <w:highlight w:val="none"/>
          <w:u w:val="none"/>
        </w:rPr>
        <w:t>申请人及共同申请人应当在规定时间内办理认购手续，</w:t>
      </w:r>
      <w:r>
        <w:rPr>
          <w:rFonts w:hint="eastAsia" w:ascii="仿宋_GB2312" w:hAnsi="仿宋_GB2312" w:cs="仿宋_GB2312"/>
          <w:color w:val="auto"/>
          <w:szCs w:val="32"/>
          <w:highlight w:val="none"/>
          <w:u w:val="none"/>
        </w:rPr>
        <w:t>签订买卖合同；</w:t>
      </w:r>
    </w:p>
    <w:p>
      <w:pPr>
        <w:pStyle w:val="2"/>
        <w:keepNext w:val="0"/>
        <w:keepLines w:val="0"/>
        <w:pageBreakBefore w:val="0"/>
        <w:kinsoku/>
        <w:overflowPunct/>
        <w:topLinePunct w:val="0"/>
        <w:autoSpaceDE/>
        <w:autoSpaceDN/>
        <w:bidi w:val="0"/>
        <w:adjustRightInd/>
        <w:snapToGrid/>
        <w:spacing w:after="0" w:line="578" w:lineRule="exact"/>
        <w:ind w:firstLine="640" w:firstLineChars="200"/>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（六）开发建设单位</w:t>
      </w:r>
      <w:r>
        <w:rPr>
          <w:rFonts w:ascii="仿宋_GB2312" w:hAnsi="仿宋_GB2312" w:cs="仿宋_GB2312"/>
          <w:color w:val="auto"/>
          <w:szCs w:val="32"/>
          <w:highlight w:val="none"/>
          <w:u w:val="none"/>
        </w:rPr>
        <w:t>办理</w:t>
      </w:r>
      <w:r>
        <w:rPr>
          <w:rFonts w:hint="eastAsia" w:ascii="仿宋_GB2312" w:hAnsi="仿宋_GB2312" w:cs="仿宋_GB2312"/>
          <w:color w:val="auto"/>
          <w:szCs w:val="32"/>
          <w:highlight w:val="none"/>
          <w:u w:val="none"/>
        </w:rPr>
        <w:t>共有产权住房</w:t>
      </w:r>
      <w:r>
        <w:rPr>
          <w:rFonts w:ascii="仿宋_GB2312" w:hAnsi="仿宋_GB2312" w:cs="仿宋_GB2312"/>
          <w:color w:val="auto"/>
          <w:szCs w:val="32"/>
          <w:highlight w:val="none"/>
          <w:u w:val="none"/>
        </w:rPr>
        <w:t>初始登记后，协助</w:t>
      </w:r>
      <w:r>
        <w:rPr>
          <w:rFonts w:hint="eastAsia" w:ascii="仿宋_GB2312" w:hAnsi="仿宋_GB2312" w:cs="仿宋_GB2312"/>
          <w:color w:val="auto"/>
          <w:szCs w:val="32"/>
          <w:highlight w:val="none"/>
          <w:u w:val="none"/>
          <w:lang w:val="en-US" w:eastAsia="zh-CN"/>
        </w:rPr>
        <w:t>代持机构、</w:t>
      </w:r>
      <w:r>
        <w:rPr>
          <w:rFonts w:ascii="仿宋_GB2312" w:hAnsi="仿宋_GB2312" w:cs="仿宋_GB2312"/>
          <w:color w:val="auto"/>
          <w:szCs w:val="32"/>
          <w:highlight w:val="none"/>
          <w:u w:val="none"/>
        </w:rPr>
        <w:t>购买</w:t>
      </w:r>
      <w:r>
        <w:rPr>
          <w:rFonts w:hint="eastAsia" w:ascii="仿宋_GB2312" w:hAnsi="仿宋_GB2312" w:cs="仿宋_GB2312"/>
          <w:color w:val="auto"/>
          <w:szCs w:val="32"/>
          <w:highlight w:val="none"/>
          <w:u w:val="none"/>
        </w:rPr>
        <w:t>共有产权住房</w:t>
      </w:r>
      <w:r>
        <w:rPr>
          <w:rFonts w:ascii="仿宋_GB2312" w:hAnsi="仿宋_GB2312" w:cs="仿宋_GB2312"/>
          <w:color w:val="auto"/>
          <w:szCs w:val="32"/>
          <w:highlight w:val="none"/>
          <w:u w:val="none"/>
        </w:rPr>
        <w:t>的申请人及共同申请人办理不动产</w:t>
      </w:r>
      <w:r>
        <w:rPr>
          <w:rFonts w:hint="eastAsia" w:ascii="仿宋_GB2312" w:hAnsi="仿宋_GB2312" w:cs="仿宋_GB2312"/>
          <w:color w:val="auto"/>
          <w:szCs w:val="32"/>
          <w:highlight w:val="none"/>
          <w:u w:val="none"/>
        </w:rPr>
        <w:t>登记</w:t>
      </w:r>
      <w:r>
        <w:rPr>
          <w:rFonts w:ascii="仿宋_GB2312" w:hAnsi="仿宋_GB2312" w:cs="仿宋_GB2312"/>
          <w:color w:val="auto"/>
          <w:szCs w:val="32"/>
          <w:highlight w:val="none"/>
          <w:u w:val="none"/>
        </w:rPr>
        <w:t>。</w:t>
      </w:r>
    </w:p>
    <w:p>
      <w:pPr>
        <w:pStyle w:val="3"/>
        <w:keepNext w:val="0"/>
        <w:keepLines w:val="0"/>
        <w:pageBreakBefore w:val="0"/>
        <w:kinsoku/>
        <w:overflowPunct/>
        <w:topLinePunct w:val="0"/>
        <w:autoSpaceDE/>
        <w:autoSpaceDN/>
        <w:bidi w:val="0"/>
        <w:adjustRightInd/>
        <w:snapToGrid/>
        <w:spacing w:after="0" w:line="578" w:lineRule="exact"/>
        <w:ind w:firstLine="640" w:firstLineChars="200"/>
        <w:textAlignment w:val="auto"/>
        <w:rPr>
          <w:color w:val="auto"/>
          <w:sz w:val="32"/>
          <w:szCs w:val="32"/>
          <w:highlight w:val="none"/>
          <w:u w:val="none"/>
        </w:rPr>
      </w:pPr>
      <w:r>
        <w:rPr>
          <w:rFonts w:hint="eastAsia" w:ascii="黑体" w:hAnsi="黑体" w:eastAsia="黑体"/>
          <w:bCs/>
          <w:color w:val="auto"/>
          <w:sz w:val="32"/>
          <w:szCs w:val="32"/>
          <w:highlight w:val="none"/>
          <w:u w:val="none"/>
        </w:rPr>
        <w:t>第</w:t>
      </w:r>
      <w:r>
        <w:rPr>
          <w:rFonts w:hint="eastAsia" w:ascii="黑体" w:hAnsi="黑体" w:eastAsia="黑体"/>
          <w:bCs/>
          <w:color w:val="auto"/>
          <w:sz w:val="32"/>
          <w:szCs w:val="32"/>
          <w:highlight w:val="none"/>
          <w:u w:val="none"/>
          <w:lang w:val="en-US" w:eastAsia="zh-CN"/>
        </w:rPr>
        <w:t>二十四</w:t>
      </w:r>
      <w:r>
        <w:rPr>
          <w:rFonts w:hint="eastAsia" w:ascii="黑体" w:hAnsi="黑体" w:eastAsia="黑体"/>
          <w:bCs/>
          <w:color w:val="auto"/>
          <w:sz w:val="32"/>
          <w:szCs w:val="32"/>
          <w:highlight w:val="none"/>
          <w:u w:val="none"/>
        </w:rPr>
        <w:t>条【</w:t>
      </w:r>
      <w:r>
        <w:rPr>
          <w:rFonts w:hint="eastAsia" w:ascii="黑体" w:hAnsi="黑体" w:eastAsia="黑体"/>
          <w:bCs/>
          <w:color w:val="auto"/>
          <w:sz w:val="32"/>
          <w:szCs w:val="32"/>
          <w:highlight w:val="none"/>
          <w:u w:val="none"/>
          <w:lang w:eastAsia="zh-CN"/>
        </w:rPr>
        <w:t>不动产</w:t>
      </w:r>
      <w:r>
        <w:rPr>
          <w:rFonts w:hint="eastAsia" w:ascii="黑体" w:hAnsi="黑体" w:eastAsia="黑体"/>
          <w:bCs/>
          <w:color w:val="auto"/>
          <w:sz w:val="32"/>
          <w:szCs w:val="32"/>
          <w:highlight w:val="none"/>
          <w:u w:val="none"/>
          <w:lang w:val="en-US" w:eastAsia="zh-CN"/>
        </w:rPr>
        <w:t>登记</w:t>
      </w:r>
      <w:r>
        <w:rPr>
          <w:rFonts w:hint="eastAsia" w:ascii="黑体" w:hAnsi="黑体" w:eastAsia="黑体"/>
          <w:bCs/>
          <w:color w:val="auto"/>
          <w:sz w:val="32"/>
          <w:szCs w:val="32"/>
          <w:highlight w:val="none"/>
          <w:u w:val="none"/>
        </w:rPr>
        <w:t>】</w:t>
      </w:r>
      <w:r>
        <w:rPr>
          <w:rFonts w:hint="eastAsia" w:ascii="黑体" w:hAnsi="黑体" w:eastAsia="黑体"/>
          <w:bCs/>
          <w:color w:val="auto"/>
          <w:sz w:val="32"/>
          <w:szCs w:val="32"/>
          <w:highlight w:val="none"/>
          <w:u w:val="none"/>
          <w:lang w:val="en-US" w:eastAsia="zh-CN"/>
        </w:rPr>
        <w:t xml:space="preserve">  </w:t>
      </w:r>
      <w:r>
        <w:rPr>
          <w:rFonts w:hint="eastAsia" w:ascii="仿宋_GB2312" w:hAnsi="仿宋_GB2312" w:eastAsia="仿宋_GB2312" w:cs="仿宋_GB2312"/>
          <w:bCs/>
          <w:color w:val="auto"/>
          <w:sz w:val="32"/>
          <w:szCs w:val="32"/>
          <w:highlight w:val="none"/>
          <w:u w:val="none"/>
          <w:lang w:val="en-US" w:eastAsia="zh-CN"/>
        </w:rPr>
        <w:t>不动产登记机构在办理共有产权住房不动产登记时，应当按照规定</w:t>
      </w:r>
      <w:r>
        <w:rPr>
          <w:rFonts w:hint="eastAsia" w:ascii="仿宋_GB2312" w:hAnsi="仿宋_GB2312" w:eastAsia="仿宋_GB2312" w:cs="仿宋_GB2312"/>
          <w:b w:val="0"/>
          <w:bCs/>
          <w:color w:val="auto"/>
          <w:sz w:val="32"/>
          <w:szCs w:val="32"/>
          <w:highlight w:val="none"/>
          <w:u w:val="none"/>
          <w:lang w:val="en-US" w:eastAsia="zh-CN"/>
        </w:rPr>
        <w:t>在不动产权证</w:t>
      </w:r>
      <w:r>
        <w:rPr>
          <w:rFonts w:hint="eastAsia" w:ascii="仿宋_GB2312" w:hAnsi="仿宋_GB2312" w:eastAsia="仿宋_GB2312" w:cs="仿宋_GB2312"/>
          <w:b w:val="0"/>
          <w:bCs/>
          <w:color w:val="auto"/>
          <w:sz w:val="32"/>
          <w:szCs w:val="32"/>
          <w:highlight w:val="none"/>
          <w:u w:val="none"/>
        </w:rPr>
        <w:t>附记</w:t>
      </w:r>
      <w:r>
        <w:rPr>
          <w:rFonts w:hint="eastAsia" w:ascii="仿宋_GB2312" w:hAnsi="仿宋_GB2312" w:eastAsia="仿宋_GB2312" w:cs="仿宋_GB2312"/>
          <w:b w:val="0"/>
          <w:bCs/>
          <w:color w:val="auto"/>
          <w:sz w:val="32"/>
          <w:szCs w:val="32"/>
          <w:highlight w:val="none"/>
          <w:u w:val="none"/>
          <w:lang w:val="en-US" w:eastAsia="zh-CN"/>
        </w:rPr>
        <w:t>栏注记</w:t>
      </w:r>
      <w:r>
        <w:rPr>
          <w:rFonts w:hint="eastAsia" w:ascii="仿宋_GB2312" w:hAnsi="仿宋_GB2312" w:eastAsia="仿宋_GB2312" w:cs="仿宋_GB2312"/>
          <w:b w:val="0"/>
          <w:bCs/>
          <w:color w:val="auto"/>
          <w:sz w:val="32"/>
          <w:szCs w:val="32"/>
          <w:highlight w:val="none"/>
          <w:u w:val="none"/>
        </w:rPr>
        <w:t>共有产权住房</w:t>
      </w:r>
      <w:r>
        <w:rPr>
          <w:rFonts w:hint="eastAsia" w:ascii="仿宋_GB2312" w:hAnsi="仿宋_GB2312" w:eastAsia="仿宋_GB2312" w:cs="仿宋_GB2312"/>
          <w:b w:val="0"/>
          <w:bCs/>
          <w:color w:val="auto"/>
          <w:sz w:val="32"/>
          <w:szCs w:val="32"/>
          <w:highlight w:val="none"/>
          <w:u w:val="none"/>
          <w:lang w:val="en-US" w:eastAsia="zh-CN"/>
        </w:rPr>
        <w:t>、</w:t>
      </w:r>
      <w:r>
        <w:rPr>
          <w:rFonts w:hint="eastAsia" w:ascii="仿宋_GB2312" w:hAnsi="仿宋_GB2312" w:eastAsia="仿宋_GB2312" w:cs="仿宋_GB2312"/>
          <w:b w:val="0"/>
          <w:bCs/>
          <w:color w:val="auto"/>
          <w:sz w:val="32"/>
          <w:szCs w:val="32"/>
          <w:highlight w:val="none"/>
          <w:u w:val="none"/>
        </w:rPr>
        <w:t>共有人姓名、共有方式</w:t>
      </w:r>
      <w:r>
        <w:rPr>
          <w:rFonts w:hint="eastAsia" w:ascii="仿宋_GB2312" w:hAnsi="仿宋_GB2312" w:eastAsia="仿宋_GB2312" w:cs="仿宋_GB2312"/>
          <w:b w:val="0"/>
          <w:bCs/>
          <w:color w:val="auto"/>
          <w:sz w:val="32"/>
          <w:szCs w:val="32"/>
          <w:highlight w:val="none"/>
          <w:u w:val="none"/>
          <w:lang w:eastAsia="zh-CN"/>
        </w:rPr>
        <w:t>、</w:t>
      </w:r>
      <w:r>
        <w:rPr>
          <w:rFonts w:hint="eastAsia" w:ascii="仿宋_GB2312" w:hAnsi="仿宋_GB2312" w:eastAsia="仿宋_GB2312" w:cs="仿宋_GB2312"/>
          <w:b w:val="0"/>
          <w:bCs/>
          <w:color w:val="auto"/>
          <w:sz w:val="32"/>
          <w:szCs w:val="32"/>
          <w:highlight w:val="none"/>
          <w:u w:val="none"/>
        </w:rPr>
        <w:t>共有份额及</w:t>
      </w:r>
      <w:r>
        <w:rPr>
          <w:rFonts w:hint="eastAsia" w:ascii="仿宋_GB2312" w:hAnsi="仿宋_GB2312" w:eastAsia="仿宋_GB2312" w:cs="仿宋_GB2312"/>
          <w:b w:val="0"/>
          <w:bCs/>
          <w:color w:val="auto"/>
          <w:sz w:val="32"/>
          <w:szCs w:val="32"/>
          <w:highlight w:val="none"/>
          <w:u w:val="none"/>
          <w:lang w:val="en-US" w:eastAsia="zh-CN"/>
        </w:rPr>
        <w:t>封闭流转等</w:t>
      </w:r>
      <w:r>
        <w:rPr>
          <w:rFonts w:hint="eastAsia" w:ascii="仿宋_GB2312" w:hAnsi="仿宋_GB2312" w:eastAsia="仿宋_GB2312" w:cs="仿宋_GB2312"/>
          <w:b w:val="0"/>
          <w:bCs/>
          <w:color w:val="auto"/>
          <w:sz w:val="32"/>
          <w:szCs w:val="32"/>
          <w:highlight w:val="none"/>
          <w:u w:val="none"/>
        </w:rPr>
        <w:t>。</w:t>
      </w:r>
    </w:p>
    <w:p>
      <w:pPr>
        <w:pStyle w:val="2"/>
        <w:keepNext w:val="0"/>
        <w:keepLines w:val="0"/>
        <w:pageBreakBefore w:val="0"/>
        <w:numPr>
          <w:ilvl w:val="255"/>
          <w:numId w:val="0"/>
        </w:numPr>
        <w:kinsoku/>
        <w:overflowPunct/>
        <w:topLinePunct w:val="0"/>
        <w:autoSpaceDE/>
        <w:autoSpaceDN/>
        <w:bidi w:val="0"/>
        <w:adjustRightInd/>
        <w:snapToGrid/>
        <w:spacing w:after="0" w:line="578" w:lineRule="exact"/>
        <w:ind w:firstLine="640" w:firstLineChars="200"/>
        <w:textAlignment w:val="auto"/>
        <w:rPr>
          <w:rFonts w:ascii="仿宋_GB2312" w:hAnsi="仿宋_GB2312" w:cs="仿宋_GB2312"/>
          <w:color w:val="auto"/>
          <w:szCs w:val="32"/>
          <w:highlight w:val="none"/>
          <w:u w:val="none"/>
        </w:rPr>
      </w:pPr>
      <w:r>
        <w:rPr>
          <w:rFonts w:hint="eastAsia" w:ascii="黑体" w:hAnsi="黑体" w:eastAsia="黑体"/>
          <w:bCs/>
          <w:color w:val="auto"/>
          <w:szCs w:val="32"/>
          <w:highlight w:val="none"/>
          <w:u w:val="none"/>
        </w:rPr>
        <w:t>第</w:t>
      </w:r>
      <w:r>
        <w:rPr>
          <w:rFonts w:hint="eastAsia" w:ascii="黑体" w:hAnsi="黑体" w:eastAsia="黑体"/>
          <w:bCs/>
          <w:color w:val="auto"/>
          <w:szCs w:val="32"/>
          <w:highlight w:val="none"/>
          <w:u w:val="none"/>
          <w:lang w:val="en-US" w:eastAsia="zh-CN"/>
        </w:rPr>
        <w:t>二十五</w:t>
      </w:r>
      <w:r>
        <w:rPr>
          <w:rFonts w:hint="eastAsia" w:ascii="黑体" w:hAnsi="黑体" w:eastAsia="黑体"/>
          <w:bCs/>
          <w:color w:val="auto"/>
          <w:szCs w:val="32"/>
          <w:highlight w:val="none"/>
          <w:u w:val="none"/>
        </w:rPr>
        <w:t>条【特殊家庭优先配售共有产权住房】</w:t>
      </w:r>
      <w:r>
        <w:rPr>
          <w:rFonts w:hint="eastAsia" w:ascii="黑体" w:hAnsi="黑体" w:eastAsia="黑体"/>
          <w:bCs/>
          <w:color w:val="auto"/>
          <w:szCs w:val="32"/>
          <w:highlight w:val="none"/>
          <w:u w:val="none"/>
          <w:lang w:val="en-US" w:eastAsia="zh-CN"/>
        </w:rPr>
        <w:t xml:space="preserve">  </w:t>
      </w:r>
      <w:r>
        <w:rPr>
          <w:rFonts w:hint="eastAsia" w:ascii="仿宋_GB2312" w:hAnsi="仿宋_GB2312" w:cs="仿宋_GB2312"/>
          <w:color w:val="auto"/>
          <w:szCs w:val="32"/>
          <w:highlight w:val="none"/>
          <w:u w:val="none"/>
        </w:rPr>
        <w:t>特殊家庭进入</w:t>
      </w:r>
      <w:r>
        <w:rPr>
          <w:rFonts w:hint="eastAsia" w:ascii="仿宋_GB2312" w:hAnsi="仿宋_GB2312" w:cs="仿宋_GB2312"/>
          <w:color w:val="auto"/>
          <w:szCs w:val="32"/>
          <w:highlight w:val="none"/>
          <w:u w:val="none"/>
          <w:lang w:val="en-US" w:eastAsia="zh-CN"/>
        </w:rPr>
        <w:t>共有产权住房</w:t>
      </w:r>
      <w:r>
        <w:rPr>
          <w:rFonts w:hint="eastAsia" w:ascii="仿宋_GB2312" w:hAnsi="仿宋_GB2312" w:cs="仿宋_GB2312"/>
          <w:color w:val="auto"/>
          <w:szCs w:val="32"/>
          <w:highlight w:val="none"/>
          <w:u w:val="none"/>
        </w:rPr>
        <w:t>选房名单的，应当在同等条件下安排优先选房。</w:t>
      </w:r>
    </w:p>
    <w:p>
      <w:pPr>
        <w:keepNext w:val="0"/>
        <w:keepLines w:val="0"/>
        <w:pageBreakBefore w:val="0"/>
        <w:numPr>
          <w:ilvl w:val="255"/>
          <w:numId w:val="0"/>
        </w:numPr>
        <w:kinsoku/>
        <w:overflowPunct/>
        <w:topLinePunct w:val="0"/>
        <w:autoSpaceDE/>
        <w:autoSpaceDN/>
        <w:bidi w:val="0"/>
        <w:adjustRightInd/>
        <w:snapToGrid/>
        <w:spacing w:line="578" w:lineRule="exact"/>
        <w:ind w:firstLine="640" w:firstLineChars="200"/>
        <w:textAlignment w:val="auto"/>
        <w:outlineLvl w:val="2"/>
        <w:rPr>
          <w:rFonts w:hint="eastAsia"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主管部门可以安排一定数量的共有产权住房房源</w:t>
      </w:r>
      <w:r>
        <w:rPr>
          <w:rFonts w:hint="eastAsia" w:ascii="仿宋_GB2312" w:hAnsi="仿宋_GB2312" w:cs="仿宋_GB2312"/>
          <w:color w:val="auto"/>
          <w:szCs w:val="32"/>
          <w:highlight w:val="none"/>
          <w:u w:val="none"/>
          <w:lang w:eastAsia="zh-CN"/>
        </w:rPr>
        <w:t>，</w:t>
      </w:r>
      <w:r>
        <w:rPr>
          <w:rFonts w:hint="eastAsia" w:ascii="仿宋_GB2312" w:hAnsi="仿宋_GB2312" w:cs="仿宋_GB2312"/>
          <w:color w:val="auto"/>
          <w:szCs w:val="32"/>
          <w:highlight w:val="none"/>
          <w:u w:val="none"/>
        </w:rPr>
        <w:t>面向</w:t>
      </w:r>
      <w:r>
        <w:rPr>
          <w:rFonts w:hint="eastAsia" w:ascii="仿宋_GB2312" w:hAnsi="仿宋_GB2312" w:cs="仿宋_GB2312"/>
          <w:color w:val="auto"/>
          <w:szCs w:val="32"/>
          <w:highlight w:val="none"/>
          <w:u w:val="none"/>
          <w:lang w:val="en-US" w:eastAsia="zh-CN"/>
        </w:rPr>
        <w:t>在册轮候人中</w:t>
      </w:r>
      <w:r>
        <w:rPr>
          <w:rFonts w:hint="eastAsia" w:ascii="仿宋_GB2312" w:hAnsi="仿宋_GB2312" w:cs="仿宋_GB2312"/>
          <w:color w:val="auto"/>
          <w:szCs w:val="32"/>
          <w:highlight w:val="none"/>
          <w:u w:val="none"/>
        </w:rPr>
        <w:t>符合条件的</w:t>
      </w:r>
      <w:r>
        <w:rPr>
          <w:rFonts w:ascii="仿宋_GB2312" w:hAnsi="仿宋_GB2312" w:cs="仿宋_GB2312"/>
          <w:color w:val="auto"/>
          <w:szCs w:val="32"/>
          <w:highlight w:val="none"/>
          <w:u w:val="none"/>
        </w:rPr>
        <w:t>烈士遗属、抚恤定补优抚对象</w:t>
      </w:r>
      <w:r>
        <w:rPr>
          <w:rFonts w:hint="eastAsia" w:ascii="仿宋_GB2312" w:hAnsi="仿宋_GB2312" w:cs="仿宋_GB2312"/>
          <w:color w:val="auto"/>
          <w:szCs w:val="32"/>
          <w:highlight w:val="none"/>
          <w:u w:val="none"/>
        </w:rPr>
        <w:t>和一至二级残疾人</w:t>
      </w:r>
      <w:r>
        <w:rPr>
          <w:rFonts w:hint="eastAsia" w:ascii="仿宋_GB2312" w:hAnsi="仿宋_GB2312" w:cs="仿宋_GB2312"/>
          <w:color w:val="auto"/>
          <w:szCs w:val="32"/>
          <w:highlight w:val="none"/>
          <w:u w:val="none"/>
          <w:lang w:val="en-US" w:eastAsia="zh-CN"/>
        </w:rPr>
        <w:t>定向</w:t>
      </w:r>
      <w:r>
        <w:rPr>
          <w:rFonts w:hint="eastAsia" w:ascii="仿宋_GB2312" w:hAnsi="仿宋_GB2312" w:cs="仿宋_GB2312"/>
          <w:color w:val="auto"/>
          <w:szCs w:val="32"/>
          <w:highlight w:val="none"/>
          <w:u w:val="none"/>
        </w:rPr>
        <w:t>配售。</w:t>
      </w:r>
    </w:p>
    <w:p>
      <w:pPr>
        <w:pStyle w:val="2"/>
        <w:keepNext w:val="0"/>
        <w:keepLines w:val="0"/>
        <w:pageBreakBefore w:val="0"/>
        <w:kinsoku/>
        <w:overflowPunct/>
        <w:topLinePunct w:val="0"/>
        <w:autoSpaceDE/>
        <w:autoSpaceDN/>
        <w:bidi w:val="0"/>
        <w:adjustRightInd/>
        <w:snapToGrid/>
        <w:spacing w:after="0" w:line="578" w:lineRule="exact"/>
        <w:ind w:firstLine="640" w:firstLineChars="200"/>
        <w:textAlignment w:val="auto"/>
        <w:rPr>
          <w:rFonts w:hint="eastAsia"/>
          <w:color w:val="auto"/>
          <w:szCs w:val="32"/>
          <w:highlight w:val="none"/>
          <w:u w:val="none"/>
        </w:rPr>
      </w:pPr>
      <w:r>
        <w:rPr>
          <w:rFonts w:hint="eastAsia" w:ascii="黑体" w:hAnsi="黑体" w:eastAsia="黑体"/>
          <w:bCs/>
          <w:color w:val="auto"/>
          <w:szCs w:val="32"/>
          <w:highlight w:val="none"/>
          <w:u w:val="none"/>
        </w:rPr>
        <w:t>第</w:t>
      </w:r>
      <w:r>
        <w:rPr>
          <w:rFonts w:hint="eastAsia" w:ascii="黑体" w:hAnsi="黑体" w:eastAsia="黑体"/>
          <w:bCs/>
          <w:color w:val="auto"/>
          <w:szCs w:val="32"/>
          <w:highlight w:val="none"/>
          <w:u w:val="none"/>
          <w:lang w:val="en-US" w:eastAsia="zh-CN"/>
        </w:rPr>
        <w:t>二十六</w:t>
      </w:r>
      <w:r>
        <w:rPr>
          <w:rFonts w:hint="eastAsia" w:ascii="黑体" w:hAnsi="黑体" w:eastAsia="黑体"/>
          <w:bCs/>
          <w:color w:val="auto"/>
          <w:szCs w:val="32"/>
          <w:highlight w:val="none"/>
          <w:u w:val="none"/>
        </w:rPr>
        <w:t>条【剩余房源处理】</w:t>
      </w:r>
      <w:r>
        <w:rPr>
          <w:rFonts w:hint="eastAsia" w:ascii="黑体" w:hAnsi="黑体" w:eastAsia="黑体"/>
          <w:bCs/>
          <w:color w:val="auto"/>
          <w:szCs w:val="32"/>
          <w:highlight w:val="none"/>
          <w:u w:val="none"/>
          <w:lang w:val="en-US" w:eastAsia="zh-CN"/>
        </w:rPr>
        <w:t xml:space="preserve">  </w:t>
      </w:r>
      <w:r>
        <w:rPr>
          <w:rFonts w:hint="eastAsia" w:ascii="仿宋_GB2312" w:hAnsi="仿宋_GB2312" w:cs="仿宋_GB2312"/>
          <w:bCs/>
          <w:color w:val="auto"/>
          <w:szCs w:val="32"/>
          <w:highlight w:val="none"/>
          <w:u w:val="none"/>
        </w:rPr>
        <w:t>共有产权住房项目配售两次后仍有剩余房源的，主管部门可以结合</w:t>
      </w:r>
      <w:r>
        <w:rPr>
          <w:rFonts w:hint="eastAsia"/>
          <w:color w:val="auto"/>
          <w:szCs w:val="32"/>
          <w:highlight w:val="none"/>
          <w:u w:val="none"/>
        </w:rPr>
        <w:t>住房供需</w:t>
      </w:r>
      <w:r>
        <w:rPr>
          <w:rFonts w:hint="eastAsia"/>
          <w:color w:val="auto"/>
          <w:szCs w:val="32"/>
          <w:highlight w:val="none"/>
          <w:u w:val="none"/>
          <w:lang w:val="en-US" w:eastAsia="zh-CN"/>
        </w:rPr>
        <w:t>情况</w:t>
      </w:r>
      <w:r>
        <w:rPr>
          <w:rFonts w:hint="eastAsia"/>
          <w:color w:val="auto"/>
          <w:szCs w:val="32"/>
          <w:highlight w:val="none"/>
          <w:u w:val="none"/>
        </w:rPr>
        <w:t>、项目情况等因素，将</w:t>
      </w:r>
      <w:r>
        <w:rPr>
          <w:rFonts w:hint="eastAsia"/>
          <w:color w:val="auto"/>
          <w:szCs w:val="32"/>
          <w:highlight w:val="none"/>
          <w:u w:val="none"/>
          <w:lang w:val="en-US" w:eastAsia="zh-CN"/>
        </w:rPr>
        <w:t>供应</w:t>
      </w:r>
      <w:r>
        <w:rPr>
          <w:rFonts w:hint="eastAsia"/>
          <w:color w:val="auto"/>
          <w:szCs w:val="32"/>
          <w:highlight w:val="none"/>
          <w:u w:val="none"/>
        </w:rPr>
        <w:t>对象</w:t>
      </w:r>
      <w:r>
        <w:rPr>
          <w:rFonts w:hint="eastAsia" w:ascii="仿宋_GB2312" w:hAnsi="仿宋_GB2312" w:cs="仿宋_GB2312"/>
          <w:color w:val="auto"/>
          <w:szCs w:val="32"/>
          <w:highlight w:val="none"/>
          <w:u w:val="none"/>
          <w:lang w:val="en-US" w:eastAsia="zh-CN"/>
        </w:rPr>
        <w:t>调整为</w:t>
      </w:r>
      <w:r>
        <w:rPr>
          <w:rFonts w:hint="eastAsia"/>
          <w:color w:val="auto"/>
          <w:sz w:val="32"/>
          <w:szCs w:val="32"/>
          <w:highlight w:val="none"/>
          <w:u w:val="none"/>
          <w:lang w:eastAsia="zh-CN"/>
        </w:rPr>
        <w:t>本市</w:t>
      </w:r>
      <w:r>
        <w:rPr>
          <w:rFonts w:hint="eastAsia" w:ascii="仿宋_GB2312" w:hAnsi="仿宋_GB2312" w:cs="仿宋_GB2312"/>
          <w:color w:val="auto"/>
          <w:szCs w:val="32"/>
          <w:highlight w:val="none"/>
          <w:u w:val="none"/>
        </w:rPr>
        <w:t>常住居民</w:t>
      </w:r>
      <w:r>
        <w:rPr>
          <w:rFonts w:hint="eastAsia"/>
          <w:color w:val="auto"/>
          <w:szCs w:val="32"/>
          <w:highlight w:val="none"/>
          <w:u w:val="none"/>
        </w:rPr>
        <w:t>，或者将房源性质转为租赁住房等。具体项目的处置方案由市主管部门报市政府批准后实施。</w:t>
      </w:r>
    </w:p>
    <w:p>
      <w:pPr>
        <w:keepNext w:val="0"/>
        <w:keepLines w:val="0"/>
        <w:pageBreakBefore w:val="0"/>
        <w:numPr>
          <w:ilvl w:val="-1"/>
          <w:numId w:val="0"/>
        </w:numPr>
        <w:tabs>
          <w:tab w:val="left" w:pos="0"/>
        </w:tabs>
        <w:kinsoku/>
        <w:overflowPunct/>
        <w:topLinePunct w:val="0"/>
        <w:autoSpaceDE/>
        <w:autoSpaceDN/>
        <w:bidi w:val="0"/>
        <w:adjustRightInd/>
        <w:snapToGrid/>
        <w:spacing w:line="578" w:lineRule="exact"/>
        <w:ind w:leftChars="0" w:firstLine="640"/>
        <w:textAlignment w:val="auto"/>
        <w:outlineLvl w:val="2"/>
        <w:rPr>
          <w:rFonts w:ascii="仿宋_GB2312" w:hAnsi="仿宋_GB2312"/>
          <w:color w:val="auto"/>
          <w:szCs w:val="32"/>
          <w:highlight w:val="none"/>
          <w:u w:val="none"/>
        </w:rPr>
      </w:pPr>
      <w:r>
        <w:rPr>
          <w:rFonts w:hint="eastAsia" w:ascii="黑体" w:hAnsi="黑体" w:eastAsia="黑体" w:cs="黑体"/>
          <w:color w:val="auto"/>
          <w:szCs w:val="32"/>
          <w:highlight w:val="none"/>
          <w:u w:val="none"/>
          <w:lang w:val="en-US" w:eastAsia="zh-CN"/>
        </w:rPr>
        <w:t>第二十七条</w:t>
      </w:r>
      <w:r>
        <w:rPr>
          <w:rFonts w:hint="eastAsia" w:ascii="黑体" w:hAnsi="黑体" w:eastAsia="黑体" w:cs="黑体"/>
          <w:color w:val="auto"/>
          <w:szCs w:val="32"/>
          <w:highlight w:val="none"/>
          <w:u w:val="none"/>
        </w:rPr>
        <w:t>【退出轮候册】</w:t>
      </w:r>
      <w:r>
        <w:rPr>
          <w:rFonts w:hint="eastAsia" w:ascii="黑体" w:hAnsi="黑体" w:eastAsia="黑体" w:cs="黑体"/>
          <w:color w:val="auto"/>
          <w:szCs w:val="32"/>
          <w:highlight w:val="none"/>
          <w:u w:val="none"/>
          <w:lang w:val="en-US" w:eastAsia="zh-CN"/>
        </w:rPr>
        <w:t xml:space="preserve">  </w:t>
      </w:r>
      <w:r>
        <w:rPr>
          <w:rFonts w:hint="eastAsia" w:ascii="仿宋_GB2312" w:hAnsi="仿宋_GB2312"/>
          <w:color w:val="auto"/>
          <w:szCs w:val="32"/>
          <w:highlight w:val="none"/>
          <w:u w:val="none"/>
        </w:rPr>
        <w:t>在册轮候人有下列情形之一，应当退出</w:t>
      </w:r>
      <w:r>
        <w:rPr>
          <w:rFonts w:hint="eastAsia" w:ascii="仿宋_GB2312" w:hAnsi="仿宋_GB2312"/>
          <w:color w:val="auto"/>
          <w:szCs w:val="32"/>
          <w:highlight w:val="none"/>
          <w:u w:val="none"/>
          <w:lang w:val="en-US" w:eastAsia="zh-CN"/>
        </w:rPr>
        <w:t>共有产权住房</w:t>
      </w:r>
      <w:r>
        <w:rPr>
          <w:rFonts w:hint="eastAsia" w:ascii="仿宋_GB2312" w:hAnsi="仿宋_GB2312"/>
          <w:color w:val="auto"/>
          <w:szCs w:val="32"/>
          <w:highlight w:val="none"/>
          <w:u w:val="none"/>
        </w:rPr>
        <w:t>轮候册：</w:t>
      </w:r>
    </w:p>
    <w:p>
      <w:pPr>
        <w:pStyle w:val="2"/>
        <w:keepNext w:val="0"/>
        <w:keepLines w:val="0"/>
        <w:pageBreakBefore w:val="0"/>
        <w:kinsoku/>
        <w:overflowPunct/>
        <w:topLinePunct w:val="0"/>
        <w:autoSpaceDE/>
        <w:autoSpaceDN/>
        <w:bidi w:val="0"/>
        <w:adjustRightInd/>
        <w:snapToGrid/>
        <w:spacing w:after="0" w:line="578" w:lineRule="exact"/>
        <w:ind w:firstLine="640"/>
        <w:textAlignment w:val="auto"/>
        <w:rPr>
          <w:rFonts w:ascii="仿宋_GB2312" w:hAnsi="仿宋_GB2312"/>
          <w:color w:val="auto"/>
          <w:szCs w:val="32"/>
          <w:highlight w:val="none"/>
          <w:u w:val="none"/>
        </w:rPr>
      </w:pPr>
      <w:r>
        <w:rPr>
          <w:rFonts w:hint="eastAsia" w:ascii="仿宋_GB2312" w:hAnsi="仿宋_GB2312"/>
          <w:color w:val="auto"/>
          <w:szCs w:val="32"/>
          <w:highlight w:val="none"/>
          <w:u w:val="none"/>
        </w:rPr>
        <w:t>（一）</w:t>
      </w:r>
      <w:r>
        <w:rPr>
          <w:rFonts w:hint="eastAsia" w:ascii="仿宋_GB2312" w:hAnsi="仿宋_GB2312" w:cs="仿宋_GB2312"/>
          <w:color w:val="auto"/>
          <w:szCs w:val="32"/>
          <w:highlight w:val="none"/>
          <w:u w:val="none"/>
        </w:rPr>
        <w:t>申请人选房排序到位但未选定住房或者虽选定住房但未</w:t>
      </w:r>
      <w:r>
        <w:rPr>
          <w:rFonts w:hint="eastAsia" w:ascii="仿宋_GB2312" w:hAnsi="仿宋_GB2312" w:cs="仿宋_GB2312"/>
          <w:color w:val="auto"/>
          <w:szCs w:val="32"/>
          <w:highlight w:val="none"/>
          <w:u w:val="none"/>
          <w:lang w:val="en-US" w:eastAsia="zh-CN"/>
        </w:rPr>
        <w:t>按照规定</w:t>
      </w:r>
      <w:r>
        <w:rPr>
          <w:rFonts w:hint="eastAsia" w:ascii="仿宋_GB2312" w:hAnsi="仿宋_GB2312" w:cs="仿宋_GB2312"/>
          <w:color w:val="auto"/>
          <w:szCs w:val="32"/>
          <w:highlight w:val="none"/>
          <w:u w:val="none"/>
        </w:rPr>
        <w:t>缴纳认购定金</w:t>
      </w:r>
      <w:r>
        <w:rPr>
          <w:rFonts w:hint="eastAsia" w:ascii="仿宋_GB2312" w:hAnsi="仿宋_GB2312" w:cs="仿宋_GB2312"/>
          <w:color w:val="auto"/>
          <w:szCs w:val="32"/>
          <w:highlight w:val="none"/>
          <w:u w:val="none"/>
          <w:lang w:eastAsia="zh-CN"/>
        </w:rPr>
        <w:t>，</w:t>
      </w:r>
      <w:r>
        <w:rPr>
          <w:rFonts w:hint="eastAsia" w:ascii="仿宋_GB2312" w:hAnsi="仿宋_GB2312" w:cs="仿宋_GB2312"/>
          <w:color w:val="auto"/>
          <w:szCs w:val="32"/>
          <w:highlight w:val="none"/>
          <w:u w:val="none"/>
          <w:lang w:val="en-US" w:eastAsia="zh-CN"/>
        </w:rPr>
        <w:t>累计两次</w:t>
      </w:r>
      <w:r>
        <w:rPr>
          <w:rFonts w:hint="eastAsia" w:ascii="仿宋_GB2312" w:hAnsi="仿宋_GB2312" w:cs="仿宋_GB2312"/>
          <w:color w:val="auto"/>
          <w:szCs w:val="32"/>
          <w:highlight w:val="none"/>
          <w:u w:val="none"/>
        </w:rPr>
        <w:t>的</w:t>
      </w:r>
      <w:r>
        <w:rPr>
          <w:rFonts w:hint="eastAsia" w:ascii="仿宋_GB2312" w:hAnsi="仿宋_GB2312"/>
          <w:color w:val="auto"/>
          <w:szCs w:val="32"/>
          <w:highlight w:val="none"/>
          <w:u w:val="none"/>
        </w:rPr>
        <w:t>；</w:t>
      </w:r>
    </w:p>
    <w:p>
      <w:pPr>
        <w:pStyle w:val="2"/>
        <w:keepNext w:val="0"/>
        <w:keepLines w:val="0"/>
        <w:pageBreakBefore w:val="0"/>
        <w:kinsoku/>
        <w:overflowPunct/>
        <w:topLinePunct w:val="0"/>
        <w:autoSpaceDE/>
        <w:autoSpaceDN/>
        <w:bidi w:val="0"/>
        <w:adjustRightInd/>
        <w:snapToGrid/>
        <w:spacing w:after="0" w:line="578" w:lineRule="exact"/>
        <w:ind w:firstLine="640"/>
        <w:textAlignment w:val="auto"/>
        <w:rPr>
          <w:rFonts w:ascii="仿宋_GB2312" w:hAnsi="仿宋_GB2312"/>
          <w:color w:val="auto"/>
          <w:szCs w:val="32"/>
          <w:highlight w:val="none"/>
          <w:u w:val="none"/>
        </w:rPr>
      </w:pPr>
      <w:r>
        <w:rPr>
          <w:rFonts w:hint="eastAsia" w:ascii="仿宋_GB2312" w:hAnsi="仿宋_GB2312"/>
          <w:color w:val="auto"/>
          <w:szCs w:val="32"/>
          <w:highlight w:val="none"/>
          <w:u w:val="none"/>
        </w:rPr>
        <w:t>（二）</w:t>
      </w:r>
      <w:r>
        <w:rPr>
          <w:rFonts w:hint="eastAsia" w:ascii="仿宋_GB2312" w:hAnsi="仿宋_GB2312" w:cs="仿宋_GB2312"/>
          <w:color w:val="auto"/>
          <w:szCs w:val="32"/>
          <w:highlight w:val="none"/>
          <w:u w:val="none"/>
        </w:rPr>
        <w:t>未在规定时间内签订合同累计两次的</w:t>
      </w:r>
      <w:r>
        <w:rPr>
          <w:rFonts w:hint="eastAsia" w:ascii="仿宋_GB2312" w:hAnsi="仿宋_GB2312" w:cs="仿宋_GB2312"/>
          <w:color w:val="auto"/>
          <w:szCs w:val="32"/>
          <w:highlight w:val="none"/>
          <w:u w:val="none"/>
          <w:lang w:val="en-US" w:eastAsia="zh-CN"/>
        </w:rPr>
        <w:t>；</w:t>
      </w:r>
    </w:p>
    <w:p>
      <w:pPr>
        <w:pStyle w:val="2"/>
        <w:keepNext w:val="0"/>
        <w:keepLines w:val="0"/>
        <w:pageBreakBefore w:val="0"/>
        <w:numPr>
          <w:ilvl w:val="-1"/>
          <w:numId w:val="0"/>
        </w:numPr>
        <w:kinsoku/>
        <w:overflowPunct/>
        <w:topLinePunct w:val="0"/>
        <w:autoSpaceDE/>
        <w:autoSpaceDN/>
        <w:bidi w:val="0"/>
        <w:adjustRightInd/>
        <w:snapToGrid/>
        <w:spacing w:after="0" w:line="578" w:lineRule="exact"/>
        <w:ind w:firstLine="640" w:firstLineChars="200"/>
        <w:textAlignment w:val="auto"/>
        <w:rPr>
          <w:rFonts w:hint="eastAsia" w:ascii="仿宋_GB2312" w:hAnsi="仿宋_GB2312" w:cs="仿宋_GB2312"/>
          <w:color w:val="auto"/>
          <w:szCs w:val="32"/>
          <w:highlight w:val="none"/>
          <w:u w:val="none"/>
          <w:lang w:val="en-US" w:eastAsia="zh-CN"/>
        </w:rPr>
      </w:pPr>
      <w:r>
        <w:rPr>
          <w:rFonts w:hint="eastAsia" w:ascii="仿宋_GB2312" w:hAnsi="仿宋_GB2312"/>
          <w:color w:val="auto"/>
          <w:szCs w:val="32"/>
          <w:highlight w:val="none"/>
          <w:u w:val="none"/>
        </w:rPr>
        <w:t>（</w:t>
      </w:r>
      <w:r>
        <w:rPr>
          <w:rFonts w:hint="eastAsia" w:ascii="仿宋_GB2312" w:hAnsi="仿宋_GB2312"/>
          <w:color w:val="auto"/>
          <w:szCs w:val="32"/>
          <w:highlight w:val="none"/>
          <w:u w:val="none"/>
          <w:lang w:val="en-US" w:eastAsia="zh-CN"/>
        </w:rPr>
        <w:t>三</w:t>
      </w:r>
      <w:r>
        <w:rPr>
          <w:rFonts w:hint="eastAsia" w:ascii="仿宋_GB2312" w:hAnsi="仿宋_GB2312"/>
          <w:color w:val="auto"/>
          <w:szCs w:val="32"/>
          <w:highlight w:val="none"/>
          <w:u w:val="none"/>
        </w:rPr>
        <w:t>）</w:t>
      </w:r>
      <w:r>
        <w:rPr>
          <w:rFonts w:hint="eastAsia" w:ascii="仿宋_GB2312" w:hAnsi="仿宋_GB2312"/>
          <w:color w:val="auto"/>
          <w:szCs w:val="32"/>
          <w:highlight w:val="none"/>
          <w:u w:val="none"/>
          <w:lang w:val="en-US" w:eastAsia="zh-CN"/>
        </w:rPr>
        <w:t>已</w:t>
      </w:r>
      <w:r>
        <w:rPr>
          <w:rFonts w:hint="eastAsia" w:ascii="仿宋_GB2312" w:hAnsi="仿宋_GB2312"/>
          <w:color w:val="auto"/>
          <w:szCs w:val="32"/>
          <w:highlight w:val="none"/>
          <w:u w:val="none"/>
        </w:rPr>
        <w:t>签订</w:t>
      </w:r>
      <w:r>
        <w:rPr>
          <w:rFonts w:hint="eastAsia" w:ascii="仿宋_GB2312" w:hAnsi="仿宋_GB2312"/>
          <w:color w:val="auto"/>
          <w:szCs w:val="32"/>
          <w:highlight w:val="none"/>
          <w:u w:val="none"/>
          <w:lang w:val="en-US" w:eastAsia="zh-CN"/>
        </w:rPr>
        <w:t>共有产权住房买卖</w:t>
      </w:r>
      <w:r>
        <w:rPr>
          <w:rFonts w:hint="eastAsia" w:ascii="仿宋_GB2312" w:hAnsi="仿宋_GB2312"/>
          <w:color w:val="auto"/>
          <w:szCs w:val="32"/>
          <w:highlight w:val="none"/>
          <w:u w:val="none"/>
        </w:rPr>
        <w:t>合同</w:t>
      </w:r>
      <w:r>
        <w:rPr>
          <w:rFonts w:hint="eastAsia" w:ascii="仿宋_GB2312" w:hAnsi="仿宋_GB2312"/>
          <w:color w:val="auto"/>
          <w:szCs w:val="32"/>
          <w:highlight w:val="none"/>
          <w:u w:val="none"/>
          <w:lang w:val="en-US" w:eastAsia="zh-CN"/>
        </w:rPr>
        <w:t>的</w:t>
      </w:r>
      <w:r>
        <w:rPr>
          <w:rFonts w:hint="eastAsia" w:ascii="仿宋_GB2312" w:hAnsi="仿宋_GB2312"/>
          <w:color w:val="auto"/>
          <w:szCs w:val="32"/>
          <w:highlight w:val="none"/>
          <w:u w:val="none"/>
        </w:rPr>
        <w:t>；</w:t>
      </w:r>
    </w:p>
    <w:p>
      <w:pPr>
        <w:pStyle w:val="2"/>
        <w:keepNext w:val="0"/>
        <w:keepLines w:val="0"/>
        <w:pageBreakBefore w:val="0"/>
        <w:numPr>
          <w:ilvl w:val="-1"/>
          <w:numId w:val="0"/>
        </w:numPr>
        <w:kinsoku/>
        <w:overflowPunct/>
        <w:topLinePunct w:val="0"/>
        <w:autoSpaceDE/>
        <w:autoSpaceDN/>
        <w:bidi w:val="0"/>
        <w:adjustRightInd/>
        <w:snapToGrid/>
        <w:spacing w:after="0" w:line="578" w:lineRule="exact"/>
        <w:ind w:firstLine="640" w:firstLineChars="200"/>
        <w:textAlignment w:val="auto"/>
        <w:rPr>
          <w:rFonts w:hint="default" w:ascii="仿宋_GB2312" w:hAnsi="仿宋_GB2312" w:cs="仿宋_GB2312"/>
          <w:color w:val="auto"/>
          <w:szCs w:val="32"/>
          <w:highlight w:val="none"/>
          <w:u w:val="none"/>
          <w:lang w:val="en-US" w:eastAsia="zh-CN"/>
        </w:rPr>
      </w:pPr>
      <w:r>
        <w:rPr>
          <w:rFonts w:hint="eastAsia" w:ascii="仿宋_GB2312" w:hAnsi="仿宋_GB2312" w:cs="仿宋_GB2312"/>
          <w:color w:val="auto"/>
          <w:szCs w:val="32"/>
          <w:highlight w:val="none"/>
          <w:u w:val="none"/>
          <w:lang w:val="en-US" w:eastAsia="zh-CN"/>
        </w:rPr>
        <w:t>（四）连续三年未提出认购申请的；</w:t>
      </w:r>
    </w:p>
    <w:p>
      <w:pPr>
        <w:pStyle w:val="2"/>
        <w:keepNext w:val="0"/>
        <w:keepLines w:val="0"/>
        <w:pageBreakBefore w:val="0"/>
        <w:numPr>
          <w:ilvl w:val="-1"/>
          <w:numId w:val="0"/>
        </w:numPr>
        <w:kinsoku/>
        <w:overflowPunct/>
        <w:topLinePunct w:val="0"/>
        <w:autoSpaceDE/>
        <w:autoSpaceDN/>
        <w:bidi w:val="0"/>
        <w:adjustRightInd/>
        <w:snapToGrid/>
        <w:spacing w:after="0" w:line="578" w:lineRule="exact"/>
        <w:ind w:firstLine="640" w:firstLineChars="200"/>
        <w:textAlignment w:val="auto"/>
        <w:rPr>
          <w:rFonts w:hint="eastAsia" w:ascii="仿宋_GB2312" w:hAnsi="仿宋_GB2312"/>
          <w:color w:val="auto"/>
          <w:szCs w:val="32"/>
          <w:highlight w:val="none"/>
          <w:u w:val="none"/>
        </w:rPr>
      </w:pPr>
      <w:r>
        <w:rPr>
          <w:rFonts w:hint="eastAsia" w:ascii="仿宋_GB2312" w:hAnsi="仿宋_GB2312"/>
          <w:color w:val="auto"/>
          <w:szCs w:val="32"/>
          <w:highlight w:val="none"/>
          <w:u w:val="none"/>
          <w:lang w:eastAsia="zh-CN"/>
        </w:rPr>
        <w:t>（</w:t>
      </w:r>
      <w:r>
        <w:rPr>
          <w:rFonts w:hint="eastAsia" w:ascii="仿宋_GB2312" w:hAnsi="仿宋_GB2312"/>
          <w:color w:val="auto"/>
          <w:szCs w:val="32"/>
          <w:highlight w:val="none"/>
          <w:u w:val="none"/>
          <w:lang w:val="en-US" w:eastAsia="zh-CN"/>
        </w:rPr>
        <w:t>五</w:t>
      </w:r>
      <w:r>
        <w:rPr>
          <w:rFonts w:hint="eastAsia" w:ascii="仿宋_GB2312" w:hAnsi="仿宋_GB2312"/>
          <w:color w:val="auto"/>
          <w:szCs w:val="32"/>
          <w:highlight w:val="none"/>
          <w:u w:val="none"/>
          <w:lang w:eastAsia="zh-CN"/>
        </w:rPr>
        <w:t>）</w:t>
      </w:r>
      <w:r>
        <w:rPr>
          <w:rFonts w:hint="eastAsia" w:ascii="仿宋_GB2312" w:hAnsi="仿宋_GB2312"/>
          <w:color w:val="auto"/>
          <w:szCs w:val="32"/>
          <w:highlight w:val="none"/>
          <w:u w:val="none"/>
        </w:rPr>
        <w:t>法律、法规、规章和市政府规定的其他情形。</w:t>
      </w:r>
    </w:p>
    <w:p>
      <w:pPr>
        <w:pStyle w:val="2"/>
        <w:keepNext w:val="0"/>
        <w:keepLines w:val="0"/>
        <w:pageBreakBefore w:val="0"/>
        <w:widowControl/>
        <w:numPr>
          <w:ilvl w:val="0"/>
          <w:numId w:val="0"/>
        </w:numPr>
        <w:kinsoku/>
        <w:overflowPunct/>
        <w:topLinePunct w:val="0"/>
        <w:autoSpaceDE/>
        <w:autoSpaceDN/>
        <w:bidi w:val="0"/>
        <w:adjustRightInd/>
        <w:snapToGrid/>
        <w:spacing w:after="0" w:line="578" w:lineRule="exact"/>
        <w:ind w:firstLine="640" w:firstLineChars="200"/>
        <w:textAlignment w:val="auto"/>
        <w:rPr>
          <w:rFonts w:hint="eastAsia" w:ascii="仿宋_GB2312" w:hAnsi="仿宋_GB2312" w:cs="仿宋_GB2312"/>
          <w:color w:val="auto"/>
          <w:szCs w:val="32"/>
          <w:highlight w:val="none"/>
          <w:u w:val="none"/>
        </w:rPr>
      </w:pPr>
      <w:r>
        <w:rPr>
          <w:rFonts w:hint="eastAsia" w:ascii="黑体" w:hAnsi="黑体" w:eastAsia="黑体" w:cs="黑体"/>
          <w:bCs/>
          <w:color w:val="auto"/>
          <w:szCs w:val="32"/>
          <w:highlight w:val="none"/>
          <w:u w:val="none"/>
        </w:rPr>
        <w:t>第</w:t>
      </w:r>
      <w:r>
        <w:rPr>
          <w:rFonts w:hint="eastAsia" w:ascii="黑体" w:hAnsi="黑体" w:eastAsia="黑体"/>
          <w:bCs/>
          <w:color w:val="auto"/>
          <w:szCs w:val="32"/>
          <w:highlight w:val="none"/>
          <w:u w:val="none"/>
          <w:lang w:val="en-US" w:eastAsia="zh-CN"/>
        </w:rPr>
        <w:t>二十八</w:t>
      </w:r>
      <w:r>
        <w:rPr>
          <w:rFonts w:hint="eastAsia" w:ascii="黑体" w:hAnsi="黑体" w:eastAsia="黑体" w:cs="黑体"/>
          <w:bCs/>
          <w:color w:val="auto"/>
          <w:szCs w:val="32"/>
          <w:highlight w:val="none"/>
          <w:u w:val="none"/>
        </w:rPr>
        <w:t>条【预售资金监管】</w:t>
      </w:r>
      <w:r>
        <w:rPr>
          <w:rFonts w:hint="eastAsia" w:ascii="黑体" w:hAnsi="黑体" w:eastAsia="黑体" w:cs="黑体"/>
          <w:bCs/>
          <w:color w:val="auto"/>
          <w:szCs w:val="32"/>
          <w:highlight w:val="none"/>
          <w:u w:val="none"/>
          <w:lang w:val="en-US" w:eastAsia="zh-CN"/>
        </w:rPr>
        <w:t xml:space="preserve">  </w:t>
      </w:r>
      <w:r>
        <w:rPr>
          <w:rFonts w:hint="eastAsia" w:ascii="仿宋_GB2312" w:hAnsi="仿宋_GB2312" w:cs="仿宋_GB2312"/>
          <w:color w:val="auto"/>
          <w:szCs w:val="32"/>
          <w:highlight w:val="none"/>
          <w:u w:val="none"/>
        </w:rPr>
        <w:t>共有产权住房</w:t>
      </w:r>
      <w:r>
        <w:rPr>
          <w:rFonts w:hint="eastAsia" w:ascii="仿宋_GB2312" w:hAnsi="仿宋_GB2312" w:cs="仿宋_GB2312"/>
          <w:bCs w:val="0"/>
          <w:color w:val="auto"/>
          <w:szCs w:val="32"/>
          <w:highlight w:val="none"/>
          <w:u w:val="none"/>
          <w:lang w:val="en-US" w:eastAsia="zh-CN"/>
        </w:rPr>
        <w:t>实行</w:t>
      </w:r>
      <w:r>
        <w:rPr>
          <w:rFonts w:hint="eastAsia" w:ascii="仿宋_GB2312" w:hAnsi="仿宋_GB2312" w:cs="仿宋_GB2312"/>
          <w:color w:val="auto"/>
          <w:szCs w:val="32"/>
          <w:highlight w:val="none"/>
          <w:u w:val="none"/>
        </w:rPr>
        <w:t>预售资金管理制度，</w:t>
      </w:r>
      <w:r>
        <w:rPr>
          <w:rFonts w:hint="default" w:ascii="仿宋_GB2312" w:hAnsi="仿宋_GB2312" w:eastAsia="仿宋_GB2312" w:cs="仿宋_GB2312"/>
          <w:bCs w:val="0"/>
          <w:color w:val="auto"/>
          <w:szCs w:val="32"/>
          <w:highlight w:val="none"/>
          <w:u w:val="none"/>
          <w:lang w:val="en-US" w:eastAsia="zh-CN"/>
        </w:rPr>
        <w:t>主管部门组织</w:t>
      </w:r>
      <w:r>
        <w:rPr>
          <w:rFonts w:hint="eastAsia" w:ascii="仿宋_GB2312" w:hAnsi="仿宋_GB2312" w:cs="仿宋_GB2312"/>
          <w:color w:val="auto"/>
          <w:szCs w:val="32"/>
          <w:highlight w:val="none"/>
          <w:u w:val="none"/>
        </w:rPr>
        <w:t>对市场主体开发的项目</w:t>
      </w:r>
      <w:r>
        <w:rPr>
          <w:rFonts w:hint="eastAsia" w:ascii="仿宋_GB2312" w:hAnsi="仿宋_GB2312" w:cs="仿宋_GB2312"/>
          <w:color w:val="auto"/>
          <w:szCs w:val="32"/>
          <w:highlight w:val="none"/>
          <w:u w:val="none"/>
          <w:lang w:eastAsia="zh-CN"/>
        </w:rPr>
        <w:t>按照房地产市场监管规定</w:t>
      </w:r>
      <w:r>
        <w:rPr>
          <w:rFonts w:hint="eastAsia" w:ascii="仿宋_GB2312" w:hAnsi="仿宋_GB2312" w:cs="仿宋_GB2312"/>
          <w:color w:val="auto"/>
          <w:szCs w:val="32"/>
          <w:highlight w:val="none"/>
          <w:u w:val="none"/>
        </w:rPr>
        <w:t>实行全程全额监管，严格按照工程进度比例分批次提取预收款的额度。</w:t>
      </w:r>
    </w:p>
    <w:p>
      <w:pPr>
        <w:pStyle w:val="3"/>
        <w:keepNext w:val="0"/>
        <w:keepLines w:val="0"/>
        <w:pageBreakBefore w:val="0"/>
        <w:kinsoku/>
        <w:overflowPunct/>
        <w:topLinePunct w:val="0"/>
        <w:autoSpaceDE/>
        <w:autoSpaceDN/>
        <w:bidi w:val="0"/>
        <w:spacing w:after="0" w:line="578" w:lineRule="exact"/>
        <w:rPr>
          <w:rFonts w:hint="eastAsia"/>
          <w:color w:val="auto"/>
          <w:sz w:val="32"/>
          <w:szCs w:val="32"/>
          <w:u w:val="none"/>
        </w:rPr>
      </w:pPr>
    </w:p>
    <w:p>
      <w:pPr>
        <w:keepNext w:val="0"/>
        <w:keepLines w:val="0"/>
        <w:pageBreakBefore w:val="0"/>
        <w:kinsoku/>
        <w:overflowPunct/>
        <w:topLinePunct w:val="0"/>
        <w:autoSpaceDE/>
        <w:autoSpaceDN/>
        <w:bidi w:val="0"/>
        <w:adjustRightInd/>
        <w:snapToGrid/>
        <w:spacing w:line="578" w:lineRule="exact"/>
        <w:ind w:firstLine="0" w:firstLineChars="0"/>
        <w:jc w:val="center"/>
        <w:textAlignment w:val="auto"/>
        <w:outlineLvl w:val="1"/>
        <w:rPr>
          <w:rFonts w:hint="eastAsia" w:ascii="黑体" w:hAnsi="黑体" w:eastAsia="黑体"/>
          <w:bCs/>
          <w:color w:val="auto"/>
          <w:szCs w:val="32"/>
          <w:highlight w:val="none"/>
          <w:u w:val="none"/>
          <w:lang w:val="en-US" w:eastAsia="zh-CN"/>
        </w:rPr>
      </w:pPr>
      <w:bookmarkStart w:id="98" w:name="_Toc2456"/>
      <w:bookmarkStart w:id="99" w:name="_Toc1575"/>
      <w:bookmarkStart w:id="100" w:name="_Toc4929"/>
      <w:bookmarkStart w:id="101" w:name="_Toc11599"/>
      <w:bookmarkStart w:id="102" w:name="_Toc523428828"/>
      <w:bookmarkStart w:id="103" w:name="_Toc28669_WPSOffice_Level2"/>
      <w:bookmarkStart w:id="104" w:name="_Toc5114"/>
      <w:r>
        <w:rPr>
          <w:rFonts w:hint="eastAsia" w:ascii="黑体" w:hAnsi="黑体" w:eastAsia="黑体"/>
          <w:bCs/>
          <w:color w:val="auto"/>
          <w:szCs w:val="32"/>
          <w:highlight w:val="none"/>
          <w:u w:val="none"/>
        </w:rPr>
        <w:t>第</w:t>
      </w:r>
      <w:r>
        <w:rPr>
          <w:rFonts w:hint="eastAsia" w:ascii="黑体" w:hAnsi="黑体" w:eastAsia="黑体"/>
          <w:bCs/>
          <w:color w:val="auto"/>
          <w:szCs w:val="32"/>
          <w:highlight w:val="none"/>
          <w:u w:val="none"/>
          <w:lang w:val="en-US" w:eastAsia="zh-CN"/>
        </w:rPr>
        <w:t>三</w:t>
      </w:r>
      <w:r>
        <w:rPr>
          <w:rFonts w:hint="eastAsia" w:ascii="黑体" w:hAnsi="黑体" w:eastAsia="黑体"/>
          <w:bCs/>
          <w:color w:val="auto"/>
          <w:szCs w:val="32"/>
          <w:highlight w:val="none"/>
          <w:u w:val="none"/>
        </w:rPr>
        <w:t>章</w:t>
      </w:r>
      <w:r>
        <w:rPr>
          <w:rFonts w:ascii="黑体" w:hAnsi="黑体" w:eastAsia="黑体"/>
          <w:bCs/>
          <w:color w:val="auto"/>
          <w:szCs w:val="32"/>
          <w:highlight w:val="none"/>
          <w:u w:val="none"/>
        </w:rPr>
        <w:t xml:space="preserve"> </w:t>
      </w:r>
      <w:bookmarkEnd w:id="98"/>
      <w:bookmarkEnd w:id="99"/>
      <w:bookmarkEnd w:id="100"/>
      <w:bookmarkEnd w:id="101"/>
      <w:bookmarkEnd w:id="102"/>
      <w:r>
        <w:rPr>
          <w:rFonts w:hint="eastAsia" w:ascii="黑体" w:hAnsi="黑体" w:eastAsia="黑体"/>
          <w:bCs/>
          <w:color w:val="auto"/>
          <w:szCs w:val="32"/>
          <w:highlight w:val="none"/>
          <w:u w:val="none"/>
          <w:lang w:val="en-US" w:eastAsia="zh-CN"/>
        </w:rPr>
        <w:t>流转处分</w:t>
      </w:r>
    </w:p>
    <w:p>
      <w:pPr>
        <w:pStyle w:val="2"/>
        <w:keepNext w:val="0"/>
        <w:keepLines w:val="0"/>
        <w:pageBreakBefore w:val="0"/>
        <w:kinsoku/>
        <w:overflowPunct/>
        <w:topLinePunct w:val="0"/>
        <w:autoSpaceDE/>
        <w:autoSpaceDN/>
        <w:bidi w:val="0"/>
        <w:spacing w:after="0" w:line="578" w:lineRule="exact"/>
        <w:rPr>
          <w:rFonts w:hint="default"/>
          <w:color w:val="auto"/>
          <w:szCs w:val="32"/>
          <w:u w:val="none"/>
          <w:lang w:val="en-US" w:eastAsia="zh-CN"/>
        </w:rPr>
      </w:pPr>
    </w:p>
    <w:p>
      <w:pPr>
        <w:keepNext w:val="0"/>
        <w:keepLines w:val="0"/>
        <w:pageBreakBefore w:val="0"/>
        <w:widowControl/>
        <w:kinsoku/>
        <w:overflowPunct/>
        <w:topLinePunct w:val="0"/>
        <w:autoSpaceDE/>
        <w:autoSpaceDN/>
        <w:bidi w:val="0"/>
        <w:adjustRightInd/>
        <w:snapToGrid/>
        <w:spacing w:line="578" w:lineRule="exact"/>
        <w:ind w:firstLine="640" w:firstLineChars="200"/>
        <w:textAlignment w:val="auto"/>
        <w:rPr>
          <w:rFonts w:hint="eastAsia" w:ascii="黑体" w:hAnsi="黑体" w:eastAsia="仿宋_GB2312"/>
          <w:bCs/>
          <w:color w:val="auto"/>
          <w:szCs w:val="32"/>
          <w:highlight w:val="none"/>
          <w:u w:val="none"/>
          <w:lang w:val="en-US" w:eastAsia="zh-CN"/>
        </w:rPr>
      </w:pPr>
      <w:bookmarkStart w:id="105" w:name="_Toc523428829"/>
      <w:r>
        <w:rPr>
          <w:rFonts w:hint="eastAsia" w:ascii="黑体" w:hAnsi="黑体" w:eastAsia="黑体"/>
          <w:bCs/>
          <w:color w:val="auto"/>
          <w:szCs w:val="32"/>
          <w:highlight w:val="none"/>
          <w:u w:val="none"/>
        </w:rPr>
        <w:t>第</w:t>
      </w:r>
      <w:r>
        <w:rPr>
          <w:rFonts w:hint="eastAsia" w:ascii="黑体" w:hAnsi="黑体" w:eastAsia="黑体"/>
          <w:bCs/>
          <w:color w:val="auto"/>
          <w:szCs w:val="32"/>
          <w:highlight w:val="none"/>
          <w:u w:val="none"/>
          <w:lang w:val="en-US" w:eastAsia="zh-CN"/>
        </w:rPr>
        <w:t>二十九</w:t>
      </w:r>
      <w:r>
        <w:rPr>
          <w:rFonts w:hint="eastAsia" w:ascii="黑体" w:hAnsi="黑体" w:eastAsia="黑体"/>
          <w:bCs/>
          <w:color w:val="auto"/>
          <w:szCs w:val="32"/>
          <w:highlight w:val="none"/>
          <w:u w:val="none"/>
        </w:rPr>
        <w:t>条【</w:t>
      </w:r>
      <w:r>
        <w:rPr>
          <w:rFonts w:hint="eastAsia" w:ascii="黑体" w:hAnsi="黑体" w:eastAsia="黑体"/>
          <w:bCs/>
          <w:color w:val="auto"/>
          <w:szCs w:val="32"/>
          <w:highlight w:val="none"/>
          <w:u w:val="none"/>
          <w:lang w:val="en-US" w:eastAsia="zh-CN"/>
        </w:rPr>
        <w:t>封闭流转</w:t>
      </w:r>
      <w:r>
        <w:rPr>
          <w:rFonts w:hint="eastAsia" w:ascii="黑体" w:hAnsi="黑体" w:eastAsia="黑体"/>
          <w:bCs/>
          <w:color w:val="auto"/>
          <w:szCs w:val="32"/>
          <w:highlight w:val="none"/>
          <w:u w:val="none"/>
        </w:rPr>
        <w:t>】</w:t>
      </w:r>
      <w:r>
        <w:rPr>
          <w:rFonts w:hint="eastAsia" w:ascii="黑体" w:hAnsi="黑体" w:eastAsia="黑体"/>
          <w:bCs/>
          <w:color w:val="auto"/>
          <w:szCs w:val="32"/>
          <w:highlight w:val="none"/>
          <w:u w:val="none"/>
          <w:lang w:val="en-US" w:eastAsia="zh-CN"/>
        </w:rPr>
        <w:t xml:space="preserve">  </w:t>
      </w:r>
      <w:r>
        <w:rPr>
          <w:rFonts w:hint="eastAsia" w:ascii="仿宋_GB2312" w:hAnsi="仿宋_GB2312" w:eastAsia="仿宋_GB2312" w:cs="仿宋_GB2312"/>
          <w:bCs/>
          <w:color w:val="auto"/>
          <w:szCs w:val="32"/>
          <w:highlight w:val="none"/>
          <w:u w:val="none"/>
          <w:lang w:eastAsia="zh-CN"/>
        </w:rPr>
        <w:t>共有产权住房实行封闭</w:t>
      </w:r>
      <w:r>
        <w:rPr>
          <w:rFonts w:hint="eastAsia" w:ascii="仿宋_GB2312" w:hAnsi="仿宋_GB2312" w:cs="仿宋_GB2312"/>
          <w:bCs/>
          <w:color w:val="auto"/>
          <w:szCs w:val="32"/>
          <w:highlight w:val="none"/>
          <w:u w:val="none"/>
          <w:lang w:val="en-US" w:eastAsia="zh-CN"/>
        </w:rPr>
        <w:t>流转制度</w:t>
      </w:r>
      <w:r>
        <w:rPr>
          <w:rFonts w:hint="eastAsia" w:ascii="仿宋_GB2312" w:hAnsi="仿宋_GB2312" w:eastAsia="仿宋_GB2312" w:cs="仿宋_GB2312"/>
          <w:bCs/>
          <w:color w:val="auto"/>
          <w:szCs w:val="32"/>
          <w:highlight w:val="none"/>
          <w:u w:val="none"/>
          <w:lang w:eastAsia="zh-CN"/>
        </w:rPr>
        <w:t>。购房人</w:t>
      </w:r>
      <w:r>
        <w:rPr>
          <w:rFonts w:hint="eastAsia" w:ascii="仿宋_GB2312" w:hAnsi="仿宋_GB2312" w:cs="仿宋_GB2312"/>
          <w:bCs/>
          <w:color w:val="auto"/>
          <w:szCs w:val="32"/>
          <w:highlight w:val="none"/>
          <w:u w:val="none"/>
        </w:rPr>
        <w:t>自签订买卖合同之日起</w:t>
      </w:r>
      <w:r>
        <w:rPr>
          <w:rFonts w:hint="eastAsia" w:ascii="仿宋_GB2312" w:hAnsi="仿宋_GB2312" w:cs="仿宋_GB2312"/>
          <w:bCs/>
          <w:color w:val="auto"/>
          <w:szCs w:val="32"/>
          <w:highlight w:val="none"/>
          <w:u w:val="none"/>
          <w:lang w:val="en-US" w:eastAsia="zh-CN"/>
        </w:rPr>
        <w:t>未</w:t>
      </w:r>
      <w:r>
        <w:rPr>
          <w:rFonts w:hint="eastAsia" w:ascii="仿宋_GB2312" w:hAnsi="仿宋_GB2312" w:cs="仿宋_GB2312"/>
          <w:bCs/>
          <w:color w:val="auto"/>
          <w:szCs w:val="32"/>
          <w:highlight w:val="none"/>
          <w:u w:val="none"/>
        </w:rPr>
        <w:t>满</w:t>
      </w:r>
      <w:r>
        <w:rPr>
          <w:rFonts w:hint="eastAsia" w:ascii="仿宋_GB2312" w:hAnsi="仿宋_GB2312" w:cs="仿宋_GB2312"/>
          <w:bCs/>
          <w:color w:val="auto"/>
          <w:szCs w:val="32"/>
          <w:highlight w:val="none"/>
          <w:u w:val="none"/>
          <w:lang w:val="en-US" w:eastAsia="zh-CN"/>
        </w:rPr>
        <w:t>五</w:t>
      </w:r>
      <w:r>
        <w:rPr>
          <w:rFonts w:hint="eastAsia" w:ascii="仿宋_GB2312" w:hAnsi="仿宋_GB2312" w:cs="仿宋_GB2312"/>
          <w:bCs/>
          <w:color w:val="auto"/>
          <w:szCs w:val="32"/>
          <w:highlight w:val="none"/>
          <w:u w:val="none"/>
        </w:rPr>
        <w:t>年</w:t>
      </w:r>
      <w:r>
        <w:rPr>
          <w:rFonts w:hint="eastAsia" w:ascii="仿宋_GB2312" w:hAnsi="仿宋_GB2312" w:cs="仿宋_GB2312"/>
          <w:bCs/>
          <w:color w:val="auto"/>
          <w:szCs w:val="32"/>
          <w:highlight w:val="none"/>
          <w:u w:val="none"/>
          <w:lang w:eastAsia="zh-CN"/>
        </w:rPr>
        <w:t>的</w:t>
      </w:r>
      <w:r>
        <w:rPr>
          <w:rFonts w:hint="eastAsia" w:ascii="仿宋_GB2312" w:hAnsi="仿宋_GB2312" w:cs="仿宋_GB2312"/>
          <w:bCs/>
          <w:color w:val="auto"/>
          <w:szCs w:val="32"/>
          <w:highlight w:val="none"/>
          <w:u w:val="none"/>
        </w:rPr>
        <w:t>，</w:t>
      </w:r>
      <w:r>
        <w:rPr>
          <w:rFonts w:hint="eastAsia" w:ascii="仿宋_GB2312" w:hAnsi="仿宋_GB2312" w:cs="仿宋_GB2312"/>
          <w:bCs/>
          <w:color w:val="auto"/>
          <w:szCs w:val="32"/>
          <w:highlight w:val="none"/>
          <w:u w:val="none"/>
          <w:lang w:val="en-US" w:eastAsia="zh-CN"/>
        </w:rPr>
        <w:t>不得转让所持产权份额；</w:t>
      </w:r>
      <w:r>
        <w:rPr>
          <w:rFonts w:hint="eastAsia" w:ascii="仿宋_GB2312" w:hAnsi="仿宋_GB2312" w:cs="仿宋_GB2312"/>
          <w:bCs/>
          <w:color w:val="auto"/>
          <w:szCs w:val="32"/>
          <w:highlight w:val="none"/>
          <w:u w:val="none"/>
        </w:rPr>
        <w:t>自签订买卖合同之日起满</w:t>
      </w:r>
      <w:r>
        <w:rPr>
          <w:rFonts w:hint="eastAsia" w:ascii="仿宋_GB2312" w:hAnsi="仿宋_GB2312" w:cs="仿宋_GB2312"/>
          <w:bCs/>
          <w:color w:val="auto"/>
          <w:szCs w:val="32"/>
          <w:highlight w:val="none"/>
          <w:u w:val="none"/>
          <w:lang w:val="en-US" w:eastAsia="zh-CN"/>
        </w:rPr>
        <w:t>五</w:t>
      </w:r>
      <w:r>
        <w:rPr>
          <w:rFonts w:hint="eastAsia" w:ascii="仿宋_GB2312" w:hAnsi="仿宋_GB2312" w:cs="仿宋_GB2312"/>
          <w:bCs/>
          <w:color w:val="auto"/>
          <w:szCs w:val="32"/>
          <w:highlight w:val="none"/>
          <w:u w:val="none"/>
        </w:rPr>
        <w:t>年</w:t>
      </w:r>
      <w:r>
        <w:rPr>
          <w:rFonts w:hint="eastAsia" w:ascii="仿宋_GB2312" w:hAnsi="仿宋_GB2312" w:cs="仿宋_GB2312"/>
          <w:bCs/>
          <w:color w:val="auto"/>
          <w:szCs w:val="32"/>
          <w:highlight w:val="none"/>
          <w:u w:val="none"/>
          <w:lang w:eastAsia="zh-CN"/>
        </w:rPr>
        <w:t>的</w:t>
      </w:r>
      <w:r>
        <w:rPr>
          <w:rFonts w:hint="eastAsia" w:ascii="仿宋_GB2312" w:hAnsi="仿宋_GB2312" w:cs="仿宋_GB2312"/>
          <w:bCs/>
          <w:color w:val="auto"/>
          <w:szCs w:val="32"/>
          <w:highlight w:val="none"/>
          <w:u w:val="none"/>
        </w:rPr>
        <w:t>，</w:t>
      </w:r>
      <w:r>
        <w:rPr>
          <w:rFonts w:hint="eastAsia" w:ascii="仿宋_GB2312" w:hAnsi="仿宋_GB2312" w:cs="仿宋_GB2312"/>
          <w:color w:val="auto"/>
          <w:szCs w:val="32"/>
          <w:highlight w:val="none"/>
          <w:u w:val="none"/>
          <w:lang w:val="en-US" w:eastAsia="zh-CN"/>
        </w:rPr>
        <w:t>可以将</w:t>
      </w:r>
      <w:r>
        <w:rPr>
          <w:rFonts w:hint="eastAsia" w:ascii="仿宋_GB2312" w:hAnsi="仿宋_GB2312" w:cs="仿宋_GB2312"/>
          <w:bCs/>
          <w:color w:val="auto"/>
          <w:szCs w:val="32"/>
          <w:highlight w:val="none"/>
          <w:u w:val="none"/>
          <w:lang w:val="en-US" w:eastAsia="zh-CN"/>
        </w:rPr>
        <w:t>所持产权份额</w:t>
      </w:r>
      <w:r>
        <w:rPr>
          <w:rFonts w:hint="eastAsia" w:ascii="仿宋_GB2312" w:hAnsi="仿宋_GB2312" w:cs="仿宋_GB2312"/>
          <w:color w:val="auto"/>
          <w:szCs w:val="32"/>
          <w:highlight w:val="none"/>
          <w:u w:val="none"/>
          <w:lang w:val="en-US" w:eastAsia="zh-CN"/>
        </w:rPr>
        <w:t>转让给</w:t>
      </w:r>
      <w:r>
        <w:rPr>
          <w:rFonts w:hint="eastAsia" w:ascii="仿宋_GB2312" w:hAnsi="仿宋_GB2312" w:cs="仿宋_GB2312"/>
          <w:bCs/>
          <w:color w:val="auto"/>
          <w:szCs w:val="32"/>
          <w:highlight w:val="none"/>
          <w:u w:val="none"/>
        </w:rPr>
        <w:t>符合条件的对象</w:t>
      </w:r>
      <w:r>
        <w:rPr>
          <w:rFonts w:hint="eastAsia" w:ascii="仿宋_GB2312" w:hAnsi="仿宋_GB2312" w:cs="仿宋_GB2312"/>
          <w:bCs/>
          <w:color w:val="auto"/>
          <w:szCs w:val="32"/>
          <w:highlight w:val="none"/>
          <w:u w:val="none"/>
          <w:lang w:eastAsia="zh-CN"/>
        </w:rPr>
        <w:t>。</w:t>
      </w:r>
    </w:p>
    <w:p>
      <w:pPr>
        <w:keepNext w:val="0"/>
        <w:keepLines w:val="0"/>
        <w:pageBreakBefore w:val="0"/>
        <w:kinsoku/>
        <w:overflowPunct/>
        <w:topLinePunct w:val="0"/>
        <w:autoSpaceDE/>
        <w:autoSpaceDN/>
        <w:bidi w:val="0"/>
        <w:adjustRightInd/>
        <w:snapToGrid/>
        <w:spacing w:line="578" w:lineRule="exact"/>
        <w:ind w:firstLine="640" w:firstLineChars="200"/>
        <w:textAlignment w:val="auto"/>
        <w:outlineLvl w:val="2"/>
        <w:rPr>
          <w:rFonts w:hint="eastAsia" w:ascii="仿宋_GB2312" w:hAnsi="仿宋_GB2312" w:cs="仿宋_GB2312"/>
          <w:strike/>
          <w:color w:val="auto"/>
          <w:szCs w:val="32"/>
          <w:highlight w:val="none"/>
          <w:u w:val="none"/>
          <w:lang w:val="en-US" w:eastAsia="zh-CN"/>
        </w:rPr>
      </w:pPr>
      <w:r>
        <w:rPr>
          <w:rFonts w:hint="eastAsia" w:ascii="仿宋_GB2312" w:hAnsi="仿宋_GB2312" w:cs="仿宋_GB2312"/>
          <w:color w:val="auto"/>
          <w:szCs w:val="32"/>
          <w:highlight w:val="none"/>
          <w:u w:val="none"/>
        </w:rPr>
        <w:t>共有产权住房封闭流转的具体办法，由市主管部门另行制定。</w:t>
      </w:r>
    </w:p>
    <w:p>
      <w:pPr>
        <w:keepNext w:val="0"/>
        <w:keepLines w:val="0"/>
        <w:pageBreakBefore w:val="0"/>
        <w:kinsoku/>
        <w:overflowPunct/>
        <w:topLinePunct w:val="0"/>
        <w:autoSpaceDE/>
        <w:autoSpaceDN/>
        <w:bidi w:val="0"/>
        <w:adjustRightInd/>
        <w:snapToGrid/>
        <w:spacing w:line="578" w:lineRule="exact"/>
        <w:ind w:firstLine="640" w:firstLineChars="200"/>
        <w:textAlignment w:val="auto"/>
        <w:outlineLvl w:val="2"/>
        <w:rPr>
          <w:rFonts w:ascii="仿宋_GB2312" w:hAnsi="仿宋_GB2312" w:cs="仿宋_GB2312"/>
          <w:color w:val="auto"/>
          <w:szCs w:val="32"/>
          <w:highlight w:val="none"/>
          <w:u w:val="none"/>
        </w:rPr>
      </w:pPr>
      <w:r>
        <w:rPr>
          <w:rFonts w:hint="eastAsia" w:ascii="黑体" w:hAnsi="黑体" w:eastAsia="黑体"/>
          <w:bCs/>
          <w:color w:val="auto"/>
          <w:szCs w:val="32"/>
          <w:highlight w:val="none"/>
          <w:u w:val="none"/>
        </w:rPr>
        <w:t>第</w:t>
      </w:r>
      <w:r>
        <w:rPr>
          <w:rFonts w:hint="eastAsia" w:ascii="黑体" w:hAnsi="黑体" w:eastAsia="黑体"/>
          <w:bCs/>
          <w:color w:val="auto"/>
          <w:szCs w:val="32"/>
          <w:highlight w:val="none"/>
          <w:u w:val="none"/>
          <w:lang w:val="en-US" w:eastAsia="zh-CN"/>
        </w:rPr>
        <w:t>三十</w:t>
      </w:r>
      <w:r>
        <w:rPr>
          <w:rFonts w:hint="eastAsia" w:ascii="黑体" w:hAnsi="黑体" w:eastAsia="黑体"/>
          <w:bCs/>
          <w:color w:val="auto"/>
          <w:szCs w:val="32"/>
          <w:highlight w:val="none"/>
          <w:u w:val="none"/>
        </w:rPr>
        <w:t>条【未满</w:t>
      </w:r>
      <w:r>
        <w:rPr>
          <w:rFonts w:hint="eastAsia" w:ascii="黑体" w:hAnsi="黑体" w:eastAsia="黑体"/>
          <w:bCs/>
          <w:color w:val="auto"/>
          <w:szCs w:val="32"/>
          <w:highlight w:val="none"/>
          <w:u w:val="none"/>
          <w:lang w:val="en-US" w:eastAsia="zh-CN"/>
        </w:rPr>
        <w:t>五</w:t>
      </w:r>
      <w:r>
        <w:rPr>
          <w:rFonts w:hint="eastAsia" w:ascii="黑体" w:hAnsi="黑体" w:eastAsia="黑体"/>
          <w:bCs/>
          <w:color w:val="auto"/>
          <w:szCs w:val="32"/>
          <w:highlight w:val="none"/>
          <w:u w:val="none"/>
        </w:rPr>
        <w:t>年的</w:t>
      </w:r>
      <w:r>
        <w:rPr>
          <w:rFonts w:hint="eastAsia" w:ascii="黑体" w:hAnsi="黑体" w:eastAsia="黑体"/>
          <w:bCs/>
          <w:color w:val="auto"/>
          <w:szCs w:val="32"/>
          <w:highlight w:val="none"/>
          <w:u w:val="none"/>
          <w:lang w:val="en-US" w:eastAsia="zh-CN"/>
        </w:rPr>
        <w:t>收购</w:t>
      </w:r>
      <w:r>
        <w:rPr>
          <w:rFonts w:hint="eastAsia" w:ascii="黑体" w:hAnsi="黑体" w:eastAsia="黑体"/>
          <w:bCs/>
          <w:color w:val="auto"/>
          <w:szCs w:val="32"/>
          <w:highlight w:val="none"/>
          <w:u w:val="none"/>
        </w:rPr>
        <w:t>】</w:t>
      </w:r>
      <w:r>
        <w:rPr>
          <w:rFonts w:hint="eastAsia" w:ascii="黑体" w:hAnsi="黑体" w:eastAsia="黑体"/>
          <w:bCs/>
          <w:color w:val="auto"/>
          <w:szCs w:val="32"/>
          <w:highlight w:val="none"/>
          <w:u w:val="none"/>
          <w:lang w:val="en-US" w:eastAsia="zh-CN"/>
        </w:rPr>
        <w:t xml:space="preserve">  </w:t>
      </w:r>
      <w:r>
        <w:rPr>
          <w:rFonts w:hint="eastAsia" w:ascii="仿宋_GB2312" w:hAnsi="仿宋_GB2312" w:cs="仿宋_GB2312"/>
          <w:color w:val="auto"/>
          <w:szCs w:val="32"/>
          <w:highlight w:val="none"/>
          <w:u w:val="none"/>
        </w:rPr>
        <w:t>购房人自签订买卖合同</w:t>
      </w:r>
      <w:r>
        <w:rPr>
          <w:rFonts w:ascii="仿宋_GB2312" w:hAnsi="仿宋_GB2312" w:cs="仿宋_GB2312"/>
          <w:color w:val="auto"/>
          <w:szCs w:val="32"/>
          <w:highlight w:val="none"/>
          <w:u w:val="none"/>
        </w:rPr>
        <w:t>之日起未满</w:t>
      </w:r>
      <w:r>
        <w:rPr>
          <w:rFonts w:hint="eastAsia" w:ascii="仿宋_GB2312" w:hAnsi="仿宋_GB2312" w:cs="仿宋_GB2312"/>
          <w:color w:val="auto"/>
          <w:szCs w:val="32"/>
          <w:highlight w:val="none"/>
          <w:u w:val="none"/>
          <w:lang w:val="en-US" w:eastAsia="zh-CN"/>
        </w:rPr>
        <w:t>五</w:t>
      </w:r>
      <w:r>
        <w:rPr>
          <w:rFonts w:ascii="仿宋_GB2312" w:hAnsi="仿宋_GB2312" w:cs="仿宋_GB2312"/>
          <w:color w:val="auto"/>
          <w:szCs w:val="32"/>
          <w:highlight w:val="none"/>
          <w:u w:val="none"/>
        </w:rPr>
        <w:t>年</w:t>
      </w:r>
      <w:r>
        <w:rPr>
          <w:rFonts w:hint="eastAsia" w:ascii="仿宋_GB2312" w:hAnsi="仿宋_GB2312" w:cs="仿宋_GB2312"/>
          <w:color w:val="auto"/>
          <w:szCs w:val="32"/>
          <w:highlight w:val="none"/>
          <w:u w:val="none"/>
        </w:rPr>
        <w:t>，有下列情形之一的，应当自该情形发生之日起</w:t>
      </w:r>
      <w:r>
        <w:rPr>
          <w:rFonts w:ascii="仿宋_GB2312" w:hAnsi="仿宋_GB2312" w:cs="仿宋_GB2312"/>
          <w:color w:val="auto"/>
          <w:szCs w:val="32"/>
          <w:highlight w:val="none"/>
          <w:u w:val="none"/>
        </w:rPr>
        <w:t>三十日</w:t>
      </w:r>
      <w:r>
        <w:rPr>
          <w:rFonts w:hint="eastAsia" w:ascii="仿宋_GB2312" w:hAnsi="仿宋_GB2312" w:cs="仿宋_GB2312"/>
          <w:color w:val="auto"/>
          <w:szCs w:val="32"/>
          <w:highlight w:val="none"/>
          <w:u w:val="none"/>
        </w:rPr>
        <w:t>以内向</w:t>
      </w:r>
      <w:r>
        <w:rPr>
          <w:rFonts w:hint="eastAsia" w:ascii="仿宋_GB2312" w:hAnsi="仿宋_GB2312" w:cs="仿宋_GB2312"/>
          <w:bCs/>
          <w:color w:val="auto"/>
          <w:szCs w:val="32"/>
          <w:highlight w:val="none"/>
          <w:u w:val="none"/>
        </w:rPr>
        <w:t>代持机构</w:t>
      </w:r>
      <w:r>
        <w:rPr>
          <w:rFonts w:hint="eastAsia" w:ascii="仿宋_GB2312" w:hAnsi="仿宋_GB2312" w:cs="仿宋_GB2312"/>
          <w:color w:val="auto"/>
          <w:szCs w:val="32"/>
          <w:highlight w:val="none"/>
          <w:u w:val="none"/>
        </w:rPr>
        <w:t>申请</w:t>
      </w:r>
      <w:r>
        <w:rPr>
          <w:rFonts w:hint="eastAsia" w:ascii="仿宋_GB2312" w:hAnsi="仿宋_GB2312" w:cs="仿宋_GB2312"/>
          <w:color w:val="auto"/>
          <w:sz w:val="32"/>
          <w:szCs w:val="32"/>
          <w:highlight w:val="none"/>
          <w:u w:val="none"/>
          <w:lang w:val="en-US" w:eastAsia="zh-CN"/>
        </w:rPr>
        <w:t>收购</w:t>
      </w:r>
      <w:r>
        <w:rPr>
          <w:rFonts w:hint="eastAsia" w:ascii="仿宋_GB2312" w:hAnsi="仿宋_GB2312" w:cs="仿宋_GB2312"/>
          <w:color w:val="auto"/>
          <w:szCs w:val="32"/>
          <w:highlight w:val="none"/>
          <w:u w:val="none"/>
        </w:rPr>
        <w:t>：</w:t>
      </w:r>
    </w:p>
    <w:p>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（一）因</w:t>
      </w:r>
      <w:r>
        <w:rPr>
          <w:rFonts w:hint="eastAsia" w:ascii="仿宋_GB2312" w:hAnsi="仿宋_GB2312" w:cs="仿宋_GB2312"/>
          <w:color w:val="auto"/>
          <w:szCs w:val="32"/>
          <w:highlight w:val="none"/>
          <w:u w:val="none"/>
          <w:lang w:val="en-US" w:eastAsia="zh-CN"/>
        </w:rPr>
        <w:t>购买、</w:t>
      </w:r>
      <w:r>
        <w:rPr>
          <w:rFonts w:hint="eastAsia" w:ascii="仿宋_GB2312" w:hAnsi="仿宋_GB2312" w:cs="仿宋_GB2312"/>
          <w:color w:val="auto"/>
          <w:szCs w:val="32"/>
          <w:highlight w:val="none"/>
          <w:u w:val="none"/>
        </w:rPr>
        <w:t>接受赠与、婚姻状况变化等原因在本市另行拥有自有住房的；</w:t>
      </w:r>
    </w:p>
    <w:p>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w:t>
      </w:r>
      <w:r>
        <w:rPr>
          <w:rFonts w:ascii="仿宋_GB2312" w:hAnsi="仿宋_GB2312" w:cs="仿宋_GB2312"/>
          <w:color w:val="auto"/>
          <w:szCs w:val="32"/>
          <w:highlight w:val="none"/>
          <w:u w:val="none"/>
        </w:rPr>
        <w:t>二</w:t>
      </w:r>
      <w:r>
        <w:rPr>
          <w:rFonts w:hint="eastAsia" w:ascii="仿宋_GB2312" w:hAnsi="仿宋_GB2312" w:cs="仿宋_GB2312"/>
          <w:color w:val="auto"/>
          <w:szCs w:val="32"/>
          <w:highlight w:val="none"/>
          <w:u w:val="none"/>
        </w:rPr>
        <w:t>）购房人户籍均迁出本市的；</w:t>
      </w:r>
    </w:p>
    <w:p>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w:t>
      </w:r>
      <w:r>
        <w:rPr>
          <w:rFonts w:ascii="仿宋_GB2312" w:hAnsi="仿宋_GB2312" w:cs="仿宋_GB2312"/>
          <w:color w:val="auto"/>
          <w:szCs w:val="32"/>
          <w:highlight w:val="none"/>
          <w:u w:val="none"/>
        </w:rPr>
        <w:t>三</w:t>
      </w:r>
      <w:r>
        <w:rPr>
          <w:rFonts w:hint="eastAsia" w:ascii="仿宋_GB2312" w:hAnsi="仿宋_GB2312" w:cs="仿宋_GB2312"/>
          <w:color w:val="auto"/>
          <w:szCs w:val="32"/>
          <w:highlight w:val="none"/>
          <w:u w:val="none"/>
        </w:rPr>
        <w:t>）</w:t>
      </w:r>
      <w:r>
        <w:rPr>
          <w:rFonts w:hint="eastAsia" w:ascii="仿宋_GB2312" w:hAnsi="仿宋_GB2312" w:cs="仿宋_GB2312"/>
          <w:color w:val="auto"/>
          <w:szCs w:val="32"/>
          <w:highlight w:val="none"/>
          <w:u w:val="none"/>
          <w:lang w:val="en-US" w:eastAsia="zh-CN"/>
        </w:rPr>
        <w:t>共有产权住房买卖合同约定的</w:t>
      </w:r>
      <w:r>
        <w:rPr>
          <w:rFonts w:hint="eastAsia" w:ascii="仿宋_GB2312" w:hAnsi="仿宋_GB2312" w:cs="仿宋_GB2312"/>
          <w:color w:val="auto"/>
          <w:szCs w:val="32"/>
          <w:highlight w:val="none"/>
          <w:u w:val="none"/>
        </w:rPr>
        <w:t>其他情形。</w:t>
      </w:r>
    </w:p>
    <w:p>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因接受赠与、</w:t>
      </w:r>
      <w:r>
        <w:rPr>
          <w:rFonts w:hint="eastAsia" w:ascii="仿宋_GB2312" w:hAnsi="仿宋_GB2312" w:cs="仿宋_GB2312"/>
          <w:color w:val="auto"/>
          <w:szCs w:val="32"/>
          <w:highlight w:val="none"/>
          <w:u w:val="none"/>
          <w:lang w:val="en-US" w:eastAsia="zh-CN"/>
        </w:rPr>
        <w:t>继承、</w:t>
      </w:r>
      <w:r>
        <w:rPr>
          <w:rFonts w:hint="eastAsia" w:ascii="仿宋_GB2312" w:hAnsi="仿宋_GB2312" w:cs="仿宋_GB2312"/>
          <w:color w:val="auto"/>
          <w:szCs w:val="32"/>
          <w:highlight w:val="none"/>
          <w:u w:val="none"/>
        </w:rPr>
        <w:t>婚姻状况变化在本市另行拥有的自有住房属于政策性住房的，</w:t>
      </w:r>
      <w:r>
        <w:rPr>
          <w:rFonts w:hint="eastAsia" w:ascii="仿宋_GB2312" w:hAnsi="仿宋_GB2312" w:cs="仿宋_GB2312"/>
          <w:color w:val="auto"/>
          <w:szCs w:val="32"/>
          <w:highlight w:val="none"/>
          <w:u w:val="none"/>
          <w:lang w:eastAsia="zh-CN"/>
        </w:rPr>
        <w:t>购房人只能选择保留一套，</w:t>
      </w:r>
      <w:r>
        <w:rPr>
          <w:rFonts w:hint="eastAsia" w:ascii="仿宋_GB2312" w:hAnsi="仿宋_GB2312" w:cs="仿宋_GB2312"/>
          <w:color w:val="auto"/>
          <w:szCs w:val="32"/>
          <w:highlight w:val="none"/>
          <w:u w:val="none"/>
          <w:lang w:val="en-US" w:eastAsia="zh-CN"/>
        </w:rPr>
        <w:t>另一套住房按照有关规定</w:t>
      </w:r>
      <w:r>
        <w:rPr>
          <w:rFonts w:hint="eastAsia" w:ascii="仿宋_GB2312" w:hAnsi="仿宋_GB2312" w:cs="仿宋_GB2312"/>
          <w:color w:val="auto"/>
          <w:szCs w:val="32"/>
          <w:highlight w:val="none"/>
          <w:u w:val="none"/>
          <w:lang w:eastAsia="zh-CN"/>
        </w:rPr>
        <w:t>向</w:t>
      </w:r>
      <w:r>
        <w:rPr>
          <w:rFonts w:hint="eastAsia" w:ascii="仿宋_GB2312" w:hAnsi="仿宋_GB2312" w:cs="仿宋_GB2312"/>
          <w:color w:val="auto"/>
          <w:szCs w:val="32"/>
          <w:highlight w:val="none"/>
          <w:u w:val="none"/>
          <w:lang w:val="en-US" w:eastAsia="zh-CN"/>
        </w:rPr>
        <w:t>主管部门或者</w:t>
      </w:r>
      <w:r>
        <w:rPr>
          <w:rFonts w:hint="eastAsia" w:ascii="仿宋_GB2312" w:hAnsi="仿宋_GB2312" w:cs="仿宋_GB2312"/>
          <w:color w:val="auto"/>
          <w:szCs w:val="32"/>
          <w:highlight w:val="none"/>
          <w:u w:val="none"/>
          <w:lang w:eastAsia="zh-CN"/>
        </w:rPr>
        <w:t>代持机构</w:t>
      </w:r>
      <w:r>
        <w:rPr>
          <w:rFonts w:hint="eastAsia" w:ascii="仿宋_GB2312" w:hAnsi="仿宋_GB2312" w:cs="仿宋_GB2312"/>
          <w:color w:val="auto"/>
          <w:szCs w:val="32"/>
          <w:highlight w:val="none"/>
          <w:u w:val="none"/>
        </w:rPr>
        <w:t>申请</w:t>
      </w:r>
      <w:r>
        <w:rPr>
          <w:rFonts w:hint="eastAsia" w:ascii="仿宋_GB2312" w:hAnsi="仿宋_GB2312" w:cs="仿宋_GB2312"/>
          <w:color w:val="auto"/>
          <w:sz w:val="32"/>
          <w:szCs w:val="32"/>
          <w:highlight w:val="none"/>
          <w:u w:val="none"/>
          <w:lang w:val="en-US" w:eastAsia="zh-CN"/>
        </w:rPr>
        <w:t>收购</w:t>
      </w:r>
      <w:r>
        <w:rPr>
          <w:rFonts w:hint="eastAsia" w:ascii="仿宋_GB2312" w:hAnsi="仿宋_GB2312" w:cs="仿宋_GB2312"/>
          <w:color w:val="auto"/>
          <w:szCs w:val="32"/>
          <w:highlight w:val="none"/>
          <w:u w:val="none"/>
        </w:rPr>
        <w:t>。</w:t>
      </w:r>
    </w:p>
    <w:p>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ascii="仿宋_GB2312" w:hAnsi="仿宋_GB2312" w:cs="仿宋_GB2312"/>
          <w:bCs/>
          <w:color w:val="auto"/>
          <w:szCs w:val="32"/>
          <w:highlight w:val="none"/>
          <w:u w:val="none"/>
        </w:rPr>
      </w:pPr>
      <w:r>
        <w:rPr>
          <w:rFonts w:hint="eastAsia" w:ascii="仿宋_GB2312" w:hAnsi="仿宋_GB2312" w:cs="仿宋_GB2312"/>
          <w:bCs/>
          <w:color w:val="auto"/>
          <w:szCs w:val="32"/>
          <w:highlight w:val="none"/>
          <w:u w:val="none"/>
          <w:lang w:val="en-US" w:eastAsia="zh-CN"/>
        </w:rPr>
        <w:t>购房人</w:t>
      </w:r>
      <w:r>
        <w:rPr>
          <w:rFonts w:hint="eastAsia" w:ascii="仿宋_GB2312" w:hAnsi="仿宋_GB2312" w:cs="仿宋_GB2312"/>
          <w:bCs/>
          <w:color w:val="auto"/>
          <w:szCs w:val="32"/>
          <w:highlight w:val="none"/>
          <w:u w:val="none"/>
        </w:rPr>
        <w:t>未在本条第一款规定的期限内</w:t>
      </w:r>
      <w:r>
        <w:rPr>
          <w:rFonts w:ascii="仿宋_GB2312" w:hAnsi="仿宋_GB2312" w:cs="仿宋_GB2312"/>
          <w:bCs/>
          <w:color w:val="auto"/>
          <w:szCs w:val="32"/>
          <w:highlight w:val="none"/>
          <w:u w:val="none"/>
        </w:rPr>
        <w:t>申请</w:t>
      </w:r>
      <w:r>
        <w:rPr>
          <w:rFonts w:hint="eastAsia" w:ascii="仿宋_GB2312" w:hAnsi="仿宋_GB2312" w:cs="仿宋_GB2312"/>
          <w:bCs/>
          <w:color w:val="auto"/>
          <w:szCs w:val="32"/>
          <w:highlight w:val="none"/>
          <w:u w:val="none"/>
          <w:lang w:val="en-US" w:eastAsia="zh-CN"/>
        </w:rPr>
        <w:t>收购</w:t>
      </w:r>
      <w:r>
        <w:rPr>
          <w:rFonts w:hint="eastAsia" w:ascii="仿宋_GB2312" w:hAnsi="仿宋_GB2312" w:cs="仿宋_GB2312"/>
          <w:color w:val="auto"/>
          <w:szCs w:val="32"/>
          <w:highlight w:val="none"/>
          <w:u w:val="none"/>
          <w:lang w:eastAsia="zh-CN"/>
        </w:rPr>
        <w:t>所持产权份额</w:t>
      </w:r>
      <w:r>
        <w:rPr>
          <w:rFonts w:ascii="仿宋_GB2312" w:hAnsi="仿宋_GB2312" w:cs="仿宋_GB2312"/>
          <w:bCs/>
          <w:color w:val="auto"/>
          <w:szCs w:val="32"/>
          <w:highlight w:val="none"/>
          <w:u w:val="none"/>
        </w:rPr>
        <w:t>的，由</w:t>
      </w:r>
      <w:r>
        <w:rPr>
          <w:rFonts w:hint="eastAsia" w:ascii="仿宋_GB2312" w:hAnsi="仿宋_GB2312" w:cs="仿宋_GB2312"/>
          <w:bCs/>
          <w:color w:val="auto"/>
          <w:szCs w:val="32"/>
          <w:highlight w:val="none"/>
          <w:u w:val="none"/>
          <w:lang w:val="en-US" w:eastAsia="zh-CN"/>
        </w:rPr>
        <w:t>主管部门</w:t>
      </w:r>
      <w:r>
        <w:rPr>
          <w:rFonts w:ascii="仿宋_GB2312" w:hAnsi="仿宋_GB2312" w:cs="仿宋_GB2312"/>
          <w:bCs/>
          <w:color w:val="auto"/>
          <w:szCs w:val="32"/>
          <w:highlight w:val="none"/>
          <w:u w:val="none"/>
        </w:rPr>
        <w:t>按照</w:t>
      </w:r>
      <w:r>
        <w:rPr>
          <w:rFonts w:hint="eastAsia" w:ascii="仿宋_GB2312" w:hAnsi="仿宋_GB2312" w:cs="仿宋_GB2312"/>
          <w:bCs/>
          <w:color w:val="auto"/>
          <w:szCs w:val="32"/>
          <w:highlight w:val="none"/>
          <w:u w:val="none"/>
          <w:lang w:val="en-US" w:eastAsia="zh-CN"/>
        </w:rPr>
        <w:t>本办法第三十二条第一款、第四款规定的收购价格</w:t>
      </w:r>
      <w:r>
        <w:rPr>
          <w:rFonts w:ascii="仿宋_GB2312" w:hAnsi="仿宋_GB2312" w:cs="仿宋_GB2312"/>
          <w:bCs/>
          <w:color w:val="auto"/>
          <w:szCs w:val="32"/>
          <w:highlight w:val="none"/>
          <w:u w:val="none"/>
        </w:rPr>
        <w:t>收回</w:t>
      </w:r>
      <w:r>
        <w:rPr>
          <w:rFonts w:hint="eastAsia" w:ascii="仿宋_GB2312" w:hAnsi="仿宋_GB2312" w:cs="仿宋_GB2312"/>
          <w:bCs/>
          <w:color w:val="auto"/>
          <w:szCs w:val="32"/>
          <w:highlight w:val="none"/>
          <w:u w:val="none"/>
        </w:rPr>
        <w:t>，并按照</w:t>
      </w:r>
      <w:r>
        <w:rPr>
          <w:rFonts w:hint="eastAsia" w:ascii="仿宋_GB2312" w:hAnsi="仿宋_GB2312" w:cs="仿宋_GB2312"/>
          <w:bCs/>
          <w:color w:val="auto"/>
          <w:szCs w:val="32"/>
          <w:highlight w:val="none"/>
          <w:u w:val="none"/>
          <w:lang w:eastAsia="zh-CN"/>
        </w:rPr>
        <w:t>市场参考租金</w:t>
      </w:r>
      <w:r>
        <w:rPr>
          <w:rFonts w:hint="eastAsia" w:ascii="仿宋_GB2312" w:hAnsi="仿宋_GB2312" w:cs="仿宋_GB2312"/>
          <w:bCs/>
          <w:color w:val="auto"/>
          <w:szCs w:val="32"/>
          <w:highlight w:val="none"/>
          <w:u w:val="none"/>
        </w:rPr>
        <w:t>计收自本条第一款规定的期限届满之日起至实际腾退住房期间的房屋占有使用费。</w:t>
      </w:r>
    </w:p>
    <w:p>
      <w:pPr>
        <w:pStyle w:val="2"/>
        <w:keepNext w:val="0"/>
        <w:keepLines w:val="0"/>
        <w:pageBreakBefore w:val="0"/>
        <w:kinsoku/>
        <w:overflowPunct/>
        <w:topLinePunct w:val="0"/>
        <w:autoSpaceDE/>
        <w:autoSpaceDN/>
        <w:bidi w:val="0"/>
        <w:adjustRightInd/>
        <w:snapToGrid/>
        <w:spacing w:after="0" w:line="578" w:lineRule="exact"/>
        <w:ind w:firstLine="640" w:firstLineChars="200"/>
        <w:textAlignment w:val="auto"/>
        <w:rPr>
          <w:color w:val="auto"/>
          <w:szCs w:val="32"/>
          <w:highlight w:val="none"/>
          <w:u w:val="none"/>
        </w:rPr>
      </w:pPr>
      <w:r>
        <w:rPr>
          <w:rFonts w:hint="eastAsia" w:ascii="仿宋_GB2312" w:hAnsi="仿宋_GB2312" w:cs="仿宋_GB2312"/>
          <w:bCs/>
          <w:color w:val="auto"/>
          <w:szCs w:val="32"/>
          <w:highlight w:val="none"/>
          <w:u w:val="none"/>
        </w:rPr>
        <w:t>购房人有本条第一款第一项规定情形的，不动产登记机构应当在受理其自有住房产权登记申请后，</w:t>
      </w:r>
      <w:r>
        <w:rPr>
          <w:rFonts w:hint="eastAsia" w:ascii="仿宋_GB2312" w:hAnsi="仿宋_GB2312" w:cs="仿宋_GB2312"/>
          <w:color w:val="auto"/>
          <w:szCs w:val="32"/>
          <w:highlight w:val="none"/>
          <w:u w:val="none"/>
        </w:rPr>
        <w:t>将申请信息推送至</w:t>
      </w:r>
      <w:r>
        <w:rPr>
          <w:rFonts w:hint="eastAsia" w:ascii="仿宋_GB2312" w:hAnsi="仿宋_GB2312" w:cs="仿宋_GB2312"/>
          <w:bCs/>
          <w:color w:val="auto"/>
          <w:szCs w:val="32"/>
          <w:highlight w:val="none"/>
          <w:u w:val="none"/>
        </w:rPr>
        <w:t>代持机构。</w:t>
      </w:r>
    </w:p>
    <w:p>
      <w:pPr>
        <w:keepNext w:val="0"/>
        <w:keepLines w:val="0"/>
        <w:pageBreakBefore w:val="0"/>
        <w:kinsoku/>
        <w:overflowPunct/>
        <w:topLinePunct w:val="0"/>
        <w:autoSpaceDE/>
        <w:autoSpaceDN/>
        <w:bidi w:val="0"/>
        <w:adjustRightInd/>
        <w:snapToGrid/>
        <w:spacing w:line="578" w:lineRule="exact"/>
        <w:ind w:firstLine="640" w:firstLineChars="200"/>
        <w:textAlignment w:val="auto"/>
        <w:outlineLvl w:val="2"/>
        <w:rPr>
          <w:rFonts w:hint="default" w:ascii="仿宋_GB2312" w:hAnsi="仿宋_GB2312" w:cs="仿宋_GB2312"/>
          <w:bCs/>
          <w:color w:val="auto"/>
          <w:szCs w:val="32"/>
          <w:highlight w:val="none"/>
          <w:u w:val="none"/>
          <w:lang w:val="en-US"/>
        </w:rPr>
      </w:pPr>
      <w:r>
        <w:rPr>
          <w:rFonts w:hint="eastAsia" w:ascii="黑体" w:hAnsi="黑体" w:eastAsia="黑体"/>
          <w:bCs/>
          <w:color w:val="auto"/>
          <w:szCs w:val="32"/>
          <w:highlight w:val="none"/>
          <w:u w:val="none"/>
        </w:rPr>
        <w:t>第</w:t>
      </w:r>
      <w:r>
        <w:rPr>
          <w:rFonts w:hint="eastAsia" w:ascii="黑体" w:hAnsi="黑体" w:eastAsia="黑体"/>
          <w:bCs/>
          <w:color w:val="auto"/>
          <w:szCs w:val="32"/>
          <w:highlight w:val="none"/>
          <w:u w:val="none"/>
          <w:lang w:val="en-US" w:eastAsia="zh-CN"/>
        </w:rPr>
        <w:t>三十一</w:t>
      </w:r>
      <w:r>
        <w:rPr>
          <w:rFonts w:hint="eastAsia" w:ascii="黑体" w:hAnsi="黑体" w:eastAsia="黑体"/>
          <w:bCs/>
          <w:color w:val="auto"/>
          <w:szCs w:val="32"/>
          <w:highlight w:val="none"/>
          <w:u w:val="none"/>
        </w:rPr>
        <w:t>条【满</w:t>
      </w:r>
      <w:r>
        <w:rPr>
          <w:rFonts w:hint="eastAsia" w:ascii="黑体" w:hAnsi="黑体" w:eastAsia="黑体"/>
          <w:bCs/>
          <w:color w:val="auto"/>
          <w:szCs w:val="32"/>
          <w:highlight w:val="none"/>
          <w:u w:val="none"/>
          <w:lang w:val="en-US" w:eastAsia="zh-CN"/>
        </w:rPr>
        <w:t>五</w:t>
      </w:r>
      <w:r>
        <w:rPr>
          <w:rFonts w:hint="eastAsia" w:ascii="黑体" w:hAnsi="黑体" w:eastAsia="黑体"/>
          <w:bCs/>
          <w:color w:val="auto"/>
          <w:szCs w:val="32"/>
          <w:highlight w:val="none"/>
          <w:u w:val="none"/>
        </w:rPr>
        <w:t>年的封闭流转</w:t>
      </w:r>
      <w:r>
        <w:rPr>
          <w:rFonts w:hint="eastAsia" w:ascii="黑体" w:hAnsi="黑体" w:eastAsia="黑体"/>
          <w:bCs/>
          <w:strike w:val="0"/>
          <w:color w:val="auto"/>
          <w:szCs w:val="32"/>
          <w:highlight w:val="none"/>
          <w:u w:val="none"/>
        </w:rPr>
        <w:t>或收购</w:t>
      </w:r>
      <w:r>
        <w:rPr>
          <w:rFonts w:hint="eastAsia" w:ascii="黑体" w:hAnsi="黑体" w:eastAsia="黑体"/>
          <w:bCs/>
          <w:color w:val="auto"/>
          <w:szCs w:val="32"/>
          <w:highlight w:val="none"/>
          <w:u w:val="none"/>
        </w:rPr>
        <w:t>】</w:t>
      </w:r>
      <w:r>
        <w:rPr>
          <w:rFonts w:hint="eastAsia" w:ascii="黑体" w:hAnsi="黑体" w:eastAsia="黑体"/>
          <w:bCs/>
          <w:color w:val="auto"/>
          <w:szCs w:val="32"/>
          <w:highlight w:val="none"/>
          <w:u w:val="none"/>
          <w:lang w:val="en-US" w:eastAsia="zh-CN"/>
        </w:rPr>
        <w:t xml:space="preserve">  </w:t>
      </w:r>
      <w:r>
        <w:rPr>
          <w:rFonts w:hint="eastAsia" w:ascii="仿宋_GB2312" w:hAnsi="仿宋_GB2312" w:cs="仿宋_GB2312"/>
          <w:bCs/>
          <w:color w:val="auto"/>
          <w:szCs w:val="32"/>
          <w:highlight w:val="none"/>
          <w:u w:val="none"/>
        </w:rPr>
        <w:t>购房人自签订买卖合同之日起满</w:t>
      </w:r>
      <w:r>
        <w:rPr>
          <w:rFonts w:hint="eastAsia" w:ascii="仿宋_GB2312" w:hAnsi="仿宋_GB2312" w:cs="仿宋_GB2312"/>
          <w:bCs/>
          <w:color w:val="auto"/>
          <w:szCs w:val="32"/>
          <w:highlight w:val="none"/>
          <w:u w:val="none"/>
          <w:lang w:val="en-US" w:eastAsia="zh-CN"/>
        </w:rPr>
        <w:t>五</w:t>
      </w:r>
      <w:r>
        <w:rPr>
          <w:rFonts w:hint="eastAsia" w:ascii="仿宋_GB2312" w:hAnsi="仿宋_GB2312" w:cs="仿宋_GB2312"/>
          <w:bCs/>
          <w:color w:val="auto"/>
          <w:szCs w:val="32"/>
          <w:highlight w:val="none"/>
          <w:u w:val="none"/>
        </w:rPr>
        <w:t>年，需要转让</w:t>
      </w:r>
      <w:r>
        <w:rPr>
          <w:rFonts w:hint="eastAsia" w:ascii="仿宋_GB2312" w:hAnsi="仿宋_GB2312" w:cs="仿宋_GB2312"/>
          <w:color w:val="auto"/>
          <w:szCs w:val="32"/>
          <w:highlight w:val="none"/>
          <w:u w:val="none"/>
          <w:lang w:val="en-US" w:eastAsia="zh-CN"/>
        </w:rPr>
        <w:t>所持产权</w:t>
      </w:r>
      <w:r>
        <w:rPr>
          <w:rFonts w:hint="eastAsia" w:ascii="仿宋_GB2312" w:hAnsi="仿宋_GB2312" w:cs="仿宋_GB2312"/>
          <w:color w:val="auto"/>
          <w:szCs w:val="32"/>
          <w:highlight w:val="none"/>
          <w:u w:val="none"/>
          <w:lang w:eastAsia="zh-CN"/>
        </w:rPr>
        <w:t>份额</w:t>
      </w:r>
      <w:r>
        <w:rPr>
          <w:rFonts w:hint="eastAsia" w:ascii="仿宋_GB2312" w:hAnsi="仿宋_GB2312" w:cs="仿宋_GB2312"/>
          <w:color w:val="auto"/>
          <w:szCs w:val="32"/>
          <w:highlight w:val="none"/>
          <w:u w:val="none"/>
          <w:lang w:val="en-US" w:eastAsia="zh-CN"/>
        </w:rPr>
        <w:t>的，可以向代持机构申请转让给</w:t>
      </w:r>
      <w:r>
        <w:rPr>
          <w:rFonts w:hint="eastAsia" w:ascii="仿宋_GB2312" w:hAnsi="仿宋_GB2312" w:cs="仿宋_GB2312"/>
          <w:bCs/>
          <w:color w:val="auto"/>
          <w:szCs w:val="32"/>
          <w:highlight w:val="none"/>
          <w:u w:val="none"/>
        </w:rPr>
        <w:t>符合条件的对象</w:t>
      </w:r>
      <w:r>
        <w:rPr>
          <w:rFonts w:hint="eastAsia" w:ascii="仿宋_GB2312" w:hAnsi="仿宋_GB2312" w:cs="仿宋_GB2312"/>
          <w:color w:val="auto"/>
          <w:szCs w:val="32"/>
          <w:highlight w:val="none"/>
          <w:u w:val="none"/>
          <w:lang w:val="en-US" w:eastAsia="zh-CN"/>
        </w:rPr>
        <w:t>。</w:t>
      </w:r>
    </w:p>
    <w:p>
      <w:pPr>
        <w:keepNext w:val="0"/>
        <w:keepLines w:val="0"/>
        <w:pageBreakBefore w:val="0"/>
        <w:kinsoku/>
        <w:overflowPunct/>
        <w:topLinePunct w:val="0"/>
        <w:autoSpaceDE/>
        <w:autoSpaceDN/>
        <w:bidi w:val="0"/>
        <w:adjustRightInd/>
        <w:snapToGrid/>
        <w:spacing w:line="578" w:lineRule="exact"/>
        <w:ind w:firstLine="640" w:firstLineChars="200"/>
        <w:textAlignment w:val="auto"/>
        <w:outlineLvl w:val="2"/>
        <w:rPr>
          <w:rFonts w:hint="eastAsia" w:ascii="仿宋_GB2312" w:hAnsi="仿宋_GB2312" w:cs="仿宋_GB2312"/>
          <w:color w:val="auto"/>
          <w:szCs w:val="32"/>
          <w:highlight w:val="none"/>
          <w:u w:val="none"/>
        </w:rPr>
      </w:pPr>
      <w:r>
        <w:rPr>
          <w:rFonts w:hint="eastAsia" w:ascii="仿宋_GB2312" w:hAnsi="仿宋_GB2312" w:cs="仿宋_GB2312"/>
          <w:bCs/>
          <w:color w:val="auto"/>
          <w:szCs w:val="32"/>
          <w:highlight w:val="none"/>
          <w:u w:val="none"/>
        </w:rPr>
        <w:t>购房人自签订买卖合同之日起满</w:t>
      </w:r>
      <w:r>
        <w:rPr>
          <w:rFonts w:hint="eastAsia" w:ascii="仿宋_GB2312" w:hAnsi="仿宋_GB2312" w:cs="仿宋_GB2312"/>
          <w:bCs/>
          <w:color w:val="auto"/>
          <w:szCs w:val="32"/>
          <w:highlight w:val="none"/>
          <w:u w:val="none"/>
          <w:lang w:val="en-US" w:eastAsia="zh-CN"/>
        </w:rPr>
        <w:t>五</w:t>
      </w:r>
      <w:r>
        <w:rPr>
          <w:rFonts w:hint="eastAsia" w:ascii="仿宋_GB2312" w:hAnsi="仿宋_GB2312" w:cs="仿宋_GB2312"/>
          <w:bCs/>
          <w:color w:val="auto"/>
          <w:szCs w:val="32"/>
          <w:highlight w:val="none"/>
          <w:u w:val="none"/>
        </w:rPr>
        <w:t>年</w:t>
      </w:r>
      <w:r>
        <w:rPr>
          <w:rFonts w:hint="eastAsia" w:ascii="仿宋_GB2312" w:hAnsi="仿宋_GB2312" w:cs="仿宋_GB2312"/>
          <w:bCs/>
          <w:color w:val="auto"/>
          <w:szCs w:val="32"/>
          <w:highlight w:val="none"/>
          <w:u w:val="none"/>
          <w:lang w:eastAsia="zh-CN"/>
        </w:rPr>
        <w:t>，</w:t>
      </w:r>
      <w:r>
        <w:rPr>
          <w:rFonts w:hint="eastAsia" w:ascii="仿宋_GB2312" w:hAnsi="仿宋_GB2312" w:cs="仿宋_GB2312"/>
          <w:bCs/>
          <w:color w:val="auto"/>
          <w:szCs w:val="32"/>
          <w:highlight w:val="none"/>
          <w:u w:val="none"/>
        </w:rPr>
        <w:t>有本办法第</w:t>
      </w:r>
      <w:r>
        <w:rPr>
          <w:rFonts w:hint="eastAsia" w:ascii="仿宋_GB2312" w:hAnsi="仿宋_GB2312" w:cs="仿宋_GB2312"/>
          <w:bCs/>
          <w:color w:val="auto"/>
          <w:szCs w:val="32"/>
          <w:highlight w:val="none"/>
          <w:u w:val="none"/>
          <w:lang w:val="en-US" w:eastAsia="zh-CN"/>
        </w:rPr>
        <w:t>三十</w:t>
      </w:r>
      <w:r>
        <w:rPr>
          <w:rFonts w:hint="eastAsia" w:ascii="仿宋_GB2312" w:hAnsi="仿宋_GB2312" w:cs="仿宋_GB2312"/>
          <w:bCs/>
          <w:color w:val="auto"/>
          <w:szCs w:val="32"/>
          <w:highlight w:val="none"/>
          <w:u w:val="none"/>
        </w:rPr>
        <w:t>条第一款规定情形之一的，应当</w:t>
      </w:r>
      <w:r>
        <w:rPr>
          <w:rFonts w:hint="eastAsia" w:ascii="仿宋_GB2312" w:hAnsi="仿宋_GB2312" w:cs="仿宋_GB2312"/>
          <w:color w:val="auto"/>
          <w:szCs w:val="32"/>
          <w:highlight w:val="none"/>
          <w:u w:val="none"/>
        </w:rPr>
        <w:t>自该情形发生之日起</w:t>
      </w:r>
      <w:r>
        <w:rPr>
          <w:rFonts w:ascii="仿宋_GB2312" w:hAnsi="仿宋_GB2312" w:cs="仿宋_GB2312"/>
          <w:color w:val="auto"/>
          <w:szCs w:val="32"/>
          <w:highlight w:val="none"/>
          <w:u w:val="none"/>
        </w:rPr>
        <w:t>三十日</w:t>
      </w:r>
      <w:r>
        <w:rPr>
          <w:rFonts w:hint="eastAsia" w:ascii="仿宋_GB2312" w:hAnsi="仿宋_GB2312" w:cs="仿宋_GB2312"/>
          <w:color w:val="auto"/>
          <w:szCs w:val="32"/>
          <w:highlight w:val="none"/>
          <w:u w:val="none"/>
        </w:rPr>
        <w:t>以内</w:t>
      </w:r>
      <w:r>
        <w:rPr>
          <w:rFonts w:hint="eastAsia" w:ascii="仿宋_GB2312" w:hAnsi="仿宋_GB2312" w:cs="仿宋_GB2312"/>
          <w:bCs/>
          <w:color w:val="auto"/>
          <w:szCs w:val="32"/>
          <w:highlight w:val="none"/>
          <w:u w:val="none"/>
          <w:lang w:val="en-US" w:eastAsia="zh-CN"/>
        </w:rPr>
        <w:t>向代持机构申请</w:t>
      </w:r>
      <w:r>
        <w:rPr>
          <w:rFonts w:hint="eastAsia" w:ascii="仿宋_GB2312" w:hAnsi="仿宋_GB2312" w:cs="仿宋_GB2312"/>
          <w:bCs/>
          <w:color w:val="auto"/>
          <w:szCs w:val="32"/>
          <w:highlight w:val="none"/>
          <w:u w:val="none"/>
        </w:rPr>
        <w:t>将</w:t>
      </w:r>
      <w:r>
        <w:rPr>
          <w:rFonts w:hint="eastAsia" w:ascii="仿宋_GB2312" w:hAnsi="仿宋_GB2312" w:cs="仿宋_GB2312"/>
          <w:color w:val="auto"/>
          <w:szCs w:val="32"/>
          <w:highlight w:val="none"/>
          <w:u w:val="none"/>
          <w:lang w:val="en-US" w:eastAsia="zh-CN"/>
        </w:rPr>
        <w:t>所持产权</w:t>
      </w:r>
      <w:r>
        <w:rPr>
          <w:rFonts w:hint="eastAsia" w:ascii="仿宋_GB2312" w:hAnsi="仿宋_GB2312" w:cs="仿宋_GB2312"/>
          <w:color w:val="auto"/>
          <w:szCs w:val="32"/>
          <w:highlight w:val="none"/>
          <w:u w:val="none"/>
          <w:lang w:eastAsia="zh-CN"/>
        </w:rPr>
        <w:t>份额</w:t>
      </w:r>
      <w:r>
        <w:rPr>
          <w:rFonts w:hint="eastAsia" w:ascii="仿宋_GB2312" w:hAnsi="仿宋_GB2312" w:cs="仿宋_GB2312"/>
          <w:bCs/>
          <w:color w:val="auto"/>
          <w:szCs w:val="32"/>
          <w:highlight w:val="none"/>
          <w:u w:val="none"/>
        </w:rPr>
        <w:t>转让给符合条件的对象。</w:t>
      </w:r>
      <w:r>
        <w:rPr>
          <w:rFonts w:hint="eastAsia" w:ascii="仿宋_GB2312" w:hAnsi="仿宋_GB2312" w:cs="仿宋_GB2312"/>
          <w:color w:val="auto"/>
          <w:szCs w:val="32"/>
          <w:highlight w:val="none"/>
          <w:u w:val="none"/>
        </w:rPr>
        <w:t>其中，因接受赠与、</w:t>
      </w:r>
      <w:r>
        <w:rPr>
          <w:rFonts w:hint="eastAsia" w:ascii="仿宋_GB2312" w:hAnsi="仿宋_GB2312" w:cs="仿宋_GB2312"/>
          <w:color w:val="auto"/>
          <w:szCs w:val="32"/>
          <w:highlight w:val="none"/>
          <w:u w:val="none"/>
          <w:lang w:val="en-US" w:eastAsia="zh-CN"/>
        </w:rPr>
        <w:t>继承、</w:t>
      </w:r>
      <w:r>
        <w:rPr>
          <w:rFonts w:hint="eastAsia" w:ascii="仿宋_GB2312" w:hAnsi="仿宋_GB2312" w:cs="仿宋_GB2312"/>
          <w:color w:val="auto"/>
          <w:szCs w:val="32"/>
          <w:highlight w:val="none"/>
          <w:u w:val="none"/>
        </w:rPr>
        <w:t>婚姻状况变化在本市另行拥有的自有住房属于政策性住房的，购房人只能选择保留一套</w:t>
      </w:r>
      <w:r>
        <w:rPr>
          <w:rFonts w:hint="eastAsia" w:ascii="仿宋_GB2312" w:hAnsi="仿宋_GB2312" w:cs="仿宋_GB2312"/>
          <w:color w:val="auto"/>
          <w:szCs w:val="32"/>
          <w:highlight w:val="none"/>
          <w:u w:val="none"/>
          <w:lang w:eastAsia="zh-CN"/>
        </w:rPr>
        <w:t>。</w:t>
      </w:r>
      <w:r>
        <w:rPr>
          <w:rFonts w:hint="eastAsia" w:ascii="仿宋_GB2312" w:hAnsi="仿宋_GB2312" w:cs="仿宋_GB2312"/>
          <w:color w:val="auto"/>
          <w:szCs w:val="32"/>
          <w:highlight w:val="none"/>
          <w:u w:val="none"/>
          <w:lang w:val="en-US" w:eastAsia="zh-CN"/>
        </w:rPr>
        <w:t>退出住房属于共有产权住房的，可以向代持机构申请</w:t>
      </w:r>
      <w:r>
        <w:rPr>
          <w:rFonts w:hint="eastAsia" w:ascii="仿宋_GB2312" w:hAnsi="仿宋_GB2312" w:cs="仿宋_GB2312"/>
          <w:color w:val="auto"/>
          <w:szCs w:val="32"/>
          <w:highlight w:val="none"/>
          <w:u w:val="none"/>
        </w:rPr>
        <w:t>转让</w:t>
      </w:r>
      <w:r>
        <w:rPr>
          <w:rFonts w:hint="eastAsia" w:ascii="仿宋_GB2312" w:hAnsi="仿宋_GB2312" w:cs="仿宋_GB2312"/>
          <w:color w:val="auto"/>
          <w:szCs w:val="32"/>
          <w:highlight w:val="none"/>
          <w:u w:val="none"/>
          <w:lang w:val="en-US" w:eastAsia="zh-CN"/>
        </w:rPr>
        <w:t>所持产权份额；属于其他政策性住房的，可以按照有关规定向主管部门申请收购。</w:t>
      </w:r>
    </w:p>
    <w:p>
      <w:pPr>
        <w:keepNext w:val="0"/>
        <w:keepLines w:val="0"/>
        <w:pageBreakBefore w:val="0"/>
        <w:kinsoku/>
        <w:overflowPunct/>
        <w:topLinePunct w:val="0"/>
        <w:autoSpaceDE/>
        <w:autoSpaceDN/>
        <w:bidi w:val="0"/>
        <w:adjustRightInd/>
        <w:snapToGrid/>
        <w:spacing w:line="578" w:lineRule="exact"/>
        <w:ind w:firstLine="640" w:firstLineChars="200"/>
        <w:textAlignment w:val="auto"/>
        <w:outlineLvl w:val="2"/>
        <w:rPr>
          <w:rFonts w:hint="eastAsia" w:ascii="仿宋_GB2312" w:hAnsi="仿宋_GB2312" w:cs="仿宋_GB2312"/>
          <w:bCs/>
          <w:color w:val="auto"/>
          <w:szCs w:val="32"/>
          <w:highlight w:val="none"/>
          <w:u w:val="none"/>
        </w:rPr>
      </w:pPr>
      <w:r>
        <w:rPr>
          <w:rFonts w:hint="eastAsia" w:ascii="仿宋_GB2312" w:hAnsi="仿宋_GB2312" w:cs="仿宋_GB2312"/>
          <w:bCs/>
          <w:color w:val="auto"/>
          <w:szCs w:val="32"/>
          <w:highlight w:val="none"/>
          <w:u w:val="none"/>
          <w:lang w:val="en-US" w:eastAsia="zh-CN"/>
        </w:rPr>
        <w:t>购房人按照本条第二款规定应当转让所持产权份额但</w:t>
      </w:r>
      <w:r>
        <w:rPr>
          <w:rFonts w:hint="eastAsia" w:ascii="仿宋_GB2312" w:hAnsi="仿宋_GB2312" w:cs="仿宋_GB2312"/>
          <w:bCs/>
          <w:color w:val="auto"/>
          <w:szCs w:val="32"/>
          <w:highlight w:val="none"/>
          <w:u w:val="none"/>
        </w:rPr>
        <w:t>未转让</w:t>
      </w:r>
      <w:r>
        <w:rPr>
          <w:rFonts w:ascii="仿宋_GB2312" w:hAnsi="仿宋_GB2312" w:cs="仿宋_GB2312"/>
          <w:bCs/>
          <w:color w:val="auto"/>
          <w:szCs w:val="32"/>
          <w:highlight w:val="none"/>
          <w:u w:val="none"/>
        </w:rPr>
        <w:t>的，由</w:t>
      </w:r>
      <w:r>
        <w:rPr>
          <w:rFonts w:hint="eastAsia" w:ascii="仿宋_GB2312" w:hAnsi="仿宋_GB2312" w:cs="仿宋_GB2312"/>
          <w:bCs/>
          <w:color w:val="auto"/>
          <w:szCs w:val="32"/>
          <w:highlight w:val="none"/>
          <w:u w:val="none"/>
          <w:lang w:val="en-US" w:eastAsia="zh-CN"/>
        </w:rPr>
        <w:t>主管部门</w:t>
      </w:r>
      <w:r>
        <w:rPr>
          <w:rFonts w:ascii="仿宋_GB2312" w:hAnsi="仿宋_GB2312" w:cs="仿宋_GB2312"/>
          <w:bCs/>
          <w:color w:val="auto"/>
          <w:szCs w:val="32"/>
          <w:highlight w:val="none"/>
          <w:u w:val="none"/>
        </w:rPr>
        <w:t>按照</w:t>
      </w:r>
      <w:r>
        <w:rPr>
          <w:rFonts w:hint="eastAsia" w:ascii="仿宋_GB2312" w:hAnsi="仿宋_GB2312" w:cs="仿宋_GB2312"/>
          <w:bCs/>
          <w:color w:val="auto"/>
          <w:szCs w:val="32"/>
          <w:highlight w:val="none"/>
          <w:u w:val="none"/>
          <w:lang w:val="en-US" w:eastAsia="zh-CN"/>
        </w:rPr>
        <w:t>本办法第三十二条第二款、第四款规定的收购价格</w:t>
      </w:r>
      <w:r>
        <w:rPr>
          <w:rFonts w:ascii="仿宋_GB2312" w:hAnsi="仿宋_GB2312" w:cs="仿宋_GB2312"/>
          <w:bCs/>
          <w:color w:val="auto"/>
          <w:szCs w:val="32"/>
          <w:highlight w:val="none"/>
          <w:u w:val="none"/>
        </w:rPr>
        <w:t>收回</w:t>
      </w:r>
      <w:r>
        <w:rPr>
          <w:rFonts w:hint="eastAsia" w:ascii="仿宋_GB2312" w:hAnsi="仿宋_GB2312" w:cs="仿宋_GB2312"/>
          <w:bCs/>
          <w:color w:val="auto"/>
          <w:szCs w:val="32"/>
          <w:highlight w:val="none"/>
          <w:u w:val="none"/>
        </w:rPr>
        <w:t>，并按照</w:t>
      </w:r>
      <w:r>
        <w:rPr>
          <w:rFonts w:hint="eastAsia" w:ascii="仿宋_GB2312" w:hAnsi="仿宋_GB2312" w:cs="仿宋_GB2312"/>
          <w:bCs/>
          <w:color w:val="auto"/>
          <w:szCs w:val="32"/>
          <w:highlight w:val="none"/>
          <w:u w:val="none"/>
          <w:lang w:eastAsia="zh-CN"/>
        </w:rPr>
        <w:t>市场参考租金</w:t>
      </w:r>
      <w:r>
        <w:rPr>
          <w:rFonts w:hint="eastAsia" w:ascii="仿宋_GB2312" w:hAnsi="仿宋_GB2312" w:cs="仿宋_GB2312"/>
          <w:bCs/>
          <w:color w:val="auto"/>
          <w:szCs w:val="32"/>
          <w:highlight w:val="none"/>
          <w:u w:val="none"/>
        </w:rPr>
        <w:t>计收自规定期限届满之日起至实际腾退住房期间的房屋占有使用费。</w:t>
      </w:r>
      <w:bookmarkEnd w:id="105"/>
    </w:p>
    <w:p>
      <w:pPr>
        <w:keepNext w:val="0"/>
        <w:keepLines w:val="0"/>
        <w:pageBreakBefore w:val="0"/>
        <w:kinsoku/>
        <w:overflowPunct/>
        <w:topLinePunct w:val="0"/>
        <w:autoSpaceDE/>
        <w:autoSpaceDN/>
        <w:bidi w:val="0"/>
        <w:adjustRightInd/>
        <w:snapToGrid/>
        <w:spacing w:line="578" w:lineRule="exact"/>
        <w:ind w:firstLine="640" w:firstLineChars="200"/>
        <w:textAlignment w:val="auto"/>
        <w:outlineLvl w:val="2"/>
        <w:rPr>
          <w:rFonts w:hint="eastAsia" w:ascii="仿宋_GB2312" w:hAnsi="仿宋_GB2312" w:cs="仿宋_GB2312"/>
          <w:color w:val="auto"/>
          <w:szCs w:val="32"/>
          <w:highlight w:val="none"/>
          <w:u w:val="none"/>
          <w:lang w:eastAsia="zh-CN"/>
        </w:rPr>
      </w:pPr>
      <w:bookmarkStart w:id="106" w:name="_Toc523428830"/>
      <w:bookmarkStart w:id="107" w:name="_Toc15452"/>
      <w:bookmarkStart w:id="108" w:name="_Toc1939"/>
      <w:bookmarkStart w:id="109" w:name="_Toc8015"/>
      <w:bookmarkStart w:id="110" w:name="_Toc23187"/>
      <w:r>
        <w:rPr>
          <w:rFonts w:hint="eastAsia" w:ascii="黑体" w:hAnsi="黑体" w:eastAsia="黑体"/>
          <w:bCs/>
          <w:color w:val="auto"/>
          <w:szCs w:val="32"/>
          <w:highlight w:val="none"/>
          <w:u w:val="none"/>
        </w:rPr>
        <w:t>第</w:t>
      </w:r>
      <w:r>
        <w:rPr>
          <w:rFonts w:hint="eastAsia" w:ascii="黑体" w:hAnsi="黑体" w:eastAsia="黑体"/>
          <w:bCs/>
          <w:color w:val="auto"/>
          <w:szCs w:val="32"/>
          <w:highlight w:val="none"/>
          <w:u w:val="none"/>
          <w:lang w:val="en-US" w:eastAsia="zh-CN"/>
        </w:rPr>
        <w:t>三十二</w:t>
      </w:r>
      <w:r>
        <w:rPr>
          <w:rFonts w:hint="eastAsia" w:ascii="黑体" w:hAnsi="黑体" w:eastAsia="黑体"/>
          <w:bCs/>
          <w:color w:val="auto"/>
          <w:szCs w:val="32"/>
          <w:highlight w:val="none"/>
          <w:u w:val="none"/>
        </w:rPr>
        <w:t>条【</w:t>
      </w:r>
      <w:r>
        <w:rPr>
          <w:rFonts w:hint="eastAsia" w:ascii="黑体" w:hAnsi="黑体" w:eastAsia="黑体"/>
          <w:bCs/>
          <w:color w:val="auto"/>
          <w:szCs w:val="32"/>
          <w:highlight w:val="none"/>
          <w:u w:val="none"/>
          <w:lang w:val="en-US" w:eastAsia="zh-CN"/>
        </w:rPr>
        <w:t>收购及转让价格</w:t>
      </w:r>
      <w:r>
        <w:rPr>
          <w:rFonts w:hint="eastAsia" w:ascii="黑体" w:hAnsi="黑体" w:eastAsia="黑体"/>
          <w:bCs/>
          <w:color w:val="auto"/>
          <w:szCs w:val="32"/>
          <w:highlight w:val="none"/>
          <w:u w:val="none"/>
        </w:rPr>
        <w:t>】</w:t>
      </w:r>
      <w:r>
        <w:rPr>
          <w:rFonts w:hint="eastAsia" w:ascii="黑体" w:hAnsi="黑体" w:eastAsia="黑体"/>
          <w:bCs/>
          <w:color w:val="auto"/>
          <w:szCs w:val="32"/>
          <w:highlight w:val="none"/>
          <w:u w:val="none"/>
          <w:lang w:val="en-US" w:eastAsia="zh-CN"/>
        </w:rPr>
        <w:t xml:space="preserve">  </w:t>
      </w:r>
      <w:r>
        <w:rPr>
          <w:rFonts w:hint="eastAsia" w:ascii="仿宋_GB2312" w:hAnsi="仿宋_GB2312" w:cs="仿宋_GB2312"/>
          <w:color w:val="auto"/>
          <w:szCs w:val="32"/>
          <w:highlight w:val="none"/>
          <w:u w:val="none"/>
        </w:rPr>
        <w:t>购房人自签订买卖合同</w:t>
      </w:r>
      <w:r>
        <w:rPr>
          <w:rFonts w:ascii="仿宋_GB2312" w:hAnsi="仿宋_GB2312" w:cs="仿宋_GB2312"/>
          <w:color w:val="auto"/>
          <w:szCs w:val="32"/>
          <w:highlight w:val="none"/>
          <w:u w:val="none"/>
        </w:rPr>
        <w:t>之日起未满</w:t>
      </w:r>
      <w:r>
        <w:rPr>
          <w:rFonts w:hint="eastAsia" w:ascii="仿宋_GB2312" w:hAnsi="仿宋_GB2312" w:cs="仿宋_GB2312"/>
          <w:color w:val="auto"/>
          <w:szCs w:val="32"/>
          <w:highlight w:val="none"/>
          <w:u w:val="none"/>
          <w:lang w:val="en-US" w:eastAsia="zh-CN"/>
        </w:rPr>
        <w:t>五</w:t>
      </w:r>
      <w:r>
        <w:rPr>
          <w:rFonts w:ascii="仿宋_GB2312" w:hAnsi="仿宋_GB2312" w:cs="仿宋_GB2312"/>
          <w:color w:val="auto"/>
          <w:szCs w:val="32"/>
          <w:highlight w:val="none"/>
          <w:u w:val="none"/>
        </w:rPr>
        <w:t>年</w:t>
      </w:r>
      <w:r>
        <w:rPr>
          <w:rFonts w:hint="eastAsia" w:ascii="仿宋_GB2312" w:hAnsi="仿宋_GB2312" w:cs="仿宋_GB2312"/>
          <w:color w:val="auto"/>
          <w:sz w:val="32"/>
          <w:szCs w:val="32"/>
          <w:highlight w:val="none"/>
          <w:u w:val="none"/>
          <w:lang w:val="en-US" w:eastAsia="zh-CN"/>
        </w:rPr>
        <w:t>收购</w:t>
      </w:r>
      <w:r>
        <w:rPr>
          <w:rFonts w:hint="eastAsia" w:ascii="仿宋_GB2312" w:hAnsi="仿宋_GB2312" w:cs="仿宋_GB2312"/>
          <w:color w:val="auto"/>
          <w:szCs w:val="32"/>
          <w:highlight w:val="none"/>
          <w:u w:val="none"/>
          <w:lang w:val="en-US" w:eastAsia="zh-CN"/>
        </w:rPr>
        <w:t>的</w:t>
      </w:r>
      <w:r>
        <w:rPr>
          <w:rFonts w:hint="eastAsia" w:ascii="仿宋_GB2312" w:hAnsi="仿宋_GB2312" w:cs="仿宋_GB2312"/>
          <w:color w:val="auto"/>
          <w:szCs w:val="32"/>
          <w:highlight w:val="none"/>
          <w:u w:val="none"/>
        </w:rPr>
        <w:t>，</w:t>
      </w:r>
      <w:r>
        <w:rPr>
          <w:rFonts w:hint="eastAsia" w:ascii="仿宋_GB2312" w:hAnsi="仿宋_GB2312" w:cs="仿宋_GB2312"/>
          <w:color w:val="auto"/>
          <w:sz w:val="32"/>
          <w:szCs w:val="32"/>
          <w:highlight w:val="none"/>
          <w:u w:val="none"/>
          <w:lang w:val="en-US" w:eastAsia="zh-CN"/>
        </w:rPr>
        <w:t>收购</w:t>
      </w:r>
      <w:r>
        <w:rPr>
          <w:rFonts w:hint="eastAsia" w:ascii="仿宋_GB2312" w:hAnsi="仿宋_GB2312" w:cs="仿宋_GB2312"/>
          <w:color w:val="auto"/>
          <w:szCs w:val="32"/>
          <w:highlight w:val="none"/>
          <w:u w:val="none"/>
        </w:rPr>
        <w:t>价格按照购买价格确定</w:t>
      </w:r>
      <w:r>
        <w:rPr>
          <w:rFonts w:hint="eastAsia" w:ascii="仿宋_GB2312" w:hAnsi="仿宋_GB2312" w:cs="仿宋_GB2312"/>
          <w:color w:val="auto"/>
          <w:szCs w:val="32"/>
          <w:highlight w:val="none"/>
          <w:u w:val="none"/>
          <w:lang w:eastAsia="zh-CN"/>
        </w:rPr>
        <w:t>。</w:t>
      </w:r>
    </w:p>
    <w:p>
      <w:pPr>
        <w:keepNext w:val="0"/>
        <w:keepLines w:val="0"/>
        <w:pageBreakBefore w:val="0"/>
        <w:kinsoku/>
        <w:overflowPunct/>
        <w:topLinePunct w:val="0"/>
        <w:autoSpaceDE/>
        <w:autoSpaceDN/>
        <w:bidi w:val="0"/>
        <w:adjustRightInd/>
        <w:snapToGrid/>
        <w:spacing w:line="578" w:lineRule="exact"/>
        <w:ind w:firstLine="640" w:firstLineChars="200"/>
        <w:textAlignment w:val="auto"/>
        <w:outlineLvl w:val="2"/>
        <w:rPr>
          <w:rFonts w:hint="eastAsia"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购房人自签订买卖合同</w:t>
      </w:r>
      <w:r>
        <w:rPr>
          <w:rFonts w:ascii="仿宋_GB2312" w:hAnsi="仿宋_GB2312" w:cs="仿宋_GB2312"/>
          <w:color w:val="auto"/>
          <w:szCs w:val="32"/>
          <w:highlight w:val="none"/>
          <w:u w:val="none"/>
        </w:rPr>
        <w:t>之日起满</w:t>
      </w:r>
      <w:r>
        <w:rPr>
          <w:rFonts w:hint="eastAsia" w:ascii="仿宋_GB2312" w:hAnsi="仿宋_GB2312" w:cs="仿宋_GB2312"/>
          <w:color w:val="auto"/>
          <w:szCs w:val="32"/>
          <w:highlight w:val="none"/>
          <w:u w:val="none"/>
          <w:lang w:val="en-US" w:eastAsia="zh-CN"/>
        </w:rPr>
        <w:t>五</w:t>
      </w:r>
      <w:r>
        <w:rPr>
          <w:rFonts w:ascii="仿宋_GB2312" w:hAnsi="仿宋_GB2312" w:cs="仿宋_GB2312"/>
          <w:color w:val="auto"/>
          <w:szCs w:val="32"/>
          <w:highlight w:val="none"/>
          <w:u w:val="none"/>
        </w:rPr>
        <w:t>年</w:t>
      </w:r>
      <w:r>
        <w:rPr>
          <w:rFonts w:hint="eastAsia" w:ascii="仿宋_GB2312" w:hAnsi="仿宋_GB2312" w:cs="仿宋_GB2312"/>
          <w:color w:val="auto"/>
          <w:szCs w:val="32"/>
          <w:highlight w:val="none"/>
          <w:u w:val="none"/>
          <w:lang w:val="en-US" w:eastAsia="zh-CN"/>
        </w:rPr>
        <w:t>收购的，</w:t>
      </w:r>
      <w:r>
        <w:rPr>
          <w:rFonts w:hint="eastAsia" w:ascii="仿宋_GB2312" w:hAnsi="仿宋_GB2312" w:cs="仿宋_GB2312"/>
          <w:color w:val="auto"/>
          <w:sz w:val="32"/>
          <w:szCs w:val="32"/>
          <w:highlight w:val="none"/>
          <w:u w:val="none"/>
          <w:lang w:val="en-US" w:eastAsia="zh-CN"/>
        </w:rPr>
        <w:t>收购</w:t>
      </w:r>
      <w:r>
        <w:rPr>
          <w:rFonts w:hint="eastAsia" w:ascii="仿宋_GB2312" w:hAnsi="仿宋_GB2312" w:cs="仿宋_GB2312"/>
          <w:strike w:val="0"/>
          <w:color w:val="auto"/>
          <w:szCs w:val="32"/>
          <w:highlight w:val="none"/>
          <w:u w:val="none"/>
        </w:rPr>
        <w:t>价格</w:t>
      </w:r>
      <w:r>
        <w:rPr>
          <w:rFonts w:hint="eastAsia" w:ascii="仿宋_GB2312" w:hAnsi="仿宋_GB2312" w:eastAsia="仿宋_GB2312" w:cs="仿宋_GB2312"/>
          <w:color w:val="auto"/>
          <w:sz w:val="32"/>
          <w:szCs w:val="32"/>
          <w:highlight w:val="none"/>
          <w:u w:val="none"/>
        </w:rPr>
        <w:t>计算公式为：</w:t>
      </w:r>
      <w:r>
        <w:rPr>
          <w:rFonts w:hint="eastAsia" w:ascii="仿宋_GB2312" w:hAnsi="仿宋_GB2312" w:cs="仿宋_GB2312"/>
          <w:color w:val="auto"/>
          <w:sz w:val="32"/>
          <w:szCs w:val="32"/>
          <w:highlight w:val="none"/>
          <w:u w:val="none"/>
          <w:lang w:val="en-US" w:eastAsia="zh-CN"/>
        </w:rPr>
        <w:t>收购</w:t>
      </w:r>
      <w:r>
        <w:rPr>
          <w:rFonts w:hint="eastAsia" w:ascii="仿宋_GB2312" w:hAnsi="仿宋_GB2312" w:eastAsia="仿宋_GB2312" w:cs="仿宋_GB2312"/>
          <w:color w:val="auto"/>
          <w:sz w:val="32"/>
          <w:szCs w:val="32"/>
          <w:highlight w:val="none"/>
          <w:u w:val="none"/>
        </w:rPr>
        <w:t>价</w:t>
      </w:r>
      <w:r>
        <w:rPr>
          <w:rFonts w:hint="eastAsia" w:ascii="仿宋_GB2312" w:hAnsi="仿宋_GB2312" w:cs="仿宋_GB2312"/>
          <w:color w:val="auto"/>
          <w:sz w:val="32"/>
          <w:szCs w:val="32"/>
          <w:highlight w:val="none"/>
          <w:u w:val="none"/>
          <w:lang w:val="en-US" w:eastAsia="zh-CN"/>
        </w:rPr>
        <w:t>格</w:t>
      </w:r>
      <w:r>
        <w:rPr>
          <w:rFonts w:hint="eastAsia" w:ascii="仿宋_GB2312" w:hAnsi="仿宋_GB2312" w:eastAsia="仿宋_GB2312" w:cs="仿宋_GB2312"/>
          <w:color w:val="auto"/>
          <w:sz w:val="32"/>
          <w:szCs w:val="32"/>
          <w:highlight w:val="none"/>
          <w:u w:val="none"/>
        </w:rPr>
        <w:t>=</w:t>
      </w:r>
      <w:r>
        <w:rPr>
          <w:rFonts w:hint="eastAsia" w:ascii="仿宋_GB2312" w:hAnsi="仿宋_GB2312" w:cs="仿宋_GB2312"/>
          <w:color w:val="auto"/>
          <w:sz w:val="32"/>
          <w:szCs w:val="32"/>
          <w:highlight w:val="none"/>
          <w:u w:val="none"/>
          <w:lang w:val="en-US" w:eastAsia="zh-CN"/>
        </w:rPr>
        <w:t>购买价格</w:t>
      </w:r>
      <w:r>
        <w:rPr>
          <w:rFonts w:hint="eastAsia" w:ascii="仿宋_GB2312" w:hAnsi="仿宋_GB2312" w:eastAsia="仿宋_GB2312" w:cs="仿宋_GB2312"/>
          <w:color w:val="auto"/>
          <w:sz w:val="32"/>
          <w:szCs w:val="32"/>
          <w:highlight w:val="none"/>
          <w:u w:val="none"/>
        </w:rPr>
        <w:t>×（1+</w:t>
      </w:r>
      <w:r>
        <w:rPr>
          <w:rFonts w:hint="eastAsia" w:ascii="仿宋_GB2312" w:hAnsi="仿宋_GB2312" w:cs="仿宋_GB2312"/>
          <w:color w:val="auto"/>
          <w:sz w:val="32"/>
          <w:szCs w:val="32"/>
          <w:highlight w:val="none"/>
          <w:u w:val="none"/>
          <w:lang w:val="en-US" w:eastAsia="zh-CN"/>
        </w:rPr>
        <w:t>中国人民</w:t>
      </w:r>
      <w:r>
        <w:rPr>
          <w:rFonts w:hint="eastAsia" w:ascii="仿宋_GB2312" w:hAnsi="仿宋_GB2312" w:eastAsia="仿宋_GB2312" w:cs="仿宋_GB2312"/>
          <w:color w:val="auto"/>
          <w:sz w:val="32"/>
          <w:szCs w:val="32"/>
          <w:highlight w:val="none"/>
          <w:u w:val="none"/>
        </w:rPr>
        <w:t>银行</w:t>
      </w:r>
      <w:r>
        <w:rPr>
          <w:rFonts w:hint="eastAsia" w:ascii="仿宋_GB2312" w:hAnsi="仿宋_GB2312" w:cs="仿宋_GB2312"/>
          <w:color w:val="auto"/>
          <w:sz w:val="32"/>
          <w:szCs w:val="32"/>
          <w:highlight w:val="none"/>
          <w:u w:val="none"/>
          <w:lang w:val="en-US" w:eastAsia="zh-CN"/>
        </w:rPr>
        <w:t>三年期定期</w:t>
      </w:r>
      <w:r>
        <w:rPr>
          <w:rFonts w:hint="eastAsia" w:ascii="仿宋_GB2312" w:hAnsi="仿宋_GB2312" w:eastAsia="仿宋_GB2312" w:cs="仿宋_GB2312"/>
          <w:color w:val="auto"/>
          <w:sz w:val="32"/>
          <w:szCs w:val="32"/>
          <w:highlight w:val="none"/>
          <w:u w:val="none"/>
        </w:rPr>
        <w:t>存款基准利率）</w:t>
      </w:r>
      <w:r>
        <w:rPr>
          <w:rFonts w:hint="eastAsia" w:ascii="仿宋_GB2312" w:hAnsi="仿宋_GB2312" w:cs="仿宋_GB2312"/>
          <w:color w:val="auto"/>
          <w:szCs w:val="32"/>
          <w:highlight w:val="none"/>
          <w:u w:val="none"/>
        </w:rPr>
        <w:t>。</w:t>
      </w:r>
    </w:p>
    <w:p>
      <w:pPr>
        <w:keepNext w:val="0"/>
        <w:keepLines w:val="0"/>
        <w:pageBreakBefore w:val="0"/>
        <w:kinsoku/>
        <w:overflowPunct/>
        <w:topLinePunct w:val="0"/>
        <w:autoSpaceDE/>
        <w:autoSpaceDN/>
        <w:bidi w:val="0"/>
        <w:adjustRightInd/>
        <w:snapToGrid/>
        <w:spacing w:line="578" w:lineRule="exact"/>
        <w:ind w:firstLine="640" w:firstLineChars="200"/>
        <w:textAlignment w:val="auto"/>
        <w:outlineLvl w:val="2"/>
        <w:rPr>
          <w:rFonts w:hint="default" w:ascii="仿宋_GB2312" w:hAnsi="仿宋_GB2312" w:eastAsia="仿宋_GB2312" w:cs="仿宋_GB2312"/>
          <w:color w:val="auto"/>
          <w:szCs w:val="32"/>
          <w:highlight w:val="none"/>
          <w:u w:val="none"/>
          <w:lang w:val="en-US" w:eastAsia="zh-CN"/>
        </w:rPr>
      </w:pPr>
      <w:r>
        <w:rPr>
          <w:rFonts w:hint="eastAsia" w:ascii="仿宋_GB2312" w:hAnsi="仿宋_GB2312" w:cs="仿宋_GB2312"/>
          <w:color w:val="auto"/>
          <w:szCs w:val="32"/>
          <w:highlight w:val="none"/>
          <w:u w:val="none"/>
        </w:rPr>
        <w:t>购房人自签订买卖合同</w:t>
      </w:r>
      <w:r>
        <w:rPr>
          <w:rFonts w:ascii="仿宋_GB2312" w:hAnsi="仿宋_GB2312" w:cs="仿宋_GB2312"/>
          <w:color w:val="auto"/>
          <w:szCs w:val="32"/>
          <w:highlight w:val="none"/>
          <w:u w:val="none"/>
        </w:rPr>
        <w:t>之日起满</w:t>
      </w:r>
      <w:r>
        <w:rPr>
          <w:rFonts w:hint="eastAsia" w:ascii="仿宋_GB2312" w:hAnsi="仿宋_GB2312" w:cs="仿宋_GB2312"/>
          <w:color w:val="auto"/>
          <w:szCs w:val="32"/>
          <w:highlight w:val="none"/>
          <w:u w:val="none"/>
          <w:lang w:val="en-US" w:eastAsia="zh-CN"/>
        </w:rPr>
        <w:t>五</w:t>
      </w:r>
      <w:r>
        <w:rPr>
          <w:rFonts w:ascii="仿宋_GB2312" w:hAnsi="仿宋_GB2312" w:cs="仿宋_GB2312"/>
          <w:color w:val="auto"/>
          <w:szCs w:val="32"/>
          <w:highlight w:val="none"/>
          <w:u w:val="none"/>
        </w:rPr>
        <w:t>年</w:t>
      </w:r>
      <w:r>
        <w:rPr>
          <w:rFonts w:hint="eastAsia" w:ascii="仿宋_GB2312" w:hAnsi="仿宋_GB2312" w:cs="仿宋_GB2312"/>
          <w:color w:val="auto"/>
          <w:szCs w:val="32"/>
          <w:highlight w:val="none"/>
          <w:u w:val="none"/>
          <w:lang w:val="en-US" w:eastAsia="zh-CN"/>
        </w:rPr>
        <w:t>转让的，</w:t>
      </w:r>
      <w:r>
        <w:rPr>
          <w:rFonts w:hint="eastAsia" w:ascii="仿宋_GB2312" w:hAnsi="仿宋_GB2312" w:cs="仿宋_GB2312"/>
          <w:color w:val="auto"/>
          <w:szCs w:val="32"/>
          <w:highlight w:val="none"/>
          <w:u w:val="none"/>
        </w:rPr>
        <w:t>封闭流转</w:t>
      </w:r>
      <w:r>
        <w:rPr>
          <w:rFonts w:hint="eastAsia" w:ascii="仿宋_GB2312" w:hAnsi="仿宋_GB2312" w:cs="仿宋_GB2312"/>
          <w:color w:val="auto"/>
          <w:szCs w:val="32"/>
          <w:highlight w:val="none"/>
          <w:u w:val="none"/>
          <w:lang w:eastAsia="zh-CN"/>
        </w:rPr>
        <w:t>的</w:t>
      </w:r>
      <w:r>
        <w:rPr>
          <w:rFonts w:hint="eastAsia" w:ascii="仿宋_GB2312" w:hAnsi="仿宋_GB2312" w:cs="仿宋_GB2312"/>
          <w:color w:val="auto"/>
          <w:szCs w:val="32"/>
          <w:highlight w:val="none"/>
          <w:u w:val="none"/>
        </w:rPr>
        <w:t>转让价格由买卖双方协商确定</w:t>
      </w:r>
      <w:r>
        <w:rPr>
          <w:rFonts w:hint="eastAsia" w:ascii="仿宋_GB2312" w:hAnsi="仿宋_GB2312" w:cs="仿宋_GB2312"/>
          <w:color w:val="auto"/>
          <w:szCs w:val="32"/>
          <w:highlight w:val="none"/>
          <w:u w:val="none"/>
          <w:lang w:eastAsia="zh-CN"/>
        </w:rPr>
        <w:t>，</w:t>
      </w:r>
      <w:r>
        <w:rPr>
          <w:rFonts w:hint="eastAsia" w:ascii="仿宋_GB2312" w:hAnsi="仿宋_GB2312" w:cs="仿宋_GB2312"/>
          <w:color w:val="auto"/>
          <w:szCs w:val="32"/>
          <w:highlight w:val="none"/>
          <w:u w:val="none"/>
          <w:lang w:val="en-US" w:eastAsia="zh-CN"/>
        </w:rPr>
        <w:t>通过市场参考价格规范转让行为</w:t>
      </w:r>
      <w:r>
        <w:rPr>
          <w:rFonts w:hint="eastAsia" w:ascii="仿宋_GB2312" w:hAnsi="仿宋_GB2312" w:cs="仿宋_GB2312"/>
          <w:color w:val="auto"/>
          <w:szCs w:val="32"/>
          <w:highlight w:val="none"/>
          <w:u w:val="none"/>
        </w:rPr>
        <w:t>。在同等价格条件下，</w:t>
      </w:r>
      <w:r>
        <w:rPr>
          <w:rFonts w:hint="eastAsia" w:ascii="仿宋_GB2312" w:hAnsi="仿宋_GB2312" w:cs="仿宋_GB2312"/>
          <w:bCs/>
          <w:color w:val="auto"/>
          <w:szCs w:val="32"/>
          <w:highlight w:val="none"/>
          <w:u w:val="none"/>
        </w:rPr>
        <w:t>代持机构</w:t>
      </w:r>
      <w:r>
        <w:rPr>
          <w:rFonts w:hint="eastAsia" w:ascii="仿宋_GB2312" w:hAnsi="仿宋_GB2312" w:cs="仿宋_GB2312"/>
          <w:color w:val="auto"/>
          <w:szCs w:val="32"/>
          <w:highlight w:val="none"/>
          <w:u w:val="none"/>
        </w:rPr>
        <w:t>享有优先购买权。</w:t>
      </w:r>
    </w:p>
    <w:p>
      <w:pPr>
        <w:keepNext w:val="0"/>
        <w:keepLines w:val="0"/>
        <w:pageBreakBefore w:val="0"/>
        <w:kinsoku/>
        <w:overflowPunct/>
        <w:topLinePunct w:val="0"/>
        <w:autoSpaceDE/>
        <w:autoSpaceDN/>
        <w:bidi w:val="0"/>
        <w:adjustRightInd/>
        <w:snapToGrid/>
        <w:spacing w:line="578" w:lineRule="exact"/>
        <w:ind w:firstLine="640" w:firstLineChars="200"/>
        <w:textAlignment w:val="auto"/>
        <w:outlineLvl w:val="2"/>
        <w:rPr>
          <w:rFonts w:hint="eastAsia" w:ascii="仿宋_GB2312" w:hAnsi="仿宋_GB2312" w:cs="仿宋_GB2312"/>
          <w:color w:val="auto"/>
          <w:sz w:val="32"/>
          <w:szCs w:val="32"/>
          <w:highlight w:val="none"/>
          <w:u w:val="none"/>
          <w:lang w:eastAsia="zh-CN"/>
        </w:rPr>
      </w:pPr>
      <w:r>
        <w:rPr>
          <w:rFonts w:hint="eastAsia" w:ascii="仿宋_GB2312" w:hAnsi="仿宋_GB2312" w:cs="仿宋_GB2312"/>
          <w:color w:val="auto"/>
          <w:sz w:val="32"/>
          <w:szCs w:val="32"/>
          <w:highlight w:val="none"/>
          <w:u w:val="none"/>
          <w:lang w:val="en-US" w:eastAsia="zh-CN"/>
        </w:rPr>
        <w:t>收购价格</w:t>
      </w:r>
      <w:r>
        <w:rPr>
          <w:rFonts w:hint="default" w:ascii="仿宋_GB2312" w:hAnsi="仿宋_GB2312" w:cs="仿宋_GB2312"/>
          <w:color w:val="auto"/>
          <w:sz w:val="32"/>
          <w:szCs w:val="32"/>
          <w:highlight w:val="none"/>
          <w:u w:val="none"/>
          <w:lang w:val="en-US" w:eastAsia="zh-CN"/>
        </w:rPr>
        <w:t>不高于</w:t>
      </w:r>
      <w:r>
        <w:rPr>
          <w:rFonts w:hint="eastAsia" w:ascii="仿宋_GB2312" w:hAnsi="仿宋_GB2312" w:cs="仿宋_GB2312"/>
          <w:color w:val="auto"/>
          <w:sz w:val="32"/>
          <w:szCs w:val="32"/>
          <w:highlight w:val="none"/>
          <w:u w:val="none"/>
          <w:lang w:val="en-US" w:eastAsia="zh-CN"/>
        </w:rPr>
        <w:t>收购时本项目的市场参考价格对应所持产权份额确定的总价。</w:t>
      </w:r>
    </w:p>
    <w:p>
      <w:pPr>
        <w:keepNext w:val="0"/>
        <w:keepLines w:val="0"/>
        <w:pageBreakBefore w:val="0"/>
        <w:kinsoku/>
        <w:overflowPunct/>
        <w:topLinePunct w:val="0"/>
        <w:autoSpaceDE/>
        <w:autoSpaceDN/>
        <w:bidi w:val="0"/>
        <w:adjustRightInd/>
        <w:snapToGrid/>
        <w:spacing w:line="578" w:lineRule="exact"/>
        <w:ind w:firstLine="640" w:firstLineChars="200"/>
        <w:textAlignment w:val="auto"/>
        <w:outlineLvl w:val="2"/>
        <w:rPr>
          <w:rFonts w:hint="eastAsia" w:ascii="仿宋_GB2312" w:hAnsi="仿宋_GB2312" w:eastAsia="仿宋_GB2312" w:cs="仿宋_GB2312"/>
          <w:color w:val="auto"/>
          <w:szCs w:val="32"/>
          <w:highlight w:val="none"/>
          <w:u w:val="none"/>
          <w:lang w:eastAsia="zh-CN"/>
        </w:rPr>
      </w:pPr>
      <w:r>
        <w:rPr>
          <w:rFonts w:hint="eastAsia" w:ascii="黑体" w:hAnsi="黑体" w:eastAsia="黑体"/>
          <w:bCs/>
          <w:color w:val="auto"/>
          <w:szCs w:val="32"/>
          <w:highlight w:val="none"/>
          <w:u w:val="none"/>
        </w:rPr>
        <w:t>第</w:t>
      </w:r>
      <w:r>
        <w:rPr>
          <w:rFonts w:hint="eastAsia" w:ascii="黑体" w:hAnsi="黑体" w:eastAsia="黑体"/>
          <w:bCs/>
          <w:color w:val="auto"/>
          <w:szCs w:val="32"/>
          <w:highlight w:val="none"/>
          <w:u w:val="none"/>
          <w:lang w:val="en-US" w:eastAsia="zh-CN"/>
        </w:rPr>
        <w:t>三十三</w:t>
      </w:r>
      <w:r>
        <w:rPr>
          <w:rFonts w:hint="eastAsia" w:ascii="黑体" w:hAnsi="黑体" w:eastAsia="黑体"/>
          <w:bCs/>
          <w:color w:val="auto"/>
          <w:szCs w:val="32"/>
          <w:highlight w:val="none"/>
          <w:u w:val="none"/>
        </w:rPr>
        <w:t>条【封闭流转期间特殊情形的处理】</w:t>
      </w:r>
      <w:bookmarkEnd w:id="106"/>
      <w:bookmarkEnd w:id="107"/>
      <w:bookmarkEnd w:id="108"/>
      <w:bookmarkEnd w:id="109"/>
      <w:bookmarkEnd w:id="110"/>
      <w:r>
        <w:rPr>
          <w:rFonts w:hint="eastAsia" w:ascii="黑体" w:hAnsi="黑体" w:eastAsia="黑体"/>
          <w:bCs/>
          <w:color w:val="auto"/>
          <w:szCs w:val="32"/>
          <w:highlight w:val="none"/>
          <w:u w:val="none"/>
          <w:lang w:val="en-US" w:eastAsia="zh-CN"/>
        </w:rPr>
        <w:t xml:space="preserve">  </w:t>
      </w:r>
      <w:r>
        <w:rPr>
          <w:rFonts w:hint="eastAsia" w:ascii="仿宋_GB2312" w:hAnsi="仿宋_GB2312" w:cs="仿宋_GB2312"/>
          <w:color w:val="auto"/>
          <w:szCs w:val="32"/>
          <w:highlight w:val="none"/>
          <w:u w:val="none"/>
        </w:rPr>
        <w:t>购房人有下列情形之一的，</w:t>
      </w:r>
      <w:r>
        <w:rPr>
          <w:rFonts w:hint="eastAsia" w:ascii="仿宋_GB2312" w:hAnsi="仿宋_GB2312" w:cs="仿宋_GB2312"/>
          <w:color w:val="auto"/>
          <w:szCs w:val="32"/>
          <w:highlight w:val="none"/>
          <w:u w:val="none"/>
          <w:lang w:val="en-US" w:eastAsia="zh-CN"/>
        </w:rPr>
        <w:t>可以将所持产权份额转让给符合条件的对象或者由</w:t>
      </w:r>
      <w:r>
        <w:rPr>
          <w:rFonts w:hint="eastAsia" w:ascii="仿宋_GB2312" w:hAnsi="仿宋_GB2312" w:cs="仿宋_GB2312"/>
          <w:bCs/>
          <w:color w:val="auto"/>
          <w:szCs w:val="32"/>
          <w:highlight w:val="none"/>
          <w:u w:val="none"/>
        </w:rPr>
        <w:t>代持机构</w:t>
      </w:r>
      <w:r>
        <w:rPr>
          <w:rFonts w:hint="eastAsia" w:ascii="仿宋_GB2312" w:hAnsi="仿宋_GB2312" w:cs="仿宋_GB2312"/>
          <w:color w:val="auto"/>
          <w:sz w:val="32"/>
          <w:szCs w:val="32"/>
          <w:highlight w:val="none"/>
          <w:u w:val="none"/>
          <w:lang w:val="en-US" w:eastAsia="zh-CN"/>
        </w:rPr>
        <w:t>收购</w:t>
      </w:r>
      <w:r>
        <w:rPr>
          <w:rFonts w:hint="eastAsia" w:ascii="仿宋_GB2312" w:hAnsi="仿宋_GB2312" w:cs="仿宋_GB2312"/>
          <w:color w:val="auto"/>
          <w:szCs w:val="32"/>
          <w:highlight w:val="none"/>
          <w:u w:val="none"/>
        </w:rPr>
        <w:t>：</w:t>
      </w:r>
    </w:p>
    <w:p>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（一）因银行实现抵押权而处置该套住房的；</w:t>
      </w:r>
    </w:p>
    <w:p>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hint="eastAsia"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（二）因人民法院强制执行等原因需处置该套住房的。</w:t>
      </w:r>
    </w:p>
    <w:p>
      <w:pPr>
        <w:pStyle w:val="2"/>
        <w:spacing w:after="0"/>
        <w:rPr>
          <w:rFonts w:hint="default" w:eastAsia="仿宋_GB2312"/>
          <w:lang w:val="en-US" w:eastAsia="zh-CN"/>
        </w:rPr>
      </w:pPr>
      <w:r>
        <w:rPr>
          <w:rFonts w:hint="eastAsia"/>
          <w:lang w:val="en-US" w:eastAsia="zh-CN"/>
        </w:rPr>
        <w:t>收购价格按照本办法第三十二条第一款、第二款及第四款规定执行。</w:t>
      </w:r>
    </w:p>
    <w:p>
      <w:pPr>
        <w:pStyle w:val="2"/>
        <w:keepNext w:val="0"/>
        <w:keepLines w:val="0"/>
        <w:pageBreakBefore w:val="0"/>
        <w:kinsoku/>
        <w:overflowPunct/>
        <w:topLinePunct w:val="0"/>
        <w:autoSpaceDE/>
        <w:autoSpaceDN/>
        <w:bidi w:val="0"/>
        <w:adjustRightInd/>
        <w:snapToGrid/>
        <w:spacing w:after="0" w:line="578" w:lineRule="exact"/>
        <w:ind w:firstLine="0"/>
        <w:textAlignment w:val="auto"/>
        <w:rPr>
          <w:rFonts w:hint="eastAsia" w:ascii="仿宋_GB2312" w:hAnsi="仿宋_GB2312" w:eastAsia="仿宋_GB2312" w:cs="仿宋_GB2312"/>
          <w:bCs w:val="0"/>
          <w:color w:val="auto"/>
          <w:szCs w:val="32"/>
          <w:highlight w:val="none"/>
          <w:u w:val="none"/>
        </w:rPr>
      </w:pPr>
      <w:bookmarkStart w:id="111" w:name="_Toc8416"/>
      <w:bookmarkStart w:id="112" w:name="_Toc4076"/>
      <w:bookmarkStart w:id="113" w:name="_Toc30233"/>
      <w:bookmarkStart w:id="114" w:name="_Toc523428832"/>
      <w:bookmarkStart w:id="115" w:name="_Toc13104"/>
      <w:r>
        <w:rPr>
          <w:rFonts w:hint="eastAsia" w:ascii="黑体" w:hAnsi="黑体" w:eastAsia="黑体"/>
          <w:bCs/>
          <w:color w:val="auto"/>
          <w:szCs w:val="32"/>
          <w:highlight w:val="none"/>
          <w:u w:val="none"/>
        </w:rPr>
        <w:t>第</w:t>
      </w:r>
      <w:r>
        <w:rPr>
          <w:rFonts w:hint="eastAsia" w:ascii="黑体" w:hAnsi="黑体" w:eastAsia="黑体"/>
          <w:bCs/>
          <w:color w:val="auto"/>
          <w:szCs w:val="32"/>
          <w:highlight w:val="none"/>
          <w:u w:val="none"/>
          <w:lang w:val="en-US" w:eastAsia="zh-CN"/>
        </w:rPr>
        <w:t>三十四</w:t>
      </w:r>
      <w:r>
        <w:rPr>
          <w:rFonts w:hint="eastAsia" w:ascii="黑体" w:hAnsi="黑体" w:eastAsia="黑体"/>
          <w:bCs/>
          <w:color w:val="auto"/>
          <w:szCs w:val="32"/>
          <w:highlight w:val="none"/>
          <w:u w:val="none"/>
        </w:rPr>
        <w:t>条【</w:t>
      </w:r>
      <w:r>
        <w:rPr>
          <w:rFonts w:hint="eastAsia" w:ascii="黑体" w:hAnsi="黑体" w:eastAsia="黑体"/>
          <w:bCs/>
          <w:color w:val="auto"/>
          <w:szCs w:val="32"/>
          <w:highlight w:val="none"/>
          <w:u w:val="none"/>
          <w:lang w:val="en-US" w:eastAsia="zh-CN"/>
        </w:rPr>
        <w:t>购买</w:t>
      </w:r>
      <w:r>
        <w:rPr>
          <w:rFonts w:hint="eastAsia" w:ascii="黑体" w:hAnsi="黑体" w:eastAsia="黑体"/>
          <w:bCs/>
          <w:color w:val="auto"/>
          <w:szCs w:val="32"/>
          <w:highlight w:val="none"/>
          <w:u w:val="none"/>
        </w:rPr>
        <w:t>商品住房</w:t>
      </w:r>
      <w:r>
        <w:rPr>
          <w:rFonts w:hint="eastAsia" w:ascii="黑体" w:hAnsi="黑体" w:eastAsia="黑体"/>
          <w:bCs/>
          <w:color w:val="auto"/>
          <w:szCs w:val="32"/>
          <w:highlight w:val="none"/>
          <w:u w:val="none"/>
          <w:lang w:val="en-US" w:eastAsia="zh-CN"/>
        </w:rPr>
        <w:t>的处理</w:t>
      </w:r>
      <w:r>
        <w:rPr>
          <w:rFonts w:hint="eastAsia" w:ascii="黑体" w:hAnsi="黑体" w:eastAsia="黑体"/>
          <w:bCs/>
          <w:color w:val="auto"/>
          <w:szCs w:val="32"/>
          <w:highlight w:val="none"/>
          <w:u w:val="none"/>
        </w:rPr>
        <w:t>】</w:t>
      </w:r>
      <w:r>
        <w:rPr>
          <w:rFonts w:hint="eastAsia" w:ascii="黑体" w:hAnsi="黑体" w:eastAsia="黑体"/>
          <w:bCs/>
          <w:color w:val="auto"/>
          <w:szCs w:val="32"/>
          <w:highlight w:val="none"/>
          <w:u w:val="none"/>
          <w:lang w:val="en-US" w:eastAsia="zh-CN"/>
        </w:rPr>
        <w:t xml:space="preserve">  </w:t>
      </w:r>
      <w:r>
        <w:rPr>
          <w:rFonts w:hint="eastAsia" w:ascii="仿宋_GB2312" w:hAnsi="仿宋_GB2312" w:cs="仿宋_GB2312"/>
          <w:color w:val="auto"/>
          <w:szCs w:val="32"/>
          <w:highlight w:val="none"/>
          <w:u w:val="none"/>
        </w:rPr>
        <w:t>购房人自签订买卖合同之日起，在本市购买商品住房</w:t>
      </w:r>
      <w:r>
        <w:rPr>
          <w:rFonts w:hint="eastAsia" w:ascii="仿宋_GB2312" w:hAnsi="仿宋_GB2312" w:cs="仿宋_GB2312"/>
          <w:color w:val="auto"/>
          <w:szCs w:val="32"/>
          <w:highlight w:val="none"/>
          <w:u w:val="none"/>
          <w:lang w:val="en-US" w:eastAsia="zh-CN"/>
        </w:rPr>
        <w:t>等自有住房</w:t>
      </w:r>
      <w:r>
        <w:rPr>
          <w:rFonts w:hint="eastAsia" w:ascii="仿宋_GB2312" w:hAnsi="仿宋_GB2312" w:cs="仿宋_GB2312"/>
          <w:color w:val="auto"/>
          <w:szCs w:val="32"/>
          <w:highlight w:val="none"/>
          <w:u w:val="none"/>
        </w:rPr>
        <w:t>的，应当在办理商品</w:t>
      </w:r>
      <w:r>
        <w:rPr>
          <w:rFonts w:hint="eastAsia" w:ascii="仿宋_GB2312" w:hAnsi="仿宋_GB2312" w:cs="仿宋_GB2312"/>
          <w:color w:val="auto"/>
          <w:szCs w:val="32"/>
          <w:highlight w:val="none"/>
          <w:u w:val="none"/>
          <w:lang w:val="en-US" w:eastAsia="zh-CN"/>
        </w:rPr>
        <w:t>住</w:t>
      </w:r>
      <w:r>
        <w:rPr>
          <w:rFonts w:hint="eastAsia" w:ascii="仿宋_GB2312" w:hAnsi="仿宋_GB2312" w:cs="仿宋_GB2312"/>
          <w:color w:val="auto"/>
          <w:szCs w:val="32"/>
          <w:highlight w:val="none"/>
          <w:u w:val="none"/>
        </w:rPr>
        <w:t>房</w:t>
      </w:r>
      <w:r>
        <w:rPr>
          <w:rFonts w:hint="eastAsia" w:ascii="仿宋_GB2312" w:hAnsi="仿宋_GB2312" w:cs="仿宋_GB2312"/>
          <w:color w:val="auto"/>
          <w:szCs w:val="32"/>
          <w:highlight w:val="none"/>
          <w:u w:val="none"/>
          <w:lang w:val="en-US" w:eastAsia="zh-CN"/>
        </w:rPr>
        <w:t>等自有住房</w:t>
      </w:r>
      <w:r>
        <w:rPr>
          <w:rFonts w:hint="eastAsia" w:ascii="仿宋_GB2312" w:hAnsi="仿宋_GB2312" w:cs="仿宋_GB2312"/>
          <w:color w:val="auto"/>
          <w:szCs w:val="32"/>
          <w:highlight w:val="none"/>
          <w:u w:val="none"/>
        </w:rPr>
        <w:t>买卖合同备案之前，先行</w:t>
      </w:r>
      <w:r>
        <w:rPr>
          <w:rFonts w:hint="eastAsia" w:ascii="仿宋_GB2312" w:hAnsi="仿宋_GB2312" w:cs="仿宋_GB2312"/>
          <w:color w:val="auto"/>
          <w:szCs w:val="32"/>
          <w:highlight w:val="none"/>
          <w:u w:val="none"/>
          <w:lang w:val="en-US" w:eastAsia="zh-CN"/>
        </w:rPr>
        <w:t>与代持机构签订</w:t>
      </w:r>
      <w:r>
        <w:rPr>
          <w:rFonts w:hint="eastAsia"/>
          <w:color w:val="auto"/>
          <w:szCs w:val="32"/>
          <w:highlight w:val="none"/>
          <w:u w:val="none"/>
          <w:lang w:val="en-US" w:eastAsia="zh-CN"/>
        </w:rPr>
        <w:t>共有产权住房退出承诺书</w:t>
      </w:r>
      <w:r>
        <w:rPr>
          <w:rFonts w:hint="eastAsia" w:ascii="仿宋_GB2312" w:hAnsi="仿宋_GB2312" w:cs="仿宋_GB2312"/>
          <w:color w:val="auto"/>
          <w:szCs w:val="32"/>
          <w:highlight w:val="none"/>
          <w:u w:val="none"/>
          <w:lang w:val="en-US" w:eastAsia="zh-CN"/>
        </w:rPr>
        <w:t>，并在具备办理商品住房转移登记条件之日起六个月以内完成共有产权住房退房手续。</w:t>
      </w:r>
    </w:p>
    <w:p>
      <w:pPr>
        <w:pStyle w:val="2"/>
        <w:keepNext w:val="0"/>
        <w:keepLines w:val="0"/>
        <w:pageBreakBefore w:val="0"/>
        <w:kinsoku/>
        <w:overflowPunct/>
        <w:topLinePunct w:val="0"/>
        <w:autoSpaceDE/>
        <w:autoSpaceDN/>
        <w:bidi w:val="0"/>
        <w:adjustRightInd/>
        <w:snapToGrid/>
        <w:spacing w:after="0" w:line="578" w:lineRule="exact"/>
        <w:ind w:firstLine="0"/>
        <w:textAlignment w:val="auto"/>
        <w:rPr>
          <w:rFonts w:hint="default"/>
          <w:color w:val="auto"/>
          <w:szCs w:val="32"/>
          <w:highlight w:val="none"/>
          <w:u w:val="none"/>
          <w:lang w:val="en-US" w:eastAsia="zh-CN"/>
        </w:rPr>
      </w:pPr>
      <w:r>
        <w:rPr>
          <w:rFonts w:hint="default"/>
          <w:color w:val="auto"/>
          <w:szCs w:val="32"/>
          <w:highlight w:val="none"/>
          <w:u w:val="none"/>
          <w:lang w:val="en-US" w:eastAsia="zh-CN"/>
        </w:rPr>
        <w:t>购房人未按照</w:t>
      </w:r>
      <w:r>
        <w:rPr>
          <w:rFonts w:hint="eastAsia"/>
          <w:color w:val="auto"/>
          <w:szCs w:val="32"/>
          <w:highlight w:val="none"/>
          <w:u w:val="none"/>
          <w:lang w:val="en-US" w:eastAsia="zh-CN"/>
        </w:rPr>
        <w:t>前款</w:t>
      </w:r>
      <w:r>
        <w:rPr>
          <w:rFonts w:hint="default"/>
          <w:color w:val="auto"/>
          <w:szCs w:val="32"/>
          <w:highlight w:val="none"/>
          <w:u w:val="none"/>
          <w:lang w:val="en-US" w:eastAsia="zh-CN"/>
        </w:rPr>
        <w:t>规定执行的，不动产登记机构应当</w:t>
      </w:r>
      <w:r>
        <w:rPr>
          <w:rFonts w:hint="eastAsia"/>
          <w:color w:val="auto"/>
          <w:szCs w:val="32"/>
          <w:highlight w:val="none"/>
          <w:u w:val="none"/>
          <w:lang w:val="en-US" w:eastAsia="zh-CN"/>
        </w:rPr>
        <w:t>暂缓</w:t>
      </w:r>
      <w:r>
        <w:rPr>
          <w:rFonts w:hint="default"/>
          <w:color w:val="auto"/>
          <w:szCs w:val="32"/>
          <w:highlight w:val="none"/>
          <w:u w:val="none"/>
          <w:lang w:val="en-US" w:eastAsia="zh-CN"/>
        </w:rPr>
        <w:t>其申请办理不动产权转移登记。</w:t>
      </w:r>
    </w:p>
    <w:p>
      <w:pPr>
        <w:pStyle w:val="2"/>
        <w:keepNext w:val="0"/>
        <w:keepLines w:val="0"/>
        <w:pageBreakBefore w:val="0"/>
        <w:widowControl/>
        <w:kinsoku/>
        <w:overflowPunct/>
        <w:topLinePunct w:val="0"/>
        <w:autoSpaceDE/>
        <w:autoSpaceDN/>
        <w:bidi w:val="0"/>
        <w:adjustRightInd/>
        <w:snapToGrid/>
        <w:spacing w:after="0" w:line="578" w:lineRule="exact"/>
        <w:ind w:firstLine="640" w:firstLineChars="200"/>
        <w:textAlignment w:val="auto"/>
        <w:outlineLvl w:val="2"/>
        <w:rPr>
          <w:rFonts w:hint="default" w:ascii="黑体" w:hAnsi="黑体" w:eastAsia="黑体"/>
          <w:bCs/>
          <w:color w:val="auto"/>
          <w:szCs w:val="32"/>
          <w:highlight w:val="none"/>
          <w:u w:val="none"/>
          <w:lang w:val="en-US"/>
        </w:rPr>
      </w:pPr>
      <w:r>
        <w:rPr>
          <w:rFonts w:hint="eastAsia" w:ascii="黑体" w:hAnsi="黑体" w:eastAsia="黑体"/>
          <w:bCs/>
          <w:color w:val="auto"/>
          <w:szCs w:val="32"/>
          <w:highlight w:val="none"/>
          <w:u w:val="none"/>
          <w:lang w:eastAsia="zh-CN"/>
        </w:rPr>
        <w:t>第</w:t>
      </w:r>
      <w:r>
        <w:rPr>
          <w:rFonts w:hint="eastAsia" w:ascii="黑体" w:hAnsi="黑体" w:eastAsia="黑体"/>
          <w:bCs/>
          <w:color w:val="auto"/>
          <w:szCs w:val="32"/>
          <w:highlight w:val="none"/>
          <w:u w:val="none"/>
          <w:lang w:val="en-US" w:eastAsia="zh-CN"/>
        </w:rPr>
        <w:t xml:space="preserve">三十五条【抵押】  </w:t>
      </w:r>
      <w:r>
        <w:rPr>
          <w:rFonts w:hint="eastAsia" w:ascii="仿宋_GB2312" w:hAnsi="仿宋_GB2312" w:eastAsia="仿宋_GB2312" w:cs="仿宋_GB2312"/>
          <w:bCs w:val="0"/>
          <w:color w:val="auto"/>
          <w:szCs w:val="32"/>
          <w:highlight w:val="none"/>
          <w:u w:val="none"/>
          <w:lang w:val="en-US" w:eastAsia="zh-CN"/>
        </w:rPr>
        <w:t>共有产权住房购房人</w:t>
      </w:r>
      <w:r>
        <w:rPr>
          <w:rFonts w:hint="eastAsia" w:ascii="仿宋_GB2312" w:hAnsi="仿宋_GB2312" w:cs="仿宋_GB2312"/>
          <w:bCs w:val="0"/>
          <w:color w:val="auto"/>
          <w:szCs w:val="32"/>
          <w:highlight w:val="none"/>
          <w:u w:val="none"/>
          <w:lang w:val="en-US" w:eastAsia="zh-CN"/>
        </w:rPr>
        <w:t>产权</w:t>
      </w:r>
      <w:r>
        <w:rPr>
          <w:rFonts w:hint="eastAsia" w:ascii="仿宋_GB2312" w:hAnsi="仿宋_GB2312" w:eastAsia="仿宋_GB2312" w:cs="仿宋_GB2312"/>
          <w:bCs w:val="0"/>
          <w:color w:val="auto"/>
          <w:szCs w:val="32"/>
          <w:highlight w:val="none"/>
          <w:u w:val="none"/>
          <w:lang w:val="en-US" w:eastAsia="zh-CN"/>
        </w:rPr>
        <w:t>份额不得抵押，</w:t>
      </w:r>
      <w:r>
        <w:rPr>
          <w:rFonts w:hint="eastAsia" w:ascii="仿宋_GB2312" w:hAnsi="仿宋_GB2312" w:cs="仿宋_GB2312"/>
          <w:bCs w:val="0"/>
          <w:color w:val="auto"/>
          <w:szCs w:val="32"/>
          <w:highlight w:val="none"/>
          <w:u w:val="none"/>
          <w:lang w:val="en-US" w:eastAsia="zh-CN"/>
        </w:rPr>
        <w:t>但为</w:t>
      </w:r>
      <w:r>
        <w:rPr>
          <w:rFonts w:hint="eastAsia" w:ascii="仿宋_GB2312" w:hAnsi="仿宋_GB2312" w:eastAsia="仿宋_GB2312" w:cs="仿宋_GB2312"/>
          <w:bCs w:val="0"/>
          <w:color w:val="auto"/>
          <w:szCs w:val="32"/>
          <w:highlight w:val="none"/>
          <w:u w:val="none"/>
          <w:lang w:val="en-US" w:eastAsia="zh-CN"/>
        </w:rPr>
        <w:t>购买本套住房而向银行设定的抵押除外。</w:t>
      </w:r>
    </w:p>
    <w:p>
      <w:pPr>
        <w:keepNext w:val="0"/>
        <w:keepLines w:val="0"/>
        <w:pageBreakBefore w:val="0"/>
        <w:numPr>
          <w:ilvl w:val="255"/>
          <w:numId w:val="0"/>
        </w:numPr>
        <w:kinsoku/>
        <w:overflowPunct/>
        <w:topLinePunct w:val="0"/>
        <w:autoSpaceDE/>
        <w:autoSpaceDN/>
        <w:bidi w:val="0"/>
        <w:adjustRightInd/>
        <w:snapToGrid/>
        <w:spacing w:line="578" w:lineRule="exact"/>
        <w:ind w:firstLine="640" w:firstLineChars="200"/>
        <w:textAlignment w:val="auto"/>
        <w:outlineLvl w:val="2"/>
        <w:rPr>
          <w:rFonts w:ascii="仿宋_GB2312" w:hAnsi="仿宋_GB2312" w:cs="仿宋_GB2312"/>
          <w:bCs/>
          <w:color w:val="auto"/>
          <w:szCs w:val="32"/>
          <w:highlight w:val="none"/>
          <w:u w:val="none"/>
        </w:rPr>
      </w:pPr>
      <w:r>
        <w:rPr>
          <w:rFonts w:hint="eastAsia" w:ascii="黑体" w:hAnsi="黑体" w:eastAsia="黑体"/>
          <w:bCs/>
          <w:color w:val="auto"/>
          <w:szCs w:val="32"/>
          <w:highlight w:val="none"/>
          <w:u w:val="none"/>
        </w:rPr>
        <w:t>第</w:t>
      </w:r>
      <w:r>
        <w:rPr>
          <w:rFonts w:hint="eastAsia" w:ascii="黑体" w:hAnsi="黑体" w:eastAsia="黑体"/>
          <w:bCs/>
          <w:color w:val="auto"/>
          <w:szCs w:val="32"/>
          <w:highlight w:val="none"/>
          <w:u w:val="none"/>
          <w:lang w:val="en-US" w:eastAsia="zh-CN"/>
        </w:rPr>
        <w:t>三十六</w:t>
      </w:r>
      <w:r>
        <w:rPr>
          <w:rFonts w:hint="eastAsia" w:ascii="黑体" w:hAnsi="黑体" w:eastAsia="黑体"/>
          <w:bCs/>
          <w:color w:val="auto"/>
          <w:szCs w:val="32"/>
          <w:highlight w:val="none"/>
          <w:u w:val="none"/>
        </w:rPr>
        <w:t>条【</w:t>
      </w:r>
      <w:r>
        <w:rPr>
          <w:rFonts w:hint="eastAsia" w:ascii="黑体" w:hAnsi="黑体" w:eastAsia="黑体"/>
          <w:bCs/>
          <w:color w:val="auto"/>
          <w:szCs w:val="32"/>
          <w:highlight w:val="none"/>
          <w:u w:val="none"/>
          <w:lang w:val="en-US" w:eastAsia="zh-CN"/>
        </w:rPr>
        <w:t>住房</w:t>
      </w:r>
      <w:r>
        <w:rPr>
          <w:rFonts w:hint="eastAsia" w:ascii="黑体" w:hAnsi="黑体" w:eastAsia="黑体"/>
          <w:bCs/>
          <w:color w:val="auto"/>
          <w:szCs w:val="32"/>
          <w:highlight w:val="none"/>
          <w:u w:val="none"/>
          <w:lang w:eastAsia="zh-CN"/>
        </w:rPr>
        <w:t>使用</w:t>
      </w:r>
      <w:r>
        <w:rPr>
          <w:rFonts w:hint="eastAsia" w:ascii="黑体" w:hAnsi="黑体" w:eastAsia="黑体"/>
          <w:bCs/>
          <w:color w:val="auto"/>
          <w:szCs w:val="32"/>
          <w:highlight w:val="none"/>
          <w:u w:val="none"/>
          <w:lang w:val="en-US" w:eastAsia="zh-CN"/>
        </w:rPr>
        <w:t>约定</w:t>
      </w:r>
      <w:r>
        <w:rPr>
          <w:rFonts w:hint="eastAsia" w:ascii="黑体" w:hAnsi="黑体" w:eastAsia="黑体"/>
          <w:bCs/>
          <w:color w:val="auto"/>
          <w:szCs w:val="32"/>
          <w:highlight w:val="none"/>
          <w:u w:val="none"/>
        </w:rPr>
        <w:t>】</w:t>
      </w:r>
      <w:r>
        <w:rPr>
          <w:rFonts w:hint="eastAsia" w:ascii="黑体" w:hAnsi="黑体" w:eastAsia="黑体"/>
          <w:bCs/>
          <w:color w:val="auto"/>
          <w:szCs w:val="32"/>
          <w:highlight w:val="none"/>
          <w:u w:val="none"/>
          <w:lang w:val="en-US" w:eastAsia="zh-CN"/>
        </w:rPr>
        <w:t xml:space="preserve">  </w:t>
      </w:r>
      <w:r>
        <w:rPr>
          <w:rFonts w:hint="eastAsia" w:ascii="仿宋_GB2312" w:hAnsi="仿宋_GB2312" w:cs="仿宋_GB2312"/>
          <w:bCs/>
          <w:color w:val="auto"/>
          <w:szCs w:val="32"/>
          <w:highlight w:val="none"/>
          <w:u w:val="none"/>
        </w:rPr>
        <w:t>共有产权住房</w:t>
      </w:r>
      <w:r>
        <w:rPr>
          <w:rFonts w:hint="eastAsia" w:ascii="仿宋_GB2312" w:hAnsi="仿宋_GB2312" w:cs="仿宋_GB2312"/>
          <w:bCs/>
          <w:color w:val="auto"/>
          <w:szCs w:val="32"/>
          <w:highlight w:val="none"/>
          <w:u w:val="none"/>
          <w:lang w:val="en-US" w:eastAsia="zh-CN"/>
        </w:rPr>
        <w:t>购房人按照整套住房享受业主权利，承担业主义务。</w:t>
      </w:r>
    </w:p>
    <w:p>
      <w:pPr>
        <w:keepNext w:val="0"/>
        <w:keepLines w:val="0"/>
        <w:pageBreakBefore w:val="0"/>
        <w:widowControl/>
        <w:kinsoku/>
        <w:wordWrap w:val="0"/>
        <w:overflowPunct/>
        <w:topLinePunct w:val="0"/>
        <w:autoSpaceDE/>
        <w:autoSpaceDN/>
        <w:bidi w:val="0"/>
        <w:adjustRightInd/>
        <w:snapToGrid/>
        <w:spacing w:line="578" w:lineRule="exact"/>
        <w:ind w:firstLine="640" w:firstLineChars="200"/>
        <w:textAlignment w:val="auto"/>
        <w:outlineLvl w:val="2"/>
        <w:rPr>
          <w:rFonts w:ascii="仿宋_GB2312" w:hAnsi="仿宋_GB2312" w:cs="仿宋_GB2312"/>
          <w:bCs/>
          <w:color w:val="auto"/>
          <w:szCs w:val="32"/>
          <w:highlight w:val="none"/>
          <w:u w:val="none"/>
        </w:rPr>
      </w:pPr>
      <w:r>
        <w:rPr>
          <w:rFonts w:hint="eastAsia" w:ascii="仿宋_GB2312" w:hAnsi="仿宋_GB2312" w:cs="仿宋_GB2312"/>
          <w:bCs/>
          <w:color w:val="auto"/>
          <w:szCs w:val="32"/>
          <w:highlight w:val="none"/>
          <w:u w:val="none"/>
        </w:rPr>
        <w:t>共有产权住房交付使用后，购房人</w:t>
      </w:r>
      <w:r>
        <w:rPr>
          <w:rFonts w:hint="eastAsia" w:ascii="仿宋_GB2312" w:hAnsi="仿宋_GB2312" w:cs="仿宋_GB2312"/>
          <w:bCs/>
          <w:color w:val="auto"/>
          <w:szCs w:val="32"/>
          <w:highlight w:val="none"/>
          <w:u w:val="none"/>
          <w:lang w:val="en-US" w:eastAsia="zh-CN"/>
        </w:rPr>
        <w:t>应当</w:t>
      </w:r>
      <w:r>
        <w:rPr>
          <w:rFonts w:hint="eastAsia" w:ascii="仿宋_GB2312" w:hAnsi="仿宋_GB2312" w:cs="仿宋_GB2312"/>
          <w:bCs/>
          <w:color w:val="auto"/>
          <w:szCs w:val="32"/>
          <w:highlight w:val="none"/>
          <w:u w:val="none"/>
        </w:rPr>
        <w:t>承担整套住房专有部分和共有部分的物业服务费以及使用过程中管理责任和义务，不得危及建筑物的安全，不得损害他人的合法权益。</w:t>
      </w:r>
    </w:p>
    <w:p>
      <w:pPr>
        <w:keepNext w:val="0"/>
        <w:keepLines w:val="0"/>
        <w:pageBreakBefore w:val="0"/>
        <w:numPr>
          <w:ilvl w:val="255"/>
          <w:numId w:val="0"/>
        </w:numPr>
        <w:kinsoku/>
        <w:overflowPunct/>
        <w:topLinePunct w:val="0"/>
        <w:autoSpaceDE/>
        <w:autoSpaceDN/>
        <w:bidi w:val="0"/>
        <w:adjustRightInd/>
        <w:snapToGrid/>
        <w:spacing w:line="578" w:lineRule="exact"/>
        <w:ind w:firstLine="640" w:firstLineChars="200"/>
        <w:textAlignment w:val="auto"/>
        <w:outlineLvl w:val="2"/>
        <w:rPr>
          <w:color w:val="auto"/>
          <w:szCs w:val="32"/>
          <w:highlight w:val="none"/>
          <w:u w:val="none"/>
        </w:rPr>
      </w:pPr>
      <w:r>
        <w:rPr>
          <w:rFonts w:hint="eastAsia" w:ascii="仿宋_GB2312" w:hAnsi="仿宋_GB2312" w:cs="仿宋_GB2312"/>
          <w:bCs/>
          <w:color w:val="auto"/>
          <w:szCs w:val="32"/>
          <w:highlight w:val="none"/>
          <w:u w:val="none"/>
        </w:rPr>
        <w:t>购房人应当</w:t>
      </w:r>
      <w:r>
        <w:rPr>
          <w:rFonts w:hint="eastAsia" w:ascii="仿宋_GB2312" w:hAnsi="仿宋_GB2312" w:cs="仿宋_GB2312"/>
          <w:bCs/>
          <w:color w:val="auto"/>
          <w:szCs w:val="32"/>
          <w:highlight w:val="none"/>
          <w:u w:val="none"/>
          <w:lang w:val="en-US" w:eastAsia="zh-CN"/>
        </w:rPr>
        <w:t>按照规定缴纳整套住房日常收取</w:t>
      </w:r>
      <w:r>
        <w:rPr>
          <w:rFonts w:hint="eastAsia" w:ascii="仿宋_GB2312" w:hAnsi="仿宋_GB2312" w:cs="仿宋_GB2312"/>
          <w:bCs/>
          <w:color w:val="auto"/>
          <w:szCs w:val="32"/>
          <w:highlight w:val="none"/>
          <w:u w:val="none"/>
        </w:rPr>
        <w:t>的物业专项维修资金，承担整套住房专有部分和共有部分使用过程中维修维护责任和义务。</w:t>
      </w:r>
    </w:p>
    <w:p>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ascii="黑体" w:hAnsi="黑体" w:eastAsia="黑体"/>
          <w:bCs/>
          <w:color w:val="auto"/>
          <w:szCs w:val="32"/>
          <w:highlight w:val="none"/>
          <w:u w:val="none"/>
        </w:rPr>
      </w:pPr>
      <w:r>
        <w:rPr>
          <w:rFonts w:hint="eastAsia" w:ascii="黑体" w:hAnsi="黑体" w:eastAsia="黑体"/>
          <w:bCs/>
          <w:color w:val="auto"/>
          <w:szCs w:val="32"/>
          <w:highlight w:val="none"/>
          <w:u w:val="none"/>
        </w:rPr>
        <w:t>第</w:t>
      </w:r>
      <w:r>
        <w:rPr>
          <w:rFonts w:hint="eastAsia" w:ascii="黑体" w:hAnsi="黑体" w:eastAsia="黑体"/>
          <w:bCs/>
          <w:color w:val="auto"/>
          <w:szCs w:val="32"/>
          <w:highlight w:val="none"/>
          <w:u w:val="none"/>
          <w:lang w:val="en-US" w:eastAsia="zh-CN"/>
        </w:rPr>
        <w:t>三十七</w:t>
      </w:r>
      <w:r>
        <w:rPr>
          <w:rFonts w:hint="eastAsia" w:ascii="黑体" w:hAnsi="黑体" w:eastAsia="黑体"/>
          <w:bCs/>
          <w:color w:val="auto"/>
          <w:szCs w:val="32"/>
          <w:highlight w:val="none"/>
          <w:u w:val="none"/>
        </w:rPr>
        <w:t>条【继承】</w:t>
      </w:r>
      <w:r>
        <w:rPr>
          <w:rFonts w:hint="eastAsia" w:ascii="黑体" w:hAnsi="黑体" w:eastAsia="黑体"/>
          <w:bCs/>
          <w:color w:val="auto"/>
          <w:szCs w:val="32"/>
          <w:highlight w:val="none"/>
          <w:u w:val="none"/>
          <w:lang w:val="en-US" w:eastAsia="zh-CN"/>
        </w:rPr>
        <w:t xml:space="preserve">  </w:t>
      </w:r>
      <w:r>
        <w:rPr>
          <w:rFonts w:hint="eastAsia" w:ascii="仿宋_GB2312"/>
          <w:color w:val="auto"/>
          <w:szCs w:val="32"/>
          <w:highlight w:val="none"/>
          <w:u w:val="none"/>
        </w:rPr>
        <w:t>共有产权住房</w:t>
      </w:r>
      <w:r>
        <w:rPr>
          <w:rFonts w:ascii="仿宋_GB2312" w:hAnsi="仿宋_GB2312" w:cs="仿宋_GB2312"/>
          <w:bCs/>
          <w:color w:val="auto"/>
          <w:szCs w:val="32"/>
          <w:highlight w:val="none"/>
          <w:u w:val="none"/>
        </w:rPr>
        <w:t>发</w:t>
      </w:r>
      <w:r>
        <w:rPr>
          <w:rFonts w:hint="eastAsia" w:ascii="仿宋_GB2312" w:hAnsi="仿宋_GB2312" w:cs="仿宋_GB2312"/>
          <w:bCs/>
          <w:color w:val="auto"/>
          <w:szCs w:val="32"/>
          <w:highlight w:val="none"/>
          <w:u w:val="none"/>
        </w:rPr>
        <w:t>生继承的，</w:t>
      </w:r>
      <w:r>
        <w:rPr>
          <w:rFonts w:ascii="仿宋_GB2312" w:hAnsi="仿宋_GB2312" w:cs="仿宋_GB2312"/>
          <w:color w:val="auto"/>
          <w:szCs w:val="32"/>
          <w:highlight w:val="none"/>
          <w:u w:val="none"/>
        </w:rPr>
        <w:t>继承人</w:t>
      </w:r>
      <w:r>
        <w:rPr>
          <w:rFonts w:hint="eastAsia" w:ascii="仿宋_GB2312" w:hAnsi="仿宋_GB2312" w:cs="仿宋_GB2312"/>
          <w:color w:val="auto"/>
          <w:szCs w:val="32"/>
          <w:highlight w:val="none"/>
          <w:u w:val="none"/>
        </w:rPr>
        <w:t>经协商一致，</w:t>
      </w:r>
      <w:r>
        <w:rPr>
          <w:rFonts w:hint="eastAsia" w:ascii="仿宋_GB2312" w:hAnsi="仿宋_GB2312" w:cs="仿宋_GB2312"/>
          <w:bCs/>
          <w:color w:val="auto"/>
          <w:szCs w:val="32"/>
          <w:highlight w:val="none"/>
          <w:u w:val="none"/>
        </w:rPr>
        <w:t>可以选择以下方式之一处理，法律另有规定的除外：</w:t>
      </w:r>
      <w:bookmarkEnd w:id="111"/>
      <w:bookmarkEnd w:id="112"/>
      <w:bookmarkEnd w:id="113"/>
      <w:bookmarkEnd w:id="114"/>
      <w:bookmarkEnd w:id="115"/>
    </w:p>
    <w:p>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ascii="仿宋_GB2312" w:hAnsi="仿宋_GB2312" w:cs="仿宋_GB2312"/>
          <w:color w:val="auto"/>
          <w:szCs w:val="32"/>
          <w:highlight w:val="none"/>
          <w:u w:val="none"/>
        </w:rPr>
      </w:pPr>
      <w:r>
        <w:rPr>
          <w:rFonts w:hint="eastAsia" w:ascii="仿宋_GB2312" w:hAnsi="仿宋_GB2312" w:cs="仿宋_GB2312"/>
          <w:bCs/>
          <w:color w:val="auto"/>
          <w:szCs w:val="32"/>
          <w:highlight w:val="none"/>
          <w:u w:val="none"/>
        </w:rPr>
        <w:t>（一）</w:t>
      </w:r>
      <w:r>
        <w:rPr>
          <w:rFonts w:hint="eastAsia" w:ascii="仿宋_GB2312" w:hAnsi="仿宋_GB2312" w:cs="仿宋_GB2312"/>
          <w:color w:val="auto"/>
          <w:szCs w:val="32"/>
          <w:highlight w:val="none"/>
          <w:u w:val="none"/>
        </w:rPr>
        <w:t>继承人具有本市户籍，未在本市拥有</w:t>
      </w:r>
      <w:r>
        <w:rPr>
          <w:rFonts w:hint="eastAsia" w:ascii="仿宋_GB2312" w:hAnsi="仿宋_GB2312" w:cs="仿宋_GB2312"/>
          <w:color w:val="auto"/>
          <w:szCs w:val="32"/>
          <w:highlight w:val="none"/>
          <w:u w:val="none"/>
          <w:lang w:val="en-US" w:eastAsia="zh-CN"/>
        </w:rPr>
        <w:t>政策性住房的，可以</w:t>
      </w:r>
      <w:r>
        <w:rPr>
          <w:rFonts w:hint="eastAsia" w:ascii="仿宋_GB2312" w:hAnsi="仿宋_GB2312" w:cs="仿宋_GB2312"/>
          <w:color w:val="auto"/>
          <w:szCs w:val="32"/>
          <w:highlight w:val="none"/>
          <w:u w:val="none"/>
        </w:rPr>
        <w:t>将继承的该套住房的产权份额变更登记至继承人名下；</w:t>
      </w:r>
    </w:p>
    <w:p>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hint="eastAsia" w:ascii="仿宋_GB2312" w:hAnsi="仿宋_GB2312" w:cs="仿宋_GB2312"/>
          <w:color w:val="auto"/>
          <w:szCs w:val="32"/>
          <w:highlight w:val="none"/>
          <w:u w:val="none"/>
          <w:lang w:eastAsia="zh-CN"/>
        </w:rPr>
      </w:pPr>
      <w:r>
        <w:rPr>
          <w:rFonts w:hint="eastAsia" w:ascii="仿宋_GB2312" w:hAnsi="仿宋_GB2312" w:cs="仿宋_GB2312"/>
          <w:color w:val="auto"/>
          <w:szCs w:val="32"/>
          <w:highlight w:val="none"/>
          <w:u w:val="none"/>
        </w:rPr>
        <w:t>（</w:t>
      </w:r>
      <w:r>
        <w:rPr>
          <w:rFonts w:hint="eastAsia" w:ascii="仿宋_GB2312" w:hAnsi="仿宋_GB2312" w:cs="仿宋_GB2312"/>
          <w:bCs/>
          <w:color w:val="auto"/>
          <w:szCs w:val="32"/>
          <w:highlight w:val="none"/>
          <w:u w:val="none"/>
          <w:lang w:val="en-US" w:eastAsia="zh-CN"/>
        </w:rPr>
        <w:t>二</w:t>
      </w:r>
      <w:r>
        <w:rPr>
          <w:rFonts w:hint="eastAsia" w:ascii="仿宋_GB2312" w:hAnsi="仿宋_GB2312" w:cs="仿宋_GB2312"/>
          <w:bCs/>
          <w:color w:val="auto"/>
          <w:szCs w:val="32"/>
          <w:highlight w:val="none"/>
          <w:u w:val="none"/>
        </w:rPr>
        <w:t>）</w:t>
      </w:r>
      <w:r>
        <w:rPr>
          <w:rFonts w:hint="eastAsia" w:ascii="仿宋_GB2312" w:hAnsi="仿宋_GB2312" w:cs="仿宋_GB2312"/>
          <w:color w:val="auto"/>
          <w:szCs w:val="32"/>
          <w:highlight w:val="none"/>
          <w:u w:val="none"/>
        </w:rPr>
        <w:t>自签订</w:t>
      </w:r>
      <w:r>
        <w:rPr>
          <w:rFonts w:hint="eastAsia" w:ascii="仿宋_GB2312"/>
          <w:color w:val="auto"/>
          <w:szCs w:val="32"/>
          <w:highlight w:val="none"/>
          <w:u w:val="none"/>
        </w:rPr>
        <w:t>买卖合同</w:t>
      </w:r>
      <w:r>
        <w:rPr>
          <w:rFonts w:hint="eastAsia" w:ascii="仿宋_GB2312" w:hAnsi="仿宋_GB2312" w:cs="仿宋_GB2312"/>
          <w:color w:val="auto"/>
          <w:szCs w:val="32"/>
          <w:highlight w:val="none"/>
          <w:u w:val="none"/>
        </w:rPr>
        <w:t>之日起满</w:t>
      </w:r>
      <w:r>
        <w:rPr>
          <w:rFonts w:hint="eastAsia" w:ascii="仿宋_GB2312" w:hAnsi="仿宋_GB2312" w:cs="仿宋_GB2312"/>
          <w:color w:val="auto"/>
          <w:szCs w:val="32"/>
          <w:highlight w:val="none"/>
          <w:u w:val="none"/>
          <w:lang w:val="en-US" w:eastAsia="zh-CN"/>
        </w:rPr>
        <w:t>五</w:t>
      </w:r>
      <w:r>
        <w:rPr>
          <w:rFonts w:hint="eastAsia" w:ascii="仿宋_GB2312" w:hAnsi="仿宋_GB2312" w:cs="仿宋_GB2312"/>
          <w:color w:val="auto"/>
          <w:szCs w:val="32"/>
          <w:highlight w:val="none"/>
          <w:u w:val="none"/>
        </w:rPr>
        <w:t>年发生继承的，可以按照规定将</w:t>
      </w:r>
      <w:r>
        <w:rPr>
          <w:rFonts w:hint="eastAsia" w:ascii="仿宋_GB2312" w:hAnsi="仿宋_GB2312" w:cs="仿宋_GB2312"/>
          <w:bCs/>
          <w:color w:val="auto"/>
          <w:szCs w:val="32"/>
          <w:highlight w:val="none"/>
          <w:u w:val="none"/>
          <w:lang w:val="en-US" w:eastAsia="zh-CN"/>
        </w:rPr>
        <w:t>购房人所持产权份额</w:t>
      </w:r>
      <w:r>
        <w:rPr>
          <w:rFonts w:hint="eastAsia" w:ascii="仿宋_GB2312" w:hAnsi="仿宋_GB2312" w:cs="仿宋_GB2312"/>
          <w:color w:val="auto"/>
          <w:szCs w:val="32"/>
          <w:highlight w:val="none"/>
          <w:u w:val="none"/>
        </w:rPr>
        <w:t>向符合条件的对象转让</w:t>
      </w:r>
      <w:r>
        <w:rPr>
          <w:rFonts w:hint="eastAsia" w:ascii="仿宋_GB2312" w:hAnsi="仿宋_GB2312" w:cs="仿宋_GB2312"/>
          <w:color w:val="auto"/>
          <w:szCs w:val="32"/>
          <w:highlight w:val="none"/>
          <w:u w:val="none"/>
          <w:lang w:eastAsia="zh-CN"/>
        </w:rPr>
        <w:t>；</w:t>
      </w:r>
    </w:p>
    <w:p>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ascii="仿宋_GB2312" w:hAnsi="仿宋_GB2312" w:cs="仿宋_GB2312"/>
          <w:bCs/>
          <w:color w:val="auto"/>
          <w:szCs w:val="32"/>
          <w:highlight w:val="none"/>
          <w:u w:val="none"/>
        </w:rPr>
      </w:pPr>
      <w:r>
        <w:rPr>
          <w:rFonts w:hint="eastAsia" w:ascii="仿宋_GB2312" w:hAnsi="仿宋_GB2312" w:cs="仿宋_GB2312"/>
          <w:bCs/>
          <w:color w:val="auto"/>
          <w:szCs w:val="32"/>
          <w:highlight w:val="none"/>
          <w:u w:val="none"/>
        </w:rPr>
        <w:t>（</w:t>
      </w:r>
      <w:r>
        <w:rPr>
          <w:rFonts w:hint="eastAsia" w:ascii="仿宋_GB2312" w:hAnsi="仿宋_GB2312" w:cs="仿宋_GB2312"/>
          <w:bCs/>
          <w:color w:val="auto"/>
          <w:szCs w:val="32"/>
          <w:highlight w:val="none"/>
          <w:u w:val="none"/>
          <w:lang w:val="en-US" w:eastAsia="zh-CN"/>
        </w:rPr>
        <w:t>三</w:t>
      </w:r>
      <w:r>
        <w:rPr>
          <w:rFonts w:hint="eastAsia" w:ascii="仿宋_GB2312" w:hAnsi="仿宋_GB2312" w:cs="仿宋_GB2312"/>
          <w:bCs/>
          <w:color w:val="auto"/>
          <w:szCs w:val="32"/>
          <w:highlight w:val="none"/>
          <w:u w:val="none"/>
        </w:rPr>
        <w:t>）向代持机构申请</w:t>
      </w:r>
      <w:r>
        <w:rPr>
          <w:rFonts w:hint="eastAsia" w:ascii="仿宋_GB2312" w:hAnsi="仿宋_GB2312" w:cs="仿宋_GB2312"/>
          <w:color w:val="auto"/>
          <w:sz w:val="32"/>
          <w:szCs w:val="32"/>
          <w:highlight w:val="none"/>
          <w:u w:val="none"/>
          <w:lang w:val="en-US" w:eastAsia="zh-CN"/>
        </w:rPr>
        <w:t>收购</w:t>
      </w:r>
      <w:r>
        <w:rPr>
          <w:rFonts w:hint="eastAsia" w:ascii="仿宋_GB2312" w:hAnsi="仿宋_GB2312" w:cs="仿宋_GB2312"/>
          <w:bCs/>
          <w:color w:val="auto"/>
          <w:szCs w:val="32"/>
          <w:highlight w:val="none"/>
          <w:u w:val="none"/>
          <w:lang w:val="en-US" w:eastAsia="zh-CN"/>
        </w:rPr>
        <w:t>购房人所持产权份额</w:t>
      </w:r>
      <w:r>
        <w:rPr>
          <w:rFonts w:hint="eastAsia" w:ascii="仿宋_GB2312" w:hAnsi="仿宋_GB2312" w:cs="仿宋_GB2312"/>
          <w:bCs/>
          <w:color w:val="auto"/>
          <w:szCs w:val="32"/>
          <w:highlight w:val="none"/>
          <w:u w:val="none"/>
        </w:rPr>
        <w:t>，并就</w:t>
      </w:r>
      <w:r>
        <w:rPr>
          <w:rFonts w:hint="eastAsia" w:ascii="仿宋_GB2312" w:hAnsi="仿宋_GB2312" w:cs="仿宋_GB2312"/>
          <w:bCs/>
          <w:color w:val="auto"/>
          <w:szCs w:val="32"/>
          <w:highlight w:val="none"/>
          <w:u w:val="none"/>
          <w:lang w:val="en-US" w:eastAsia="zh-CN"/>
        </w:rPr>
        <w:t>收</w:t>
      </w:r>
      <w:r>
        <w:rPr>
          <w:rFonts w:hint="eastAsia" w:ascii="仿宋_GB2312" w:hAnsi="仿宋_GB2312" w:cs="仿宋_GB2312"/>
          <w:bCs/>
          <w:color w:val="auto"/>
          <w:szCs w:val="32"/>
          <w:highlight w:val="none"/>
          <w:u w:val="none"/>
        </w:rPr>
        <w:t>购款进行继承；</w:t>
      </w:r>
    </w:p>
    <w:p>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ascii="仿宋_GB2312" w:hAnsi="仿宋_GB2312" w:cs="仿宋_GB2312"/>
          <w:bCs/>
          <w:color w:val="auto"/>
          <w:szCs w:val="32"/>
          <w:highlight w:val="none"/>
          <w:u w:val="none"/>
        </w:rPr>
      </w:pPr>
      <w:r>
        <w:rPr>
          <w:rFonts w:hint="eastAsia" w:ascii="仿宋_GB2312" w:hAnsi="仿宋_GB2312" w:cs="仿宋_GB2312"/>
          <w:bCs/>
          <w:color w:val="auto"/>
          <w:szCs w:val="32"/>
          <w:highlight w:val="none"/>
          <w:u w:val="none"/>
        </w:rPr>
        <w:t>（四）按照本办法及相关规定继续占有、使用该套住房。</w:t>
      </w:r>
    </w:p>
    <w:p>
      <w:pPr>
        <w:keepNext w:val="0"/>
        <w:keepLines w:val="0"/>
        <w:pageBreakBefore w:val="0"/>
        <w:widowControl/>
        <w:kinsoku/>
        <w:overflowPunct/>
        <w:topLinePunct w:val="0"/>
        <w:autoSpaceDE/>
        <w:autoSpaceDN/>
        <w:bidi w:val="0"/>
        <w:adjustRightInd/>
        <w:snapToGrid/>
        <w:spacing w:line="578" w:lineRule="exact"/>
        <w:ind w:firstLine="0" w:firstLineChars="0"/>
        <w:jc w:val="center"/>
        <w:textAlignment w:val="auto"/>
        <w:outlineLvl w:val="1"/>
        <w:rPr>
          <w:rFonts w:hint="eastAsia" w:ascii="黑体" w:hAnsi="黑体" w:eastAsia="黑体"/>
          <w:bCs/>
          <w:color w:val="auto"/>
          <w:szCs w:val="32"/>
          <w:highlight w:val="none"/>
          <w:u w:val="none"/>
        </w:rPr>
      </w:pPr>
    </w:p>
    <w:p>
      <w:pPr>
        <w:keepNext w:val="0"/>
        <w:keepLines w:val="0"/>
        <w:pageBreakBefore w:val="0"/>
        <w:widowControl/>
        <w:kinsoku/>
        <w:overflowPunct/>
        <w:topLinePunct w:val="0"/>
        <w:autoSpaceDE/>
        <w:autoSpaceDN/>
        <w:bidi w:val="0"/>
        <w:adjustRightInd/>
        <w:snapToGrid/>
        <w:spacing w:line="578" w:lineRule="exact"/>
        <w:ind w:firstLine="0" w:firstLineChars="0"/>
        <w:jc w:val="center"/>
        <w:textAlignment w:val="auto"/>
        <w:outlineLvl w:val="1"/>
        <w:rPr>
          <w:rFonts w:ascii="黑体" w:hAnsi="黑体" w:eastAsia="黑体"/>
          <w:bCs/>
          <w:color w:val="auto"/>
          <w:szCs w:val="32"/>
          <w:highlight w:val="none"/>
          <w:u w:val="none"/>
        </w:rPr>
      </w:pPr>
      <w:r>
        <w:rPr>
          <w:rFonts w:hint="eastAsia" w:ascii="黑体" w:hAnsi="黑体" w:eastAsia="黑体"/>
          <w:bCs/>
          <w:color w:val="auto"/>
          <w:szCs w:val="32"/>
          <w:highlight w:val="none"/>
          <w:u w:val="none"/>
        </w:rPr>
        <w:t>第</w:t>
      </w:r>
      <w:r>
        <w:rPr>
          <w:rFonts w:hint="eastAsia" w:ascii="黑体" w:hAnsi="黑体" w:eastAsia="黑体"/>
          <w:bCs/>
          <w:color w:val="auto"/>
          <w:szCs w:val="32"/>
          <w:highlight w:val="none"/>
          <w:u w:val="none"/>
          <w:lang w:val="en-US" w:eastAsia="zh-CN"/>
        </w:rPr>
        <w:t>四</w:t>
      </w:r>
      <w:r>
        <w:rPr>
          <w:rFonts w:hint="eastAsia" w:ascii="黑体" w:hAnsi="黑体" w:eastAsia="黑体"/>
          <w:bCs/>
          <w:color w:val="auto"/>
          <w:szCs w:val="32"/>
          <w:highlight w:val="none"/>
          <w:u w:val="none"/>
        </w:rPr>
        <w:t>章</w:t>
      </w:r>
      <w:r>
        <w:rPr>
          <w:rFonts w:ascii="黑体" w:hAnsi="黑体" w:eastAsia="黑体"/>
          <w:bCs/>
          <w:color w:val="auto"/>
          <w:szCs w:val="32"/>
          <w:highlight w:val="none"/>
          <w:u w:val="none"/>
        </w:rPr>
        <w:t xml:space="preserve"> 监督管理</w:t>
      </w:r>
    </w:p>
    <w:p>
      <w:pPr>
        <w:pStyle w:val="2"/>
        <w:keepNext w:val="0"/>
        <w:keepLines w:val="0"/>
        <w:pageBreakBefore w:val="0"/>
        <w:kinsoku/>
        <w:overflowPunct/>
        <w:topLinePunct w:val="0"/>
        <w:autoSpaceDE/>
        <w:autoSpaceDN/>
        <w:bidi w:val="0"/>
        <w:spacing w:after="0" w:line="578" w:lineRule="exact"/>
        <w:rPr>
          <w:color w:val="auto"/>
          <w:szCs w:val="32"/>
          <w:u w:val="none"/>
        </w:rPr>
      </w:pPr>
    </w:p>
    <w:p>
      <w:pPr>
        <w:keepNext w:val="0"/>
        <w:keepLines w:val="0"/>
        <w:pageBreakBefore w:val="0"/>
        <w:kinsoku/>
        <w:overflowPunct/>
        <w:topLinePunct w:val="0"/>
        <w:autoSpaceDE/>
        <w:autoSpaceDN/>
        <w:bidi w:val="0"/>
        <w:adjustRightInd/>
        <w:snapToGrid/>
        <w:spacing w:line="578" w:lineRule="exact"/>
        <w:ind w:firstLine="640" w:firstLineChars="200"/>
        <w:textAlignment w:val="auto"/>
        <w:outlineLvl w:val="2"/>
        <w:rPr>
          <w:rFonts w:ascii="仿宋_GB2312" w:hAnsi="仿宋_GB2312" w:cs="仿宋_GB2312"/>
          <w:color w:val="auto"/>
          <w:szCs w:val="32"/>
          <w:highlight w:val="none"/>
          <w:u w:val="none"/>
        </w:rPr>
      </w:pPr>
      <w:r>
        <w:rPr>
          <w:rFonts w:hint="eastAsia" w:ascii="黑体" w:hAnsi="黑体" w:eastAsia="黑体"/>
          <w:bCs/>
          <w:color w:val="auto"/>
          <w:szCs w:val="32"/>
          <w:highlight w:val="none"/>
          <w:u w:val="none"/>
        </w:rPr>
        <w:t>第</w:t>
      </w:r>
      <w:r>
        <w:rPr>
          <w:rFonts w:hint="eastAsia" w:ascii="黑体" w:hAnsi="黑体" w:eastAsia="黑体"/>
          <w:bCs/>
          <w:color w:val="auto"/>
          <w:szCs w:val="32"/>
          <w:highlight w:val="none"/>
          <w:u w:val="none"/>
          <w:lang w:val="en-US" w:eastAsia="zh-CN"/>
        </w:rPr>
        <w:t>三十八</w:t>
      </w:r>
      <w:r>
        <w:rPr>
          <w:rFonts w:hint="eastAsia" w:ascii="黑体" w:hAnsi="黑体" w:eastAsia="黑体"/>
          <w:bCs/>
          <w:color w:val="auto"/>
          <w:szCs w:val="32"/>
          <w:highlight w:val="none"/>
          <w:u w:val="none"/>
        </w:rPr>
        <w:t>条【</w:t>
      </w:r>
      <w:r>
        <w:rPr>
          <w:rFonts w:hint="eastAsia" w:ascii="黑体" w:hAnsi="黑体" w:eastAsia="黑体"/>
          <w:bCs/>
          <w:color w:val="auto"/>
          <w:szCs w:val="32"/>
          <w:highlight w:val="none"/>
          <w:u w:val="none"/>
          <w:lang w:val="en-US" w:eastAsia="zh-CN"/>
        </w:rPr>
        <w:t>开发建设单位监督管理</w:t>
      </w:r>
      <w:r>
        <w:rPr>
          <w:rFonts w:hint="eastAsia" w:ascii="黑体" w:hAnsi="黑体" w:eastAsia="黑体"/>
          <w:bCs/>
          <w:color w:val="auto"/>
          <w:szCs w:val="32"/>
          <w:highlight w:val="none"/>
          <w:u w:val="none"/>
        </w:rPr>
        <w:t>】</w:t>
      </w:r>
      <w:r>
        <w:rPr>
          <w:rFonts w:hint="eastAsia" w:ascii="黑体" w:hAnsi="黑体" w:eastAsia="黑体"/>
          <w:bCs/>
          <w:color w:val="auto"/>
          <w:szCs w:val="32"/>
          <w:highlight w:val="none"/>
          <w:u w:val="none"/>
          <w:lang w:val="en-US" w:eastAsia="zh-CN"/>
        </w:rPr>
        <w:t xml:space="preserve">  </w:t>
      </w:r>
      <w:r>
        <w:rPr>
          <w:rFonts w:hint="eastAsia" w:ascii="仿宋_GB2312" w:hAnsi="仿宋_GB2312" w:cs="仿宋_GB2312"/>
          <w:color w:val="auto"/>
          <w:szCs w:val="32"/>
          <w:highlight w:val="none"/>
          <w:u w:val="none"/>
          <w:lang w:val="en-US" w:eastAsia="zh-CN"/>
        </w:rPr>
        <w:t>开发建设单位建设共有产权住房的，</w:t>
      </w:r>
      <w:r>
        <w:rPr>
          <w:rFonts w:hint="eastAsia" w:ascii="仿宋_GB2312" w:hAnsi="仿宋_GB2312" w:cs="仿宋_GB2312"/>
          <w:color w:val="auto"/>
          <w:szCs w:val="32"/>
          <w:highlight w:val="none"/>
          <w:u w:val="none"/>
        </w:rPr>
        <w:t>不得有下列</w:t>
      </w:r>
      <w:r>
        <w:rPr>
          <w:rFonts w:hint="eastAsia" w:ascii="仿宋_GB2312" w:hAnsi="仿宋_GB2312" w:cs="仿宋_GB2312"/>
          <w:color w:val="auto"/>
          <w:szCs w:val="32"/>
          <w:highlight w:val="none"/>
          <w:u w:val="none"/>
          <w:lang w:val="en-US" w:eastAsia="zh-CN"/>
        </w:rPr>
        <w:t>情形</w:t>
      </w:r>
      <w:r>
        <w:rPr>
          <w:rFonts w:hint="eastAsia" w:ascii="仿宋_GB2312" w:hAnsi="仿宋_GB2312" w:cs="仿宋_GB2312"/>
          <w:color w:val="auto"/>
          <w:szCs w:val="32"/>
          <w:highlight w:val="none"/>
          <w:u w:val="none"/>
        </w:rPr>
        <w:t>：</w:t>
      </w:r>
    </w:p>
    <w:p>
      <w:pPr>
        <w:pStyle w:val="2"/>
        <w:keepNext w:val="0"/>
        <w:keepLines w:val="0"/>
        <w:pageBreakBefore w:val="0"/>
        <w:kinsoku/>
        <w:overflowPunct/>
        <w:topLinePunct w:val="0"/>
        <w:autoSpaceDE/>
        <w:autoSpaceDN/>
        <w:bidi w:val="0"/>
        <w:adjustRightInd/>
        <w:snapToGrid/>
        <w:spacing w:after="0" w:line="578" w:lineRule="exact"/>
        <w:ind w:firstLine="0"/>
        <w:textAlignment w:val="auto"/>
        <w:rPr>
          <w:rFonts w:hint="eastAsia" w:ascii="仿宋_GB2312" w:hAnsi="仿宋_GB2312" w:cs="仿宋_GB2312"/>
          <w:color w:val="auto"/>
          <w:szCs w:val="32"/>
          <w:highlight w:val="none"/>
          <w:u w:val="none"/>
          <w:lang w:val="en-US" w:eastAsia="zh-CN"/>
        </w:rPr>
      </w:pPr>
      <w:r>
        <w:rPr>
          <w:rFonts w:hint="eastAsia" w:ascii="仿宋_GB2312" w:hAnsi="仿宋_GB2312" w:cs="仿宋_GB2312"/>
          <w:color w:val="auto"/>
          <w:szCs w:val="32"/>
          <w:highlight w:val="none"/>
          <w:u w:val="none"/>
          <w:lang w:eastAsia="zh-CN"/>
        </w:rPr>
        <w:t>（</w:t>
      </w:r>
      <w:r>
        <w:rPr>
          <w:rFonts w:hint="eastAsia" w:ascii="仿宋_GB2312" w:hAnsi="仿宋_GB2312" w:cs="仿宋_GB2312"/>
          <w:color w:val="auto"/>
          <w:szCs w:val="32"/>
          <w:highlight w:val="none"/>
          <w:u w:val="none"/>
          <w:lang w:val="en-US" w:eastAsia="zh-CN"/>
        </w:rPr>
        <w:t>一</w:t>
      </w:r>
      <w:r>
        <w:rPr>
          <w:rFonts w:hint="eastAsia" w:ascii="仿宋_GB2312" w:hAnsi="仿宋_GB2312" w:cs="仿宋_GB2312"/>
          <w:color w:val="auto"/>
          <w:szCs w:val="32"/>
          <w:highlight w:val="none"/>
          <w:u w:val="none"/>
          <w:lang w:eastAsia="zh-CN"/>
        </w:rPr>
        <w:t>）</w:t>
      </w:r>
      <w:r>
        <w:rPr>
          <w:rFonts w:hint="eastAsia" w:ascii="仿宋_GB2312" w:hAnsi="仿宋_GB2312" w:cs="仿宋_GB2312"/>
          <w:color w:val="auto"/>
          <w:szCs w:val="32"/>
          <w:highlight w:val="none"/>
          <w:u w:val="none"/>
          <w:lang w:val="en-US" w:eastAsia="zh-CN"/>
        </w:rPr>
        <w:t>共有产权住房达到配售条件，无正当理由拒不开展配售工作；</w:t>
      </w:r>
    </w:p>
    <w:p>
      <w:pPr>
        <w:pStyle w:val="2"/>
        <w:keepNext w:val="0"/>
        <w:keepLines w:val="0"/>
        <w:pageBreakBefore w:val="0"/>
        <w:kinsoku/>
        <w:overflowPunct/>
        <w:topLinePunct w:val="0"/>
        <w:autoSpaceDE/>
        <w:autoSpaceDN/>
        <w:bidi w:val="0"/>
        <w:adjustRightInd/>
        <w:snapToGrid/>
        <w:spacing w:after="0" w:line="578" w:lineRule="exact"/>
        <w:ind w:firstLine="0"/>
        <w:textAlignment w:val="auto"/>
        <w:rPr>
          <w:rFonts w:hint="eastAsia" w:ascii="仿宋_GB2312" w:hAnsi="仿宋_GB2312" w:cs="仿宋_GB2312"/>
          <w:color w:val="auto"/>
          <w:szCs w:val="32"/>
          <w:highlight w:val="none"/>
          <w:u w:val="none"/>
          <w:lang w:eastAsia="zh-CN"/>
        </w:rPr>
      </w:pPr>
      <w:r>
        <w:rPr>
          <w:rFonts w:hint="eastAsia" w:ascii="仿宋_GB2312" w:hAnsi="仿宋_GB2312" w:cs="仿宋_GB2312"/>
          <w:color w:val="auto"/>
          <w:szCs w:val="32"/>
          <w:highlight w:val="none"/>
          <w:u w:val="none"/>
          <w:lang w:val="en-US" w:eastAsia="zh-CN"/>
        </w:rPr>
        <w:t>（二）</w:t>
      </w:r>
      <w:r>
        <w:rPr>
          <w:rFonts w:hint="eastAsia" w:ascii="仿宋_GB2312" w:hAnsi="仿宋_GB2312" w:cs="仿宋_GB2312"/>
          <w:color w:val="auto"/>
          <w:szCs w:val="32"/>
          <w:highlight w:val="none"/>
          <w:u w:val="none"/>
        </w:rPr>
        <w:t>擅自对外</w:t>
      </w:r>
      <w:r>
        <w:rPr>
          <w:rFonts w:hint="eastAsia" w:ascii="仿宋_GB2312" w:hAnsi="仿宋_GB2312" w:cs="仿宋_GB2312"/>
          <w:color w:val="auto"/>
          <w:szCs w:val="32"/>
          <w:highlight w:val="none"/>
          <w:u w:val="none"/>
          <w:lang w:val="en-US" w:eastAsia="zh-CN"/>
        </w:rPr>
        <w:t>出租、</w:t>
      </w:r>
      <w:r>
        <w:rPr>
          <w:rFonts w:hint="eastAsia" w:ascii="仿宋_GB2312" w:hAnsi="仿宋_GB2312" w:cs="仿宋_GB2312"/>
          <w:color w:val="auto"/>
          <w:szCs w:val="32"/>
          <w:highlight w:val="none"/>
          <w:u w:val="none"/>
        </w:rPr>
        <w:t>出售</w:t>
      </w:r>
      <w:r>
        <w:rPr>
          <w:rStyle w:val="14"/>
          <w:rFonts w:hint="eastAsia" w:ascii="仿宋_GB2312" w:hAnsi="仿宋_GB2312" w:eastAsia="仿宋_GB2312" w:cs="仿宋_GB2312"/>
          <w:color w:val="auto"/>
          <w:szCs w:val="32"/>
          <w:highlight w:val="none"/>
          <w:u w:val="none"/>
        </w:rPr>
        <w:t>共有产权住房</w:t>
      </w:r>
      <w:r>
        <w:rPr>
          <w:rFonts w:hint="eastAsia" w:ascii="仿宋_GB2312" w:hAnsi="仿宋_GB2312" w:cs="仿宋_GB2312"/>
          <w:color w:val="auto"/>
          <w:szCs w:val="32"/>
          <w:highlight w:val="none"/>
          <w:u w:val="none"/>
          <w:lang w:eastAsia="zh-CN"/>
        </w:rPr>
        <w:t>；</w:t>
      </w:r>
    </w:p>
    <w:p>
      <w:pPr>
        <w:pStyle w:val="2"/>
        <w:keepNext w:val="0"/>
        <w:keepLines w:val="0"/>
        <w:pageBreakBefore w:val="0"/>
        <w:kinsoku/>
        <w:overflowPunct/>
        <w:topLinePunct w:val="0"/>
        <w:autoSpaceDE/>
        <w:autoSpaceDN/>
        <w:bidi w:val="0"/>
        <w:adjustRightInd/>
        <w:snapToGrid/>
        <w:spacing w:after="0" w:line="578" w:lineRule="exact"/>
        <w:ind w:firstLine="0"/>
        <w:textAlignment w:val="auto"/>
        <w:rPr>
          <w:rFonts w:hint="default"/>
          <w:color w:val="auto"/>
          <w:szCs w:val="32"/>
          <w:highlight w:val="none"/>
          <w:u w:val="none"/>
          <w:lang w:val="en-US" w:eastAsia="zh-CN"/>
        </w:rPr>
      </w:pPr>
      <w:r>
        <w:rPr>
          <w:rFonts w:hint="eastAsia" w:ascii="仿宋_GB2312" w:hAnsi="仿宋_GB2312" w:cs="仿宋_GB2312"/>
          <w:color w:val="auto"/>
          <w:szCs w:val="32"/>
          <w:highlight w:val="none"/>
          <w:u w:val="none"/>
          <w:lang w:eastAsia="zh-CN"/>
        </w:rPr>
        <w:t>（</w:t>
      </w:r>
      <w:r>
        <w:rPr>
          <w:rFonts w:hint="eastAsia" w:ascii="仿宋_GB2312" w:hAnsi="仿宋_GB2312" w:cs="仿宋_GB2312"/>
          <w:color w:val="auto"/>
          <w:szCs w:val="32"/>
          <w:highlight w:val="none"/>
          <w:u w:val="none"/>
          <w:lang w:val="en-US" w:eastAsia="zh-CN"/>
        </w:rPr>
        <w:t>三</w:t>
      </w:r>
      <w:r>
        <w:rPr>
          <w:rFonts w:hint="eastAsia" w:ascii="仿宋_GB2312" w:hAnsi="仿宋_GB2312" w:cs="仿宋_GB2312"/>
          <w:color w:val="auto"/>
          <w:szCs w:val="32"/>
          <w:highlight w:val="none"/>
          <w:u w:val="none"/>
          <w:lang w:eastAsia="zh-CN"/>
        </w:rPr>
        <w:t>）</w:t>
      </w:r>
      <w:r>
        <w:rPr>
          <w:rFonts w:hint="eastAsia" w:ascii="仿宋_GB2312" w:hAnsi="仿宋_GB2312" w:cs="仿宋_GB2312"/>
          <w:color w:val="auto"/>
          <w:szCs w:val="32"/>
          <w:highlight w:val="none"/>
          <w:u w:val="none"/>
          <w:lang w:val="en-US" w:eastAsia="zh-CN"/>
        </w:rPr>
        <w:t>其他违法情形。</w:t>
      </w:r>
    </w:p>
    <w:p>
      <w:pPr>
        <w:keepNext w:val="0"/>
        <w:keepLines w:val="0"/>
        <w:pageBreakBefore w:val="0"/>
        <w:kinsoku/>
        <w:overflowPunct/>
        <w:topLinePunct w:val="0"/>
        <w:autoSpaceDE/>
        <w:autoSpaceDN/>
        <w:bidi w:val="0"/>
        <w:adjustRightInd/>
        <w:snapToGrid/>
        <w:spacing w:line="578" w:lineRule="exact"/>
        <w:ind w:firstLine="640" w:firstLineChars="200"/>
        <w:textAlignment w:val="auto"/>
        <w:outlineLvl w:val="2"/>
        <w:rPr>
          <w:rFonts w:ascii="仿宋_GB2312" w:hAnsi="仿宋_GB2312" w:cs="仿宋_GB2312"/>
          <w:color w:val="auto"/>
          <w:szCs w:val="32"/>
          <w:highlight w:val="none"/>
          <w:u w:val="none"/>
        </w:rPr>
      </w:pPr>
      <w:r>
        <w:rPr>
          <w:rFonts w:hint="eastAsia" w:ascii="黑体" w:hAnsi="黑体" w:eastAsia="黑体"/>
          <w:bCs/>
          <w:color w:val="auto"/>
          <w:szCs w:val="32"/>
          <w:highlight w:val="none"/>
          <w:u w:val="none"/>
        </w:rPr>
        <w:t>第</w:t>
      </w:r>
      <w:r>
        <w:rPr>
          <w:rFonts w:hint="eastAsia" w:ascii="黑体" w:hAnsi="黑体" w:eastAsia="黑体"/>
          <w:bCs/>
          <w:color w:val="auto"/>
          <w:szCs w:val="32"/>
          <w:highlight w:val="none"/>
          <w:u w:val="none"/>
          <w:lang w:val="en-US" w:eastAsia="zh-CN"/>
        </w:rPr>
        <w:t>三十九</w:t>
      </w:r>
      <w:r>
        <w:rPr>
          <w:rFonts w:hint="eastAsia" w:ascii="黑体" w:hAnsi="黑体" w:eastAsia="黑体"/>
          <w:bCs/>
          <w:color w:val="auto"/>
          <w:szCs w:val="32"/>
          <w:highlight w:val="none"/>
          <w:u w:val="none"/>
        </w:rPr>
        <w:t>条【</w:t>
      </w:r>
      <w:r>
        <w:rPr>
          <w:rFonts w:hint="eastAsia" w:ascii="黑体" w:hAnsi="黑体" w:eastAsia="黑体"/>
          <w:bCs/>
          <w:color w:val="auto"/>
          <w:szCs w:val="32"/>
          <w:highlight w:val="none"/>
          <w:u w:val="none"/>
          <w:lang w:val="en-US" w:eastAsia="zh-CN"/>
        </w:rPr>
        <w:t>购房人禁止情形</w:t>
      </w:r>
      <w:r>
        <w:rPr>
          <w:rFonts w:hint="eastAsia" w:ascii="黑体" w:hAnsi="黑体" w:eastAsia="黑体"/>
          <w:bCs/>
          <w:color w:val="auto"/>
          <w:szCs w:val="32"/>
          <w:highlight w:val="none"/>
          <w:u w:val="none"/>
        </w:rPr>
        <w:t>】</w:t>
      </w:r>
      <w:r>
        <w:rPr>
          <w:rFonts w:hint="eastAsia" w:ascii="黑体" w:hAnsi="黑体" w:eastAsia="黑体"/>
          <w:bCs/>
          <w:color w:val="auto"/>
          <w:szCs w:val="32"/>
          <w:highlight w:val="none"/>
          <w:u w:val="none"/>
          <w:lang w:val="en-US" w:eastAsia="zh-CN"/>
        </w:rPr>
        <w:t xml:space="preserve">  </w:t>
      </w:r>
      <w:r>
        <w:rPr>
          <w:rFonts w:hint="eastAsia" w:ascii="仿宋_GB2312" w:hAnsi="仿宋_GB2312" w:cs="仿宋_GB2312"/>
          <w:color w:val="auto"/>
          <w:szCs w:val="32"/>
          <w:highlight w:val="none"/>
          <w:u w:val="none"/>
        </w:rPr>
        <w:t>购房人不得有下列</w:t>
      </w:r>
      <w:r>
        <w:rPr>
          <w:rFonts w:hint="eastAsia" w:ascii="仿宋_GB2312" w:hAnsi="仿宋_GB2312" w:cs="仿宋_GB2312"/>
          <w:color w:val="auto"/>
          <w:szCs w:val="32"/>
          <w:highlight w:val="none"/>
          <w:u w:val="none"/>
          <w:lang w:val="en-US" w:eastAsia="zh-CN"/>
        </w:rPr>
        <w:t>情形</w:t>
      </w:r>
      <w:r>
        <w:rPr>
          <w:rFonts w:hint="eastAsia" w:ascii="仿宋_GB2312" w:hAnsi="仿宋_GB2312" w:cs="仿宋_GB2312"/>
          <w:color w:val="auto"/>
          <w:szCs w:val="32"/>
          <w:highlight w:val="none"/>
          <w:u w:val="none"/>
        </w:rPr>
        <w:t>：</w:t>
      </w:r>
    </w:p>
    <w:p>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ascii="仿宋_GB2312" w:hAnsi="仿宋_GB2312" w:cs="仿宋_GB2312"/>
          <w:color w:val="auto"/>
          <w:szCs w:val="32"/>
          <w:highlight w:val="none"/>
          <w:u w:val="none"/>
        </w:rPr>
      </w:pPr>
      <w:r>
        <w:rPr>
          <w:rFonts w:ascii="仿宋_GB2312" w:hAnsi="仿宋_GB2312" w:cs="仿宋_GB2312"/>
          <w:color w:val="auto"/>
          <w:szCs w:val="32"/>
          <w:highlight w:val="none"/>
          <w:u w:val="none"/>
        </w:rPr>
        <w:t>（一）无正当理由连续六个月以上未在</w:t>
      </w:r>
      <w:r>
        <w:rPr>
          <w:rFonts w:hint="eastAsia" w:ascii="仿宋_GB2312" w:hAnsi="仿宋_GB2312" w:cs="仿宋_GB2312"/>
          <w:color w:val="auto"/>
          <w:szCs w:val="32"/>
          <w:highlight w:val="none"/>
          <w:u w:val="none"/>
        </w:rPr>
        <w:t>共有产权住房</w:t>
      </w:r>
      <w:r>
        <w:rPr>
          <w:rFonts w:ascii="仿宋_GB2312" w:hAnsi="仿宋_GB2312" w:cs="仿宋_GB2312"/>
          <w:color w:val="auto"/>
          <w:szCs w:val="32"/>
          <w:highlight w:val="none"/>
          <w:u w:val="none"/>
        </w:rPr>
        <w:t>内居住</w:t>
      </w:r>
      <w:r>
        <w:rPr>
          <w:rFonts w:hint="eastAsia" w:ascii="仿宋_GB2312" w:hAnsi="仿宋_GB2312" w:cs="仿宋_GB2312"/>
          <w:color w:val="auto"/>
          <w:szCs w:val="32"/>
          <w:highlight w:val="none"/>
          <w:u w:val="none"/>
          <w:lang w:val="en-US" w:eastAsia="zh-CN"/>
        </w:rPr>
        <w:t>的</w:t>
      </w:r>
      <w:r>
        <w:rPr>
          <w:rFonts w:ascii="仿宋_GB2312" w:hAnsi="仿宋_GB2312" w:cs="仿宋_GB2312"/>
          <w:color w:val="auto"/>
          <w:szCs w:val="32"/>
          <w:highlight w:val="none"/>
          <w:u w:val="none"/>
        </w:rPr>
        <w:t>；</w:t>
      </w:r>
    </w:p>
    <w:p>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（二）擅自互换、出借、出租共有产权住房</w:t>
      </w:r>
      <w:r>
        <w:rPr>
          <w:rFonts w:hint="eastAsia" w:ascii="仿宋_GB2312" w:hAnsi="仿宋_GB2312" w:cs="仿宋_GB2312"/>
          <w:color w:val="auto"/>
          <w:szCs w:val="32"/>
          <w:highlight w:val="none"/>
          <w:u w:val="none"/>
          <w:lang w:val="en-US" w:eastAsia="zh-CN"/>
        </w:rPr>
        <w:t>的</w:t>
      </w:r>
      <w:r>
        <w:rPr>
          <w:rFonts w:hint="eastAsia" w:ascii="仿宋_GB2312" w:hAnsi="仿宋_GB2312" w:cs="仿宋_GB2312"/>
          <w:color w:val="auto"/>
          <w:szCs w:val="32"/>
          <w:highlight w:val="none"/>
          <w:u w:val="none"/>
        </w:rPr>
        <w:t>；</w:t>
      </w:r>
    </w:p>
    <w:p>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（三）擅自转让、抵押</w:t>
      </w:r>
      <w:r>
        <w:rPr>
          <w:rFonts w:hint="eastAsia" w:ascii="仿宋_GB2312" w:hAnsi="仿宋_GB2312" w:cs="仿宋_GB2312"/>
          <w:color w:val="auto"/>
          <w:szCs w:val="32"/>
          <w:highlight w:val="none"/>
          <w:u w:val="none"/>
          <w:lang w:val="en-US" w:eastAsia="zh-CN"/>
        </w:rPr>
        <w:t>所持产权份额的</w:t>
      </w:r>
      <w:r>
        <w:rPr>
          <w:rFonts w:hint="eastAsia" w:ascii="仿宋_GB2312" w:hAnsi="仿宋_GB2312" w:cs="仿宋_GB2312"/>
          <w:color w:val="auto"/>
          <w:szCs w:val="32"/>
          <w:highlight w:val="none"/>
          <w:u w:val="none"/>
        </w:rPr>
        <w:t>；</w:t>
      </w:r>
    </w:p>
    <w:p>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（四）将共有产权住房用于经营性用途</w:t>
      </w:r>
      <w:r>
        <w:rPr>
          <w:rFonts w:hint="eastAsia" w:ascii="仿宋_GB2312" w:hAnsi="仿宋_GB2312" w:cs="仿宋_GB2312"/>
          <w:color w:val="auto"/>
          <w:szCs w:val="32"/>
          <w:highlight w:val="none"/>
          <w:u w:val="none"/>
          <w:lang w:val="en-US" w:eastAsia="zh-CN"/>
        </w:rPr>
        <w:t>的</w:t>
      </w:r>
      <w:r>
        <w:rPr>
          <w:rFonts w:hint="eastAsia" w:ascii="仿宋_GB2312" w:hAnsi="仿宋_GB2312" w:cs="仿宋_GB2312"/>
          <w:color w:val="auto"/>
          <w:szCs w:val="32"/>
          <w:highlight w:val="none"/>
          <w:u w:val="none"/>
        </w:rPr>
        <w:t>；</w:t>
      </w:r>
    </w:p>
    <w:p>
      <w:pPr>
        <w:keepNext w:val="0"/>
        <w:keepLines w:val="0"/>
        <w:pageBreakBefore w:val="0"/>
        <w:numPr>
          <w:ilvl w:val="255"/>
          <w:numId w:val="0"/>
        </w:numPr>
        <w:kinsoku/>
        <w:overflowPunct/>
        <w:topLinePunct w:val="0"/>
        <w:autoSpaceDE/>
        <w:autoSpaceDN/>
        <w:bidi w:val="0"/>
        <w:adjustRightInd/>
        <w:snapToGrid/>
        <w:spacing w:line="578" w:lineRule="exact"/>
        <w:ind w:firstLine="640" w:firstLineChars="200"/>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（五）擅自改变共有产权住房使用功能</w:t>
      </w:r>
      <w:r>
        <w:rPr>
          <w:rFonts w:hint="eastAsia" w:ascii="仿宋_GB2312" w:hAnsi="仿宋_GB2312" w:cs="仿宋_GB2312"/>
          <w:color w:val="auto"/>
          <w:szCs w:val="32"/>
          <w:highlight w:val="none"/>
          <w:u w:val="none"/>
          <w:lang w:val="en-US" w:eastAsia="zh-CN"/>
        </w:rPr>
        <w:t>的</w:t>
      </w:r>
      <w:r>
        <w:rPr>
          <w:rFonts w:hint="eastAsia" w:ascii="仿宋_GB2312" w:hAnsi="仿宋_GB2312" w:cs="仿宋_GB2312"/>
          <w:color w:val="auto"/>
          <w:szCs w:val="32"/>
          <w:highlight w:val="none"/>
          <w:u w:val="none"/>
        </w:rPr>
        <w:t>；</w:t>
      </w:r>
    </w:p>
    <w:p>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hint="default" w:eastAsia="仿宋_GB2312"/>
          <w:color w:val="auto"/>
          <w:szCs w:val="32"/>
          <w:highlight w:val="none"/>
          <w:u w:val="none"/>
          <w:lang w:val="en-US" w:eastAsia="zh-CN"/>
        </w:rPr>
      </w:pPr>
      <w:r>
        <w:rPr>
          <w:rFonts w:hint="eastAsia" w:ascii="仿宋_GB2312" w:hAnsi="仿宋_GB2312" w:cs="仿宋_GB2312"/>
          <w:color w:val="auto"/>
          <w:szCs w:val="32"/>
          <w:highlight w:val="none"/>
          <w:u w:val="none"/>
        </w:rPr>
        <w:t>（六）擅自改建、扩建共有产权住房</w:t>
      </w:r>
      <w:r>
        <w:rPr>
          <w:rFonts w:hint="eastAsia" w:ascii="仿宋_GB2312" w:hAnsi="仿宋_GB2312" w:cs="仿宋_GB2312"/>
          <w:color w:val="auto"/>
          <w:szCs w:val="32"/>
          <w:highlight w:val="none"/>
          <w:u w:val="none"/>
          <w:lang w:val="en-US" w:eastAsia="zh-CN"/>
        </w:rPr>
        <w:t>的</w:t>
      </w:r>
      <w:r>
        <w:rPr>
          <w:rFonts w:hint="eastAsia" w:ascii="仿宋_GB2312" w:hAnsi="仿宋_GB2312" w:cs="仿宋_GB2312"/>
          <w:color w:val="auto"/>
          <w:szCs w:val="32"/>
          <w:highlight w:val="none"/>
          <w:u w:val="none"/>
        </w:rPr>
        <w:t>；</w:t>
      </w:r>
    </w:p>
    <w:p>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hint="eastAsia"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（七）其他违法</w:t>
      </w:r>
      <w:r>
        <w:rPr>
          <w:rFonts w:hint="eastAsia" w:ascii="仿宋_GB2312" w:hAnsi="仿宋_GB2312" w:cs="仿宋_GB2312"/>
          <w:color w:val="auto"/>
          <w:szCs w:val="32"/>
          <w:highlight w:val="none"/>
          <w:u w:val="none"/>
          <w:lang w:val="en-US" w:eastAsia="zh-CN"/>
        </w:rPr>
        <w:t>情形</w:t>
      </w:r>
      <w:r>
        <w:rPr>
          <w:rFonts w:hint="eastAsia" w:ascii="仿宋_GB2312" w:hAnsi="仿宋_GB2312" w:cs="仿宋_GB2312"/>
          <w:color w:val="auto"/>
          <w:szCs w:val="32"/>
          <w:highlight w:val="none"/>
          <w:u w:val="none"/>
        </w:rPr>
        <w:t>。</w:t>
      </w:r>
    </w:p>
    <w:p>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ascii="仿宋_GB2312" w:hAnsi="仿宋_GB2312" w:cs="仿宋_GB2312"/>
          <w:color w:val="auto"/>
          <w:szCs w:val="32"/>
          <w:highlight w:val="none"/>
          <w:u w:val="none"/>
        </w:rPr>
      </w:pPr>
      <w:r>
        <w:rPr>
          <w:rFonts w:hint="eastAsia" w:ascii="黑体" w:hAnsi="黑体" w:eastAsia="黑体"/>
          <w:bCs/>
          <w:color w:val="auto"/>
          <w:szCs w:val="32"/>
          <w:highlight w:val="none"/>
          <w:u w:val="none"/>
        </w:rPr>
        <w:t>第</w:t>
      </w:r>
      <w:r>
        <w:rPr>
          <w:rFonts w:hint="eastAsia" w:ascii="黑体" w:hAnsi="黑体" w:eastAsia="黑体"/>
          <w:bCs/>
          <w:color w:val="auto"/>
          <w:szCs w:val="32"/>
          <w:highlight w:val="none"/>
          <w:u w:val="none"/>
          <w:lang w:val="en-US" w:eastAsia="zh-CN"/>
        </w:rPr>
        <w:t>四十</w:t>
      </w:r>
      <w:r>
        <w:rPr>
          <w:rFonts w:hint="eastAsia" w:ascii="黑体" w:hAnsi="黑体" w:eastAsia="黑体"/>
          <w:bCs/>
          <w:color w:val="auto"/>
          <w:szCs w:val="32"/>
          <w:highlight w:val="none"/>
          <w:u w:val="none"/>
        </w:rPr>
        <w:t>条【房地产经纪机构监督管理】</w:t>
      </w:r>
      <w:r>
        <w:rPr>
          <w:rFonts w:hint="eastAsia" w:ascii="黑体" w:hAnsi="黑体" w:eastAsia="黑体"/>
          <w:bCs/>
          <w:color w:val="auto"/>
          <w:szCs w:val="32"/>
          <w:highlight w:val="none"/>
          <w:u w:val="none"/>
          <w:lang w:val="en-US" w:eastAsia="zh-CN"/>
        </w:rPr>
        <w:t xml:space="preserve">  </w:t>
      </w:r>
      <w:r>
        <w:rPr>
          <w:rFonts w:hint="eastAsia" w:ascii="仿宋_GB2312" w:hAnsi="仿宋_GB2312" w:cs="仿宋_GB2312"/>
          <w:color w:val="auto"/>
          <w:szCs w:val="32"/>
          <w:highlight w:val="none"/>
          <w:u w:val="none"/>
        </w:rPr>
        <w:t>房地产经纪机构及经纪人员应当按照有关规定开展共有产权住房的封闭流转经纪业务</w:t>
      </w:r>
      <w:r>
        <w:rPr>
          <w:rFonts w:hint="eastAsia" w:ascii="仿宋_GB2312" w:hAnsi="仿宋_GB2312" w:cs="仿宋_GB2312"/>
          <w:color w:val="auto"/>
          <w:szCs w:val="32"/>
          <w:highlight w:val="none"/>
          <w:u w:val="none"/>
          <w:lang w:eastAsia="zh-CN"/>
        </w:rPr>
        <w:t>，</w:t>
      </w:r>
      <w:r>
        <w:rPr>
          <w:rFonts w:hint="eastAsia" w:ascii="仿宋_GB2312" w:hAnsi="仿宋_GB2312" w:cs="仿宋_GB2312"/>
          <w:color w:val="auto"/>
          <w:szCs w:val="32"/>
          <w:highlight w:val="none"/>
          <w:u w:val="none"/>
        </w:rPr>
        <w:t>不得提供共有产权住房租赁经纪业务。</w:t>
      </w:r>
    </w:p>
    <w:p>
      <w:pPr>
        <w:keepNext w:val="0"/>
        <w:keepLines w:val="0"/>
        <w:pageBreakBefore w:val="0"/>
        <w:kinsoku/>
        <w:overflowPunct/>
        <w:topLinePunct w:val="0"/>
        <w:autoSpaceDE/>
        <w:autoSpaceDN/>
        <w:bidi w:val="0"/>
        <w:adjustRightInd/>
        <w:snapToGrid/>
        <w:spacing w:line="578" w:lineRule="exact"/>
        <w:ind w:firstLine="640" w:firstLineChars="200"/>
        <w:textAlignment w:val="auto"/>
        <w:outlineLvl w:val="2"/>
        <w:rPr>
          <w:rFonts w:hint="eastAsia" w:ascii="仿宋_GB2312" w:hAnsi="仿宋_GB2312" w:eastAsia="仿宋_GB2312" w:cs="仿宋_GB2312"/>
          <w:color w:val="auto"/>
          <w:szCs w:val="32"/>
          <w:highlight w:val="none"/>
          <w:u w:val="none"/>
          <w:lang w:eastAsia="zh-CN"/>
        </w:rPr>
      </w:pPr>
      <w:r>
        <w:rPr>
          <w:rFonts w:hint="eastAsia" w:ascii="黑体" w:hAnsi="黑体" w:eastAsia="黑体"/>
          <w:bCs/>
          <w:color w:val="auto"/>
          <w:szCs w:val="32"/>
          <w:highlight w:val="none"/>
          <w:u w:val="none"/>
        </w:rPr>
        <w:t>第</w:t>
      </w:r>
      <w:r>
        <w:rPr>
          <w:rFonts w:hint="eastAsia" w:ascii="黑体" w:hAnsi="黑体" w:eastAsia="黑体"/>
          <w:bCs/>
          <w:color w:val="auto"/>
          <w:szCs w:val="32"/>
          <w:highlight w:val="none"/>
          <w:u w:val="none"/>
          <w:lang w:val="en-US" w:eastAsia="zh-CN"/>
        </w:rPr>
        <w:t>四十一</w:t>
      </w:r>
      <w:r>
        <w:rPr>
          <w:rFonts w:hint="eastAsia" w:ascii="黑体" w:hAnsi="黑体" w:eastAsia="黑体"/>
          <w:bCs/>
          <w:color w:val="auto"/>
          <w:szCs w:val="32"/>
          <w:highlight w:val="none"/>
          <w:u w:val="none"/>
        </w:rPr>
        <w:t>条【信用记录】</w:t>
      </w:r>
      <w:r>
        <w:rPr>
          <w:rFonts w:hint="eastAsia" w:ascii="黑体" w:hAnsi="黑体" w:eastAsia="黑体"/>
          <w:bCs/>
          <w:color w:val="auto"/>
          <w:szCs w:val="32"/>
          <w:highlight w:val="none"/>
          <w:u w:val="none"/>
          <w:lang w:val="en-US" w:eastAsia="zh-CN"/>
        </w:rPr>
        <w:t xml:space="preserve">  </w:t>
      </w:r>
      <w:r>
        <w:rPr>
          <w:rFonts w:hint="eastAsia" w:ascii="仿宋_GB2312" w:hAnsi="仿宋_GB2312" w:cs="仿宋_GB2312"/>
          <w:color w:val="auto"/>
          <w:szCs w:val="32"/>
          <w:highlight w:val="none"/>
          <w:u w:val="none"/>
        </w:rPr>
        <w:t>因违反本办法规定受到行政处罚的，应当纳入不良行为记录</w:t>
      </w:r>
      <w:r>
        <w:rPr>
          <w:rFonts w:hint="eastAsia" w:ascii="仿宋_GB2312" w:hAnsi="仿宋_GB2312" w:cs="仿宋_GB2312"/>
          <w:color w:val="auto"/>
          <w:szCs w:val="32"/>
          <w:highlight w:val="none"/>
          <w:u w:val="none"/>
          <w:lang w:eastAsia="zh-CN"/>
        </w:rPr>
        <w:t>，</w:t>
      </w:r>
      <w:r>
        <w:rPr>
          <w:rFonts w:hint="eastAsia" w:ascii="仿宋_GB2312" w:hAnsi="仿宋_GB2312" w:cs="仿宋_GB2312"/>
          <w:color w:val="auto"/>
          <w:szCs w:val="32"/>
          <w:highlight w:val="none"/>
          <w:u w:val="none"/>
          <w:lang w:val="en-US" w:eastAsia="zh-CN"/>
        </w:rPr>
        <w:t>依法依规开展</w:t>
      </w:r>
      <w:r>
        <w:rPr>
          <w:rFonts w:hint="eastAsia" w:ascii="仿宋_GB2312" w:hAnsi="仿宋_GB2312" w:cs="仿宋_GB2312"/>
          <w:color w:val="auto"/>
          <w:szCs w:val="32"/>
          <w:highlight w:val="none"/>
          <w:u w:val="none"/>
        </w:rPr>
        <w:t>失信联合惩戒。</w:t>
      </w:r>
    </w:p>
    <w:p>
      <w:pPr>
        <w:keepNext w:val="0"/>
        <w:keepLines w:val="0"/>
        <w:pageBreakBefore w:val="0"/>
        <w:kinsoku/>
        <w:overflowPunct/>
        <w:topLinePunct w:val="0"/>
        <w:autoSpaceDE/>
        <w:autoSpaceDN/>
        <w:bidi w:val="0"/>
        <w:adjustRightInd/>
        <w:snapToGrid/>
        <w:spacing w:line="578" w:lineRule="exact"/>
        <w:ind w:firstLine="640" w:firstLineChars="200"/>
        <w:textAlignment w:val="auto"/>
        <w:outlineLvl w:val="2"/>
        <w:rPr>
          <w:rFonts w:ascii="黑体" w:hAnsi="黑体" w:eastAsia="黑体"/>
          <w:bCs/>
          <w:color w:val="auto"/>
          <w:szCs w:val="32"/>
          <w:highlight w:val="none"/>
          <w:u w:val="none"/>
        </w:rPr>
      </w:pPr>
      <w:r>
        <w:rPr>
          <w:rFonts w:hint="eastAsia" w:ascii="黑体" w:hAnsi="黑体" w:eastAsia="黑体"/>
          <w:bCs/>
          <w:color w:val="auto"/>
          <w:szCs w:val="32"/>
          <w:highlight w:val="none"/>
          <w:u w:val="none"/>
        </w:rPr>
        <w:t>第</w:t>
      </w:r>
      <w:r>
        <w:rPr>
          <w:rFonts w:hint="eastAsia" w:ascii="黑体" w:hAnsi="黑体" w:eastAsia="黑体"/>
          <w:bCs/>
          <w:color w:val="auto"/>
          <w:szCs w:val="32"/>
          <w:highlight w:val="none"/>
          <w:u w:val="none"/>
          <w:lang w:val="en-US" w:eastAsia="zh-CN"/>
        </w:rPr>
        <w:t>四十二</w:t>
      </w:r>
      <w:r>
        <w:rPr>
          <w:rFonts w:hint="eastAsia" w:ascii="黑体" w:hAnsi="黑体" w:eastAsia="黑体"/>
          <w:bCs/>
          <w:color w:val="auto"/>
          <w:szCs w:val="32"/>
          <w:highlight w:val="none"/>
          <w:u w:val="none"/>
        </w:rPr>
        <w:t>条【社会监督】</w:t>
      </w:r>
      <w:r>
        <w:rPr>
          <w:rFonts w:hint="eastAsia" w:ascii="黑体" w:hAnsi="黑体" w:eastAsia="黑体"/>
          <w:bCs/>
          <w:color w:val="auto"/>
          <w:szCs w:val="32"/>
          <w:highlight w:val="none"/>
          <w:u w:val="none"/>
          <w:lang w:val="en-US" w:eastAsia="zh-CN"/>
        </w:rPr>
        <w:t xml:space="preserve">  </w:t>
      </w:r>
      <w:r>
        <w:rPr>
          <w:rFonts w:hint="eastAsia" w:ascii="仿宋_GB2312" w:hAnsi="仿宋_GB2312" w:cs="仿宋_GB2312"/>
          <w:color w:val="auto"/>
          <w:szCs w:val="32"/>
          <w:highlight w:val="none"/>
          <w:u w:val="none"/>
        </w:rPr>
        <w:t>共有产权住房的供应</w:t>
      </w:r>
      <w:r>
        <w:rPr>
          <w:rFonts w:hint="eastAsia" w:ascii="仿宋_GB2312" w:hAnsi="仿宋_GB2312" w:cs="仿宋_GB2312"/>
          <w:color w:val="auto"/>
          <w:szCs w:val="32"/>
          <w:highlight w:val="none"/>
          <w:u w:val="none"/>
          <w:lang w:val="en-US" w:eastAsia="zh-CN"/>
        </w:rPr>
        <w:t>配售</w:t>
      </w:r>
      <w:r>
        <w:rPr>
          <w:rFonts w:hint="eastAsia" w:ascii="仿宋_GB2312" w:hAnsi="仿宋_GB2312" w:cs="仿宋_GB2312"/>
          <w:color w:val="auto"/>
          <w:szCs w:val="32"/>
          <w:highlight w:val="none"/>
          <w:u w:val="none"/>
        </w:rPr>
        <w:t>、使用和处分、监督管理等活动</w:t>
      </w:r>
      <w:r>
        <w:rPr>
          <w:rFonts w:hint="eastAsia" w:ascii="仿宋_GB2312" w:hAnsi="仿宋_GB2312" w:cs="仿宋_GB2312"/>
          <w:bCs/>
          <w:color w:val="auto"/>
          <w:szCs w:val="32"/>
          <w:highlight w:val="none"/>
          <w:u w:val="none"/>
        </w:rPr>
        <w:t>应当接受社会监督。</w:t>
      </w:r>
    </w:p>
    <w:p>
      <w:pPr>
        <w:keepNext w:val="0"/>
        <w:keepLines w:val="0"/>
        <w:pageBreakBefore w:val="0"/>
        <w:numPr>
          <w:ilvl w:val="255"/>
          <w:numId w:val="0"/>
        </w:numPr>
        <w:kinsoku/>
        <w:overflowPunct/>
        <w:topLinePunct w:val="0"/>
        <w:autoSpaceDE/>
        <w:autoSpaceDN/>
        <w:bidi w:val="0"/>
        <w:adjustRightInd/>
        <w:snapToGrid/>
        <w:spacing w:line="578" w:lineRule="exact"/>
        <w:ind w:firstLine="640" w:firstLineChars="200"/>
        <w:textAlignment w:val="auto"/>
        <w:rPr>
          <w:rFonts w:ascii="仿宋_GB2312" w:hAnsi="仿宋_GB2312" w:cs="仿宋_GB2312"/>
          <w:bCs/>
          <w:color w:val="auto"/>
          <w:szCs w:val="32"/>
          <w:highlight w:val="none"/>
          <w:u w:val="none"/>
        </w:rPr>
      </w:pPr>
      <w:r>
        <w:rPr>
          <w:rFonts w:hint="eastAsia" w:ascii="仿宋_GB2312" w:hAnsi="仿宋_GB2312" w:cs="仿宋_GB2312"/>
          <w:bCs/>
          <w:color w:val="auto"/>
          <w:szCs w:val="32"/>
          <w:highlight w:val="none"/>
          <w:u w:val="none"/>
        </w:rPr>
        <w:t>单位和个人可以对违反本办法的行为进行投诉、举报，有关部门应当按照相关规定及时处理。</w:t>
      </w:r>
      <w:bookmarkEnd w:id="103"/>
      <w:bookmarkEnd w:id="104"/>
    </w:p>
    <w:p>
      <w:pPr>
        <w:keepNext w:val="0"/>
        <w:keepLines w:val="0"/>
        <w:pageBreakBefore w:val="0"/>
        <w:kinsoku/>
        <w:overflowPunct/>
        <w:topLinePunct w:val="0"/>
        <w:autoSpaceDE/>
        <w:autoSpaceDN/>
        <w:bidi w:val="0"/>
        <w:adjustRightInd/>
        <w:snapToGrid/>
        <w:spacing w:line="578" w:lineRule="exact"/>
        <w:ind w:firstLine="0" w:firstLineChars="0"/>
        <w:jc w:val="center"/>
        <w:textAlignment w:val="auto"/>
        <w:outlineLvl w:val="1"/>
        <w:rPr>
          <w:rFonts w:hint="eastAsia" w:ascii="黑体" w:hAnsi="黑体" w:eastAsia="黑体"/>
          <w:bCs/>
          <w:color w:val="auto"/>
          <w:szCs w:val="32"/>
          <w:highlight w:val="none"/>
          <w:u w:val="none"/>
        </w:rPr>
      </w:pPr>
      <w:bookmarkStart w:id="116" w:name="_Toc23761_WPSOffice_Level1"/>
      <w:bookmarkStart w:id="117" w:name="_Toc10510"/>
      <w:bookmarkStart w:id="118" w:name="_Toc19068"/>
      <w:bookmarkStart w:id="119" w:name="_Toc13432_WPSOffice_Level1"/>
      <w:bookmarkStart w:id="120" w:name="_Toc3340_WPSOffice_Level1"/>
      <w:bookmarkStart w:id="121" w:name="_Toc5447"/>
      <w:bookmarkStart w:id="122" w:name="_Toc523428839"/>
      <w:bookmarkStart w:id="123" w:name="_Toc22322"/>
      <w:bookmarkStart w:id="124" w:name="_Toc21150_WPSOffice_Level1"/>
      <w:bookmarkStart w:id="125" w:name="_Toc6358"/>
      <w:bookmarkStart w:id="126" w:name="_Toc26609"/>
      <w:bookmarkStart w:id="127" w:name="_Toc8046"/>
      <w:bookmarkStart w:id="128" w:name="_Toc18656"/>
      <w:bookmarkStart w:id="129" w:name="_Toc25556_WPSOffice_Level2"/>
      <w:bookmarkStart w:id="130" w:name="_Toc14423_WPSOffice_Level1"/>
      <w:bookmarkStart w:id="131" w:name="_Toc12447"/>
    </w:p>
    <w:p>
      <w:pPr>
        <w:keepNext w:val="0"/>
        <w:keepLines w:val="0"/>
        <w:pageBreakBefore w:val="0"/>
        <w:kinsoku/>
        <w:overflowPunct/>
        <w:topLinePunct w:val="0"/>
        <w:autoSpaceDE/>
        <w:autoSpaceDN/>
        <w:bidi w:val="0"/>
        <w:adjustRightInd/>
        <w:snapToGrid/>
        <w:spacing w:line="578" w:lineRule="exact"/>
        <w:ind w:firstLine="0" w:firstLineChars="0"/>
        <w:jc w:val="center"/>
        <w:textAlignment w:val="auto"/>
        <w:outlineLvl w:val="1"/>
        <w:rPr>
          <w:rFonts w:hint="eastAsia" w:ascii="黑体" w:hAnsi="黑体" w:eastAsia="黑体"/>
          <w:bCs/>
          <w:color w:val="auto"/>
          <w:szCs w:val="32"/>
          <w:highlight w:val="none"/>
          <w:u w:val="none"/>
          <w:lang w:eastAsia="zh-CN"/>
        </w:rPr>
      </w:pPr>
      <w:r>
        <w:rPr>
          <w:rFonts w:hint="eastAsia" w:ascii="黑体" w:hAnsi="黑体" w:eastAsia="黑体"/>
          <w:bCs/>
          <w:color w:val="auto"/>
          <w:szCs w:val="32"/>
          <w:highlight w:val="none"/>
          <w:u w:val="none"/>
        </w:rPr>
        <w:t>第</w:t>
      </w:r>
      <w:r>
        <w:rPr>
          <w:rFonts w:hint="eastAsia" w:ascii="黑体" w:hAnsi="黑体" w:eastAsia="黑体"/>
          <w:bCs/>
          <w:color w:val="auto"/>
          <w:szCs w:val="32"/>
          <w:highlight w:val="none"/>
          <w:u w:val="none"/>
          <w:lang w:val="en-US" w:eastAsia="zh-CN"/>
        </w:rPr>
        <w:t>五</w:t>
      </w:r>
      <w:r>
        <w:rPr>
          <w:rFonts w:hint="eastAsia" w:ascii="黑体" w:hAnsi="黑体" w:eastAsia="黑体"/>
          <w:bCs/>
          <w:color w:val="auto"/>
          <w:szCs w:val="32"/>
          <w:highlight w:val="none"/>
          <w:u w:val="none"/>
        </w:rPr>
        <w:t>章</w:t>
      </w:r>
      <w:r>
        <w:rPr>
          <w:rFonts w:ascii="黑体" w:hAnsi="黑体" w:eastAsia="黑体"/>
          <w:bCs/>
          <w:color w:val="auto"/>
          <w:szCs w:val="32"/>
          <w:highlight w:val="none"/>
          <w:u w:val="none"/>
        </w:rPr>
        <w:t xml:space="preserve"> </w:t>
      </w:r>
      <w:r>
        <w:rPr>
          <w:rFonts w:hint="eastAsia" w:ascii="黑体" w:hAnsi="黑体" w:eastAsia="黑体"/>
          <w:bCs/>
          <w:color w:val="auto"/>
          <w:szCs w:val="32"/>
          <w:highlight w:val="none"/>
          <w:u w:val="none"/>
        </w:rPr>
        <w:t>法律责任</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keepNext w:val="0"/>
        <w:keepLines w:val="0"/>
        <w:pageBreakBefore w:val="0"/>
        <w:kinsoku/>
        <w:overflowPunct/>
        <w:topLinePunct w:val="0"/>
        <w:autoSpaceDE/>
        <w:autoSpaceDN/>
        <w:bidi w:val="0"/>
        <w:adjustRightInd/>
        <w:snapToGrid/>
        <w:spacing w:line="578" w:lineRule="exact"/>
        <w:ind w:firstLine="640" w:firstLineChars="200"/>
        <w:textAlignment w:val="auto"/>
        <w:outlineLvl w:val="9"/>
        <w:rPr>
          <w:rFonts w:hint="eastAsia" w:ascii="黑体" w:hAnsi="黑体" w:eastAsia="黑体"/>
          <w:bCs/>
          <w:color w:val="auto"/>
          <w:szCs w:val="32"/>
          <w:highlight w:val="none"/>
          <w:u w:val="none"/>
        </w:rPr>
      </w:pPr>
    </w:p>
    <w:p>
      <w:pPr>
        <w:keepNext w:val="0"/>
        <w:keepLines w:val="0"/>
        <w:pageBreakBefore w:val="0"/>
        <w:kinsoku/>
        <w:overflowPunct/>
        <w:topLinePunct w:val="0"/>
        <w:autoSpaceDE/>
        <w:autoSpaceDN/>
        <w:bidi w:val="0"/>
        <w:adjustRightInd/>
        <w:snapToGrid/>
        <w:spacing w:line="578" w:lineRule="exact"/>
        <w:ind w:firstLine="640" w:firstLineChars="200"/>
        <w:textAlignment w:val="auto"/>
        <w:outlineLvl w:val="9"/>
        <w:rPr>
          <w:rFonts w:hint="default" w:ascii="黑体" w:hAnsi="黑体" w:eastAsia="仿宋_GB2312"/>
          <w:bCs/>
          <w:color w:val="auto"/>
          <w:szCs w:val="32"/>
          <w:highlight w:val="none"/>
          <w:u w:val="none"/>
          <w:lang w:val="en-US" w:eastAsia="zh-CN"/>
        </w:rPr>
      </w:pPr>
      <w:r>
        <w:rPr>
          <w:rFonts w:hint="eastAsia" w:ascii="黑体" w:hAnsi="黑体" w:eastAsia="黑体"/>
          <w:bCs/>
          <w:color w:val="auto"/>
          <w:szCs w:val="32"/>
          <w:highlight w:val="none"/>
          <w:u w:val="none"/>
        </w:rPr>
        <w:t>第</w:t>
      </w:r>
      <w:r>
        <w:rPr>
          <w:rFonts w:hint="eastAsia" w:ascii="黑体" w:hAnsi="黑体" w:eastAsia="黑体"/>
          <w:bCs/>
          <w:color w:val="auto"/>
          <w:szCs w:val="32"/>
          <w:highlight w:val="none"/>
          <w:u w:val="none"/>
          <w:lang w:val="en-US" w:eastAsia="zh-CN"/>
        </w:rPr>
        <w:t>四十三</w:t>
      </w:r>
      <w:r>
        <w:rPr>
          <w:rFonts w:hint="eastAsia" w:ascii="黑体" w:hAnsi="黑体" w:eastAsia="黑体"/>
          <w:bCs/>
          <w:color w:val="auto"/>
          <w:szCs w:val="32"/>
          <w:highlight w:val="none"/>
          <w:u w:val="none"/>
        </w:rPr>
        <w:t>条【</w:t>
      </w:r>
      <w:r>
        <w:rPr>
          <w:rFonts w:hint="eastAsia" w:ascii="黑体" w:hAnsi="黑体" w:eastAsia="黑体"/>
          <w:bCs/>
          <w:color w:val="auto"/>
          <w:szCs w:val="32"/>
          <w:highlight w:val="none"/>
          <w:u w:val="none"/>
          <w:lang w:val="en-US" w:eastAsia="zh-CN"/>
        </w:rPr>
        <w:t>开发建设单位</w:t>
      </w:r>
      <w:r>
        <w:rPr>
          <w:rFonts w:hint="eastAsia" w:ascii="黑体" w:hAnsi="黑体" w:eastAsia="黑体"/>
          <w:bCs/>
          <w:color w:val="auto"/>
          <w:szCs w:val="32"/>
          <w:highlight w:val="none"/>
          <w:u w:val="none"/>
        </w:rPr>
        <w:t>法律责任】</w:t>
      </w:r>
      <w:r>
        <w:rPr>
          <w:rFonts w:hint="eastAsia" w:ascii="黑体" w:hAnsi="黑体" w:eastAsia="黑体"/>
          <w:bCs/>
          <w:color w:val="auto"/>
          <w:szCs w:val="32"/>
          <w:highlight w:val="none"/>
          <w:u w:val="none"/>
          <w:lang w:val="en-US" w:eastAsia="zh-CN"/>
        </w:rPr>
        <w:t xml:space="preserve">  </w:t>
      </w:r>
      <w:r>
        <w:rPr>
          <w:rFonts w:hint="eastAsia" w:ascii="仿宋_GB2312" w:hAnsi="仿宋_GB2312" w:cs="仿宋_GB2312"/>
          <w:color w:val="auto"/>
          <w:szCs w:val="32"/>
          <w:highlight w:val="none"/>
          <w:u w:val="none"/>
          <w:lang w:val="en-US" w:eastAsia="zh-CN"/>
        </w:rPr>
        <w:t>开发建设单位有本办法第三十八条第一项</w:t>
      </w:r>
      <w:r>
        <w:rPr>
          <w:rFonts w:hint="eastAsia" w:ascii="仿宋_GB2312" w:hAnsi="仿宋_GB2312" w:cs="仿宋_GB2312"/>
          <w:color w:val="auto"/>
          <w:szCs w:val="32"/>
          <w:highlight w:val="none"/>
          <w:u w:val="none"/>
        </w:rPr>
        <w:t>规定</w:t>
      </w:r>
      <w:r>
        <w:rPr>
          <w:rFonts w:hint="eastAsia" w:ascii="仿宋_GB2312" w:hAnsi="仿宋_GB2312" w:cs="仿宋_GB2312"/>
          <w:color w:val="auto"/>
          <w:szCs w:val="32"/>
          <w:highlight w:val="none"/>
          <w:u w:val="none"/>
          <w:lang w:val="en-US" w:eastAsia="zh-CN"/>
        </w:rPr>
        <w:t>情形的，由主管部门责令限期改正；逾期未改正的，</w:t>
      </w:r>
      <w:r>
        <w:rPr>
          <w:rFonts w:hint="eastAsia" w:ascii="仿宋_GB2312" w:hAnsi="仿宋_GB2312" w:cs="仿宋_GB2312"/>
          <w:color w:val="auto"/>
          <w:szCs w:val="32"/>
          <w:highlight w:val="none"/>
          <w:u w:val="none"/>
        </w:rPr>
        <w:t>每套</w:t>
      </w:r>
      <w:r>
        <w:rPr>
          <w:rFonts w:hint="eastAsia" w:ascii="仿宋_GB2312" w:hAnsi="仿宋_GB2312" w:cs="仿宋_GB2312"/>
          <w:color w:val="auto"/>
          <w:szCs w:val="32"/>
          <w:highlight w:val="none"/>
          <w:u w:val="none"/>
          <w:lang w:val="en-US" w:eastAsia="zh-CN"/>
        </w:rPr>
        <w:t>处十万元罚款。</w:t>
      </w:r>
    </w:p>
    <w:p>
      <w:pPr>
        <w:keepNext w:val="0"/>
        <w:keepLines w:val="0"/>
        <w:pageBreakBefore w:val="0"/>
        <w:numPr>
          <w:ilvl w:val="255"/>
          <w:numId w:val="0"/>
        </w:numPr>
        <w:kinsoku/>
        <w:overflowPunct/>
        <w:topLinePunct w:val="0"/>
        <w:autoSpaceDE/>
        <w:autoSpaceDN/>
        <w:bidi w:val="0"/>
        <w:adjustRightInd/>
        <w:snapToGrid/>
        <w:spacing w:line="578" w:lineRule="exact"/>
        <w:ind w:firstLine="640" w:firstLineChars="200"/>
        <w:textAlignment w:val="auto"/>
        <w:rPr>
          <w:rFonts w:hint="eastAsia" w:ascii="仿宋_GB2312" w:hAnsi="仿宋_GB2312" w:cs="仿宋_GB2312"/>
          <w:color w:val="auto"/>
          <w:szCs w:val="32"/>
          <w:highlight w:val="none"/>
          <w:u w:val="none"/>
        </w:rPr>
      </w:pPr>
      <w:r>
        <w:rPr>
          <w:rFonts w:hint="eastAsia" w:ascii="仿宋_GB2312" w:hAnsi="仿宋_GB2312" w:cs="仿宋_GB2312"/>
          <w:color w:val="auto"/>
          <w:szCs w:val="32"/>
          <w:highlight w:val="none"/>
          <w:u w:val="none"/>
          <w:lang w:val="en-US" w:eastAsia="zh-CN"/>
        </w:rPr>
        <w:t>开发建设单位有本办法第三十八条第二项</w:t>
      </w:r>
      <w:r>
        <w:rPr>
          <w:rFonts w:hint="eastAsia" w:ascii="仿宋_GB2312" w:hAnsi="仿宋_GB2312" w:cs="仿宋_GB2312"/>
          <w:color w:val="auto"/>
          <w:szCs w:val="32"/>
          <w:highlight w:val="none"/>
          <w:u w:val="none"/>
        </w:rPr>
        <w:t>规定</w:t>
      </w:r>
      <w:r>
        <w:rPr>
          <w:rFonts w:hint="eastAsia" w:ascii="仿宋_GB2312" w:hAnsi="仿宋_GB2312" w:cs="仿宋_GB2312"/>
          <w:color w:val="auto"/>
          <w:szCs w:val="32"/>
          <w:highlight w:val="none"/>
          <w:u w:val="none"/>
          <w:lang w:val="en-US" w:eastAsia="zh-CN"/>
        </w:rPr>
        <w:t>情形的，</w:t>
      </w:r>
      <w:r>
        <w:rPr>
          <w:rFonts w:hint="eastAsia" w:ascii="仿宋_GB2312" w:hAnsi="仿宋_GB2312" w:cs="仿宋_GB2312"/>
          <w:color w:val="auto"/>
          <w:szCs w:val="32"/>
          <w:highlight w:val="none"/>
          <w:u w:val="none"/>
        </w:rPr>
        <w:t>不动产登记机构依法不予办理不动产登记，由主管部门责令</w:t>
      </w:r>
      <w:r>
        <w:rPr>
          <w:rFonts w:hint="eastAsia" w:ascii="仿宋_GB2312" w:hAnsi="仿宋_GB2312" w:cs="仿宋_GB2312"/>
          <w:color w:val="auto"/>
          <w:szCs w:val="32"/>
          <w:highlight w:val="none"/>
          <w:u w:val="none"/>
          <w:lang w:val="en-US" w:eastAsia="zh-CN"/>
        </w:rPr>
        <w:t>改正</w:t>
      </w:r>
      <w:r>
        <w:rPr>
          <w:rFonts w:hint="eastAsia" w:ascii="仿宋_GB2312" w:hAnsi="仿宋_GB2312" w:cs="仿宋_GB2312"/>
          <w:color w:val="auto"/>
          <w:szCs w:val="32"/>
          <w:highlight w:val="none"/>
          <w:u w:val="none"/>
        </w:rPr>
        <w:t>，依法没收违法所得，并按照擅自对外</w:t>
      </w:r>
      <w:r>
        <w:rPr>
          <w:rFonts w:hint="eastAsia" w:ascii="仿宋_GB2312" w:hAnsi="仿宋_GB2312" w:cs="仿宋_GB2312"/>
          <w:color w:val="auto"/>
          <w:szCs w:val="32"/>
          <w:highlight w:val="none"/>
          <w:u w:val="none"/>
          <w:lang w:val="en-US" w:eastAsia="zh-CN"/>
        </w:rPr>
        <w:t>出租、</w:t>
      </w:r>
      <w:r>
        <w:rPr>
          <w:rFonts w:hint="eastAsia" w:ascii="仿宋_GB2312" w:hAnsi="仿宋_GB2312" w:cs="仿宋_GB2312"/>
          <w:color w:val="auto"/>
          <w:szCs w:val="32"/>
          <w:highlight w:val="none"/>
          <w:u w:val="none"/>
        </w:rPr>
        <w:t>出售的</w:t>
      </w:r>
      <w:r>
        <w:rPr>
          <w:rStyle w:val="22"/>
          <w:rFonts w:hint="eastAsia" w:ascii="仿宋_GB2312" w:hAnsi="仿宋_GB2312" w:eastAsia="仿宋_GB2312" w:cs="仿宋_GB2312"/>
          <w:color w:val="auto"/>
          <w:highlight w:val="none"/>
          <w:u w:val="none"/>
        </w:rPr>
        <w:t>共有产权住房</w:t>
      </w:r>
      <w:r>
        <w:rPr>
          <w:rFonts w:hint="eastAsia" w:ascii="仿宋_GB2312" w:hAnsi="仿宋_GB2312" w:cs="仿宋_GB2312"/>
          <w:color w:val="auto"/>
          <w:szCs w:val="32"/>
          <w:highlight w:val="none"/>
          <w:u w:val="none"/>
        </w:rPr>
        <w:t>套数每套处十万元罚款。</w:t>
      </w:r>
    </w:p>
    <w:p>
      <w:pPr>
        <w:keepNext w:val="0"/>
        <w:keepLines w:val="0"/>
        <w:pageBreakBefore w:val="0"/>
        <w:kinsoku/>
        <w:overflowPunct/>
        <w:topLinePunct w:val="0"/>
        <w:autoSpaceDE/>
        <w:autoSpaceDN/>
        <w:bidi w:val="0"/>
        <w:adjustRightInd/>
        <w:snapToGrid/>
        <w:spacing w:line="578" w:lineRule="exact"/>
        <w:ind w:firstLine="640" w:firstLineChars="200"/>
        <w:textAlignment w:val="auto"/>
        <w:outlineLvl w:val="2"/>
        <w:rPr>
          <w:rFonts w:ascii="仿宋_GB2312" w:hAnsi="仿宋_GB2312" w:cs="仿宋_GB2312"/>
          <w:color w:val="auto"/>
          <w:szCs w:val="32"/>
          <w:highlight w:val="none"/>
          <w:u w:val="none"/>
        </w:rPr>
      </w:pPr>
      <w:r>
        <w:rPr>
          <w:rFonts w:hint="eastAsia" w:ascii="黑体" w:hAnsi="黑体" w:eastAsia="黑体"/>
          <w:bCs/>
          <w:color w:val="auto"/>
          <w:szCs w:val="32"/>
          <w:highlight w:val="none"/>
          <w:u w:val="none"/>
        </w:rPr>
        <w:t>第</w:t>
      </w:r>
      <w:r>
        <w:rPr>
          <w:rFonts w:hint="eastAsia" w:ascii="黑体" w:hAnsi="黑体" w:eastAsia="黑体"/>
          <w:bCs/>
          <w:color w:val="auto"/>
          <w:szCs w:val="32"/>
          <w:highlight w:val="none"/>
          <w:u w:val="none"/>
          <w:lang w:val="en-US" w:eastAsia="zh-CN"/>
        </w:rPr>
        <w:t>四十四</w:t>
      </w:r>
      <w:r>
        <w:rPr>
          <w:rFonts w:hint="eastAsia" w:ascii="黑体" w:hAnsi="黑体" w:eastAsia="黑体"/>
          <w:bCs/>
          <w:color w:val="auto"/>
          <w:szCs w:val="32"/>
          <w:highlight w:val="none"/>
          <w:u w:val="none"/>
        </w:rPr>
        <w:t>条【骗购法律责任】</w:t>
      </w:r>
      <w:r>
        <w:rPr>
          <w:rFonts w:hint="eastAsia" w:ascii="黑体" w:hAnsi="黑体" w:eastAsia="黑体"/>
          <w:bCs/>
          <w:color w:val="auto"/>
          <w:szCs w:val="32"/>
          <w:highlight w:val="none"/>
          <w:u w:val="none"/>
          <w:lang w:val="en-US" w:eastAsia="zh-CN"/>
        </w:rPr>
        <w:t xml:space="preserve">  </w:t>
      </w:r>
      <w:r>
        <w:rPr>
          <w:rFonts w:hint="eastAsia" w:ascii="仿宋_GB2312" w:hAnsi="仿宋_GB2312" w:cs="仿宋_GB2312"/>
          <w:color w:val="auto"/>
          <w:szCs w:val="32"/>
          <w:highlight w:val="none"/>
          <w:u w:val="none"/>
        </w:rPr>
        <w:t>不符合条件的申请人、共同申请人以隐瞒、虚报、提供虚假材料等方式弄虚作假，或者采取贿赂等不正当手段申请购买共有产权住房的，由主管部门驳回申请，处十万元罚款，并终身不再受理其购买共有产权住房以及其他购房优惠政策申请，自驳回申请之日起十年以内不予受理其其他住房保障申请。</w:t>
      </w:r>
    </w:p>
    <w:p>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ascii="仿宋_GB2312" w:hAnsi="仿宋_GB2312" w:cs="仿宋_GB2312"/>
          <w:bCs/>
          <w:color w:val="auto"/>
          <w:szCs w:val="32"/>
          <w:highlight w:val="none"/>
          <w:u w:val="none"/>
        </w:rPr>
      </w:pPr>
      <w:r>
        <w:rPr>
          <w:rFonts w:hint="eastAsia" w:ascii="仿宋_GB2312" w:hAnsi="仿宋_GB2312" w:cs="仿宋_GB2312"/>
          <w:bCs/>
          <w:color w:val="auto"/>
          <w:szCs w:val="32"/>
          <w:highlight w:val="none"/>
          <w:u w:val="none"/>
        </w:rPr>
        <w:t>符合条件的申请人、共同申请人有前款违法</w:t>
      </w:r>
      <w:r>
        <w:rPr>
          <w:rFonts w:hint="eastAsia" w:ascii="仿宋_GB2312" w:hAnsi="仿宋_GB2312" w:cs="仿宋_GB2312"/>
          <w:bCs/>
          <w:color w:val="auto"/>
          <w:szCs w:val="32"/>
          <w:highlight w:val="none"/>
          <w:u w:val="none"/>
          <w:lang w:val="en-US" w:eastAsia="zh-CN"/>
        </w:rPr>
        <w:t>行为</w:t>
      </w:r>
      <w:r>
        <w:rPr>
          <w:rFonts w:hint="eastAsia" w:ascii="仿宋_GB2312" w:hAnsi="仿宋_GB2312" w:cs="仿宋_GB2312"/>
          <w:bCs/>
          <w:color w:val="auto"/>
          <w:szCs w:val="32"/>
          <w:highlight w:val="none"/>
          <w:u w:val="none"/>
        </w:rPr>
        <w:t>的，由主管部门驳回申请，处三万元罚款，并自驳回申请之日起五年以内不予受理其住房保障申请。</w:t>
      </w:r>
    </w:p>
    <w:p>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ascii="仿宋_GB2312" w:hAnsi="仿宋_GB2312" w:cs="仿宋_GB2312"/>
          <w:bCs/>
          <w:color w:val="auto"/>
          <w:szCs w:val="32"/>
          <w:highlight w:val="none"/>
          <w:u w:val="none"/>
        </w:rPr>
      </w:pPr>
      <w:bookmarkStart w:id="132" w:name="_Toc3134_WPSOffice_Level2"/>
      <w:bookmarkStart w:id="133" w:name="_Toc4008"/>
      <w:bookmarkStart w:id="134" w:name="_Toc31319"/>
      <w:bookmarkStart w:id="135" w:name="_Toc21339"/>
      <w:bookmarkStart w:id="136" w:name="_Toc8530"/>
      <w:bookmarkStart w:id="137" w:name="_Toc28088"/>
      <w:bookmarkStart w:id="138" w:name="_Toc5682"/>
      <w:bookmarkStart w:id="139" w:name="_Toc4471"/>
      <w:bookmarkStart w:id="140" w:name="_Toc21001"/>
      <w:bookmarkStart w:id="141" w:name="_Toc523428844"/>
      <w:r>
        <w:rPr>
          <w:rFonts w:hint="eastAsia" w:ascii="黑体" w:hAnsi="黑体" w:eastAsia="黑体"/>
          <w:bCs/>
          <w:color w:val="auto"/>
          <w:szCs w:val="32"/>
          <w:highlight w:val="none"/>
          <w:u w:val="none"/>
        </w:rPr>
        <w:t>第</w:t>
      </w:r>
      <w:r>
        <w:rPr>
          <w:rFonts w:hint="eastAsia" w:ascii="黑体" w:hAnsi="黑体" w:eastAsia="黑体"/>
          <w:bCs/>
          <w:color w:val="auto"/>
          <w:szCs w:val="32"/>
          <w:highlight w:val="none"/>
          <w:u w:val="none"/>
          <w:lang w:val="en-US" w:eastAsia="zh-CN"/>
        </w:rPr>
        <w:t>四十五</w:t>
      </w:r>
      <w:r>
        <w:rPr>
          <w:rFonts w:hint="eastAsia" w:ascii="黑体" w:hAnsi="黑体" w:eastAsia="黑体"/>
          <w:bCs/>
          <w:color w:val="auto"/>
          <w:szCs w:val="32"/>
          <w:highlight w:val="none"/>
          <w:u w:val="none"/>
        </w:rPr>
        <w:t>条【加处法律责任】</w:t>
      </w:r>
      <w:r>
        <w:rPr>
          <w:rFonts w:hint="eastAsia" w:ascii="黑体" w:hAnsi="黑体" w:eastAsia="黑体"/>
          <w:bCs/>
          <w:color w:val="auto"/>
          <w:szCs w:val="32"/>
          <w:highlight w:val="none"/>
          <w:u w:val="none"/>
          <w:lang w:val="en-US" w:eastAsia="zh-CN"/>
        </w:rPr>
        <w:t xml:space="preserve">  </w:t>
      </w:r>
      <w:r>
        <w:rPr>
          <w:rFonts w:hint="eastAsia" w:ascii="仿宋_GB2312" w:hAnsi="仿宋_GB2312" w:eastAsia="仿宋_GB2312" w:cs="仿宋_GB2312"/>
          <w:bCs/>
          <w:color w:val="auto"/>
          <w:szCs w:val="32"/>
          <w:highlight w:val="none"/>
          <w:u w:val="none"/>
          <w:lang w:val="en-US" w:eastAsia="zh-CN"/>
        </w:rPr>
        <w:t>主管部门查明</w:t>
      </w:r>
      <w:r>
        <w:rPr>
          <w:rFonts w:hint="eastAsia" w:ascii="仿宋_GB2312" w:hAnsi="仿宋_GB2312" w:cs="仿宋_GB2312"/>
          <w:bCs/>
          <w:color w:val="auto"/>
          <w:szCs w:val="32"/>
          <w:highlight w:val="none"/>
          <w:u w:val="none"/>
        </w:rPr>
        <w:t>有关</w:t>
      </w:r>
      <w:r>
        <w:rPr>
          <w:rFonts w:hint="eastAsia" w:ascii="仿宋_GB2312" w:hAnsi="仿宋_GB2312" w:cs="仿宋_GB2312"/>
          <w:bCs/>
          <w:color w:val="auto"/>
          <w:szCs w:val="32"/>
          <w:highlight w:val="none"/>
          <w:u w:val="none"/>
          <w:lang w:val="en-US" w:eastAsia="zh-CN"/>
        </w:rPr>
        <w:t>人员</w:t>
      </w:r>
      <w:r>
        <w:rPr>
          <w:rFonts w:hint="eastAsia" w:ascii="仿宋_GB2312" w:hAnsi="仿宋_GB2312" w:cs="仿宋_GB2312"/>
          <w:bCs/>
          <w:color w:val="auto"/>
          <w:szCs w:val="32"/>
          <w:highlight w:val="none"/>
          <w:u w:val="none"/>
        </w:rPr>
        <w:t>以隐瞒、虚报、提供虚假材料等方式弄虚作假，或者采取贿赂等不正当手段获取共有产权住房的，由主管部门或者开发建设单位收回共有产权住房，退回原购房款，同时按照</w:t>
      </w:r>
      <w:r>
        <w:rPr>
          <w:rFonts w:hint="eastAsia" w:ascii="仿宋_GB2312" w:hAnsi="仿宋_GB2312" w:cs="仿宋_GB2312"/>
          <w:bCs/>
          <w:color w:val="auto"/>
          <w:szCs w:val="32"/>
          <w:highlight w:val="none"/>
          <w:u w:val="none"/>
          <w:lang w:eastAsia="zh-CN"/>
        </w:rPr>
        <w:t>市场参考租金</w:t>
      </w:r>
      <w:r>
        <w:rPr>
          <w:rFonts w:hint="eastAsia" w:ascii="仿宋_GB2312" w:hAnsi="仿宋_GB2312" w:cs="仿宋_GB2312"/>
          <w:bCs/>
          <w:color w:val="auto"/>
          <w:szCs w:val="32"/>
          <w:highlight w:val="none"/>
          <w:u w:val="none"/>
        </w:rPr>
        <w:t>计收入住期间的租金，并由主管部门按照本办法第</w:t>
      </w:r>
      <w:r>
        <w:rPr>
          <w:rFonts w:hint="eastAsia" w:ascii="仿宋_GB2312" w:hAnsi="仿宋_GB2312" w:cs="仿宋_GB2312"/>
          <w:bCs/>
          <w:color w:val="auto"/>
          <w:szCs w:val="32"/>
          <w:highlight w:val="none"/>
          <w:u w:val="none"/>
          <w:lang w:val="en-US" w:eastAsia="zh-CN"/>
        </w:rPr>
        <w:t>四十四</w:t>
      </w:r>
      <w:r>
        <w:rPr>
          <w:rFonts w:hint="eastAsia" w:ascii="仿宋_GB2312" w:hAnsi="仿宋_GB2312" w:cs="仿宋_GB2312"/>
          <w:bCs/>
          <w:color w:val="auto"/>
          <w:szCs w:val="32"/>
          <w:highlight w:val="none"/>
          <w:u w:val="none"/>
        </w:rPr>
        <w:t>条的有关规定追究责任，加处一倍罚款。</w:t>
      </w:r>
    </w:p>
    <w:p>
      <w:pPr>
        <w:keepNext w:val="0"/>
        <w:keepLines w:val="0"/>
        <w:pageBreakBefore w:val="0"/>
        <w:numPr>
          <w:ilvl w:val="255"/>
          <w:numId w:val="0"/>
        </w:numPr>
        <w:kinsoku/>
        <w:overflowPunct/>
        <w:topLinePunct w:val="0"/>
        <w:autoSpaceDE/>
        <w:autoSpaceDN/>
        <w:bidi w:val="0"/>
        <w:adjustRightInd/>
        <w:snapToGrid/>
        <w:spacing w:line="578" w:lineRule="exact"/>
        <w:ind w:firstLine="640" w:firstLineChars="200"/>
        <w:textAlignment w:val="auto"/>
        <w:rPr>
          <w:rFonts w:ascii="仿宋_GB2312" w:hAnsi="仿宋_GB2312" w:cs="仿宋_GB2312"/>
          <w:color w:val="auto"/>
          <w:szCs w:val="32"/>
          <w:highlight w:val="none"/>
          <w:u w:val="none"/>
        </w:rPr>
      </w:pPr>
      <w:r>
        <w:rPr>
          <w:rFonts w:hint="eastAsia" w:ascii="黑体" w:hAnsi="黑体" w:eastAsia="黑体"/>
          <w:bCs/>
          <w:color w:val="auto"/>
          <w:szCs w:val="32"/>
          <w:highlight w:val="none"/>
          <w:u w:val="none"/>
        </w:rPr>
        <w:t>第</w:t>
      </w:r>
      <w:r>
        <w:rPr>
          <w:rFonts w:hint="eastAsia" w:ascii="黑体" w:hAnsi="黑体" w:eastAsia="黑体"/>
          <w:bCs/>
          <w:color w:val="auto"/>
          <w:szCs w:val="32"/>
          <w:highlight w:val="none"/>
          <w:u w:val="none"/>
          <w:lang w:val="en-US" w:eastAsia="zh-CN"/>
        </w:rPr>
        <w:t>四十六</w:t>
      </w:r>
      <w:r>
        <w:rPr>
          <w:rFonts w:hint="eastAsia" w:ascii="黑体" w:hAnsi="黑体" w:eastAsia="黑体"/>
          <w:bCs/>
          <w:color w:val="auto"/>
          <w:szCs w:val="32"/>
          <w:highlight w:val="none"/>
          <w:u w:val="none"/>
        </w:rPr>
        <w:t>条【出具虚假证明法律责任】</w:t>
      </w:r>
      <w:r>
        <w:rPr>
          <w:rFonts w:hint="eastAsia" w:ascii="黑体" w:hAnsi="黑体" w:eastAsia="黑体"/>
          <w:bCs/>
          <w:color w:val="auto"/>
          <w:szCs w:val="32"/>
          <w:highlight w:val="none"/>
          <w:u w:val="none"/>
          <w:lang w:val="en-US" w:eastAsia="zh-CN"/>
        </w:rPr>
        <w:t xml:space="preserve">  </w:t>
      </w:r>
      <w:r>
        <w:rPr>
          <w:rFonts w:hint="eastAsia" w:ascii="仿宋_GB2312" w:hAnsi="仿宋_GB2312" w:cs="仿宋_GB2312"/>
          <w:color w:val="auto"/>
          <w:szCs w:val="32"/>
          <w:highlight w:val="none"/>
          <w:u w:val="none"/>
        </w:rPr>
        <w:t>有关单位和个人为申请人、共同申请人出具虚假证明材料的，由主管部门对直接责任人员处三万元罚款，对责任单位处十万元罚款；属于国家工作人员的，依法追究</w:t>
      </w:r>
      <w:r>
        <w:rPr>
          <w:rFonts w:hint="eastAsia" w:ascii="仿宋_GB2312" w:hAnsi="仿宋_GB2312"/>
          <w:color w:val="auto"/>
          <w:szCs w:val="32"/>
          <w:highlight w:val="none"/>
          <w:u w:val="none"/>
          <w:lang w:val="en-US" w:eastAsia="zh-CN"/>
        </w:rPr>
        <w:t>其</w:t>
      </w:r>
      <w:r>
        <w:rPr>
          <w:rFonts w:hint="eastAsia" w:ascii="仿宋_GB2312" w:hAnsi="仿宋_GB2312" w:cs="仿宋_GB2312"/>
          <w:color w:val="auto"/>
          <w:szCs w:val="32"/>
          <w:highlight w:val="none"/>
          <w:u w:val="none"/>
        </w:rPr>
        <w:t>行政责任。</w:t>
      </w:r>
    </w:p>
    <w:p>
      <w:pPr>
        <w:keepNext w:val="0"/>
        <w:keepLines w:val="0"/>
        <w:pageBreakBefore w:val="0"/>
        <w:kinsoku/>
        <w:overflowPunct/>
        <w:topLinePunct w:val="0"/>
        <w:autoSpaceDE/>
        <w:autoSpaceDN/>
        <w:bidi w:val="0"/>
        <w:spacing w:line="578" w:lineRule="exact"/>
        <w:ind w:firstLine="640"/>
        <w:rPr>
          <w:rFonts w:ascii="仿宋_GB2312" w:hAnsi="Times New Roman"/>
          <w:color w:val="auto"/>
          <w:szCs w:val="32"/>
          <w:highlight w:val="none"/>
          <w:u w:val="none"/>
        </w:rPr>
      </w:pPr>
      <w:r>
        <w:rPr>
          <w:rFonts w:hint="eastAsia" w:ascii="仿宋_GB2312" w:hAnsi="仿宋_GB2312"/>
          <w:color w:val="auto"/>
          <w:szCs w:val="32"/>
          <w:highlight w:val="none"/>
          <w:u w:val="none"/>
        </w:rPr>
        <w:t>有关</w:t>
      </w:r>
      <w:r>
        <w:rPr>
          <w:rFonts w:hint="eastAsia" w:ascii="仿宋_GB2312" w:hAnsi="仿宋_GB2312"/>
          <w:color w:val="auto"/>
          <w:szCs w:val="32"/>
          <w:highlight w:val="none"/>
          <w:u w:val="none"/>
          <w:lang w:val="en-US" w:eastAsia="zh-CN"/>
        </w:rPr>
        <w:t>人员</w:t>
      </w:r>
      <w:r>
        <w:rPr>
          <w:rFonts w:hint="eastAsia" w:ascii="仿宋_GB2312" w:hAnsi="仿宋_GB2312"/>
          <w:color w:val="auto"/>
          <w:szCs w:val="32"/>
          <w:highlight w:val="none"/>
          <w:u w:val="none"/>
        </w:rPr>
        <w:t>涉嫌伪造、变造或者使用伪造、变造的国家机关、人民团体、企事业单位或者其他组织的公文、证件、证明文件</w:t>
      </w:r>
      <w:r>
        <w:rPr>
          <w:rFonts w:hint="eastAsia" w:ascii="仿宋_GB2312" w:hAnsi="仿宋_GB2312"/>
          <w:color w:val="auto"/>
          <w:szCs w:val="32"/>
          <w:highlight w:val="none"/>
          <w:u w:val="none"/>
          <w:lang w:eastAsia="zh-CN"/>
        </w:rPr>
        <w:t>、</w:t>
      </w:r>
      <w:r>
        <w:rPr>
          <w:rFonts w:hint="eastAsia" w:ascii="仿宋_GB2312" w:hAnsi="仿宋_GB2312"/>
          <w:color w:val="auto"/>
          <w:szCs w:val="32"/>
          <w:highlight w:val="none"/>
          <w:u w:val="none"/>
          <w:lang w:val="en-US" w:eastAsia="zh-CN"/>
        </w:rPr>
        <w:t>印章</w:t>
      </w:r>
      <w:r>
        <w:rPr>
          <w:rFonts w:hint="eastAsia" w:ascii="仿宋_GB2312" w:hAnsi="仿宋_GB2312"/>
          <w:color w:val="auto"/>
          <w:szCs w:val="32"/>
          <w:highlight w:val="none"/>
          <w:u w:val="none"/>
        </w:rPr>
        <w:t>的，</w:t>
      </w:r>
      <w:r>
        <w:rPr>
          <w:rFonts w:hint="eastAsia" w:ascii="仿宋_GB2312" w:hAnsi="仿宋_GB2312"/>
          <w:color w:val="auto"/>
          <w:szCs w:val="32"/>
          <w:highlight w:val="none"/>
          <w:u w:val="none"/>
          <w:lang w:val="en-US" w:eastAsia="zh-CN"/>
        </w:rPr>
        <w:t>由</w:t>
      </w:r>
      <w:r>
        <w:rPr>
          <w:rFonts w:hint="eastAsia" w:ascii="仿宋_GB2312" w:hAnsi="仿宋_GB2312"/>
          <w:color w:val="auto"/>
          <w:szCs w:val="32"/>
          <w:highlight w:val="none"/>
          <w:u w:val="none"/>
        </w:rPr>
        <w:t>公安机关依法处理；</w:t>
      </w:r>
      <w:r>
        <w:rPr>
          <w:rFonts w:hint="eastAsia" w:ascii="仿宋_GB2312" w:hAnsi="仿宋_GB2312"/>
          <w:color w:val="auto"/>
          <w:szCs w:val="32"/>
          <w:highlight w:val="none"/>
          <w:u w:val="none"/>
          <w:lang w:val="en-US" w:eastAsia="zh-CN"/>
        </w:rPr>
        <w:t>构成犯罪的，依法追究其刑事责任</w:t>
      </w:r>
      <w:r>
        <w:rPr>
          <w:rFonts w:hint="eastAsia" w:ascii="仿宋_GB2312" w:hAnsi="仿宋_GB2312"/>
          <w:color w:val="auto"/>
          <w:szCs w:val="32"/>
          <w:highlight w:val="none"/>
          <w:u w:val="none"/>
        </w:rPr>
        <w:t>。</w:t>
      </w:r>
    </w:p>
    <w:p>
      <w:pPr>
        <w:keepNext w:val="0"/>
        <w:keepLines w:val="0"/>
        <w:pageBreakBefore w:val="0"/>
        <w:numPr>
          <w:ilvl w:val="-1"/>
          <w:numId w:val="0"/>
        </w:numPr>
        <w:kinsoku/>
        <w:overflowPunct/>
        <w:topLinePunct w:val="0"/>
        <w:autoSpaceDE/>
        <w:autoSpaceDN/>
        <w:bidi w:val="0"/>
        <w:adjustRightInd/>
        <w:snapToGrid/>
        <w:spacing w:line="578" w:lineRule="exact"/>
        <w:ind w:firstLine="640" w:firstLineChars="200"/>
        <w:textAlignment w:val="auto"/>
        <w:outlineLvl w:val="9"/>
        <w:rPr>
          <w:rFonts w:ascii="仿宋_GB2312" w:hAnsi="仿宋_GB2312" w:cs="仿宋_GB2312"/>
          <w:color w:val="auto"/>
          <w:szCs w:val="32"/>
          <w:highlight w:val="none"/>
          <w:u w:val="none"/>
        </w:rPr>
      </w:pPr>
      <w:r>
        <w:rPr>
          <w:rFonts w:hint="eastAsia" w:ascii="黑体" w:hAnsi="黑体" w:eastAsia="黑体"/>
          <w:bCs/>
          <w:color w:val="auto"/>
          <w:szCs w:val="32"/>
          <w:highlight w:val="none"/>
          <w:u w:val="none"/>
        </w:rPr>
        <w:t>第</w:t>
      </w:r>
      <w:r>
        <w:rPr>
          <w:rFonts w:hint="eastAsia" w:ascii="黑体" w:hAnsi="黑体" w:eastAsia="黑体"/>
          <w:bCs/>
          <w:color w:val="auto"/>
          <w:szCs w:val="32"/>
          <w:highlight w:val="none"/>
          <w:u w:val="none"/>
          <w:lang w:val="en-US" w:eastAsia="zh-CN"/>
        </w:rPr>
        <w:t>四十七</w:t>
      </w:r>
      <w:r>
        <w:rPr>
          <w:rFonts w:hint="eastAsia" w:ascii="黑体" w:hAnsi="黑体" w:eastAsia="黑体"/>
          <w:bCs/>
          <w:color w:val="auto"/>
          <w:szCs w:val="32"/>
          <w:highlight w:val="none"/>
          <w:u w:val="none"/>
        </w:rPr>
        <w:t>条</w:t>
      </w:r>
      <w:bookmarkEnd w:id="132"/>
      <w:r>
        <w:rPr>
          <w:rFonts w:hint="eastAsia" w:ascii="黑体" w:hAnsi="黑体" w:eastAsia="黑体"/>
          <w:bCs/>
          <w:color w:val="auto"/>
          <w:szCs w:val="32"/>
          <w:highlight w:val="none"/>
          <w:u w:val="none"/>
        </w:rPr>
        <w:t>【违规违约法律责任】</w:t>
      </w:r>
      <w:r>
        <w:rPr>
          <w:rFonts w:hint="eastAsia" w:ascii="黑体" w:hAnsi="黑体" w:eastAsia="黑体"/>
          <w:bCs/>
          <w:color w:val="auto"/>
          <w:szCs w:val="32"/>
          <w:highlight w:val="none"/>
          <w:u w:val="none"/>
          <w:lang w:val="en-US" w:eastAsia="zh-CN"/>
        </w:rPr>
        <w:t xml:space="preserve">  </w:t>
      </w:r>
      <w:r>
        <w:rPr>
          <w:rFonts w:hint="eastAsia" w:ascii="仿宋_GB2312" w:hAnsi="仿宋_GB2312" w:cs="仿宋_GB2312"/>
          <w:color w:val="auto"/>
          <w:szCs w:val="32"/>
          <w:highlight w:val="none"/>
          <w:u w:val="none"/>
        </w:rPr>
        <w:t>有关当事人有本办法第</w:t>
      </w:r>
      <w:r>
        <w:rPr>
          <w:rFonts w:hint="eastAsia" w:ascii="仿宋_GB2312" w:hAnsi="仿宋_GB2312" w:cs="仿宋_GB2312"/>
          <w:color w:val="auto"/>
          <w:szCs w:val="32"/>
          <w:highlight w:val="none"/>
          <w:u w:val="none"/>
          <w:lang w:val="en-US" w:eastAsia="zh-CN"/>
        </w:rPr>
        <w:t>三十九</w:t>
      </w:r>
      <w:r>
        <w:rPr>
          <w:rFonts w:hint="eastAsia" w:ascii="仿宋_GB2312" w:hAnsi="仿宋_GB2312" w:cs="仿宋_GB2312"/>
          <w:color w:val="auto"/>
          <w:szCs w:val="32"/>
          <w:highlight w:val="none"/>
          <w:u w:val="none"/>
        </w:rPr>
        <w:t>条第</w:t>
      </w:r>
      <w:r>
        <w:rPr>
          <w:rFonts w:hint="eastAsia" w:ascii="仿宋_GB2312" w:hAnsi="仿宋_GB2312" w:cs="仿宋_GB2312"/>
          <w:color w:val="auto"/>
          <w:szCs w:val="32"/>
          <w:highlight w:val="none"/>
          <w:u w:val="none"/>
          <w:lang w:val="en-US" w:eastAsia="zh-CN"/>
        </w:rPr>
        <w:t>一</w:t>
      </w:r>
      <w:r>
        <w:rPr>
          <w:rFonts w:hint="eastAsia" w:ascii="仿宋_GB2312" w:hAnsi="仿宋_GB2312" w:cs="仿宋_GB2312"/>
          <w:color w:val="auto"/>
          <w:szCs w:val="32"/>
          <w:highlight w:val="none"/>
          <w:u w:val="none"/>
        </w:rPr>
        <w:t>项至</w:t>
      </w:r>
      <w:r>
        <w:rPr>
          <w:rFonts w:hint="eastAsia" w:ascii="仿宋_GB2312" w:hAnsi="仿宋_GB2312" w:cs="仿宋_GB2312"/>
          <w:color w:val="auto"/>
          <w:szCs w:val="32"/>
          <w:highlight w:val="none"/>
          <w:u w:val="none"/>
          <w:lang w:val="en-US" w:eastAsia="zh-CN"/>
        </w:rPr>
        <w:t>六</w:t>
      </w:r>
      <w:r>
        <w:rPr>
          <w:rFonts w:hint="eastAsia" w:ascii="仿宋_GB2312" w:hAnsi="仿宋_GB2312" w:cs="仿宋_GB2312"/>
          <w:color w:val="auto"/>
          <w:szCs w:val="32"/>
          <w:highlight w:val="none"/>
          <w:u w:val="none"/>
        </w:rPr>
        <w:t>项规定</w:t>
      </w:r>
      <w:r>
        <w:rPr>
          <w:rFonts w:hint="eastAsia" w:ascii="仿宋_GB2312" w:hAnsi="仿宋_GB2312" w:cs="仿宋_GB2312"/>
          <w:color w:val="auto"/>
          <w:szCs w:val="32"/>
          <w:highlight w:val="none"/>
          <w:u w:val="none"/>
          <w:lang w:val="en-US" w:eastAsia="zh-CN"/>
        </w:rPr>
        <w:t>情形</w:t>
      </w:r>
      <w:r>
        <w:rPr>
          <w:rFonts w:hint="eastAsia" w:ascii="仿宋_GB2312" w:hAnsi="仿宋_GB2312" w:cs="仿宋_GB2312"/>
          <w:color w:val="auto"/>
          <w:szCs w:val="32"/>
          <w:highlight w:val="none"/>
          <w:u w:val="none"/>
        </w:rPr>
        <w:t>之一的，由主管部门责令</w:t>
      </w:r>
      <w:r>
        <w:rPr>
          <w:rFonts w:hint="eastAsia" w:ascii="仿宋_GB2312" w:hAnsi="仿宋_GB2312" w:cs="仿宋_GB2312"/>
          <w:color w:val="auto"/>
          <w:szCs w:val="32"/>
          <w:highlight w:val="none"/>
          <w:u w:val="none"/>
          <w:lang w:val="en-US" w:eastAsia="zh-CN"/>
        </w:rPr>
        <w:t>限期</w:t>
      </w:r>
      <w:r>
        <w:rPr>
          <w:rFonts w:hint="default" w:ascii="仿宋_GB2312" w:hAnsi="仿宋_GB2312" w:cs="仿宋_GB2312"/>
          <w:color w:val="auto"/>
          <w:szCs w:val="32"/>
          <w:highlight w:val="none"/>
          <w:u w:val="none"/>
          <w:lang w:val="en-US"/>
        </w:rPr>
        <w:t>改正</w:t>
      </w:r>
      <w:r>
        <w:rPr>
          <w:rFonts w:hint="eastAsia" w:ascii="仿宋_GB2312" w:hAnsi="仿宋_GB2312" w:cs="仿宋_GB2312"/>
          <w:color w:val="auto"/>
          <w:szCs w:val="32"/>
          <w:highlight w:val="none"/>
          <w:u w:val="none"/>
        </w:rPr>
        <w:t>，处一万元罚款；情节严重的，处五万元罚款；</w:t>
      </w:r>
      <w:r>
        <w:rPr>
          <w:rFonts w:hint="eastAsia" w:ascii="仿宋_GB2312" w:hAnsi="仿宋_GB2312" w:cs="仿宋_GB2312"/>
          <w:color w:val="auto"/>
          <w:szCs w:val="32"/>
          <w:highlight w:val="none"/>
          <w:u w:val="none"/>
          <w:lang w:val="en-US" w:eastAsia="zh-CN"/>
        </w:rPr>
        <w:t>逾期未</w:t>
      </w:r>
      <w:r>
        <w:rPr>
          <w:rFonts w:hint="default" w:ascii="仿宋_GB2312" w:hAnsi="仿宋_GB2312" w:cs="仿宋_GB2312"/>
          <w:color w:val="auto"/>
          <w:szCs w:val="32"/>
          <w:highlight w:val="none"/>
          <w:u w:val="none"/>
          <w:lang w:val="en-US" w:eastAsia="zh-CN"/>
        </w:rPr>
        <w:t>改正</w:t>
      </w:r>
      <w:r>
        <w:rPr>
          <w:rFonts w:hint="eastAsia" w:ascii="仿宋_GB2312" w:hAnsi="仿宋_GB2312" w:cs="仿宋_GB2312"/>
          <w:color w:val="auto"/>
          <w:szCs w:val="32"/>
          <w:highlight w:val="none"/>
          <w:u w:val="none"/>
          <w:lang w:val="en-US" w:eastAsia="zh-CN"/>
        </w:rPr>
        <w:t>的，按照本办法第三十二条第一款、第四款规定的价格收回住房；</w:t>
      </w:r>
      <w:r>
        <w:rPr>
          <w:rFonts w:hint="eastAsia" w:ascii="仿宋_GB2312" w:hAnsi="仿宋_GB2312" w:cs="仿宋_GB2312"/>
          <w:color w:val="auto"/>
          <w:szCs w:val="32"/>
          <w:highlight w:val="none"/>
          <w:u w:val="none"/>
        </w:rPr>
        <w:t>有违法所得的，依法没收。</w:t>
      </w:r>
      <w:bookmarkEnd w:id="133"/>
      <w:bookmarkEnd w:id="134"/>
      <w:bookmarkEnd w:id="135"/>
      <w:bookmarkEnd w:id="136"/>
      <w:bookmarkStart w:id="142" w:name="_Toc9822"/>
      <w:bookmarkStart w:id="143" w:name="_Toc30926"/>
      <w:bookmarkStart w:id="144" w:name="_Toc961"/>
      <w:bookmarkStart w:id="145" w:name="_Toc12569"/>
    </w:p>
    <w:p>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ascii="仿宋_GB2312" w:hAnsi="仿宋_GB2312" w:cs="仿宋_GB2312"/>
          <w:bCs/>
          <w:color w:val="auto"/>
          <w:szCs w:val="32"/>
          <w:highlight w:val="none"/>
          <w:u w:val="none"/>
        </w:rPr>
      </w:pPr>
      <w:r>
        <w:rPr>
          <w:rFonts w:hint="eastAsia" w:ascii="仿宋_GB2312" w:hAnsi="仿宋_GB2312" w:cs="仿宋_GB2312"/>
          <w:color w:val="auto"/>
          <w:szCs w:val="32"/>
          <w:highlight w:val="none"/>
          <w:u w:val="none"/>
        </w:rPr>
        <w:t>有关当事人</w:t>
      </w:r>
      <w:r>
        <w:rPr>
          <w:rFonts w:hint="eastAsia" w:ascii="仿宋_GB2312" w:hAnsi="仿宋_GB2312" w:cs="仿宋_GB2312"/>
          <w:bCs/>
          <w:color w:val="auto"/>
          <w:szCs w:val="32"/>
          <w:highlight w:val="none"/>
          <w:u w:val="none"/>
        </w:rPr>
        <w:t>有本办法第</w:t>
      </w:r>
      <w:r>
        <w:rPr>
          <w:rFonts w:hint="eastAsia" w:ascii="仿宋_GB2312" w:hAnsi="仿宋_GB2312" w:cs="仿宋_GB2312"/>
          <w:color w:val="auto"/>
          <w:szCs w:val="32"/>
          <w:highlight w:val="none"/>
          <w:u w:val="none"/>
          <w:lang w:val="en-US" w:eastAsia="zh-CN"/>
        </w:rPr>
        <w:t>三十九</w:t>
      </w:r>
      <w:r>
        <w:rPr>
          <w:rFonts w:hint="eastAsia" w:ascii="仿宋_GB2312" w:hAnsi="仿宋_GB2312" w:cs="仿宋_GB2312"/>
          <w:bCs/>
          <w:color w:val="auto"/>
          <w:szCs w:val="32"/>
          <w:highlight w:val="none"/>
          <w:u w:val="none"/>
        </w:rPr>
        <w:t>条第一项至</w:t>
      </w:r>
      <w:r>
        <w:rPr>
          <w:rFonts w:ascii="仿宋_GB2312" w:hAnsi="仿宋_GB2312" w:cs="仿宋_GB2312"/>
          <w:bCs/>
          <w:color w:val="auto"/>
          <w:szCs w:val="32"/>
          <w:highlight w:val="none"/>
          <w:u w:val="none"/>
        </w:rPr>
        <w:t>六</w:t>
      </w:r>
      <w:r>
        <w:rPr>
          <w:rFonts w:hint="eastAsia" w:ascii="仿宋_GB2312" w:hAnsi="仿宋_GB2312" w:cs="仿宋_GB2312"/>
          <w:bCs/>
          <w:color w:val="auto"/>
          <w:szCs w:val="32"/>
          <w:highlight w:val="none"/>
          <w:u w:val="none"/>
        </w:rPr>
        <w:t>项规定</w:t>
      </w:r>
      <w:r>
        <w:rPr>
          <w:rFonts w:hint="eastAsia" w:ascii="仿宋_GB2312" w:hAnsi="仿宋_GB2312" w:cs="仿宋_GB2312"/>
          <w:color w:val="auto"/>
          <w:szCs w:val="32"/>
          <w:highlight w:val="none"/>
          <w:u w:val="none"/>
          <w:lang w:val="en-US" w:eastAsia="zh-CN"/>
        </w:rPr>
        <w:t>情形</w:t>
      </w:r>
      <w:r>
        <w:rPr>
          <w:rFonts w:hint="eastAsia" w:ascii="仿宋_GB2312" w:hAnsi="仿宋_GB2312" w:cs="仿宋_GB2312"/>
          <w:bCs/>
          <w:color w:val="auto"/>
          <w:szCs w:val="32"/>
          <w:highlight w:val="none"/>
          <w:u w:val="none"/>
        </w:rPr>
        <w:t>之一被解除合同的，主管部门自该合同解除之日起五年以内不予受理其住房保障申请。</w:t>
      </w:r>
      <w:bookmarkEnd w:id="137"/>
      <w:bookmarkEnd w:id="138"/>
      <w:bookmarkEnd w:id="139"/>
      <w:bookmarkEnd w:id="140"/>
      <w:bookmarkEnd w:id="141"/>
      <w:bookmarkEnd w:id="142"/>
      <w:bookmarkEnd w:id="143"/>
      <w:bookmarkEnd w:id="144"/>
      <w:bookmarkEnd w:id="145"/>
    </w:p>
    <w:p>
      <w:pPr>
        <w:keepNext w:val="0"/>
        <w:keepLines w:val="0"/>
        <w:pageBreakBefore w:val="0"/>
        <w:kinsoku/>
        <w:overflowPunct/>
        <w:topLinePunct w:val="0"/>
        <w:autoSpaceDE/>
        <w:autoSpaceDN/>
        <w:bidi w:val="0"/>
        <w:adjustRightInd/>
        <w:snapToGrid/>
        <w:spacing w:line="578" w:lineRule="exact"/>
        <w:ind w:firstLine="640" w:firstLineChars="200"/>
        <w:textAlignment w:val="auto"/>
        <w:outlineLvl w:val="2"/>
        <w:rPr>
          <w:rFonts w:ascii="仿宋_GB2312" w:hAnsi="仿宋_GB2312" w:cs="仿宋_GB2312"/>
          <w:color w:val="auto"/>
          <w:szCs w:val="32"/>
          <w:highlight w:val="none"/>
          <w:u w:val="none"/>
        </w:rPr>
      </w:pPr>
      <w:bookmarkStart w:id="146" w:name="_Toc3475"/>
      <w:bookmarkStart w:id="147" w:name="_Toc11902"/>
      <w:bookmarkStart w:id="148" w:name="_Toc1245"/>
      <w:bookmarkStart w:id="149" w:name="_Toc21170"/>
      <w:r>
        <w:rPr>
          <w:rFonts w:hint="eastAsia" w:ascii="黑体" w:hAnsi="黑体" w:eastAsia="黑体"/>
          <w:bCs/>
          <w:color w:val="auto"/>
          <w:szCs w:val="32"/>
          <w:highlight w:val="none"/>
          <w:u w:val="none"/>
        </w:rPr>
        <w:t>第</w:t>
      </w:r>
      <w:r>
        <w:rPr>
          <w:rFonts w:hint="eastAsia" w:ascii="黑体" w:hAnsi="黑体" w:eastAsia="黑体"/>
          <w:bCs/>
          <w:color w:val="auto"/>
          <w:szCs w:val="32"/>
          <w:highlight w:val="none"/>
          <w:u w:val="none"/>
          <w:lang w:val="en-US" w:eastAsia="zh-CN"/>
        </w:rPr>
        <w:t>四十八</w:t>
      </w:r>
      <w:r>
        <w:rPr>
          <w:rFonts w:hint="eastAsia" w:ascii="黑体" w:hAnsi="黑体" w:eastAsia="黑体"/>
          <w:bCs/>
          <w:color w:val="auto"/>
          <w:szCs w:val="32"/>
          <w:highlight w:val="none"/>
          <w:u w:val="none"/>
        </w:rPr>
        <w:t>条【房地产经纪机构违规处理】</w:t>
      </w:r>
      <w:r>
        <w:rPr>
          <w:rFonts w:hint="eastAsia" w:ascii="黑体" w:hAnsi="黑体" w:eastAsia="黑体"/>
          <w:bCs/>
          <w:color w:val="auto"/>
          <w:szCs w:val="32"/>
          <w:highlight w:val="none"/>
          <w:u w:val="none"/>
          <w:lang w:val="en-US" w:eastAsia="zh-CN"/>
        </w:rPr>
        <w:t xml:space="preserve">  </w:t>
      </w:r>
      <w:r>
        <w:rPr>
          <w:rFonts w:hint="eastAsia" w:ascii="仿宋_GB2312" w:hAnsi="仿宋_GB2312" w:cs="仿宋_GB2312"/>
          <w:color w:val="auto"/>
          <w:szCs w:val="32"/>
          <w:highlight w:val="none"/>
          <w:u w:val="none"/>
        </w:rPr>
        <w:t>房地产经纪机构及经纪人员违反本办法第</w:t>
      </w:r>
      <w:r>
        <w:rPr>
          <w:rFonts w:hint="eastAsia" w:ascii="仿宋_GB2312" w:hAnsi="仿宋_GB2312" w:cs="仿宋_GB2312"/>
          <w:color w:val="auto"/>
          <w:szCs w:val="32"/>
          <w:highlight w:val="none"/>
          <w:u w:val="none"/>
          <w:lang w:val="en-US" w:eastAsia="zh-CN"/>
        </w:rPr>
        <w:t>四十</w:t>
      </w:r>
      <w:r>
        <w:rPr>
          <w:rFonts w:hint="eastAsia" w:ascii="仿宋_GB2312" w:hAnsi="仿宋_GB2312" w:cs="仿宋_GB2312"/>
          <w:color w:val="auto"/>
          <w:szCs w:val="32"/>
          <w:highlight w:val="none"/>
          <w:u w:val="none"/>
        </w:rPr>
        <w:t>条规定的，由主管部门责令限期</w:t>
      </w:r>
      <w:r>
        <w:rPr>
          <w:rFonts w:hint="eastAsia" w:ascii="仿宋_GB2312" w:hAnsi="仿宋_GB2312" w:cs="仿宋_GB2312"/>
          <w:color w:val="auto"/>
          <w:szCs w:val="32"/>
          <w:highlight w:val="none"/>
          <w:u w:val="none"/>
          <w:lang w:val="en-US" w:eastAsia="zh-CN"/>
        </w:rPr>
        <w:t>改正</w:t>
      </w:r>
      <w:r>
        <w:rPr>
          <w:rFonts w:hint="eastAsia" w:ascii="仿宋_GB2312" w:hAnsi="仿宋_GB2312" w:cs="仿宋_GB2312"/>
          <w:color w:val="auto"/>
          <w:szCs w:val="32"/>
          <w:highlight w:val="none"/>
          <w:u w:val="none"/>
        </w:rPr>
        <w:t>，记入房地产经纪信用档案；对房地产经纪人员，</w:t>
      </w:r>
      <w:r>
        <w:rPr>
          <w:rFonts w:ascii="仿宋_GB2312" w:hAnsi="仿宋_GB2312" w:cs="仿宋_GB2312"/>
          <w:color w:val="auto"/>
          <w:szCs w:val="32"/>
          <w:highlight w:val="none"/>
          <w:u w:val="none"/>
        </w:rPr>
        <w:t>处</w:t>
      </w:r>
      <w:r>
        <w:rPr>
          <w:rFonts w:hint="eastAsia" w:ascii="仿宋_GB2312"/>
          <w:color w:val="auto"/>
          <w:szCs w:val="32"/>
          <w:highlight w:val="none"/>
          <w:u w:val="none"/>
        </w:rPr>
        <w:t>三万元</w:t>
      </w:r>
      <w:r>
        <w:rPr>
          <w:rFonts w:ascii="仿宋_GB2312" w:hAnsi="仿宋_GB2312" w:cs="仿宋_GB2312"/>
          <w:color w:val="auto"/>
          <w:szCs w:val="32"/>
          <w:highlight w:val="none"/>
          <w:u w:val="none"/>
        </w:rPr>
        <w:t>罚款</w:t>
      </w:r>
      <w:r>
        <w:rPr>
          <w:rFonts w:hint="eastAsia" w:ascii="仿宋_GB2312" w:hAnsi="仿宋_GB2312" w:cs="仿宋_GB2312"/>
          <w:color w:val="auto"/>
          <w:szCs w:val="32"/>
          <w:highlight w:val="none"/>
          <w:u w:val="none"/>
        </w:rPr>
        <w:t>；对房地产经纪机构，暂停网上签约权限，处十万元罚款。</w:t>
      </w:r>
      <w:bookmarkEnd w:id="146"/>
      <w:bookmarkEnd w:id="147"/>
      <w:bookmarkEnd w:id="148"/>
      <w:bookmarkEnd w:id="149"/>
    </w:p>
    <w:p>
      <w:pPr>
        <w:keepNext w:val="0"/>
        <w:keepLines w:val="0"/>
        <w:pageBreakBefore w:val="0"/>
        <w:kinsoku/>
        <w:overflowPunct/>
        <w:topLinePunct w:val="0"/>
        <w:autoSpaceDE/>
        <w:autoSpaceDN/>
        <w:bidi w:val="0"/>
        <w:adjustRightInd/>
        <w:snapToGrid/>
        <w:spacing w:line="578" w:lineRule="exact"/>
        <w:ind w:firstLine="640" w:firstLineChars="200"/>
        <w:textAlignment w:val="auto"/>
        <w:outlineLvl w:val="2"/>
        <w:rPr>
          <w:rFonts w:ascii="仿宋_GB2312" w:hAnsi="仿宋_GB2312" w:cs="仿宋_GB2312"/>
          <w:color w:val="auto"/>
          <w:szCs w:val="32"/>
          <w:highlight w:val="none"/>
          <w:u w:val="none"/>
        </w:rPr>
      </w:pPr>
      <w:bookmarkStart w:id="150" w:name="_Toc13356_WPSOffice_Level2"/>
      <w:bookmarkStart w:id="151" w:name="_Toc13142"/>
      <w:bookmarkStart w:id="152" w:name="_Toc523428848"/>
      <w:bookmarkStart w:id="153" w:name="_Toc9425"/>
      <w:bookmarkStart w:id="154" w:name="_Toc6982"/>
      <w:bookmarkStart w:id="155" w:name="_Toc10877"/>
      <w:bookmarkStart w:id="156" w:name="_Toc199"/>
      <w:bookmarkStart w:id="157" w:name="_Toc20934"/>
      <w:bookmarkStart w:id="158" w:name="_Toc12520"/>
      <w:bookmarkStart w:id="159" w:name="_Toc19073"/>
      <w:bookmarkStart w:id="160" w:name="_Toc4809"/>
      <w:r>
        <w:rPr>
          <w:rFonts w:hint="eastAsia" w:ascii="黑体" w:hAnsi="黑体" w:eastAsia="黑体"/>
          <w:bCs/>
          <w:color w:val="auto"/>
          <w:szCs w:val="32"/>
          <w:highlight w:val="none"/>
          <w:u w:val="none"/>
        </w:rPr>
        <w:t>第</w:t>
      </w:r>
      <w:r>
        <w:rPr>
          <w:rFonts w:hint="eastAsia" w:ascii="黑体" w:hAnsi="黑体" w:eastAsia="黑体"/>
          <w:bCs/>
          <w:color w:val="auto"/>
          <w:szCs w:val="32"/>
          <w:highlight w:val="none"/>
          <w:u w:val="none"/>
          <w:lang w:val="en-US" w:eastAsia="zh-CN"/>
        </w:rPr>
        <w:t>四十九</w:t>
      </w:r>
      <w:r>
        <w:rPr>
          <w:rFonts w:hint="eastAsia" w:ascii="黑体" w:hAnsi="黑体" w:eastAsia="黑体"/>
          <w:bCs/>
          <w:color w:val="auto"/>
          <w:szCs w:val="32"/>
          <w:highlight w:val="none"/>
          <w:u w:val="none"/>
        </w:rPr>
        <w:t>条</w:t>
      </w:r>
      <w:bookmarkEnd w:id="150"/>
      <w:r>
        <w:rPr>
          <w:rFonts w:hint="eastAsia" w:ascii="黑体" w:hAnsi="黑体" w:eastAsia="黑体"/>
          <w:bCs/>
          <w:color w:val="auto"/>
          <w:szCs w:val="32"/>
          <w:highlight w:val="none"/>
          <w:u w:val="none"/>
        </w:rPr>
        <w:t>【部门及工作人员法律责任】</w:t>
      </w:r>
      <w:r>
        <w:rPr>
          <w:rFonts w:hint="eastAsia" w:ascii="黑体" w:hAnsi="黑体" w:eastAsia="黑体"/>
          <w:bCs/>
          <w:color w:val="auto"/>
          <w:szCs w:val="32"/>
          <w:highlight w:val="none"/>
          <w:u w:val="none"/>
          <w:lang w:val="en-US" w:eastAsia="zh-CN"/>
        </w:rPr>
        <w:t xml:space="preserve">  </w:t>
      </w:r>
      <w:r>
        <w:rPr>
          <w:rFonts w:hint="eastAsia" w:ascii="仿宋_GB2312" w:hAnsi="仿宋_GB2312" w:cs="仿宋_GB2312"/>
          <w:color w:val="auto"/>
          <w:szCs w:val="32"/>
          <w:highlight w:val="none"/>
          <w:u w:val="none"/>
        </w:rPr>
        <w:t>主管部门或者其他相关部门及其工作人员违反本办法规定不履行职责的</w:t>
      </w:r>
      <w:bookmarkEnd w:id="151"/>
      <w:bookmarkEnd w:id="152"/>
      <w:bookmarkEnd w:id="153"/>
      <w:bookmarkEnd w:id="154"/>
      <w:bookmarkEnd w:id="155"/>
      <w:bookmarkEnd w:id="156"/>
      <w:bookmarkEnd w:id="157"/>
      <w:bookmarkEnd w:id="158"/>
      <w:bookmarkEnd w:id="159"/>
      <w:bookmarkEnd w:id="160"/>
      <w:r>
        <w:rPr>
          <w:rFonts w:hint="eastAsia" w:ascii="仿宋_GB2312" w:hAnsi="仿宋_GB2312" w:cs="仿宋_GB2312"/>
          <w:color w:val="auto"/>
          <w:szCs w:val="32"/>
          <w:highlight w:val="none"/>
          <w:u w:val="none"/>
        </w:rPr>
        <w:t>，依法追究</w:t>
      </w:r>
      <w:r>
        <w:rPr>
          <w:rFonts w:hint="eastAsia" w:ascii="仿宋_GB2312" w:hAnsi="仿宋_GB2312" w:cs="仿宋_GB2312"/>
          <w:color w:val="auto"/>
          <w:szCs w:val="32"/>
          <w:highlight w:val="none"/>
          <w:u w:val="none"/>
          <w:lang w:eastAsia="zh-CN"/>
        </w:rPr>
        <w:t>其</w:t>
      </w:r>
      <w:r>
        <w:rPr>
          <w:rFonts w:hint="eastAsia" w:ascii="仿宋_GB2312" w:hAnsi="仿宋_GB2312" w:cs="仿宋_GB2312"/>
          <w:color w:val="auto"/>
          <w:szCs w:val="32"/>
          <w:highlight w:val="none"/>
          <w:u w:val="none"/>
        </w:rPr>
        <w:t>行政责任；构成犯罪的，依法追究</w:t>
      </w:r>
      <w:r>
        <w:rPr>
          <w:rFonts w:hint="eastAsia" w:ascii="仿宋_GB2312" w:hAnsi="仿宋_GB2312"/>
          <w:color w:val="auto"/>
          <w:szCs w:val="32"/>
          <w:highlight w:val="none"/>
          <w:u w:val="none"/>
          <w:lang w:val="en-US" w:eastAsia="zh-CN"/>
        </w:rPr>
        <w:t>其</w:t>
      </w:r>
      <w:r>
        <w:rPr>
          <w:rFonts w:hint="eastAsia" w:ascii="仿宋_GB2312" w:hAnsi="仿宋_GB2312" w:cs="仿宋_GB2312"/>
          <w:color w:val="auto"/>
          <w:szCs w:val="32"/>
          <w:highlight w:val="none"/>
          <w:u w:val="none"/>
        </w:rPr>
        <w:t>刑事责任。</w:t>
      </w:r>
    </w:p>
    <w:p>
      <w:pPr>
        <w:keepNext w:val="0"/>
        <w:keepLines w:val="0"/>
        <w:pageBreakBefore w:val="0"/>
        <w:kinsoku/>
        <w:overflowPunct/>
        <w:topLinePunct w:val="0"/>
        <w:autoSpaceDE/>
        <w:autoSpaceDN/>
        <w:bidi w:val="0"/>
        <w:adjustRightInd/>
        <w:snapToGrid/>
        <w:spacing w:line="578" w:lineRule="exact"/>
        <w:ind w:firstLine="0" w:firstLineChars="0"/>
        <w:jc w:val="center"/>
        <w:textAlignment w:val="auto"/>
        <w:outlineLvl w:val="1"/>
        <w:rPr>
          <w:rFonts w:hint="eastAsia" w:ascii="黑体" w:hAnsi="黑体" w:eastAsia="黑体"/>
          <w:bCs/>
          <w:color w:val="auto"/>
          <w:szCs w:val="32"/>
          <w:highlight w:val="none"/>
          <w:u w:val="none"/>
        </w:rPr>
      </w:pPr>
      <w:bookmarkStart w:id="161" w:name="_Toc24743"/>
      <w:bookmarkStart w:id="162" w:name="_Toc28960_WPSOffice_Level2"/>
      <w:bookmarkStart w:id="163" w:name="_Toc18064"/>
      <w:bookmarkStart w:id="164" w:name="_Toc30828"/>
      <w:bookmarkStart w:id="165" w:name="_Toc31095_WPSOffice_Level1"/>
      <w:bookmarkStart w:id="166" w:name="_Toc31185"/>
      <w:bookmarkStart w:id="167" w:name="_Toc6413"/>
      <w:bookmarkStart w:id="168" w:name="_Toc10886"/>
      <w:bookmarkStart w:id="169" w:name="_Toc23638"/>
      <w:bookmarkStart w:id="170" w:name="_Toc27150_WPSOffice_Level1"/>
      <w:bookmarkStart w:id="171" w:name="_Toc1455"/>
      <w:bookmarkStart w:id="172" w:name="_Toc16827_WPSOffice_Level1"/>
      <w:bookmarkStart w:id="173" w:name="_Toc27716"/>
      <w:bookmarkStart w:id="174" w:name="_Toc15812_WPSOffice_Level1"/>
      <w:bookmarkStart w:id="175" w:name="_Toc19022_WPSOffice_Level1"/>
      <w:bookmarkStart w:id="176" w:name="_Toc523428849"/>
    </w:p>
    <w:p>
      <w:pPr>
        <w:keepNext w:val="0"/>
        <w:keepLines w:val="0"/>
        <w:pageBreakBefore w:val="0"/>
        <w:kinsoku/>
        <w:overflowPunct/>
        <w:topLinePunct w:val="0"/>
        <w:autoSpaceDE/>
        <w:autoSpaceDN/>
        <w:bidi w:val="0"/>
        <w:adjustRightInd/>
        <w:snapToGrid/>
        <w:spacing w:line="578" w:lineRule="exact"/>
        <w:ind w:firstLine="0" w:firstLineChars="0"/>
        <w:jc w:val="center"/>
        <w:textAlignment w:val="auto"/>
        <w:outlineLvl w:val="1"/>
        <w:rPr>
          <w:rFonts w:ascii="黑体" w:hAnsi="黑体" w:eastAsia="黑体"/>
          <w:bCs/>
          <w:color w:val="auto"/>
          <w:szCs w:val="32"/>
          <w:highlight w:val="none"/>
          <w:u w:val="none"/>
        </w:rPr>
      </w:pPr>
      <w:r>
        <w:rPr>
          <w:rFonts w:hint="eastAsia" w:ascii="黑体" w:hAnsi="黑体" w:eastAsia="黑体"/>
          <w:bCs/>
          <w:color w:val="auto"/>
          <w:szCs w:val="32"/>
          <w:highlight w:val="none"/>
          <w:u w:val="none"/>
        </w:rPr>
        <w:t>第</w:t>
      </w:r>
      <w:r>
        <w:rPr>
          <w:rFonts w:hint="eastAsia" w:ascii="黑体" w:hAnsi="黑体" w:eastAsia="黑体"/>
          <w:bCs/>
          <w:color w:val="auto"/>
          <w:szCs w:val="32"/>
          <w:highlight w:val="none"/>
          <w:u w:val="none"/>
          <w:lang w:val="en-US" w:eastAsia="zh-CN"/>
        </w:rPr>
        <w:t>六</w:t>
      </w:r>
      <w:r>
        <w:rPr>
          <w:rFonts w:hint="eastAsia" w:ascii="黑体" w:hAnsi="黑体" w:eastAsia="黑体"/>
          <w:bCs/>
          <w:color w:val="auto"/>
          <w:szCs w:val="32"/>
          <w:highlight w:val="none"/>
          <w:u w:val="none"/>
        </w:rPr>
        <w:t>章</w:t>
      </w:r>
      <w:r>
        <w:rPr>
          <w:rFonts w:ascii="黑体" w:hAnsi="黑体" w:eastAsia="黑体"/>
          <w:bCs/>
          <w:color w:val="auto"/>
          <w:szCs w:val="32"/>
          <w:highlight w:val="none"/>
          <w:u w:val="none"/>
        </w:rPr>
        <w:t xml:space="preserve"> </w:t>
      </w:r>
      <w:r>
        <w:rPr>
          <w:rFonts w:hint="eastAsia" w:ascii="黑体" w:hAnsi="黑体" w:eastAsia="黑体"/>
          <w:bCs/>
          <w:color w:val="auto"/>
          <w:szCs w:val="32"/>
          <w:highlight w:val="none"/>
          <w:u w:val="none"/>
        </w:rPr>
        <w:t>附则</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pPr>
        <w:keepNext w:val="0"/>
        <w:keepLines w:val="0"/>
        <w:pageBreakBefore w:val="0"/>
        <w:kinsoku/>
        <w:overflowPunct/>
        <w:topLinePunct w:val="0"/>
        <w:autoSpaceDE/>
        <w:autoSpaceDN/>
        <w:bidi w:val="0"/>
        <w:adjustRightInd/>
        <w:snapToGrid/>
        <w:spacing w:line="578" w:lineRule="exact"/>
        <w:ind w:firstLine="640" w:firstLineChars="200"/>
        <w:textAlignment w:val="auto"/>
        <w:outlineLvl w:val="2"/>
        <w:rPr>
          <w:rFonts w:hint="eastAsia" w:ascii="黑体" w:hAnsi="黑体" w:eastAsia="黑体"/>
          <w:bCs/>
          <w:color w:val="auto"/>
          <w:szCs w:val="32"/>
          <w:highlight w:val="none"/>
          <w:u w:val="none"/>
        </w:rPr>
      </w:pPr>
      <w:bookmarkStart w:id="177" w:name="_Toc23292"/>
      <w:bookmarkStart w:id="178" w:name="_Toc523428851"/>
      <w:bookmarkStart w:id="179" w:name="_Toc11850"/>
      <w:bookmarkStart w:id="180" w:name="_Toc16482"/>
      <w:bookmarkStart w:id="181" w:name="_Toc28474"/>
      <w:bookmarkStart w:id="182" w:name="_Toc23118"/>
      <w:bookmarkStart w:id="183" w:name="_Toc690"/>
      <w:bookmarkStart w:id="184" w:name="_Toc25178"/>
      <w:bookmarkStart w:id="185" w:name="_Toc9457"/>
    </w:p>
    <w:p>
      <w:pPr>
        <w:keepNext w:val="0"/>
        <w:keepLines w:val="0"/>
        <w:pageBreakBefore w:val="0"/>
        <w:kinsoku/>
        <w:overflowPunct/>
        <w:topLinePunct w:val="0"/>
        <w:autoSpaceDE/>
        <w:autoSpaceDN/>
        <w:bidi w:val="0"/>
        <w:adjustRightInd/>
        <w:snapToGrid/>
        <w:spacing w:line="578" w:lineRule="exact"/>
        <w:ind w:firstLine="640" w:firstLineChars="200"/>
        <w:textAlignment w:val="auto"/>
        <w:outlineLvl w:val="2"/>
        <w:rPr>
          <w:rFonts w:ascii="黑体" w:hAnsi="黑体" w:eastAsia="黑体"/>
          <w:bCs/>
          <w:color w:val="auto"/>
          <w:szCs w:val="32"/>
          <w:highlight w:val="none"/>
          <w:u w:val="none"/>
        </w:rPr>
      </w:pPr>
      <w:r>
        <w:rPr>
          <w:rFonts w:hint="eastAsia" w:ascii="黑体" w:hAnsi="黑体" w:eastAsia="黑体"/>
          <w:bCs/>
          <w:color w:val="auto"/>
          <w:szCs w:val="32"/>
          <w:highlight w:val="none"/>
          <w:u w:val="none"/>
        </w:rPr>
        <w:t>第</w:t>
      </w:r>
      <w:r>
        <w:rPr>
          <w:rFonts w:hint="eastAsia" w:ascii="黑体" w:hAnsi="黑体" w:eastAsia="黑体"/>
          <w:bCs/>
          <w:color w:val="auto"/>
          <w:szCs w:val="32"/>
          <w:highlight w:val="none"/>
          <w:u w:val="none"/>
          <w:lang w:val="en-US" w:eastAsia="zh-CN"/>
        </w:rPr>
        <w:t>五十</w:t>
      </w:r>
      <w:r>
        <w:rPr>
          <w:rFonts w:hint="eastAsia" w:ascii="黑体" w:hAnsi="黑体" w:eastAsia="黑体"/>
          <w:bCs/>
          <w:color w:val="auto"/>
          <w:szCs w:val="32"/>
          <w:highlight w:val="none"/>
          <w:u w:val="none"/>
        </w:rPr>
        <w:t>条【用语定义】</w:t>
      </w:r>
      <w:r>
        <w:rPr>
          <w:rFonts w:hint="eastAsia" w:ascii="黑体" w:hAnsi="黑体" w:eastAsia="黑体"/>
          <w:bCs/>
          <w:color w:val="auto"/>
          <w:szCs w:val="32"/>
          <w:highlight w:val="none"/>
          <w:u w:val="none"/>
          <w:lang w:val="en-US" w:eastAsia="zh-CN"/>
        </w:rPr>
        <w:t xml:space="preserve">  </w:t>
      </w:r>
      <w:r>
        <w:rPr>
          <w:rFonts w:hint="eastAsia" w:ascii="仿宋_GB2312" w:hAnsi="仿宋_GB2312" w:cs="仿宋_GB2312"/>
          <w:color w:val="auto"/>
          <w:szCs w:val="32"/>
          <w:highlight w:val="none"/>
          <w:u w:val="none"/>
        </w:rPr>
        <w:t>本办法下列用语的含义是：</w:t>
      </w:r>
    </w:p>
    <w:p>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color w:val="auto"/>
          <w:szCs w:val="32"/>
          <w:highlight w:val="none"/>
          <w:u w:val="none"/>
          <w:lang w:val="en-US" w:eastAsia="zh-CN"/>
        </w:rPr>
      </w:pPr>
      <w:r>
        <w:rPr>
          <w:rFonts w:hint="eastAsia" w:ascii="仿宋_GB2312" w:hAnsi="仿宋_GB2312" w:cs="仿宋_GB2312"/>
          <w:color w:val="auto"/>
          <w:szCs w:val="32"/>
          <w:highlight w:val="none"/>
          <w:u w:val="none"/>
        </w:rPr>
        <w:t>（一）自有住房，是指已经取得权属证书或者实际拥有但未取得权属证书的各类具有居住功能的房屋，包括但不限于政策性住房、拆迁安置房、军产房、自建私房、商品住房等；</w:t>
      </w:r>
    </w:p>
    <w:p>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w:t>
      </w:r>
      <w:r>
        <w:rPr>
          <w:rFonts w:hint="eastAsia" w:ascii="仿宋_GB2312" w:hAnsi="仿宋_GB2312" w:cs="仿宋_GB2312"/>
          <w:color w:val="auto"/>
          <w:szCs w:val="32"/>
          <w:highlight w:val="none"/>
          <w:u w:val="none"/>
          <w:lang w:val="en-US" w:eastAsia="zh-CN"/>
        </w:rPr>
        <w:t>二</w:t>
      </w:r>
      <w:r>
        <w:rPr>
          <w:rFonts w:hint="eastAsia" w:ascii="仿宋_GB2312" w:hAnsi="仿宋_GB2312" w:cs="仿宋_GB2312"/>
          <w:color w:val="auto"/>
          <w:szCs w:val="32"/>
          <w:highlight w:val="none"/>
          <w:u w:val="none"/>
        </w:rPr>
        <w:t>）购房优惠政策，</w:t>
      </w:r>
      <w:r>
        <w:rPr>
          <w:rFonts w:hint="eastAsia" w:ascii="仿宋_GB2312" w:hAnsi="仿宋_GB2312" w:cs="仿宋_GB2312"/>
          <w:color w:val="auto"/>
          <w:szCs w:val="32"/>
          <w:highlight w:val="none"/>
          <w:u w:val="none"/>
          <w:lang w:val="en-US" w:eastAsia="zh-CN"/>
        </w:rPr>
        <w:t>是指</w:t>
      </w:r>
      <w:r>
        <w:rPr>
          <w:rFonts w:hint="eastAsia" w:ascii="仿宋_GB2312" w:hAnsi="仿宋_GB2312" w:cs="仿宋_GB2312"/>
          <w:color w:val="auto"/>
          <w:szCs w:val="32"/>
          <w:highlight w:val="none"/>
          <w:u w:val="none"/>
        </w:rPr>
        <w:t>购买过政策性住房、享受过我市高层次人才购房补贴或者奖励补贴政策等；</w:t>
      </w:r>
    </w:p>
    <w:p>
      <w:pPr>
        <w:pStyle w:val="2"/>
        <w:keepNext w:val="0"/>
        <w:keepLines w:val="0"/>
        <w:pageBreakBefore w:val="0"/>
        <w:kinsoku/>
        <w:overflowPunct/>
        <w:topLinePunct w:val="0"/>
        <w:autoSpaceDE/>
        <w:autoSpaceDN/>
        <w:bidi w:val="0"/>
        <w:adjustRightInd/>
        <w:snapToGrid/>
        <w:spacing w:after="0" w:line="578" w:lineRule="exact"/>
        <w:ind w:firstLine="640"/>
        <w:textAlignment w:val="auto"/>
        <w:rPr>
          <w:rFonts w:hint="eastAsia"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w:t>
      </w:r>
      <w:r>
        <w:rPr>
          <w:rFonts w:hint="eastAsia" w:ascii="仿宋_GB2312" w:hAnsi="仿宋_GB2312" w:cs="仿宋_GB2312"/>
          <w:color w:val="auto"/>
          <w:szCs w:val="32"/>
          <w:highlight w:val="none"/>
          <w:u w:val="none"/>
          <w:lang w:val="en-US" w:eastAsia="zh-CN"/>
        </w:rPr>
        <w:t>三</w:t>
      </w:r>
      <w:r>
        <w:rPr>
          <w:rFonts w:hint="eastAsia" w:ascii="仿宋_GB2312" w:hAnsi="仿宋_GB2312" w:cs="仿宋_GB2312"/>
          <w:color w:val="auto"/>
          <w:szCs w:val="32"/>
          <w:highlight w:val="none"/>
          <w:u w:val="none"/>
        </w:rPr>
        <w:t>）政策性住房，是指各类带有政策优惠性质的住房，包括准成本房、全成本房、全成本微利房、社会微利房、</w:t>
      </w:r>
      <w:r>
        <w:rPr>
          <w:rFonts w:hint="eastAsia" w:ascii="仿宋_GB2312" w:hAnsi="仿宋_GB2312" w:cs="仿宋_GB2312"/>
          <w:color w:val="auto"/>
          <w:szCs w:val="32"/>
          <w:highlight w:val="none"/>
          <w:u w:val="none"/>
          <w:lang w:val="en-US" w:eastAsia="zh-CN"/>
        </w:rPr>
        <w:t>单位集资合作建房、</w:t>
      </w:r>
      <w:r>
        <w:rPr>
          <w:rFonts w:hint="eastAsia" w:ascii="仿宋_GB2312" w:hAnsi="仿宋_GB2312" w:cs="仿宋_GB2312"/>
          <w:color w:val="auto"/>
          <w:szCs w:val="32"/>
          <w:highlight w:val="none"/>
          <w:u w:val="none"/>
        </w:rPr>
        <w:t>经济适用住房、限价商品房、安居型商品房和共有产权住房等；</w:t>
      </w:r>
    </w:p>
    <w:p>
      <w:pPr>
        <w:pStyle w:val="2"/>
        <w:keepNext w:val="0"/>
        <w:keepLines w:val="0"/>
        <w:pageBreakBefore w:val="0"/>
        <w:kinsoku/>
        <w:overflowPunct/>
        <w:topLinePunct w:val="0"/>
        <w:autoSpaceDE/>
        <w:autoSpaceDN/>
        <w:bidi w:val="0"/>
        <w:spacing w:after="0" w:line="578" w:lineRule="exact"/>
        <w:ind w:firstLine="640"/>
        <w:rPr>
          <w:rFonts w:hint="default"/>
          <w:color w:val="auto"/>
          <w:szCs w:val="32"/>
          <w:u w:val="none"/>
          <w:lang w:val="en-US" w:eastAsia="zh-CN"/>
        </w:rPr>
      </w:pPr>
      <w:r>
        <w:rPr>
          <w:rFonts w:hint="eastAsia"/>
          <w:color w:val="auto"/>
          <w:szCs w:val="32"/>
          <w:u w:val="none"/>
          <w:lang w:val="en-US" w:eastAsia="zh-CN"/>
        </w:rPr>
        <w:t>（四）</w:t>
      </w:r>
      <w:r>
        <w:rPr>
          <w:rFonts w:hint="eastAsia" w:ascii="Calibri" w:hAnsi="Calibri" w:eastAsia="仿宋_GB2312" w:cs="Times New Roman"/>
          <w:color w:val="auto"/>
          <w:sz w:val="32"/>
          <w:szCs w:val="32"/>
          <w:u w:val="none"/>
        </w:rPr>
        <w:t>住房保障优惠政策，是指根据住房保障的相关法规、规章、规范性文件规定，在承租、购买具有保障性质的住房或者领取货币补贴等方面享受的相关优惠政策</w:t>
      </w:r>
      <w:r>
        <w:rPr>
          <w:rFonts w:hint="eastAsia"/>
          <w:color w:val="auto"/>
          <w:szCs w:val="32"/>
          <w:u w:val="none"/>
          <w:lang w:val="en-US" w:eastAsia="zh-CN"/>
        </w:rPr>
        <w:t>；</w:t>
      </w:r>
    </w:p>
    <w:p>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bCs/>
          <w:color w:val="auto"/>
          <w:szCs w:val="32"/>
          <w:highlight w:val="none"/>
          <w:u w:val="none"/>
          <w:lang w:val="en-US" w:eastAsia="zh-CN"/>
        </w:rPr>
      </w:pPr>
      <w:r>
        <w:rPr>
          <w:rFonts w:hint="eastAsia" w:ascii="仿宋_GB2312" w:hAnsi="仿宋_GB2312" w:cs="仿宋_GB2312"/>
          <w:bCs/>
          <w:color w:val="auto"/>
          <w:szCs w:val="32"/>
          <w:highlight w:val="none"/>
          <w:u w:val="none"/>
          <w:lang w:eastAsia="zh-CN"/>
        </w:rPr>
        <w:t>（</w:t>
      </w:r>
      <w:r>
        <w:rPr>
          <w:rFonts w:hint="eastAsia" w:ascii="仿宋_GB2312" w:hAnsi="仿宋_GB2312" w:cs="仿宋_GB2312"/>
          <w:bCs/>
          <w:color w:val="auto"/>
          <w:szCs w:val="32"/>
          <w:highlight w:val="none"/>
          <w:u w:val="none"/>
          <w:lang w:val="en-US" w:eastAsia="zh-CN"/>
        </w:rPr>
        <w:t>五</w:t>
      </w:r>
      <w:r>
        <w:rPr>
          <w:rFonts w:hint="eastAsia" w:ascii="仿宋_GB2312" w:hAnsi="仿宋_GB2312" w:cs="仿宋_GB2312"/>
          <w:bCs/>
          <w:color w:val="auto"/>
          <w:szCs w:val="32"/>
          <w:highlight w:val="none"/>
          <w:u w:val="none"/>
          <w:lang w:eastAsia="zh-CN"/>
        </w:rPr>
        <w:t>）</w:t>
      </w:r>
      <w:r>
        <w:rPr>
          <w:rFonts w:hint="eastAsia" w:ascii="仿宋_GB2312" w:hAnsi="仿宋_GB2312" w:cs="仿宋_GB2312"/>
          <w:bCs/>
          <w:color w:val="auto"/>
          <w:szCs w:val="32"/>
          <w:highlight w:val="none"/>
          <w:u w:val="none"/>
          <w:lang w:val="en-US" w:eastAsia="zh-CN"/>
        </w:rPr>
        <w:t>购房人，是指签订共有产权住房买卖合同的申请人及共同申请人；</w:t>
      </w:r>
    </w:p>
    <w:p>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hint="eastAsia" w:ascii="仿宋_GB2312" w:hAnsi="仿宋_GB2312" w:cs="仿宋_GB2312"/>
          <w:bCs/>
          <w:color w:val="auto"/>
          <w:szCs w:val="32"/>
          <w:highlight w:val="none"/>
          <w:u w:val="none"/>
        </w:rPr>
      </w:pPr>
      <w:r>
        <w:rPr>
          <w:rFonts w:hint="eastAsia" w:ascii="仿宋_GB2312" w:hAnsi="仿宋_GB2312" w:cs="仿宋_GB2312"/>
          <w:bCs/>
          <w:color w:val="auto"/>
          <w:szCs w:val="32"/>
          <w:highlight w:val="none"/>
          <w:u w:val="none"/>
        </w:rPr>
        <w:t>（</w:t>
      </w:r>
      <w:r>
        <w:rPr>
          <w:rFonts w:hint="eastAsia" w:ascii="仿宋_GB2312" w:hAnsi="仿宋_GB2312" w:cs="仿宋_GB2312"/>
          <w:bCs/>
          <w:color w:val="auto"/>
          <w:szCs w:val="32"/>
          <w:highlight w:val="none"/>
          <w:u w:val="none"/>
          <w:lang w:val="en-US" w:eastAsia="zh-CN"/>
        </w:rPr>
        <w:t>六</w:t>
      </w:r>
      <w:r>
        <w:rPr>
          <w:rFonts w:hint="eastAsia" w:ascii="仿宋_GB2312" w:hAnsi="仿宋_GB2312" w:cs="仿宋_GB2312"/>
          <w:bCs/>
          <w:color w:val="auto"/>
          <w:szCs w:val="32"/>
          <w:highlight w:val="none"/>
          <w:u w:val="none"/>
        </w:rPr>
        <w:t>）购买价格，是指</w:t>
      </w:r>
      <w:r>
        <w:rPr>
          <w:rStyle w:val="22"/>
          <w:rFonts w:hint="eastAsia" w:ascii="仿宋_GB2312" w:hAnsi="仿宋_GB2312" w:eastAsia="仿宋_GB2312" w:cs="仿宋_GB2312"/>
          <w:color w:val="auto"/>
          <w:highlight w:val="none"/>
          <w:u w:val="none"/>
        </w:rPr>
        <w:t>共有产权住房</w:t>
      </w:r>
      <w:r>
        <w:rPr>
          <w:rFonts w:hint="eastAsia" w:ascii="仿宋_GB2312" w:hAnsi="仿宋_GB2312" w:cs="仿宋_GB2312"/>
          <w:color w:val="auto"/>
          <w:szCs w:val="32"/>
          <w:highlight w:val="none"/>
          <w:u w:val="none"/>
        </w:rPr>
        <w:t>买卖合同中</w:t>
      </w:r>
      <w:r>
        <w:rPr>
          <w:rFonts w:hint="eastAsia" w:ascii="仿宋_GB2312" w:hAnsi="仿宋_GB2312" w:cs="仿宋_GB2312"/>
          <w:bCs/>
          <w:color w:val="auto"/>
          <w:szCs w:val="32"/>
          <w:highlight w:val="none"/>
          <w:u w:val="none"/>
        </w:rPr>
        <w:t>约定的</w:t>
      </w:r>
      <w:r>
        <w:rPr>
          <w:rFonts w:hint="eastAsia" w:ascii="仿宋_GB2312" w:hAnsi="仿宋_GB2312" w:cs="仿宋_GB2312"/>
          <w:bCs/>
          <w:color w:val="auto"/>
          <w:szCs w:val="32"/>
          <w:highlight w:val="none"/>
          <w:u w:val="none"/>
          <w:lang w:val="en-US" w:eastAsia="zh-CN"/>
        </w:rPr>
        <w:t>总价款</w:t>
      </w:r>
      <w:r>
        <w:rPr>
          <w:rFonts w:hint="eastAsia" w:ascii="仿宋_GB2312" w:hAnsi="仿宋_GB2312" w:cs="仿宋_GB2312"/>
          <w:bCs/>
          <w:color w:val="auto"/>
          <w:szCs w:val="32"/>
          <w:highlight w:val="none"/>
          <w:u w:val="none"/>
        </w:rPr>
        <w:t>；</w:t>
      </w:r>
    </w:p>
    <w:p>
      <w:pPr>
        <w:pStyle w:val="2"/>
        <w:keepNext w:val="0"/>
        <w:keepLines w:val="0"/>
        <w:pageBreakBefore w:val="0"/>
        <w:kinsoku/>
        <w:overflowPunct/>
        <w:topLinePunct w:val="0"/>
        <w:autoSpaceDE/>
        <w:autoSpaceDN/>
        <w:bidi w:val="0"/>
        <w:adjustRightInd/>
        <w:snapToGrid/>
        <w:spacing w:after="0" w:line="578" w:lineRule="exact"/>
        <w:ind w:firstLine="640"/>
        <w:textAlignment w:val="auto"/>
        <w:rPr>
          <w:rFonts w:hint="default" w:eastAsia="仿宋_GB2312"/>
          <w:color w:val="auto"/>
          <w:szCs w:val="32"/>
          <w:u w:val="none"/>
          <w:lang w:val="en-US" w:eastAsia="zh-CN"/>
        </w:rPr>
      </w:pPr>
      <w:r>
        <w:rPr>
          <w:rFonts w:hint="eastAsia" w:ascii="仿宋_GB2312" w:hAnsi="仿宋_GB2312" w:cs="仿宋_GB2312"/>
          <w:bCs/>
          <w:color w:val="auto"/>
          <w:szCs w:val="32"/>
          <w:highlight w:val="none"/>
          <w:u w:val="none"/>
          <w:lang w:eastAsia="zh-CN"/>
        </w:rPr>
        <w:t>（</w:t>
      </w:r>
      <w:r>
        <w:rPr>
          <w:rFonts w:hint="eastAsia" w:ascii="仿宋_GB2312" w:hAnsi="仿宋_GB2312" w:cs="仿宋_GB2312"/>
          <w:bCs/>
          <w:color w:val="auto"/>
          <w:szCs w:val="32"/>
          <w:highlight w:val="none"/>
          <w:u w:val="none"/>
          <w:lang w:val="en-US" w:eastAsia="zh-CN"/>
        </w:rPr>
        <w:t>七</w:t>
      </w:r>
      <w:r>
        <w:rPr>
          <w:rFonts w:hint="eastAsia" w:ascii="仿宋_GB2312" w:hAnsi="仿宋_GB2312" w:cs="仿宋_GB2312"/>
          <w:bCs/>
          <w:color w:val="auto"/>
          <w:szCs w:val="32"/>
          <w:highlight w:val="none"/>
          <w:u w:val="none"/>
          <w:lang w:eastAsia="zh-CN"/>
        </w:rPr>
        <w:t>）</w:t>
      </w:r>
      <w:r>
        <w:rPr>
          <w:rFonts w:hint="eastAsia" w:ascii="仿宋_GB2312" w:hAnsi="仿宋_GB2312" w:cs="仿宋_GB2312"/>
          <w:bCs/>
          <w:color w:val="auto"/>
          <w:szCs w:val="32"/>
          <w:highlight w:val="none"/>
          <w:u w:val="none"/>
          <w:lang w:val="en-US" w:eastAsia="zh-CN"/>
        </w:rPr>
        <w:t>在册轮候人，是指已纳入共有产权住房轮候册的申请家庭或者单身居民；</w:t>
      </w:r>
    </w:p>
    <w:p>
      <w:pPr>
        <w:pStyle w:val="2"/>
        <w:keepNext w:val="0"/>
        <w:keepLines w:val="0"/>
        <w:pageBreakBefore w:val="0"/>
        <w:kinsoku/>
        <w:overflowPunct/>
        <w:topLinePunct w:val="0"/>
        <w:autoSpaceDE/>
        <w:autoSpaceDN/>
        <w:bidi w:val="0"/>
        <w:adjustRightInd/>
        <w:snapToGrid/>
        <w:spacing w:after="0" w:line="578" w:lineRule="exact"/>
        <w:ind w:firstLine="640"/>
        <w:textAlignment w:val="auto"/>
        <w:rPr>
          <w:color w:val="auto"/>
          <w:szCs w:val="32"/>
          <w:u w:val="none"/>
        </w:rPr>
      </w:pPr>
      <w:r>
        <w:rPr>
          <w:rFonts w:hint="eastAsia" w:ascii="仿宋_GB2312" w:hAnsi="仿宋_GB2312" w:cs="仿宋_GB2312"/>
          <w:color w:val="auto"/>
          <w:szCs w:val="32"/>
          <w:highlight w:val="none"/>
          <w:u w:val="none"/>
        </w:rPr>
        <w:t>（</w:t>
      </w:r>
      <w:r>
        <w:rPr>
          <w:rFonts w:hint="eastAsia" w:ascii="仿宋_GB2312" w:hAnsi="仿宋_GB2312" w:cs="仿宋_GB2312"/>
          <w:color w:val="auto"/>
          <w:szCs w:val="32"/>
          <w:highlight w:val="none"/>
          <w:u w:val="none"/>
          <w:lang w:val="en-US" w:eastAsia="zh-CN"/>
        </w:rPr>
        <w:t>八</w:t>
      </w:r>
      <w:r>
        <w:rPr>
          <w:rFonts w:hint="eastAsia" w:ascii="仿宋_GB2312" w:hAnsi="仿宋_GB2312" w:cs="仿宋_GB2312"/>
          <w:color w:val="auto"/>
          <w:szCs w:val="32"/>
          <w:highlight w:val="none"/>
          <w:u w:val="none"/>
        </w:rPr>
        <w:t>）</w:t>
      </w:r>
      <w:r>
        <w:rPr>
          <w:rFonts w:hint="eastAsia" w:ascii="仿宋_GB2312" w:hAnsi="仿宋_GB2312" w:cs="仿宋_GB2312"/>
          <w:color w:val="auto"/>
          <w:szCs w:val="32"/>
          <w:highlight w:val="none"/>
          <w:u w:val="none"/>
          <w:lang w:val="en-US" w:eastAsia="zh-CN"/>
        </w:rPr>
        <w:t>原</w:t>
      </w:r>
      <w:r>
        <w:rPr>
          <w:rFonts w:hint="eastAsia" w:ascii="仿宋_GB2312" w:hAnsi="仿宋_GB2312" w:cs="仿宋_GB2312"/>
          <w:color w:val="auto"/>
          <w:szCs w:val="32"/>
          <w:highlight w:val="none"/>
          <w:u w:val="none"/>
        </w:rPr>
        <w:t>安居型商品房在册轮候人，是指按照《深圳市安居型商品房建设和管理暂行办法》（深圳</w:t>
      </w:r>
      <w:r>
        <w:rPr>
          <w:rFonts w:hint="eastAsia" w:ascii="仿宋_GB2312" w:hAnsi="仿宋_GB2312" w:cs="仿宋_GB2312"/>
          <w:color w:val="auto"/>
          <w:szCs w:val="32"/>
          <w:highlight w:val="none"/>
          <w:u w:val="none"/>
          <w:lang w:eastAsia="zh-CN"/>
        </w:rPr>
        <w:t>市</w:t>
      </w:r>
      <w:r>
        <w:rPr>
          <w:rFonts w:hint="eastAsia" w:ascii="仿宋_GB2312" w:hAnsi="仿宋_GB2312" w:cs="仿宋_GB2312"/>
          <w:color w:val="auto"/>
          <w:szCs w:val="32"/>
          <w:highlight w:val="none"/>
          <w:u w:val="none"/>
          <w:lang w:val="en-US" w:eastAsia="zh-CN"/>
        </w:rPr>
        <w:t>人民</w:t>
      </w:r>
      <w:r>
        <w:rPr>
          <w:rFonts w:hint="eastAsia" w:ascii="仿宋_GB2312" w:hAnsi="仿宋_GB2312" w:cs="仿宋_GB2312"/>
          <w:color w:val="auto"/>
          <w:szCs w:val="32"/>
          <w:highlight w:val="none"/>
          <w:u w:val="none"/>
          <w:lang w:eastAsia="zh-CN"/>
        </w:rPr>
        <w:t>政府</w:t>
      </w:r>
      <w:r>
        <w:rPr>
          <w:rFonts w:hint="eastAsia" w:ascii="仿宋_GB2312" w:hAnsi="仿宋_GB2312" w:cs="仿宋_GB2312"/>
          <w:color w:val="auto"/>
          <w:szCs w:val="32"/>
          <w:highlight w:val="none"/>
          <w:u w:val="none"/>
        </w:rPr>
        <w:t>令第</w:t>
      </w:r>
      <w:r>
        <w:rPr>
          <w:rFonts w:ascii="仿宋_GB2312" w:hAnsi="仿宋_GB2312" w:cs="仿宋_GB2312"/>
          <w:color w:val="auto"/>
          <w:szCs w:val="32"/>
          <w:highlight w:val="none"/>
          <w:u w:val="none"/>
        </w:rPr>
        <w:t>228号，以下简称228号令）及其相关规定纳入</w:t>
      </w:r>
      <w:r>
        <w:rPr>
          <w:rFonts w:hint="eastAsia" w:ascii="仿宋_GB2312" w:hAnsi="仿宋_GB2312" w:cs="仿宋_GB2312"/>
          <w:color w:val="auto"/>
          <w:szCs w:val="32"/>
          <w:highlight w:val="none"/>
          <w:u w:val="none"/>
        </w:rPr>
        <w:t>安居型商品房</w:t>
      </w:r>
      <w:r>
        <w:rPr>
          <w:rFonts w:ascii="仿宋_GB2312" w:hAnsi="仿宋_GB2312" w:cs="仿宋_GB2312"/>
          <w:color w:val="auto"/>
          <w:szCs w:val="32"/>
          <w:highlight w:val="none"/>
          <w:u w:val="none"/>
        </w:rPr>
        <w:t>轮候册的申请</w:t>
      </w:r>
      <w:r>
        <w:rPr>
          <w:rFonts w:hint="eastAsia" w:ascii="仿宋_GB2312" w:hAnsi="仿宋_GB2312" w:cs="仿宋_GB2312"/>
          <w:color w:val="auto"/>
          <w:szCs w:val="32"/>
          <w:highlight w:val="none"/>
          <w:u w:val="none"/>
        </w:rPr>
        <w:t>家庭或者单身居民</w:t>
      </w:r>
      <w:r>
        <w:rPr>
          <w:rFonts w:ascii="仿宋_GB2312" w:hAnsi="仿宋_GB2312" w:cs="仿宋_GB2312"/>
          <w:color w:val="auto"/>
          <w:szCs w:val="32"/>
          <w:highlight w:val="none"/>
          <w:u w:val="none"/>
        </w:rPr>
        <w:t>。</w:t>
      </w:r>
    </w:p>
    <w:p>
      <w:pPr>
        <w:pStyle w:val="2"/>
        <w:keepNext w:val="0"/>
        <w:keepLines w:val="0"/>
        <w:pageBreakBefore w:val="0"/>
        <w:kinsoku/>
        <w:overflowPunct/>
        <w:topLinePunct w:val="0"/>
        <w:autoSpaceDE/>
        <w:autoSpaceDN/>
        <w:bidi w:val="0"/>
        <w:adjustRightInd/>
        <w:snapToGrid/>
        <w:spacing w:after="0" w:line="578" w:lineRule="exact"/>
        <w:ind w:firstLine="640" w:firstLineChars="200"/>
        <w:textAlignment w:val="auto"/>
        <w:outlineLvl w:val="2"/>
        <w:rPr>
          <w:rFonts w:ascii="黑体" w:hAnsi="黑体" w:eastAsia="黑体"/>
          <w:bCs/>
          <w:color w:val="auto"/>
          <w:szCs w:val="32"/>
          <w:highlight w:val="none"/>
          <w:u w:val="none"/>
        </w:rPr>
      </w:pPr>
      <w:r>
        <w:rPr>
          <w:rFonts w:hint="eastAsia" w:ascii="黑体" w:hAnsi="黑体" w:eastAsia="黑体"/>
          <w:bCs/>
          <w:color w:val="auto"/>
          <w:szCs w:val="32"/>
          <w:highlight w:val="none"/>
          <w:u w:val="none"/>
        </w:rPr>
        <w:t>第</w:t>
      </w:r>
      <w:r>
        <w:rPr>
          <w:rFonts w:hint="eastAsia" w:ascii="黑体" w:hAnsi="黑体" w:eastAsia="黑体"/>
          <w:bCs/>
          <w:color w:val="auto"/>
          <w:szCs w:val="32"/>
          <w:highlight w:val="none"/>
          <w:u w:val="none"/>
          <w:lang w:val="en-US" w:eastAsia="zh-CN"/>
        </w:rPr>
        <w:t>五十一</w:t>
      </w:r>
      <w:r>
        <w:rPr>
          <w:rFonts w:hint="eastAsia" w:ascii="黑体" w:hAnsi="黑体" w:eastAsia="黑体"/>
          <w:bCs/>
          <w:color w:val="auto"/>
          <w:szCs w:val="32"/>
          <w:highlight w:val="none"/>
          <w:u w:val="none"/>
        </w:rPr>
        <w:t>条【数量关系界定】</w:t>
      </w:r>
      <w:r>
        <w:rPr>
          <w:rFonts w:hint="eastAsia" w:ascii="黑体" w:hAnsi="黑体" w:eastAsia="黑体"/>
          <w:bCs/>
          <w:color w:val="auto"/>
          <w:szCs w:val="32"/>
          <w:highlight w:val="none"/>
          <w:u w:val="none"/>
          <w:lang w:val="en-US" w:eastAsia="zh-CN"/>
        </w:rPr>
        <w:t xml:space="preserve">  </w:t>
      </w:r>
      <w:r>
        <w:rPr>
          <w:rFonts w:hint="eastAsia" w:ascii="仿宋_GB2312" w:hAnsi="仿宋_GB2312" w:cs="仿宋_GB2312"/>
          <w:color w:val="auto"/>
          <w:szCs w:val="32"/>
          <w:highlight w:val="none"/>
          <w:u w:val="none"/>
        </w:rPr>
        <w:t>本办法所称的“以上”“以下”“以内”“满”，包括本数；所称的“未满”，不包括本数。</w:t>
      </w:r>
    </w:p>
    <w:p>
      <w:pPr>
        <w:keepNext w:val="0"/>
        <w:keepLines w:val="0"/>
        <w:pageBreakBefore w:val="0"/>
        <w:kinsoku/>
        <w:overflowPunct/>
        <w:topLinePunct w:val="0"/>
        <w:autoSpaceDE/>
        <w:autoSpaceDN/>
        <w:bidi w:val="0"/>
        <w:adjustRightInd/>
        <w:snapToGrid/>
        <w:spacing w:line="578" w:lineRule="exact"/>
        <w:ind w:firstLine="640" w:firstLineChars="200"/>
        <w:textAlignment w:val="auto"/>
        <w:outlineLvl w:val="2"/>
        <w:rPr>
          <w:rFonts w:ascii="仿宋_GB2312" w:hAnsi="仿宋_GB2312" w:cs="仿宋_GB2312"/>
          <w:color w:val="auto"/>
          <w:szCs w:val="32"/>
          <w:highlight w:val="none"/>
          <w:u w:val="none"/>
        </w:rPr>
      </w:pPr>
      <w:r>
        <w:rPr>
          <w:rFonts w:hint="eastAsia" w:ascii="黑体" w:hAnsi="黑体" w:eastAsia="黑体"/>
          <w:bCs/>
          <w:color w:val="auto"/>
          <w:szCs w:val="32"/>
          <w:highlight w:val="none"/>
          <w:u w:val="none"/>
        </w:rPr>
        <w:t>第</w:t>
      </w:r>
      <w:r>
        <w:rPr>
          <w:rFonts w:hint="eastAsia" w:ascii="黑体" w:hAnsi="黑体" w:eastAsia="黑体"/>
          <w:bCs/>
          <w:color w:val="auto"/>
          <w:szCs w:val="32"/>
          <w:highlight w:val="none"/>
          <w:u w:val="none"/>
          <w:lang w:val="en-US" w:eastAsia="zh-CN"/>
        </w:rPr>
        <w:t>五十二</w:t>
      </w:r>
      <w:r>
        <w:rPr>
          <w:rFonts w:hint="eastAsia" w:ascii="黑体" w:hAnsi="黑体" w:eastAsia="黑体"/>
          <w:bCs/>
          <w:color w:val="auto"/>
          <w:szCs w:val="32"/>
          <w:highlight w:val="none"/>
          <w:u w:val="none"/>
        </w:rPr>
        <w:t>条【特殊家庭】</w:t>
      </w:r>
      <w:r>
        <w:rPr>
          <w:rFonts w:hint="eastAsia" w:ascii="黑体" w:hAnsi="黑体" w:eastAsia="黑体"/>
          <w:bCs/>
          <w:color w:val="auto"/>
          <w:szCs w:val="32"/>
          <w:highlight w:val="none"/>
          <w:u w:val="none"/>
          <w:lang w:val="en-US" w:eastAsia="zh-CN"/>
        </w:rPr>
        <w:t xml:space="preserve">  </w:t>
      </w:r>
      <w:r>
        <w:rPr>
          <w:rFonts w:hint="eastAsia" w:ascii="仿宋_GB2312" w:hAnsi="仿宋_GB2312" w:cs="仿宋_GB2312"/>
          <w:color w:val="auto"/>
          <w:szCs w:val="32"/>
          <w:highlight w:val="none"/>
          <w:u w:val="none"/>
        </w:rPr>
        <w:t>本办法所称的特殊家庭包括：</w:t>
      </w:r>
      <w:bookmarkEnd w:id="177"/>
      <w:bookmarkEnd w:id="178"/>
      <w:bookmarkEnd w:id="179"/>
      <w:bookmarkEnd w:id="180"/>
      <w:bookmarkEnd w:id="181"/>
      <w:bookmarkEnd w:id="182"/>
      <w:bookmarkEnd w:id="183"/>
      <w:bookmarkEnd w:id="184"/>
      <w:bookmarkEnd w:id="185"/>
    </w:p>
    <w:p>
      <w:pPr>
        <w:keepNext w:val="0"/>
        <w:keepLines w:val="0"/>
        <w:pageBreakBefore w:val="0"/>
        <w:numPr>
          <w:ilvl w:val="255"/>
          <w:numId w:val="0"/>
        </w:numPr>
        <w:kinsoku/>
        <w:overflowPunct/>
        <w:topLinePunct w:val="0"/>
        <w:autoSpaceDE/>
        <w:autoSpaceDN/>
        <w:bidi w:val="0"/>
        <w:adjustRightInd/>
        <w:snapToGrid/>
        <w:spacing w:line="578" w:lineRule="exact"/>
        <w:ind w:firstLine="640" w:firstLineChars="200"/>
        <w:textAlignment w:val="auto"/>
        <w:rPr>
          <w:rFonts w:ascii="仿宋_GB2312" w:hAnsi="仿宋_GB2312"/>
          <w:color w:val="auto"/>
          <w:szCs w:val="32"/>
          <w:highlight w:val="none"/>
          <w:u w:val="none"/>
        </w:rPr>
      </w:pPr>
      <w:r>
        <w:rPr>
          <w:rFonts w:ascii="仿宋_GB2312" w:hAnsi="仿宋_GB2312"/>
          <w:color w:val="auto"/>
          <w:szCs w:val="32"/>
          <w:highlight w:val="none"/>
          <w:u w:val="none"/>
        </w:rPr>
        <w:t>（一）</w:t>
      </w:r>
      <w:r>
        <w:rPr>
          <w:rFonts w:hint="eastAsia" w:ascii="仿宋_GB2312" w:hAnsi="仿宋_GB2312"/>
          <w:color w:val="auto"/>
          <w:szCs w:val="32"/>
          <w:highlight w:val="none"/>
          <w:u w:val="none"/>
        </w:rPr>
        <w:t>属现役军人、现役军人家属、残疾军人、退役军人、烈士遗属、因公牺牲军人遗属、病故军人遗属或者经本市退役军人事务部门认定为抚恤定补优抚对象的申请人或者共同申请人；</w:t>
      </w:r>
    </w:p>
    <w:p>
      <w:pPr>
        <w:keepNext w:val="0"/>
        <w:keepLines w:val="0"/>
        <w:pageBreakBefore w:val="0"/>
        <w:numPr>
          <w:ilvl w:val="255"/>
          <w:numId w:val="0"/>
        </w:numPr>
        <w:kinsoku/>
        <w:overflowPunct/>
        <w:topLinePunct w:val="0"/>
        <w:autoSpaceDE/>
        <w:autoSpaceDN/>
        <w:bidi w:val="0"/>
        <w:adjustRightInd/>
        <w:snapToGrid/>
        <w:spacing w:line="578" w:lineRule="exact"/>
        <w:ind w:firstLine="640" w:firstLineChars="200"/>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（二）经本市残疾人联合会认定</w:t>
      </w:r>
      <w:r>
        <w:rPr>
          <w:rFonts w:hint="eastAsia" w:ascii="仿宋_GB2312" w:hAnsi="仿宋_GB2312"/>
          <w:color w:val="auto"/>
          <w:szCs w:val="32"/>
          <w:highlight w:val="none"/>
          <w:u w:val="none"/>
        </w:rPr>
        <w:t>为</w:t>
      </w:r>
      <w:r>
        <w:rPr>
          <w:rFonts w:hint="eastAsia" w:ascii="仿宋_GB2312" w:hAnsi="仿宋_GB2312" w:cs="仿宋_GB2312"/>
          <w:color w:val="auto"/>
          <w:szCs w:val="32"/>
          <w:highlight w:val="none"/>
          <w:u w:val="none"/>
        </w:rPr>
        <w:t>残疾人</w:t>
      </w:r>
      <w:r>
        <w:rPr>
          <w:rFonts w:hint="eastAsia" w:ascii="仿宋_GB2312" w:hAnsi="仿宋_GB2312"/>
          <w:color w:val="auto"/>
          <w:szCs w:val="32"/>
          <w:highlight w:val="none"/>
          <w:u w:val="none"/>
        </w:rPr>
        <w:t>（含一、二、三、四级残疾人）的申请人或者共同申请人</w:t>
      </w:r>
      <w:r>
        <w:rPr>
          <w:rFonts w:hint="eastAsia" w:ascii="仿宋_GB2312" w:hAnsi="仿宋_GB2312" w:cs="仿宋_GB2312"/>
          <w:color w:val="auto"/>
          <w:szCs w:val="32"/>
          <w:highlight w:val="none"/>
          <w:u w:val="none"/>
        </w:rPr>
        <w:t>；</w:t>
      </w:r>
    </w:p>
    <w:p>
      <w:pPr>
        <w:keepNext w:val="0"/>
        <w:keepLines w:val="0"/>
        <w:pageBreakBefore w:val="0"/>
        <w:numPr>
          <w:ilvl w:val="255"/>
          <w:numId w:val="0"/>
        </w:numPr>
        <w:kinsoku/>
        <w:overflowPunct/>
        <w:topLinePunct w:val="0"/>
        <w:autoSpaceDE/>
        <w:autoSpaceDN/>
        <w:bidi w:val="0"/>
        <w:spacing w:line="578" w:lineRule="exact"/>
        <w:ind w:firstLine="640" w:firstLineChars="200"/>
        <w:rPr>
          <w:rFonts w:hint="eastAsia" w:eastAsia="仿宋_GB2312"/>
          <w:color w:val="auto"/>
          <w:szCs w:val="32"/>
          <w:u w:val="none"/>
          <w:lang w:eastAsia="zh-CN"/>
        </w:rPr>
      </w:pPr>
      <w:r>
        <w:rPr>
          <w:rFonts w:hint="eastAsia" w:ascii="仿宋_GB2312" w:hAnsi="仿宋_GB2312" w:cs="仿宋_GB2312"/>
          <w:color w:val="auto"/>
          <w:szCs w:val="32"/>
          <w:highlight w:val="none"/>
          <w:u w:val="none"/>
        </w:rPr>
        <w:t>（三）</w:t>
      </w:r>
      <w:r>
        <w:rPr>
          <w:rFonts w:hint="eastAsia" w:ascii="仿宋_GB2312" w:hAnsi="仿宋_GB2312"/>
          <w:color w:val="auto"/>
          <w:szCs w:val="32"/>
          <w:highlight w:val="none"/>
          <w:u w:val="none"/>
          <w:lang w:val="en-US" w:eastAsia="zh-CN"/>
        </w:rPr>
        <w:t>属</w:t>
      </w:r>
      <w:r>
        <w:rPr>
          <w:rFonts w:hint="eastAsia" w:ascii="仿宋_GB2312" w:hAnsi="仿宋_GB2312"/>
          <w:color w:val="auto"/>
          <w:szCs w:val="32"/>
          <w:highlight w:val="none"/>
          <w:u w:val="none"/>
        </w:rPr>
        <w:t>因公殉职基层干部家属的申请人或者共同申请人</w:t>
      </w:r>
      <w:r>
        <w:rPr>
          <w:rFonts w:hint="eastAsia" w:ascii="仿宋_GB2312" w:hAnsi="仿宋_GB2312"/>
          <w:color w:val="auto"/>
          <w:szCs w:val="32"/>
          <w:highlight w:val="none"/>
          <w:u w:val="none"/>
          <w:lang w:eastAsia="zh-CN"/>
        </w:rPr>
        <w:t>；</w:t>
      </w:r>
    </w:p>
    <w:p>
      <w:pPr>
        <w:keepNext w:val="0"/>
        <w:keepLines w:val="0"/>
        <w:pageBreakBefore w:val="0"/>
        <w:numPr>
          <w:ilvl w:val="255"/>
          <w:numId w:val="0"/>
        </w:numPr>
        <w:kinsoku/>
        <w:overflowPunct/>
        <w:topLinePunct w:val="0"/>
        <w:autoSpaceDE/>
        <w:autoSpaceDN/>
        <w:bidi w:val="0"/>
        <w:adjustRightInd/>
        <w:snapToGrid/>
        <w:spacing w:line="578" w:lineRule="exact"/>
        <w:ind w:firstLine="640" w:firstLineChars="200"/>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（四）</w:t>
      </w:r>
      <w:r>
        <w:rPr>
          <w:rFonts w:hint="eastAsia" w:ascii="仿宋_GB2312" w:hAnsi="仿宋_GB2312" w:cs="仿宋_GB2312"/>
          <w:color w:val="auto"/>
          <w:szCs w:val="32"/>
          <w:highlight w:val="none"/>
          <w:u w:val="none"/>
          <w:lang w:val="en-US" w:eastAsia="zh-CN"/>
        </w:rPr>
        <w:t>属</w:t>
      </w:r>
      <w:r>
        <w:rPr>
          <w:rFonts w:hint="eastAsia" w:ascii="仿宋_GB2312" w:hAnsi="仿宋_GB2312" w:cs="仿宋_GB2312"/>
          <w:color w:val="auto"/>
          <w:szCs w:val="32"/>
          <w:highlight w:val="none"/>
          <w:u w:val="none"/>
        </w:rPr>
        <w:t>社会福利机构集中供养的孤儿年满</w:t>
      </w:r>
      <w:r>
        <w:rPr>
          <w:rFonts w:hint="eastAsia" w:ascii="仿宋_GB2312" w:hAnsi="仿宋_GB2312" w:cs="仿宋_GB2312"/>
          <w:color w:val="auto"/>
          <w:szCs w:val="32"/>
          <w:highlight w:val="none"/>
          <w:u w:val="none"/>
          <w:lang w:val="en-US" w:eastAsia="zh-CN"/>
        </w:rPr>
        <w:t>十八</w:t>
      </w:r>
      <w:r>
        <w:rPr>
          <w:rFonts w:hint="eastAsia" w:ascii="仿宋_GB2312" w:hAnsi="仿宋_GB2312" w:cs="仿宋_GB2312"/>
          <w:color w:val="auto"/>
          <w:szCs w:val="32"/>
          <w:highlight w:val="none"/>
          <w:u w:val="none"/>
        </w:rPr>
        <w:t>周岁且</w:t>
      </w:r>
      <w:r>
        <w:rPr>
          <w:rFonts w:hint="eastAsia" w:ascii="仿宋_GB2312" w:hAnsi="仿宋_GB2312" w:cs="仿宋_GB2312"/>
          <w:color w:val="auto"/>
          <w:szCs w:val="32"/>
          <w:highlight w:val="none"/>
          <w:u w:val="none"/>
          <w:lang w:val="en-US" w:eastAsia="zh-CN"/>
        </w:rPr>
        <w:t>可以</w:t>
      </w:r>
      <w:r>
        <w:rPr>
          <w:rFonts w:hint="eastAsia" w:ascii="仿宋_GB2312" w:hAnsi="仿宋_GB2312" w:cs="仿宋_GB2312"/>
          <w:color w:val="auto"/>
          <w:szCs w:val="32"/>
          <w:highlight w:val="none"/>
          <w:u w:val="none"/>
        </w:rPr>
        <w:t>进行社会安置的申请人或者共同申请人；</w:t>
      </w:r>
    </w:p>
    <w:p>
      <w:pPr>
        <w:keepNext w:val="0"/>
        <w:keepLines w:val="0"/>
        <w:pageBreakBefore w:val="0"/>
        <w:numPr>
          <w:ilvl w:val="255"/>
          <w:numId w:val="0"/>
        </w:numPr>
        <w:kinsoku/>
        <w:overflowPunct/>
        <w:topLinePunct w:val="0"/>
        <w:autoSpaceDE/>
        <w:autoSpaceDN/>
        <w:bidi w:val="0"/>
        <w:adjustRightInd/>
        <w:snapToGrid/>
        <w:spacing w:line="578" w:lineRule="exact"/>
        <w:ind w:firstLine="640" w:firstLineChars="200"/>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（五）经本市卫生健康部门认定</w:t>
      </w:r>
      <w:r>
        <w:rPr>
          <w:rFonts w:hint="eastAsia" w:ascii="仿宋_GB2312" w:hAnsi="仿宋_GB2312"/>
          <w:color w:val="auto"/>
          <w:szCs w:val="32"/>
          <w:highlight w:val="none"/>
          <w:u w:val="none"/>
        </w:rPr>
        <w:t>为</w:t>
      </w:r>
      <w:r>
        <w:rPr>
          <w:rFonts w:hint="eastAsia" w:ascii="仿宋_GB2312" w:hAnsi="仿宋_GB2312" w:cs="仿宋_GB2312"/>
          <w:color w:val="auto"/>
          <w:szCs w:val="32"/>
          <w:highlight w:val="none"/>
          <w:u w:val="none"/>
        </w:rPr>
        <w:t>计划生育</w:t>
      </w:r>
      <w:r>
        <w:rPr>
          <w:rFonts w:hint="eastAsia" w:ascii="仿宋_GB2312" w:hAnsi="仿宋_GB2312" w:cs="仿宋_GB2312"/>
          <w:color w:val="auto"/>
          <w:szCs w:val="32"/>
          <w:highlight w:val="none"/>
          <w:u w:val="none"/>
          <w:lang w:val="en-US" w:eastAsia="zh-CN"/>
        </w:rPr>
        <w:t>特殊</w:t>
      </w:r>
      <w:r>
        <w:rPr>
          <w:rFonts w:hint="eastAsia" w:ascii="仿宋_GB2312" w:hAnsi="仿宋_GB2312" w:cs="仿宋_GB2312"/>
          <w:color w:val="auto"/>
          <w:szCs w:val="32"/>
          <w:highlight w:val="none"/>
          <w:u w:val="none"/>
        </w:rPr>
        <w:t>家庭</w:t>
      </w:r>
      <w:r>
        <w:rPr>
          <w:rFonts w:hint="eastAsia" w:ascii="仿宋_GB2312" w:hAnsi="仿宋_GB2312"/>
          <w:color w:val="auto"/>
          <w:szCs w:val="32"/>
          <w:highlight w:val="none"/>
          <w:u w:val="none"/>
        </w:rPr>
        <w:t>的申请人或者共同申请人</w:t>
      </w:r>
      <w:r>
        <w:rPr>
          <w:rFonts w:hint="eastAsia" w:ascii="仿宋_GB2312" w:hAnsi="仿宋_GB2312" w:cs="仿宋_GB2312"/>
          <w:color w:val="auto"/>
          <w:szCs w:val="32"/>
          <w:highlight w:val="none"/>
          <w:u w:val="none"/>
        </w:rPr>
        <w:t>；</w:t>
      </w:r>
    </w:p>
    <w:p>
      <w:pPr>
        <w:keepNext w:val="0"/>
        <w:keepLines w:val="0"/>
        <w:pageBreakBefore w:val="0"/>
        <w:numPr>
          <w:ilvl w:val="255"/>
          <w:numId w:val="0"/>
        </w:numPr>
        <w:kinsoku/>
        <w:overflowPunct/>
        <w:topLinePunct w:val="0"/>
        <w:autoSpaceDE/>
        <w:autoSpaceDN/>
        <w:bidi w:val="0"/>
        <w:adjustRightInd/>
        <w:snapToGrid/>
        <w:spacing w:line="578" w:lineRule="exact"/>
        <w:ind w:firstLine="640" w:firstLineChars="200"/>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（六）申请人及共同申请人均为六十周岁以上，或者申请人为六十周岁以上的单亲家庭、单身居民；</w:t>
      </w:r>
    </w:p>
    <w:p>
      <w:pPr>
        <w:keepNext w:val="0"/>
        <w:keepLines w:val="0"/>
        <w:pageBreakBefore w:val="0"/>
        <w:numPr>
          <w:ilvl w:val="255"/>
          <w:numId w:val="0"/>
        </w:numPr>
        <w:kinsoku/>
        <w:overflowPunct/>
        <w:topLinePunct w:val="0"/>
        <w:autoSpaceDE/>
        <w:autoSpaceDN/>
        <w:bidi w:val="0"/>
        <w:adjustRightInd/>
        <w:snapToGrid/>
        <w:spacing w:line="578" w:lineRule="exact"/>
        <w:ind w:firstLine="640" w:firstLineChars="200"/>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（七）经国家、广东省政府或者深圳市、</w:t>
      </w:r>
      <w:r>
        <w:rPr>
          <w:rFonts w:hint="eastAsia" w:ascii="仿宋_GB2312" w:hAnsi="仿宋_GB2312" w:cs="仿宋_GB2312"/>
          <w:color w:val="auto"/>
          <w:szCs w:val="32"/>
          <w:highlight w:val="none"/>
          <w:u w:val="none"/>
          <w:lang w:eastAsia="zh-CN"/>
        </w:rPr>
        <w:t>区政府</w:t>
      </w:r>
      <w:r>
        <w:rPr>
          <w:rFonts w:hint="eastAsia" w:ascii="仿宋_GB2312" w:hAnsi="仿宋_GB2312" w:cs="仿宋_GB2312"/>
          <w:color w:val="auto"/>
          <w:szCs w:val="32"/>
          <w:highlight w:val="none"/>
          <w:u w:val="none"/>
        </w:rPr>
        <w:t>认定为见义勇为人员</w:t>
      </w:r>
      <w:r>
        <w:rPr>
          <w:rFonts w:hint="eastAsia" w:ascii="仿宋_GB2312" w:hAnsi="仿宋_GB2312"/>
          <w:color w:val="auto"/>
          <w:szCs w:val="32"/>
          <w:highlight w:val="none"/>
          <w:u w:val="none"/>
        </w:rPr>
        <w:t>的申请人或者共同申请人</w:t>
      </w:r>
      <w:r>
        <w:rPr>
          <w:rFonts w:hint="eastAsia" w:ascii="仿宋_GB2312" w:hAnsi="仿宋_GB2312" w:cs="仿宋_GB2312"/>
          <w:color w:val="auto"/>
          <w:szCs w:val="32"/>
          <w:highlight w:val="none"/>
          <w:u w:val="none"/>
        </w:rPr>
        <w:t>；</w:t>
      </w:r>
    </w:p>
    <w:p>
      <w:pPr>
        <w:keepNext w:val="0"/>
        <w:keepLines w:val="0"/>
        <w:pageBreakBefore w:val="0"/>
        <w:numPr>
          <w:ilvl w:val="255"/>
          <w:numId w:val="0"/>
        </w:numPr>
        <w:kinsoku/>
        <w:overflowPunct/>
        <w:topLinePunct w:val="0"/>
        <w:autoSpaceDE/>
        <w:autoSpaceDN/>
        <w:bidi w:val="0"/>
        <w:adjustRightInd/>
        <w:snapToGrid/>
        <w:spacing w:line="578" w:lineRule="exact"/>
        <w:ind w:firstLine="640" w:firstLineChars="200"/>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（八）</w:t>
      </w:r>
      <w:r>
        <w:rPr>
          <w:rFonts w:hint="eastAsia" w:ascii="仿宋_GB2312" w:hAnsi="仿宋_GB2312" w:cs="仿宋_GB2312"/>
          <w:color w:val="auto"/>
          <w:szCs w:val="32"/>
          <w:highlight w:val="none"/>
          <w:u w:val="none"/>
          <w:lang w:val="en-US" w:eastAsia="zh-CN"/>
        </w:rPr>
        <w:t>属</w:t>
      </w:r>
      <w:r>
        <w:rPr>
          <w:rFonts w:hint="eastAsia" w:ascii="仿宋_GB2312" w:hAnsi="仿宋_GB2312" w:cs="仿宋_GB2312"/>
          <w:color w:val="auto"/>
          <w:szCs w:val="32"/>
          <w:highlight w:val="none"/>
          <w:u w:val="none"/>
        </w:rPr>
        <w:t>全国道德模范及提名获得者、广东省道德模范或者深圳市文明市民</w:t>
      </w:r>
      <w:r>
        <w:rPr>
          <w:rFonts w:hint="eastAsia" w:ascii="仿宋_GB2312" w:hAnsi="仿宋_GB2312"/>
          <w:color w:val="auto"/>
          <w:szCs w:val="32"/>
          <w:highlight w:val="none"/>
          <w:u w:val="none"/>
        </w:rPr>
        <w:t>的申请人或者共同申请人</w:t>
      </w:r>
      <w:r>
        <w:rPr>
          <w:rFonts w:hint="eastAsia" w:ascii="仿宋_GB2312" w:hAnsi="仿宋_GB2312" w:cs="仿宋_GB2312"/>
          <w:color w:val="auto"/>
          <w:szCs w:val="32"/>
          <w:highlight w:val="none"/>
          <w:u w:val="none"/>
        </w:rPr>
        <w:t>；</w:t>
      </w:r>
    </w:p>
    <w:p>
      <w:pPr>
        <w:keepNext w:val="0"/>
        <w:keepLines w:val="0"/>
        <w:pageBreakBefore w:val="0"/>
        <w:numPr>
          <w:ilvl w:val="255"/>
          <w:numId w:val="0"/>
        </w:numPr>
        <w:kinsoku/>
        <w:overflowPunct/>
        <w:topLinePunct w:val="0"/>
        <w:autoSpaceDE/>
        <w:autoSpaceDN/>
        <w:bidi w:val="0"/>
        <w:adjustRightInd/>
        <w:snapToGrid/>
        <w:spacing w:line="578" w:lineRule="exact"/>
        <w:ind w:firstLine="640" w:firstLineChars="200"/>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（九）经总工会认定为深圳市级以上劳动模范或者五一劳动奖章获得者</w:t>
      </w:r>
      <w:r>
        <w:rPr>
          <w:rFonts w:hint="eastAsia" w:ascii="仿宋_GB2312" w:hAnsi="仿宋_GB2312"/>
          <w:color w:val="auto"/>
          <w:szCs w:val="32"/>
          <w:highlight w:val="none"/>
          <w:u w:val="none"/>
        </w:rPr>
        <w:t>的申请人或者共同申请人</w:t>
      </w:r>
      <w:r>
        <w:rPr>
          <w:rFonts w:hint="eastAsia" w:ascii="仿宋_GB2312" w:hAnsi="仿宋_GB2312" w:cs="仿宋_GB2312"/>
          <w:color w:val="auto"/>
          <w:szCs w:val="32"/>
          <w:highlight w:val="none"/>
          <w:u w:val="none"/>
        </w:rPr>
        <w:t>；</w:t>
      </w:r>
    </w:p>
    <w:p>
      <w:pPr>
        <w:keepNext w:val="0"/>
        <w:keepLines w:val="0"/>
        <w:pageBreakBefore w:val="0"/>
        <w:numPr>
          <w:ilvl w:val="255"/>
          <w:numId w:val="0"/>
        </w:numPr>
        <w:kinsoku/>
        <w:overflowPunct/>
        <w:topLinePunct w:val="0"/>
        <w:autoSpaceDE/>
        <w:autoSpaceDN/>
        <w:bidi w:val="0"/>
        <w:adjustRightInd/>
        <w:snapToGrid/>
        <w:spacing w:line="578" w:lineRule="exact"/>
        <w:ind w:firstLine="640" w:firstLineChars="200"/>
        <w:textAlignment w:val="auto"/>
        <w:rPr>
          <w:rFonts w:hint="eastAsia"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（十）经</w:t>
      </w:r>
      <w:r>
        <w:rPr>
          <w:rFonts w:hint="eastAsia" w:ascii="仿宋_GB2312" w:hAnsi="仿宋_GB2312" w:cs="仿宋_GB2312"/>
          <w:color w:val="auto"/>
          <w:szCs w:val="32"/>
          <w:highlight w:val="none"/>
          <w:u w:val="none"/>
          <w:lang w:eastAsia="zh-CN"/>
        </w:rPr>
        <w:t>市政府</w:t>
      </w:r>
      <w:r>
        <w:rPr>
          <w:rFonts w:hint="eastAsia" w:ascii="仿宋_GB2312" w:hAnsi="仿宋_GB2312" w:cs="仿宋_GB2312"/>
          <w:color w:val="auto"/>
          <w:szCs w:val="32"/>
          <w:highlight w:val="none"/>
          <w:u w:val="none"/>
        </w:rPr>
        <w:t>认定的其他特殊家庭。</w:t>
      </w:r>
    </w:p>
    <w:p>
      <w:pPr>
        <w:keepNext w:val="0"/>
        <w:keepLines w:val="0"/>
        <w:pageBreakBefore w:val="0"/>
        <w:numPr>
          <w:ilvl w:val="0"/>
          <w:numId w:val="0"/>
        </w:numPr>
        <w:tabs>
          <w:tab w:val="left" w:pos="0"/>
        </w:tabs>
        <w:kinsoku/>
        <w:overflowPunct/>
        <w:topLinePunct w:val="0"/>
        <w:autoSpaceDE/>
        <w:autoSpaceDN/>
        <w:bidi w:val="0"/>
        <w:adjustRightInd/>
        <w:snapToGrid/>
        <w:spacing w:line="578" w:lineRule="exact"/>
        <w:ind w:firstLine="640" w:firstLineChars="200"/>
        <w:textAlignment w:val="auto"/>
        <w:outlineLvl w:val="2"/>
        <w:rPr>
          <w:rFonts w:hint="eastAsia"/>
          <w:color w:val="auto"/>
          <w:szCs w:val="32"/>
          <w:u w:val="none"/>
        </w:rPr>
      </w:pPr>
      <w:r>
        <w:rPr>
          <w:rFonts w:hint="eastAsia" w:ascii="黑体" w:hAnsi="黑体" w:eastAsia="黑体"/>
          <w:bCs/>
          <w:color w:val="auto"/>
          <w:szCs w:val="32"/>
          <w:highlight w:val="none"/>
          <w:u w:val="none"/>
          <w:lang w:val="en-US" w:eastAsia="zh-CN"/>
        </w:rPr>
        <w:t>第五十三条</w:t>
      </w:r>
      <w:r>
        <w:rPr>
          <w:rFonts w:hint="eastAsia" w:ascii="黑体" w:hAnsi="黑体" w:eastAsia="黑体"/>
          <w:bCs/>
          <w:color w:val="auto"/>
          <w:szCs w:val="32"/>
          <w:highlight w:val="none"/>
          <w:u w:val="none"/>
          <w:lang w:eastAsia="zh-CN"/>
        </w:rPr>
        <w:t>【</w:t>
      </w:r>
      <w:r>
        <w:rPr>
          <w:rFonts w:hint="eastAsia" w:ascii="黑体" w:hAnsi="黑体" w:eastAsia="黑体" w:cs="Times New Roman"/>
          <w:bCs/>
          <w:color w:val="auto"/>
          <w:szCs w:val="32"/>
          <w:highlight w:val="none"/>
          <w:u w:val="none"/>
          <w:lang w:val="en-US" w:eastAsia="zh-CN"/>
        </w:rPr>
        <w:t>合同示范文本</w:t>
      </w:r>
      <w:r>
        <w:rPr>
          <w:rFonts w:hint="eastAsia" w:ascii="黑体" w:hAnsi="黑体" w:eastAsia="黑体"/>
          <w:bCs/>
          <w:color w:val="auto"/>
          <w:szCs w:val="32"/>
          <w:highlight w:val="none"/>
          <w:u w:val="none"/>
          <w:lang w:eastAsia="zh-CN"/>
        </w:rPr>
        <w:t>】</w:t>
      </w:r>
      <w:r>
        <w:rPr>
          <w:rFonts w:hint="eastAsia" w:ascii="黑体" w:hAnsi="黑体" w:eastAsia="黑体"/>
          <w:bCs/>
          <w:color w:val="auto"/>
          <w:szCs w:val="32"/>
          <w:highlight w:val="none"/>
          <w:u w:val="none"/>
          <w:lang w:val="en-US" w:eastAsia="zh-CN"/>
        </w:rPr>
        <w:t xml:space="preserve">  </w:t>
      </w:r>
      <w:r>
        <w:rPr>
          <w:rFonts w:hint="eastAsia" w:ascii="仿宋_GB2312"/>
          <w:color w:val="auto"/>
          <w:szCs w:val="32"/>
          <w:highlight w:val="none"/>
          <w:u w:val="none"/>
          <w:lang w:eastAsia="zh-CN"/>
        </w:rPr>
        <w:t>市主管部门会同</w:t>
      </w:r>
      <w:r>
        <w:rPr>
          <w:rFonts w:hint="eastAsia" w:ascii="仿宋_GB2312"/>
          <w:color w:val="auto"/>
          <w:szCs w:val="32"/>
          <w:highlight w:val="none"/>
          <w:u w:val="none"/>
          <w:lang w:val="en-US" w:eastAsia="zh-CN"/>
        </w:rPr>
        <w:t>市</w:t>
      </w:r>
      <w:r>
        <w:rPr>
          <w:rFonts w:hint="eastAsia" w:ascii="仿宋_GB2312"/>
          <w:color w:val="auto"/>
          <w:szCs w:val="32"/>
          <w:highlight w:val="none"/>
          <w:u w:val="none"/>
          <w:lang w:eastAsia="zh-CN"/>
        </w:rPr>
        <w:t>市场监督管理部门制定</w:t>
      </w:r>
      <w:r>
        <w:rPr>
          <w:rFonts w:hint="eastAsia" w:ascii="仿宋_GB2312"/>
          <w:color w:val="auto"/>
          <w:szCs w:val="32"/>
          <w:highlight w:val="none"/>
          <w:u w:val="none"/>
          <w:lang w:val="en-US" w:eastAsia="zh-CN"/>
        </w:rPr>
        <w:t>共有产权住房买卖</w:t>
      </w:r>
      <w:r>
        <w:rPr>
          <w:rFonts w:hint="eastAsia" w:ascii="仿宋_GB2312"/>
          <w:color w:val="auto"/>
          <w:szCs w:val="32"/>
          <w:highlight w:val="none"/>
          <w:u w:val="none"/>
          <w:lang w:eastAsia="zh-CN"/>
        </w:rPr>
        <w:t>合同示范文本。</w:t>
      </w:r>
    </w:p>
    <w:p>
      <w:pPr>
        <w:pStyle w:val="2"/>
        <w:keepNext w:val="0"/>
        <w:keepLines w:val="0"/>
        <w:pageBreakBefore w:val="0"/>
        <w:kinsoku/>
        <w:overflowPunct/>
        <w:topLinePunct w:val="0"/>
        <w:autoSpaceDE/>
        <w:autoSpaceDN/>
        <w:bidi w:val="0"/>
        <w:adjustRightInd/>
        <w:snapToGrid/>
        <w:spacing w:after="0" w:line="578" w:lineRule="exact"/>
        <w:ind w:firstLine="640" w:firstLineChars="200"/>
        <w:textAlignment w:val="auto"/>
        <w:outlineLvl w:val="2"/>
        <w:rPr>
          <w:rFonts w:ascii="仿宋_GB2312" w:hAnsi="仿宋_GB2312" w:cs="仿宋_GB2312"/>
          <w:color w:val="auto"/>
          <w:szCs w:val="32"/>
          <w:highlight w:val="none"/>
          <w:u w:val="none"/>
        </w:rPr>
      </w:pPr>
      <w:bookmarkStart w:id="186" w:name="_Toc21108"/>
      <w:bookmarkStart w:id="187" w:name="_Toc1983"/>
      <w:bookmarkStart w:id="188" w:name="_Toc523428854"/>
      <w:bookmarkStart w:id="189" w:name="_Toc14257_WPSOffice_Level2"/>
      <w:bookmarkStart w:id="190" w:name="_Toc16120"/>
      <w:bookmarkStart w:id="191" w:name="_Toc15119"/>
      <w:r>
        <w:rPr>
          <w:rFonts w:hint="eastAsia" w:ascii="黑体" w:hAnsi="黑体" w:eastAsia="黑体"/>
          <w:bCs/>
          <w:color w:val="auto"/>
          <w:szCs w:val="32"/>
          <w:highlight w:val="none"/>
          <w:u w:val="none"/>
        </w:rPr>
        <w:t>第</w:t>
      </w:r>
      <w:r>
        <w:rPr>
          <w:rFonts w:hint="eastAsia" w:ascii="黑体" w:hAnsi="黑体" w:eastAsia="黑体"/>
          <w:bCs/>
          <w:color w:val="auto"/>
          <w:szCs w:val="32"/>
          <w:highlight w:val="none"/>
          <w:u w:val="none"/>
          <w:lang w:val="en-US" w:eastAsia="zh-CN"/>
        </w:rPr>
        <w:t>五十四</w:t>
      </w:r>
      <w:r>
        <w:rPr>
          <w:rFonts w:hint="eastAsia" w:ascii="黑体" w:hAnsi="黑体" w:eastAsia="黑体"/>
          <w:bCs/>
          <w:color w:val="auto"/>
          <w:szCs w:val="32"/>
          <w:highlight w:val="none"/>
          <w:u w:val="none"/>
        </w:rPr>
        <w:t>条【新旧申请家庭政策衔接】</w:t>
      </w:r>
      <w:r>
        <w:rPr>
          <w:rFonts w:hint="eastAsia" w:ascii="黑体" w:hAnsi="黑体" w:eastAsia="黑体"/>
          <w:bCs/>
          <w:color w:val="auto"/>
          <w:szCs w:val="32"/>
          <w:highlight w:val="none"/>
          <w:u w:val="none"/>
          <w:lang w:val="en-US" w:eastAsia="zh-CN"/>
        </w:rPr>
        <w:t xml:space="preserve">  </w:t>
      </w:r>
      <w:r>
        <w:rPr>
          <w:rFonts w:ascii="仿宋_GB2312" w:hAnsi="仿宋_GB2312" w:cs="仿宋_GB2312"/>
          <w:color w:val="auto"/>
          <w:szCs w:val="32"/>
          <w:highlight w:val="none"/>
          <w:u w:val="none"/>
        </w:rPr>
        <w:t>本办法施行</w:t>
      </w:r>
      <w:r>
        <w:rPr>
          <w:rFonts w:hint="eastAsia" w:ascii="仿宋_GB2312" w:hAnsi="仿宋_GB2312" w:cs="仿宋_GB2312"/>
          <w:color w:val="auto"/>
          <w:szCs w:val="32"/>
          <w:highlight w:val="none"/>
          <w:u w:val="none"/>
        </w:rPr>
        <w:t>之日</w:t>
      </w:r>
      <w:r>
        <w:rPr>
          <w:rFonts w:hint="eastAsia" w:ascii="仿宋_GB2312" w:hAnsi="仿宋_GB2312" w:cs="仿宋_GB2312"/>
          <w:color w:val="auto"/>
          <w:szCs w:val="32"/>
          <w:highlight w:val="none"/>
          <w:u w:val="none"/>
          <w:lang w:val="en-US" w:eastAsia="zh-CN"/>
        </w:rPr>
        <w:t>起</w:t>
      </w:r>
      <w:r>
        <w:rPr>
          <w:rFonts w:hint="eastAsia" w:ascii="仿宋_GB2312" w:hAnsi="仿宋_GB2312" w:cs="仿宋_GB2312"/>
          <w:color w:val="auto"/>
          <w:szCs w:val="32"/>
          <w:highlight w:val="none"/>
          <w:u w:val="none"/>
        </w:rPr>
        <w:t>，相关事项</w:t>
      </w:r>
      <w:r>
        <w:rPr>
          <w:rFonts w:ascii="仿宋_GB2312" w:hAnsi="仿宋_GB2312" w:cs="仿宋_GB2312"/>
          <w:color w:val="auto"/>
          <w:szCs w:val="32"/>
          <w:highlight w:val="none"/>
          <w:u w:val="none"/>
        </w:rPr>
        <w:t>按</w:t>
      </w:r>
      <w:r>
        <w:rPr>
          <w:rFonts w:hint="eastAsia" w:ascii="仿宋_GB2312" w:hAnsi="仿宋_GB2312" w:cs="仿宋_GB2312"/>
          <w:color w:val="auto"/>
          <w:szCs w:val="32"/>
          <w:highlight w:val="none"/>
          <w:u w:val="none"/>
        </w:rPr>
        <w:t>照</w:t>
      </w:r>
      <w:r>
        <w:rPr>
          <w:rFonts w:ascii="仿宋_GB2312" w:hAnsi="仿宋_GB2312" w:cs="仿宋_GB2312"/>
          <w:color w:val="auto"/>
          <w:szCs w:val="32"/>
          <w:highlight w:val="none"/>
          <w:u w:val="none"/>
        </w:rPr>
        <w:t>以下规定执行：</w:t>
      </w:r>
    </w:p>
    <w:p>
      <w:pPr>
        <w:pStyle w:val="2"/>
        <w:keepNext w:val="0"/>
        <w:keepLines w:val="0"/>
        <w:pageBreakBefore w:val="0"/>
        <w:numPr>
          <w:ilvl w:val="255"/>
          <w:numId w:val="0"/>
        </w:numPr>
        <w:kinsoku/>
        <w:overflowPunct/>
        <w:topLinePunct w:val="0"/>
        <w:autoSpaceDE/>
        <w:autoSpaceDN/>
        <w:bidi w:val="0"/>
        <w:adjustRightInd/>
        <w:snapToGrid/>
        <w:spacing w:after="0" w:line="578" w:lineRule="exact"/>
        <w:ind w:firstLine="640" w:firstLineChars="200"/>
        <w:textAlignment w:val="auto"/>
        <w:outlineLvl w:val="2"/>
        <w:rPr>
          <w:rFonts w:ascii="仿宋_GB2312" w:hAnsi="仿宋_GB2312" w:cs="仿宋_GB2312"/>
          <w:bCs/>
          <w:color w:val="auto"/>
          <w:szCs w:val="32"/>
          <w:highlight w:val="none"/>
          <w:u w:val="none"/>
        </w:rPr>
      </w:pPr>
      <w:r>
        <w:rPr>
          <w:rFonts w:hint="eastAsia" w:ascii="仿宋_GB2312" w:hAnsi="仿宋_GB2312" w:cs="仿宋_GB2312"/>
          <w:bCs/>
          <w:color w:val="auto"/>
          <w:szCs w:val="32"/>
          <w:highlight w:val="none"/>
          <w:u w:val="none"/>
        </w:rPr>
        <w:t>（</w:t>
      </w:r>
      <w:r>
        <w:rPr>
          <w:rFonts w:hint="eastAsia" w:ascii="仿宋_GB2312" w:hAnsi="仿宋_GB2312" w:cs="仿宋_GB2312"/>
          <w:bCs/>
          <w:color w:val="auto"/>
          <w:szCs w:val="32"/>
          <w:highlight w:val="none"/>
          <w:u w:val="none"/>
          <w:lang w:val="en-US" w:eastAsia="zh-CN"/>
        </w:rPr>
        <w:t>一</w:t>
      </w:r>
      <w:r>
        <w:rPr>
          <w:rFonts w:hint="eastAsia" w:ascii="仿宋_GB2312" w:hAnsi="仿宋_GB2312" w:cs="仿宋_GB2312"/>
          <w:bCs/>
          <w:color w:val="auto"/>
          <w:szCs w:val="32"/>
          <w:highlight w:val="none"/>
          <w:u w:val="none"/>
        </w:rPr>
        <w:t>）</w:t>
      </w:r>
      <w:r>
        <w:rPr>
          <w:rFonts w:hint="eastAsia" w:ascii="仿宋_GB2312" w:hAnsi="仿宋_GB2312" w:cs="仿宋_GB2312"/>
          <w:bCs/>
          <w:color w:val="auto"/>
          <w:szCs w:val="32"/>
          <w:highlight w:val="none"/>
          <w:u w:val="none"/>
          <w:lang w:val="en-US" w:eastAsia="zh-CN"/>
        </w:rPr>
        <w:t>原</w:t>
      </w:r>
      <w:r>
        <w:rPr>
          <w:rFonts w:hint="eastAsia" w:ascii="仿宋_GB2312" w:hAnsi="仿宋_GB2312" w:cs="仿宋_GB2312"/>
          <w:bCs/>
          <w:color w:val="auto"/>
          <w:szCs w:val="32"/>
          <w:highlight w:val="none"/>
          <w:u w:val="none"/>
        </w:rPr>
        <w:t>安居型商品房在册轮候</w:t>
      </w:r>
      <w:r>
        <w:rPr>
          <w:rFonts w:ascii="仿宋_GB2312" w:hAnsi="仿宋_GB2312" w:cs="仿宋_GB2312"/>
          <w:bCs/>
          <w:color w:val="auto"/>
          <w:szCs w:val="32"/>
          <w:highlight w:val="none"/>
          <w:u w:val="none"/>
        </w:rPr>
        <w:t>人</w:t>
      </w:r>
      <w:r>
        <w:rPr>
          <w:rFonts w:hint="eastAsia" w:ascii="仿宋_GB2312" w:hAnsi="仿宋_GB2312" w:cs="仿宋_GB2312"/>
          <w:bCs/>
          <w:color w:val="auto"/>
          <w:szCs w:val="32"/>
          <w:highlight w:val="none"/>
          <w:u w:val="none"/>
        </w:rPr>
        <w:t>符合228号令及其相关规定条件</w:t>
      </w:r>
      <w:r>
        <w:rPr>
          <w:rFonts w:hint="eastAsia" w:ascii="仿宋_GB2312" w:hAnsi="仿宋_GB2312" w:cs="仿宋_GB2312"/>
          <w:bCs/>
          <w:color w:val="auto"/>
          <w:szCs w:val="32"/>
          <w:highlight w:val="none"/>
          <w:u w:val="none"/>
          <w:lang w:eastAsia="zh-CN"/>
        </w:rPr>
        <w:t>，</w:t>
      </w:r>
      <w:r>
        <w:rPr>
          <w:rFonts w:hint="eastAsia" w:ascii="仿宋_GB2312" w:hAnsi="仿宋_GB2312" w:cs="仿宋_GB2312"/>
          <w:bCs/>
          <w:color w:val="auto"/>
          <w:szCs w:val="32"/>
          <w:highlight w:val="none"/>
          <w:u w:val="none"/>
          <w:lang w:val="en-US" w:eastAsia="zh-CN"/>
        </w:rPr>
        <w:t>可以申请</w:t>
      </w:r>
      <w:r>
        <w:rPr>
          <w:rFonts w:hint="eastAsia" w:ascii="仿宋_GB2312" w:hAnsi="仿宋_GB2312" w:cs="仿宋_GB2312"/>
          <w:bCs/>
          <w:color w:val="auto"/>
          <w:szCs w:val="32"/>
          <w:highlight w:val="none"/>
          <w:u w:val="none"/>
        </w:rPr>
        <w:t>购买共有产权住房</w:t>
      </w:r>
      <w:r>
        <w:rPr>
          <w:rFonts w:hint="eastAsia" w:ascii="仿宋_GB2312" w:hAnsi="仿宋_GB2312" w:cs="仿宋_GB2312"/>
          <w:color w:val="auto"/>
          <w:szCs w:val="32"/>
          <w:highlight w:val="none"/>
          <w:u w:val="none"/>
          <w:lang w:eastAsia="zh-CN"/>
        </w:rPr>
        <w:t>。</w:t>
      </w:r>
      <w:r>
        <w:rPr>
          <w:rFonts w:hint="eastAsia" w:ascii="仿宋_GB2312" w:hAnsi="仿宋_GB2312" w:cs="仿宋_GB2312"/>
          <w:color w:val="auto"/>
          <w:szCs w:val="32"/>
          <w:highlight w:val="none"/>
          <w:u w:val="none"/>
          <w:lang w:val="en-US" w:eastAsia="zh-CN"/>
        </w:rPr>
        <w:t>所购住房的</w:t>
      </w:r>
      <w:r>
        <w:rPr>
          <w:rFonts w:hint="eastAsia" w:ascii="仿宋_GB2312" w:hAnsi="仿宋_GB2312" w:cs="仿宋_GB2312"/>
          <w:bCs/>
          <w:color w:val="auto"/>
          <w:szCs w:val="32"/>
          <w:highlight w:val="none"/>
          <w:u w:val="none"/>
        </w:rPr>
        <w:t>使用和处分、监督管理以及法律责任等按照本办法规定执行；</w:t>
      </w:r>
    </w:p>
    <w:p>
      <w:pPr>
        <w:keepNext w:val="0"/>
        <w:keepLines w:val="0"/>
        <w:pageBreakBefore w:val="0"/>
        <w:kinsoku/>
        <w:overflowPunct/>
        <w:topLinePunct w:val="0"/>
        <w:autoSpaceDE/>
        <w:autoSpaceDN/>
        <w:bidi w:val="0"/>
        <w:adjustRightInd/>
        <w:snapToGrid/>
        <w:spacing w:line="578" w:lineRule="exact"/>
        <w:ind w:firstLine="640" w:firstLineChars="200"/>
        <w:textAlignment w:val="auto"/>
        <w:outlineLvl w:val="2"/>
        <w:rPr>
          <w:rFonts w:hint="eastAsia" w:ascii="仿宋_GB2312" w:hAnsi="仿宋_GB2312" w:cs="仿宋_GB2312"/>
          <w:bCs/>
          <w:color w:val="auto"/>
          <w:szCs w:val="32"/>
          <w:highlight w:val="none"/>
          <w:u w:val="none"/>
        </w:rPr>
      </w:pPr>
      <w:r>
        <w:rPr>
          <w:rFonts w:hint="eastAsia" w:ascii="仿宋_GB2312" w:hAnsi="仿宋_GB2312" w:cs="仿宋_GB2312"/>
          <w:color w:val="auto"/>
          <w:szCs w:val="32"/>
          <w:highlight w:val="none"/>
          <w:u w:val="none"/>
        </w:rPr>
        <w:t>（</w:t>
      </w:r>
      <w:r>
        <w:rPr>
          <w:rFonts w:hint="eastAsia" w:ascii="仿宋_GB2312" w:hAnsi="仿宋_GB2312" w:cs="仿宋_GB2312"/>
          <w:color w:val="auto"/>
          <w:szCs w:val="32"/>
          <w:highlight w:val="none"/>
          <w:u w:val="none"/>
          <w:lang w:val="en-US" w:eastAsia="zh-CN"/>
        </w:rPr>
        <w:t>二</w:t>
      </w:r>
      <w:r>
        <w:rPr>
          <w:rFonts w:hint="eastAsia" w:ascii="仿宋_GB2312" w:hAnsi="仿宋_GB2312" w:cs="仿宋_GB2312"/>
          <w:color w:val="auto"/>
          <w:szCs w:val="32"/>
          <w:highlight w:val="none"/>
          <w:u w:val="none"/>
        </w:rPr>
        <w:t>）</w:t>
      </w:r>
      <w:bookmarkEnd w:id="186"/>
      <w:bookmarkEnd w:id="187"/>
      <w:bookmarkEnd w:id="188"/>
      <w:bookmarkEnd w:id="189"/>
      <w:bookmarkEnd w:id="190"/>
      <w:bookmarkEnd w:id="191"/>
      <w:r>
        <w:rPr>
          <w:rFonts w:hint="eastAsia" w:ascii="仿宋_GB2312" w:hAnsi="仿宋_GB2312" w:cs="仿宋_GB2312"/>
          <w:bCs/>
          <w:color w:val="auto"/>
          <w:szCs w:val="32"/>
          <w:highlight w:val="none"/>
          <w:u w:val="none"/>
        </w:rPr>
        <w:t>按照本</w:t>
      </w:r>
      <w:r>
        <w:rPr>
          <w:rFonts w:hint="eastAsia" w:ascii="仿宋_GB2312" w:hAnsi="仿宋_GB2312" w:cs="仿宋_GB2312"/>
          <w:bCs/>
          <w:color w:val="auto"/>
          <w:szCs w:val="32"/>
          <w:highlight w:val="none"/>
          <w:u w:val="none"/>
          <w:lang w:val="en-US" w:eastAsia="zh-CN"/>
        </w:rPr>
        <w:t>办法</w:t>
      </w:r>
      <w:r>
        <w:rPr>
          <w:rFonts w:hint="eastAsia" w:ascii="仿宋_GB2312" w:hAnsi="仿宋_GB2312" w:cs="仿宋_GB2312"/>
          <w:bCs/>
          <w:color w:val="auto"/>
          <w:szCs w:val="32"/>
          <w:highlight w:val="none"/>
          <w:u w:val="none"/>
        </w:rPr>
        <w:t>相关规定审核合格纳入</w:t>
      </w:r>
      <w:r>
        <w:rPr>
          <w:rFonts w:hint="eastAsia" w:ascii="仿宋_GB2312" w:hAnsi="仿宋_GB2312" w:cs="仿宋_GB2312"/>
          <w:bCs/>
          <w:color w:val="auto"/>
          <w:szCs w:val="32"/>
          <w:highlight w:val="none"/>
          <w:u w:val="none"/>
          <w:lang w:val="en-US" w:eastAsia="zh-CN"/>
        </w:rPr>
        <w:t>共有产权住房</w:t>
      </w:r>
      <w:r>
        <w:rPr>
          <w:rFonts w:hint="eastAsia" w:ascii="仿宋_GB2312" w:hAnsi="仿宋_GB2312" w:cs="仿宋_GB2312"/>
          <w:bCs/>
          <w:color w:val="auto"/>
          <w:szCs w:val="32"/>
          <w:highlight w:val="none"/>
          <w:u w:val="none"/>
        </w:rPr>
        <w:t>轮候册的在册轮候人，轮候排序在</w:t>
      </w:r>
      <w:r>
        <w:rPr>
          <w:rFonts w:hint="eastAsia" w:ascii="仿宋_GB2312" w:hAnsi="仿宋_GB2312" w:cs="仿宋_GB2312"/>
          <w:bCs/>
          <w:color w:val="auto"/>
          <w:szCs w:val="32"/>
          <w:highlight w:val="none"/>
          <w:u w:val="none"/>
          <w:lang w:val="en-US" w:eastAsia="zh-CN"/>
        </w:rPr>
        <w:t>原</w:t>
      </w:r>
      <w:r>
        <w:rPr>
          <w:rFonts w:hint="eastAsia" w:ascii="仿宋_GB2312" w:hAnsi="仿宋_GB2312" w:cs="仿宋_GB2312"/>
          <w:bCs/>
          <w:color w:val="auto"/>
          <w:szCs w:val="32"/>
          <w:highlight w:val="none"/>
          <w:u w:val="none"/>
        </w:rPr>
        <w:t>安居型商品房在册轮候人之后。</w:t>
      </w:r>
    </w:p>
    <w:p>
      <w:pPr>
        <w:pStyle w:val="2"/>
        <w:keepNext w:val="0"/>
        <w:keepLines w:val="0"/>
        <w:pageBreakBefore w:val="0"/>
        <w:kinsoku/>
        <w:overflowPunct/>
        <w:topLinePunct w:val="0"/>
        <w:autoSpaceDE/>
        <w:autoSpaceDN/>
        <w:bidi w:val="0"/>
        <w:adjustRightInd/>
        <w:snapToGrid/>
        <w:spacing w:after="0" w:line="578"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eastAsia" w:ascii="黑体" w:hAnsi="黑体" w:eastAsia="黑体" w:cs="Times New Roman"/>
          <w:bCs/>
          <w:color w:val="auto"/>
          <w:sz w:val="32"/>
          <w:szCs w:val="32"/>
          <w:highlight w:val="none"/>
          <w:u w:val="none"/>
        </w:rPr>
        <w:t>第</w:t>
      </w:r>
      <w:r>
        <w:rPr>
          <w:rFonts w:hint="eastAsia" w:ascii="黑体" w:hAnsi="黑体" w:eastAsia="黑体" w:cs="Times New Roman"/>
          <w:bCs/>
          <w:color w:val="auto"/>
          <w:sz w:val="32"/>
          <w:szCs w:val="32"/>
          <w:highlight w:val="none"/>
          <w:u w:val="none"/>
          <w:lang w:val="en-US" w:eastAsia="zh-CN"/>
        </w:rPr>
        <w:t>五十五</w:t>
      </w:r>
      <w:r>
        <w:rPr>
          <w:rFonts w:hint="eastAsia" w:ascii="黑体" w:hAnsi="黑体" w:eastAsia="黑体" w:cs="Times New Roman"/>
          <w:bCs/>
          <w:color w:val="auto"/>
          <w:sz w:val="32"/>
          <w:szCs w:val="32"/>
          <w:highlight w:val="none"/>
          <w:u w:val="none"/>
        </w:rPr>
        <w:t>条【新旧</w:t>
      </w:r>
      <w:r>
        <w:rPr>
          <w:rFonts w:hint="eastAsia" w:ascii="黑体" w:hAnsi="黑体" w:eastAsia="黑体" w:cs="Times New Roman"/>
          <w:bCs/>
          <w:color w:val="auto"/>
          <w:sz w:val="32"/>
          <w:szCs w:val="32"/>
          <w:highlight w:val="none"/>
          <w:u w:val="none"/>
          <w:lang w:val="en-US" w:eastAsia="zh-CN"/>
        </w:rPr>
        <w:t>项目</w:t>
      </w:r>
      <w:r>
        <w:rPr>
          <w:rFonts w:hint="eastAsia" w:ascii="黑体" w:hAnsi="黑体" w:eastAsia="黑体" w:cs="Times New Roman"/>
          <w:bCs/>
          <w:color w:val="auto"/>
          <w:sz w:val="32"/>
          <w:szCs w:val="32"/>
          <w:highlight w:val="none"/>
          <w:u w:val="none"/>
        </w:rPr>
        <w:t>政策衔接】</w:t>
      </w:r>
      <w:r>
        <w:rPr>
          <w:rFonts w:hint="eastAsia" w:ascii="黑体" w:hAnsi="黑体" w:eastAsia="黑体" w:cs="Times New Roman"/>
          <w:bCs/>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rPr>
        <w:t>本办法施行之日起，</w:t>
      </w:r>
      <w:r>
        <w:rPr>
          <w:rFonts w:hint="eastAsia" w:ascii="仿宋_GB2312" w:hAnsi="仿宋_GB2312" w:cs="仿宋_GB2312"/>
          <w:color w:val="auto"/>
          <w:sz w:val="32"/>
          <w:szCs w:val="32"/>
          <w:highlight w:val="none"/>
          <w:u w:val="none"/>
          <w:lang w:val="en-US" w:eastAsia="zh-CN"/>
        </w:rPr>
        <w:t>不再安排建设安居型商品房。</w:t>
      </w:r>
      <w:r>
        <w:rPr>
          <w:rFonts w:hint="eastAsia" w:ascii="仿宋_GB2312" w:hAnsi="仿宋_GB2312" w:cs="仿宋_GB2312"/>
          <w:color w:val="auto"/>
          <w:sz w:val="32"/>
          <w:szCs w:val="32"/>
          <w:highlight w:val="none"/>
          <w:u w:val="none"/>
          <w:lang w:val="en-US" w:eastAsia="zh-Hans"/>
        </w:rPr>
        <w:t>已签订土地使用权出让合同</w:t>
      </w:r>
      <w:r>
        <w:rPr>
          <w:rFonts w:hint="eastAsia" w:ascii="仿宋_GB2312" w:hAnsi="仿宋_GB2312" w:eastAsia="仿宋_GB2312" w:cs="仿宋_GB2312"/>
          <w:color w:val="auto"/>
          <w:sz w:val="32"/>
          <w:szCs w:val="32"/>
          <w:highlight w:val="none"/>
          <w:u w:val="none"/>
        </w:rPr>
        <w:t>的</w:t>
      </w:r>
      <w:r>
        <w:rPr>
          <w:rFonts w:hint="eastAsia" w:ascii="仿宋_GB2312" w:hAnsi="仿宋_GB2312" w:cs="仿宋_GB2312"/>
          <w:color w:val="auto"/>
          <w:sz w:val="32"/>
          <w:szCs w:val="32"/>
          <w:highlight w:val="none"/>
          <w:u w:val="none"/>
          <w:lang w:val="en-US" w:eastAsia="zh-CN"/>
        </w:rPr>
        <w:t>安居型商品</w:t>
      </w:r>
      <w:r>
        <w:rPr>
          <w:rFonts w:hint="eastAsia" w:ascii="仿宋_GB2312" w:hAnsi="仿宋_GB2312" w:eastAsia="仿宋_GB2312" w:cs="仿宋_GB2312"/>
          <w:color w:val="auto"/>
          <w:sz w:val="32"/>
          <w:szCs w:val="32"/>
          <w:highlight w:val="none"/>
          <w:u w:val="none"/>
        </w:rPr>
        <w:t>房</w:t>
      </w:r>
      <w:r>
        <w:rPr>
          <w:rFonts w:hint="eastAsia" w:ascii="仿宋_GB2312" w:hAnsi="仿宋_GB2312" w:cs="仿宋_GB2312"/>
          <w:color w:val="auto"/>
          <w:sz w:val="32"/>
          <w:szCs w:val="32"/>
          <w:highlight w:val="none"/>
          <w:u w:val="none"/>
          <w:lang w:eastAsia="zh-CN"/>
        </w:rPr>
        <w:t>，</w:t>
      </w:r>
      <w:r>
        <w:rPr>
          <w:rFonts w:hint="eastAsia" w:ascii="仿宋_GB2312" w:hAnsi="仿宋_GB2312" w:cs="仿宋_GB2312"/>
          <w:bCs/>
          <w:color w:val="auto"/>
          <w:szCs w:val="32"/>
          <w:highlight w:val="none"/>
          <w:u w:val="none"/>
        </w:rPr>
        <w:t>继续按照228号令及其相关规定</w:t>
      </w:r>
      <w:r>
        <w:rPr>
          <w:rFonts w:hint="eastAsia" w:ascii="仿宋_GB2312" w:hAnsi="仿宋_GB2312" w:cs="仿宋_GB2312"/>
          <w:bCs/>
          <w:color w:val="auto"/>
          <w:szCs w:val="32"/>
          <w:highlight w:val="none"/>
          <w:u w:val="none"/>
          <w:lang w:val="en-US" w:eastAsia="zh-CN"/>
        </w:rPr>
        <w:t>执行。</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仿宋_GB2312" w:hAnsi="仿宋_GB2312" w:eastAsia="仿宋_GB2312" w:cs="仿宋_GB2312"/>
          <w:color w:val="auto"/>
          <w:sz w:val="32"/>
          <w:szCs w:val="22"/>
          <w:highlight w:val="none"/>
          <w:u w:val="none"/>
          <w:lang w:val="en-US" w:eastAsia="zh-Hans"/>
        </w:rPr>
      </w:pPr>
      <w:bookmarkStart w:id="192" w:name="_Toc18714_WPSOffice_Level2"/>
      <w:bookmarkStart w:id="193" w:name="_Toc14605"/>
      <w:bookmarkStart w:id="194" w:name="_Toc16895"/>
      <w:bookmarkStart w:id="195" w:name="_Toc19800"/>
      <w:bookmarkStart w:id="196" w:name="_Toc3757"/>
      <w:bookmarkStart w:id="197" w:name="_Toc29008"/>
      <w:bookmarkStart w:id="198" w:name="_Toc1824"/>
      <w:bookmarkStart w:id="199" w:name="_Toc8353"/>
      <w:bookmarkStart w:id="200" w:name="_Toc10655"/>
      <w:bookmarkStart w:id="201" w:name="_Toc523428855"/>
      <w:bookmarkStart w:id="202" w:name="_Toc10282"/>
      <w:r>
        <w:rPr>
          <w:rFonts w:hint="eastAsia" w:ascii="黑体" w:hAnsi="黑体" w:eastAsia="黑体"/>
          <w:bCs/>
          <w:color w:val="auto"/>
          <w:szCs w:val="32"/>
          <w:highlight w:val="none"/>
          <w:u w:val="none"/>
        </w:rPr>
        <w:t>第</w:t>
      </w:r>
      <w:r>
        <w:rPr>
          <w:rFonts w:hint="eastAsia" w:ascii="黑体" w:hAnsi="黑体" w:eastAsia="黑体"/>
          <w:bCs/>
          <w:color w:val="auto"/>
          <w:szCs w:val="32"/>
          <w:highlight w:val="none"/>
          <w:u w:val="none"/>
          <w:lang w:val="en-US" w:eastAsia="zh-CN"/>
        </w:rPr>
        <w:t>五十六</w:t>
      </w:r>
      <w:r>
        <w:rPr>
          <w:rFonts w:hint="eastAsia" w:ascii="黑体" w:hAnsi="黑体" w:eastAsia="黑体"/>
          <w:bCs/>
          <w:color w:val="auto"/>
          <w:szCs w:val="32"/>
          <w:highlight w:val="none"/>
          <w:u w:val="none"/>
        </w:rPr>
        <w:t>条</w:t>
      </w:r>
      <w:bookmarkEnd w:id="192"/>
      <w:r>
        <w:rPr>
          <w:rFonts w:hint="eastAsia" w:ascii="黑体" w:hAnsi="黑体" w:eastAsia="黑体"/>
          <w:bCs/>
          <w:color w:val="auto"/>
          <w:szCs w:val="32"/>
          <w:highlight w:val="none"/>
          <w:u w:val="none"/>
        </w:rPr>
        <w:t>【施行日期】</w:t>
      </w:r>
      <w:r>
        <w:rPr>
          <w:rFonts w:hint="eastAsia" w:ascii="黑体" w:hAnsi="黑体" w:eastAsia="黑体"/>
          <w:bCs/>
          <w:color w:val="auto"/>
          <w:szCs w:val="32"/>
          <w:highlight w:val="none"/>
          <w:u w:val="none"/>
          <w:lang w:val="en-US" w:eastAsia="zh-CN"/>
        </w:rPr>
        <w:t xml:space="preserve">  </w:t>
      </w:r>
      <w:r>
        <w:rPr>
          <w:rFonts w:ascii="仿宋_GB2312" w:hAnsi="仿宋_GB2312" w:cs="仿宋_GB2312"/>
          <w:color w:val="auto"/>
          <w:szCs w:val="32"/>
          <w:highlight w:val="none"/>
          <w:u w:val="none"/>
        </w:rPr>
        <w:t>本办法自    年</w:t>
      </w:r>
      <w:r>
        <w:rPr>
          <w:rFonts w:hint="eastAsia" w:ascii="仿宋_GB2312" w:hAnsi="仿宋_GB2312" w:cs="仿宋_GB2312"/>
          <w:color w:val="auto"/>
          <w:szCs w:val="32"/>
          <w:highlight w:val="none"/>
          <w:u w:val="none"/>
          <w:lang w:val="en-US" w:eastAsia="zh-CN"/>
        </w:rPr>
        <w:t xml:space="preserve">   </w:t>
      </w:r>
      <w:r>
        <w:rPr>
          <w:rFonts w:ascii="仿宋_GB2312" w:hAnsi="仿宋_GB2312" w:cs="仿宋_GB2312"/>
          <w:color w:val="auto"/>
          <w:szCs w:val="32"/>
          <w:highlight w:val="none"/>
          <w:u w:val="none"/>
        </w:rPr>
        <w:t>月</w:t>
      </w:r>
      <w:r>
        <w:rPr>
          <w:rFonts w:hint="eastAsia" w:ascii="仿宋_GB2312" w:hAnsi="仿宋_GB2312" w:cs="仿宋_GB2312"/>
          <w:color w:val="auto"/>
          <w:szCs w:val="32"/>
          <w:highlight w:val="none"/>
          <w:u w:val="none"/>
          <w:lang w:val="en-US" w:eastAsia="zh-CN"/>
        </w:rPr>
        <w:t xml:space="preserve">   </w:t>
      </w:r>
      <w:r>
        <w:rPr>
          <w:rFonts w:ascii="仿宋_GB2312" w:hAnsi="仿宋_GB2312" w:cs="仿宋_GB2312"/>
          <w:color w:val="auto"/>
          <w:szCs w:val="32"/>
          <w:highlight w:val="none"/>
          <w:u w:val="none"/>
        </w:rPr>
        <w:t>日起施行。</w:t>
      </w:r>
      <w:bookmarkEnd w:id="193"/>
      <w:bookmarkEnd w:id="194"/>
      <w:bookmarkEnd w:id="195"/>
      <w:bookmarkEnd w:id="196"/>
      <w:bookmarkEnd w:id="197"/>
      <w:bookmarkEnd w:id="198"/>
      <w:bookmarkEnd w:id="199"/>
      <w:bookmarkEnd w:id="200"/>
      <w:bookmarkEnd w:id="201"/>
      <w:bookmarkEnd w:id="202"/>
    </w:p>
    <w:p>
      <w:pPr>
        <w:pStyle w:val="3"/>
        <w:keepNext w:val="0"/>
        <w:keepLines w:val="0"/>
        <w:pageBreakBefore w:val="0"/>
        <w:widowControl w:val="0"/>
        <w:tabs>
          <w:tab w:val="left" w:pos="2560"/>
        </w:tabs>
        <w:kinsoku/>
        <w:wordWrap/>
        <w:overflowPunct/>
        <w:topLinePunct w:val="0"/>
        <w:autoSpaceDE/>
        <w:autoSpaceDN/>
        <w:bidi w:val="0"/>
        <w:adjustRightInd/>
        <w:snapToGrid/>
        <w:spacing w:after="0" w:line="578" w:lineRule="exact"/>
        <w:ind w:firstLine="1600" w:firstLineChars="500"/>
        <w:jc w:val="both"/>
        <w:textAlignment w:val="auto"/>
        <w:rPr>
          <w:rFonts w:hint="eastAsia" w:ascii="仿宋_GB2312" w:hAnsi="仿宋_GB2312" w:eastAsia="仿宋_GB2312" w:cs="仿宋_GB2312"/>
          <w:color w:val="auto"/>
          <w:sz w:val="32"/>
          <w:szCs w:val="22"/>
          <w:highlight w:val="none"/>
          <w:u w:val="none"/>
          <w:lang w:val="en-US" w:eastAsia="zh-Hans"/>
        </w:rPr>
      </w:pPr>
    </w:p>
    <w:p>
      <w:pPr>
        <w:keepNext w:val="0"/>
        <w:keepLines w:val="0"/>
        <w:pageBreakBefore w:val="0"/>
        <w:widowControl/>
        <w:suppressLineNumbers w:val="0"/>
        <w:kinsoku/>
        <w:wordWrap/>
        <w:overflowPunct/>
        <w:topLinePunct w:val="0"/>
        <w:autoSpaceDE/>
        <w:autoSpaceDN/>
        <w:bidi w:val="0"/>
        <w:spacing w:line="578" w:lineRule="exact"/>
        <w:ind w:firstLine="0" w:firstLineChars="0"/>
        <w:jc w:val="left"/>
        <w:textAlignment w:val="auto"/>
        <w:rPr>
          <w:rFonts w:hint="eastAsia" w:ascii="黑体" w:hAnsi="黑体" w:eastAsia="黑体" w:cs="黑体"/>
          <w:color w:val="auto"/>
          <w:szCs w:val="32"/>
          <w:highlight w:val="none"/>
          <w:u w:val="none"/>
          <w:lang w:val="en-US" w:eastAsia="zh-CN"/>
        </w:rPr>
      </w:pPr>
      <w:bookmarkStart w:id="203" w:name="_GoBack"/>
      <w:bookmarkEnd w:id="203"/>
    </w:p>
    <w:p>
      <w:pPr>
        <w:pStyle w:val="3"/>
        <w:keepNext w:val="0"/>
        <w:keepLines w:val="0"/>
        <w:pageBreakBefore w:val="0"/>
        <w:widowControl w:val="0"/>
        <w:tabs>
          <w:tab w:val="left" w:pos="2560"/>
        </w:tabs>
        <w:kinsoku/>
        <w:wordWrap/>
        <w:overflowPunct/>
        <w:topLinePunct w:val="0"/>
        <w:autoSpaceDE/>
        <w:autoSpaceDN/>
        <w:bidi w:val="0"/>
        <w:adjustRightInd/>
        <w:snapToGrid/>
        <w:spacing w:after="0" w:line="578" w:lineRule="exact"/>
        <w:ind w:left="0" w:leftChars="0" w:firstLine="0" w:firstLineChars="0"/>
        <w:jc w:val="both"/>
        <w:textAlignment w:val="auto"/>
        <w:rPr>
          <w:rFonts w:hint="default" w:ascii="仿宋_GB2312" w:hAnsi="仿宋_GB2312" w:eastAsia="仿宋_GB2312" w:cs="仿宋_GB2312"/>
          <w:color w:val="auto"/>
          <w:sz w:val="32"/>
          <w:szCs w:val="22"/>
          <w:highlight w:val="none"/>
          <w:u w:val="none"/>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701" w:right="1474" w:bottom="1701" w:left="1587"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文星简小标宋">
    <w:altName w:val="方正小标宋_GBK"/>
    <w:panose1 w:val="00000000000000000000"/>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80"/>
      <w:jc w:val="center"/>
      <w:rPr>
        <w:rFonts w:ascii="仿宋_GB2312" w:eastAsia="仿宋_GB2312"/>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cs="宋体"/>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PAGE   \* MERGEFORMAT</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lang w:val="zh-CN"/>
                            </w:rPr>
                            <w:t>2</w:t>
                          </w:r>
                          <w:r>
                            <w:rPr>
                              <w:rFonts w:hint="eastAsia" w:ascii="仿宋_GB2312" w:hAnsi="仿宋_GB2312" w:eastAsia="仿宋_GB2312" w:cs="仿宋_GB2312"/>
                              <w:color w:val="auto"/>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cs="宋体"/>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PAGE   \* MERGEFORMAT</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lang w:val="zh-CN"/>
                      </w:rPr>
                      <w:t>2</w:t>
                    </w:r>
                    <w:r>
                      <w:rPr>
                        <w:rFonts w:hint="eastAsia" w:ascii="仿宋_GB2312" w:hAnsi="仿宋_GB2312" w:eastAsia="仿宋_GB2312" w:cs="仿宋_GB2312"/>
                        <w:color w:val="auto"/>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mNmY5ZjcwYmUzNDJlOTJmNGY5MzI4YTdlZjY1OGEifQ=="/>
    <w:docVar w:name="KSO_WPS_MARK_KEY" w:val="e79adc51-2d34-42f0-9add-9c1d2789c6fe"/>
  </w:docVars>
  <w:rsids>
    <w:rsidRoot w:val="2BE713FB"/>
    <w:rsid w:val="00075C2A"/>
    <w:rsid w:val="000F2AE5"/>
    <w:rsid w:val="00285B49"/>
    <w:rsid w:val="003161BE"/>
    <w:rsid w:val="0039209E"/>
    <w:rsid w:val="00475902"/>
    <w:rsid w:val="004A2CDF"/>
    <w:rsid w:val="004B2892"/>
    <w:rsid w:val="00544B06"/>
    <w:rsid w:val="006A2C29"/>
    <w:rsid w:val="006E75F9"/>
    <w:rsid w:val="007115C7"/>
    <w:rsid w:val="00734C49"/>
    <w:rsid w:val="007816D4"/>
    <w:rsid w:val="008141F3"/>
    <w:rsid w:val="0083014A"/>
    <w:rsid w:val="009614DA"/>
    <w:rsid w:val="009E0881"/>
    <w:rsid w:val="00A00F90"/>
    <w:rsid w:val="00A13A10"/>
    <w:rsid w:val="00A228F3"/>
    <w:rsid w:val="00A72A69"/>
    <w:rsid w:val="00AB7B27"/>
    <w:rsid w:val="00AD5990"/>
    <w:rsid w:val="00B13FDB"/>
    <w:rsid w:val="00B36402"/>
    <w:rsid w:val="00B96844"/>
    <w:rsid w:val="00BD416D"/>
    <w:rsid w:val="00BE4521"/>
    <w:rsid w:val="00C34D78"/>
    <w:rsid w:val="00C85A73"/>
    <w:rsid w:val="00D8286A"/>
    <w:rsid w:val="00E13315"/>
    <w:rsid w:val="00EE4C4A"/>
    <w:rsid w:val="00FE194B"/>
    <w:rsid w:val="01001B5E"/>
    <w:rsid w:val="01053728"/>
    <w:rsid w:val="01066A48"/>
    <w:rsid w:val="011710AB"/>
    <w:rsid w:val="011B0745"/>
    <w:rsid w:val="012174A5"/>
    <w:rsid w:val="01457173"/>
    <w:rsid w:val="01476399"/>
    <w:rsid w:val="01490227"/>
    <w:rsid w:val="014904D9"/>
    <w:rsid w:val="01830AFD"/>
    <w:rsid w:val="01857CC3"/>
    <w:rsid w:val="01971FAA"/>
    <w:rsid w:val="01A26771"/>
    <w:rsid w:val="01AF6862"/>
    <w:rsid w:val="01BE387A"/>
    <w:rsid w:val="01C0753F"/>
    <w:rsid w:val="01CC6CEF"/>
    <w:rsid w:val="01CE304A"/>
    <w:rsid w:val="01D6466C"/>
    <w:rsid w:val="01F721CC"/>
    <w:rsid w:val="021E5BD5"/>
    <w:rsid w:val="02353A89"/>
    <w:rsid w:val="0247534B"/>
    <w:rsid w:val="0251356D"/>
    <w:rsid w:val="02676505"/>
    <w:rsid w:val="026B3007"/>
    <w:rsid w:val="02864B43"/>
    <w:rsid w:val="02952C5E"/>
    <w:rsid w:val="029A0D21"/>
    <w:rsid w:val="02AA42C8"/>
    <w:rsid w:val="02CC7614"/>
    <w:rsid w:val="02E83D8C"/>
    <w:rsid w:val="03100052"/>
    <w:rsid w:val="031B16CD"/>
    <w:rsid w:val="031C07A5"/>
    <w:rsid w:val="031C4BB1"/>
    <w:rsid w:val="03241688"/>
    <w:rsid w:val="03465AD1"/>
    <w:rsid w:val="03535D6D"/>
    <w:rsid w:val="035B751F"/>
    <w:rsid w:val="036E68C0"/>
    <w:rsid w:val="03780F79"/>
    <w:rsid w:val="03796A52"/>
    <w:rsid w:val="03877686"/>
    <w:rsid w:val="039508B5"/>
    <w:rsid w:val="03AA2A13"/>
    <w:rsid w:val="03AF03FE"/>
    <w:rsid w:val="03B045F9"/>
    <w:rsid w:val="03BB2F84"/>
    <w:rsid w:val="03BD4C2F"/>
    <w:rsid w:val="03CD1B14"/>
    <w:rsid w:val="03DA1FE2"/>
    <w:rsid w:val="03E012D1"/>
    <w:rsid w:val="03EE2B99"/>
    <w:rsid w:val="04142AD9"/>
    <w:rsid w:val="042711AF"/>
    <w:rsid w:val="04286A6A"/>
    <w:rsid w:val="043D67D1"/>
    <w:rsid w:val="044B2587"/>
    <w:rsid w:val="04581AF4"/>
    <w:rsid w:val="048D189A"/>
    <w:rsid w:val="048F759F"/>
    <w:rsid w:val="049503DC"/>
    <w:rsid w:val="049C7788"/>
    <w:rsid w:val="04B33E0A"/>
    <w:rsid w:val="04BA648F"/>
    <w:rsid w:val="04BD28C3"/>
    <w:rsid w:val="04C11517"/>
    <w:rsid w:val="04C115CD"/>
    <w:rsid w:val="04C5135E"/>
    <w:rsid w:val="04C77CA5"/>
    <w:rsid w:val="04CA7B91"/>
    <w:rsid w:val="04CE6A50"/>
    <w:rsid w:val="04E2157A"/>
    <w:rsid w:val="05035928"/>
    <w:rsid w:val="05075C00"/>
    <w:rsid w:val="05102852"/>
    <w:rsid w:val="05172671"/>
    <w:rsid w:val="052D1793"/>
    <w:rsid w:val="05407FC5"/>
    <w:rsid w:val="05453FE3"/>
    <w:rsid w:val="054727B6"/>
    <w:rsid w:val="054F7C18"/>
    <w:rsid w:val="055B09F2"/>
    <w:rsid w:val="05615109"/>
    <w:rsid w:val="05681A7F"/>
    <w:rsid w:val="056F3857"/>
    <w:rsid w:val="05863E35"/>
    <w:rsid w:val="05890EDA"/>
    <w:rsid w:val="059F32A6"/>
    <w:rsid w:val="05B87F19"/>
    <w:rsid w:val="05BD63AC"/>
    <w:rsid w:val="05C06E69"/>
    <w:rsid w:val="05C60D89"/>
    <w:rsid w:val="05C72C4A"/>
    <w:rsid w:val="05CA788D"/>
    <w:rsid w:val="05CD3C1C"/>
    <w:rsid w:val="05DE61E6"/>
    <w:rsid w:val="05E47AEA"/>
    <w:rsid w:val="05F15F19"/>
    <w:rsid w:val="05FF6B6C"/>
    <w:rsid w:val="060F2843"/>
    <w:rsid w:val="06121B68"/>
    <w:rsid w:val="061334C5"/>
    <w:rsid w:val="061B2F96"/>
    <w:rsid w:val="061D582C"/>
    <w:rsid w:val="061E73B2"/>
    <w:rsid w:val="06321D5D"/>
    <w:rsid w:val="063B0BC0"/>
    <w:rsid w:val="06447383"/>
    <w:rsid w:val="066D1AB1"/>
    <w:rsid w:val="067636BF"/>
    <w:rsid w:val="068D06D3"/>
    <w:rsid w:val="068F3068"/>
    <w:rsid w:val="06950563"/>
    <w:rsid w:val="06A16959"/>
    <w:rsid w:val="06B31A3D"/>
    <w:rsid w:val="06CB31A5"/>
    <w:rsid w:val="06D22BC8"/>
    <w:rsid w:val="06D40CA8"/>
    <w:rsid w:val="06D51397"/>
    <w:rsid w:val="06D81476"/>
    <w:rsid w:val="06DF0F1C"/>
    <w:rsid w:val="06E75F33"/>
    <w:rsid w:val="070375E9"/>
    <w:rsid w:val="071E0C5A"/>
    <w:rsid w:val="07443A87"/>
    <w:rsid w:val="074F1149"/>
    <w:rsid w:val="0751715A"/>
    <w:rsid w:val="07641E14"/>
    <w:rsid w:val="077257AF"/>
    <w:rsid w:val="0777185B"/>
    <w:rsid w:val="078524A4"/>
    <w:rsid w:val="07956233"/>
    <w:rsid w:val="079E4AD2"/>
    <w:rsid w:val="07CC73F2"/>
    <w:rsid w:val="07DB13CB"/>
    <w:rsid w:val="07E13ABD"/>
    <w:rsid w:val="07E52483"/>
    <w:rsid w:val="07E775D3"/>
    <w:rsid w:val="07F00B9B"/>
    <w:rsid w:val="08075272"/>
    <w:rsid w:val="081F5F4C"/>
    <w:rsid w:val="08282714"/>
    <w:rsid w:val="08290195"/>
    <w:rsid w:val="082C148A"/>
    <w:rsid w:val="083755F1"/>
    <w:rsid w:val="0840229D"/>
    <w:rsid w:val="084639A0"/>
    <w:rsid w:val="08605B15"/>
    <w:rsid w:val="08682B05"/>
    <w:rsid w:val="08686E74"/>
    <w:rsid w:val="087474B7"/>
    <w:rsid w:val="08B6062A"/>
    <w:rsid w:val="08BA36D2"/>
    <w:rsid w:val="08BD6893"/>
    <w:rsid w:val="08DF2316"/>
    <w:rsid w:val="08F57E04"/>
    <w:rsid w:val="08F82CC0"/>
    <w:rsid w:val="09020329"/>
    <w:rsid w:val="090332EE"/>
    <w:rsid w:val="09085F26"/>
    <w:rsid w:val="091039E8"/>
    <w:rsid w:val="091D065E"/>
    <w:rsid w:val="09211196"/>
    <w:rsid w:val="09290937"/>
    <w:rsid w:val="093F003A"/>
    <w:rsid w:val="09414141"/>
    <w:rsid w:val="094343C0"/>
    <w:rsid w:val="09524F20"/>
    <w:rsid w:val="096463BB"/>
    <w:rsid w:val="09750793"/>
    <w:rsid w:val="0975238A"/>
    <w:rsid w:val="09812B12"/>
    <w:rsid w:val="09940572"/>
    <w:rsid w:val="09967BD1"/>
    <w:rsid w:val="099743C3"/>
    <w:rsid w:val="09C217BA"/>
    <w:rsid w:val="09C5084F"/>
    <w:rsid w:val="09CB6FD9"/>
    <w:rsid w:val="09D00339"/>
    <w:rsid w:val="09D1620A"/>
    <w:rsid w:val="09D22DDA"/>
    <w:rsid w:val="09D45109"/>
    <w:rsid w:val="09D92A4E"/>
    <w:rsid w:val="09E2338E"/>
    <w:rsid w:val="09F47B7D"/>
    <w:rsid w:val="09FC0078"/>
    <w:rsid w:val="0A045D52"/>
    <w:rsid w:val="0A0555BC"/>
    <w:rsid w:val="0A07664B"/>
    <w:rsid w:val="0A1D7FCB"/>
    <w:rsid w:val="0A20745F"/>
    <w:rsid w:val="0A2D5A17"/>
    <w:rsid w:val="0A394C32"/>
    <w:rsid w:val="0A4730E7"/>
    <w:rsid w:val="0A4A4828"/>
    <w:rsid w:val="0A6C2012"/>
    <w:rsid w:val="0A79028B"/>
    <w:rsid w:val="0A8306ED"/>
    <w:rsid w:val="0A93687D"/>
    <w:rsid w:val="0A991EE4"/>
    <w:rsid w:val="0A9A3B8B"/>
    <w:rsid w:val="0AA100DC"/>
    <w:rsid w:val="0AB17A25"/>
    <w:rsid w:val="0AB45E95"/>
    <w:rsid w:val="0AE61DC4"/>
    <w:rsid w:val="0AF42392"/>
    <w:rsid w:val="0B0270E0"/>
    <w:rsid w:val="0B0C33D3"/>
    <w:rsid w:val="0B144FD6"/>
    <w:rsid w:val="0B1F08AE"/>
    <w:rsid w:val="0B2679E9"/>
    <w:rsid w:val="0B2F552C"/>
    <w:rsid w:val="0B3E7F01"/>
    <w:rsid w:val="0B3F5ACC"/>
    <w:rsid w:val="0B410531"/>
    <w:rsid w:val="0B7125FF"/>
    <w:rsid w:val="0B761A6A"/>
    <w:rsid w:val="0B805EA8"/>
    <w:rsid w:val="0B833030"/>
    <w:rsid w:val="0B992C5C"/>
    <w:rsid w:val="0BA83D55"/>
    <w:rsid w:val="0BA94BA0"/>
    <w:rsid w:val="0BB302F6"/>
    <w:rsid w:val="0BB41C25"/>
    <w:rsid w:val="0BBC0D77"/>
    <w:rsid w:val="0BBC4778"/>
    <w:rsid w:val="0BC33EB3"/>
    <w:rsid w:val="0BC47C2C"/>
    <w:rsid w:val="0BD53C65"/>
    <w:rsid w:val="0BFC5A20"/>
    <w:rsid w:val="0C022D96"/>
    <w:rsid w:val="0C137714"/>
    <w:rsid w:val="0C2E4414"/>
    <w:rsid w:val="0C4362D4"/>
    <w:rsid w:val="0C443519"/>
    <w:rsid w:val="0C6F1945"/>
    <w:rsid w:val="0C8B21C4"/>
    <w:rsid w:val="0C8F5F10"/>
    <w:rsid w:val="0C951174"/>
    <w:rsid w:val="0CB01A98"/>
    <w:rsid w:val="0CBA3508"/>
    <w:rsid w:val="0CBF4C87"/>
    <w:rsid w:val="0CC14BF0"/>
    <w:rsid w:val="0CC51EAD"/>
    <w:rsid w:val="0CC72234"/>
    <w:rsid w:val="0CCB681B"/>
    <w:rsid w:val="0CCE0D62"/>
    <w:rsid w:val="0CD057F2"/>
    <w:rsid w:val="0CD628EE"/>
    <w:rsid w:val="0CDD0FA5"/>
    <w:rsid w:val="0CF06F2A"/>
    <w:rsid w:val="0CF541D7"/>
    <w:rsid w:val="0CF746D1"/>
    <w:rsid w:val="0D095783"/>
    <w:rsid w:val="0D145343"/>
    <w:rsid w:val="0D251185"/>
    <w:rsid w:val="0D2C590C"/>
    <w:rsid w:val="0D2D2E0B"/>
    <w:rsid w:val="0D361EE9"/>
    <w:rsid w:val="0D446055"/>
    <w:rsid w:val="0D4513C8"/>
    <w:rsid w:val="0D467547"/>
    <w:rsid w:val="0D5A1C6A"/>
    <w:rsid w:val="0D625A5C"/>
    <w:rsid w:val="0D6A4C82"/>
    <w:rsid w:val="0D6B67DA"/>
    <w:rsid w:val="0D731909"/>
    <w:rsid w:val="0DBD0B94"/>
    <w:rsid w:val="0DC21BD6"/>
    <w:rsid w:val="0DEC1970"/>
    <w:rsid w:val="0DF10B87"/>
    <w:rsid w:val="0DF229EF"/>
    <w:rsid w:val="0E036D0C"/>
    <w:rsid w:val="0E1657B3"/>
    <w:rsid w:val="0E282E63"/>
    <w:rsid w:val="0E300813"/>
    <w:rsid w:val="0E323572"/>
    <w:rsid w:val="0E347A42"/>
    <w:rsid w:val="0E384ED7"/>
    <w:rsid w:val="0E3B5A03"/>
    <w:rsid w:val="0E577208"/>
    <w:rsid w:val="0E5820B0"/>
    <w:rsid w:val="0E676B52"/>
    <w:rsid w:val="0E834FCD"/>
    <w:rsid w:val="0E836F5A"/>
    <w:rsid w:val="0E856B75"/>
    <w:rsid w:val="0E892E70"/>
    <w:rsid w:val="0E9214CA"/>
    <w:rsid w:val="0E94194A"/>
    <w:rsid w:val="0EA838C9"/>
    <w:rsid w:val="0EA944DE"/>
    <w:rsid w:val="0EDB3508"/>
    <w:rsid w:val="0EDD4018"/>
    <w:rsid w:val="0EE019CB"/>
    <w:rsid w:val="0F06683E"/>
    <w:rsid w:val="0F13609D"/>
    <w:rsid w:val="0F227549"/>
    <w:rsid w:val="0F3504BA"/>
    <w:rsid w:val="0F4C2982"/>
    <w:rsid w:val="0F5C6280"/>
    <w:rsid w:val="0F6A2851"/>
    <w:rsid w:val="0F7222A3"/>
    <w:rsid w:val="0F755A07"/>
    <w:rsid w:val="0F8008E2"/>
    <w:rsid w:val="0FCB6A29"/>
    <w:rsid w:val="0FD45278"/>
    <w:rsid w:val="0FF62803"/>
    <w:rsid w:val="0FF94348"/>
    <w:rsid w:val="10057169"/>
    <w:rsid w:val="10207B26"/>
    <w:rsid w:val="1027674D"/>
    <w:rsid w:val="10282537"/>
    <w:rsid w:val="102943E6"/>
    <w:rsid w:val="102F757A"/>
    <w:rsid w:val="103D5C6E"/>
    <w:rsid w:val="103F64AE"/>
    <w:rsid w:val="10431318"/>
    <w:rsid w:val="104D24C2"/>
    <w:rsid w:val="1056202E"/>
    <w:rsid w:val="10580486"/>
    <w:rsid w:val="105E146E"/>
    <w:rsid w:val="1062243A"/>
    <w:rsid w:val="1066305F"/>
    <w:rsid w:val="10790FE5"/>
    <w:rsid w:val="10884E1D"/>
    <w:rsid w:val="108856AA"/>
    <w:rsid w:val="10910DA3"/>
    <w:rsid w:val="10A52803"/>
    <w:rsid w:val="10AB6637"/>
    <w:rsid w:val="10AF7010"/>
    <w:rsid w:val="10B464C1"/>
    <w:rsid w:val="10D6569D"/>
    <w:rsid w:val="10EA53CD"/>
    <w:rsid w:val="10FB45D4"/>
    <w:rsid w:val="1103023A"/>
    <w:rsid w:val="110B6638"/>
    <w:rsid w:val="110E5C75"/>
    <w:rsid w:val="1115604F"/>
    <w:rsid w:val="11175575"/>
    <w:rsid w:val="111F63B3"/>
    <w:rsid w:val="11323C17"/>
    <w:rsid w:val="114717CD"/>
    <w:rsid w:val="115630D4"/>
    <w:rsid w:val="11592E25"/>
    <w:rsid w:val="115D0906"/>
    <w:rsid w:val="116A7DE7"/>
    <w:rsid w:val="116E2D9F"/>
    <w:rsid w:val="11762910"/>
    <w:rsid w:val="11944F84"/>
    <w:rsid w:val="119E2C7A"/>
    <w:rsid w:val="119E5B9A"/>
    <w:rsid w:val="11B230C2"/>
    <w:rsid w:val="11B910DE"/>
    <w:rsid w:val="11D33328"/>
    <w:rsid w:val="11DC110C"/>
    <w:rsid w:val="11E0617E"/>
    <w:rsid w:val="120B3A35"/>
    <w:rsid w:val="122B15BB"/>
    <w:rsid w:val="122B1D7E"/>
    <w:rsid w:val="1230586D"/>
    <w:rsid w:val="124A2B45"/>
    <w:rsid w:val="1252111B"/>
    <w:rsid w:val="126A32DB"/>
    <w:rsid w:val="1277358D"/>
    <w:rsid w:val="127777A6"/>
    <w:rsid w:val="127952CC"/>
    <w:rsid w:val="127E013D"/>
    <w:rsid w:val="12A32349"/>
    <w:rsid w:val="12AA5365"/>
    <w:rsid w:val="12BA42B4"/>
    <w:rsid w:val="12C75349"/>
    <w:rsid w:val="12E120D9"/>
    <w:rsid w:val="12E87825"/>
    <w:rsid w:val="12F334E7"/>
    <w:rsid w:val="12FE41E9"/>
    <w:rsid w:val="13122FFD"/>
    <w:rsid w:val="131F4589"/>
    <w:rsid w:val="13282C84"/>
    <w:rsid w:val="132C10D6"/>
    <w:rsid w:val="13352FF3"/>
    <w:rsid w:val="135B2D4A"/>
    <w:rsid w:val="135B7FAC"/>
    <w:rsid w:val="13747B24"/>
    <w:rsid w:val="137B66E3"/>
    <w:rsid w:val="1385465E"/>
    <w:rsid w:val="139776AD"/>
    <w:rsid w:val="139E2586"/>
    <w:rsid w:val="139E697C"/>
    <w:rsid w:val="13B8147D"/>
    <w:rsid w:val="13D51CD2"/>
    <w:rsid w:val="13E63291"/>
    <w:rsid w:val="13E95E9D"/>
    <w:rsid w:val="13ED4A14"/>
    <w:rsid w:val="13FA3F08"/>
    <w:rsid w:val="14045A85"/>
    <w:rsid w:val="14054884"/>
    <w:rsid w:val="141238B9"/>
    <w:rsid w:val="14137082"/>
    <w:rsid w:val="1421035D"/>
    <w:rsid w:val="14224C14"/>
    <w:rsid w:val="142C636E"/>
    <w:rsid w:val="142E5CE8"/>
    <w:rsid w:val="14432035"/>
    <w:rsid w:val="14481728"/>
    <w:rsid w:val="14510F01"/>
    <w:rsid w:val="14666386"/>
    <w:rsid w:val="14C14C50"/>
    <w:rsid w:val="14CB7F29"/>
    <w:rsid w:val="14D163A0"/>
    <w:rsid w:val="14D456B3"/>
    <w:rsid w:val="14D57205"/>
    <w:rsid w:val="14E07884"/>
    <w:rsid w:val="14E11C37"/>
    <w:rsid w:val="14EF2BE8"/>
    <w:rsid w:val="14EF5D19"/>
    <w:rsid w:val="14EF6A95"/>
    <w:rsid w:val="150538B2"/>
    <w:rsid w:val="151C4634"/>
    <w:rsid w:val="151F3800"/>
    <w:rsid w:val="152B50E6"/>
    <w:rsid w:val="15311E8E"/>
    <w:rsid w:val="153672E4"/>
    <w:rsid w:val="154E7AFA"/>
    <w:rsid w:val="15595889"/>
    <w:rsid w:val="157F4429"/>
    <w:rsid w:val="15825D29"/>
    <w:rsid w:val="15917FA3"/>
    <w:rsid w:val="15BD2C3C"/>
    <w:rsid w:val="15E46F00"/>
    <w:rsid w:val="15E62472"/>
    <w:rsid w:val="15E64F05"/>
    <w:rsid w:val="15E909BB"/>
    <w:rsid w:val="15EA5371"/>
    <w:rsid w:val="160264CB"/>
    <w:rsid w:val="160E7BE2"/>
    <w:rsid w:val="163B4D81"/>
    <w:rsid w:val="165960F3"/>
    <w:rsid w:val="16610890"/>
    <w:rsid w:val="166E2C6E"/>
    <w:rsid w:val="1675558B"/>
    <w:rsid w:val="167D6282"/>
    <w:rsid w:val="168626EB"/>
    <w:rsid w:val="1688647D"/>
    <w:rsid w:val="168B3A15"/>
    <w:rsid w:val="16AF125F"/>
    <w:rsid w:val="16CA3777"/>
    <w:rsid w:val="16CA68A6"/>
    <w:rsid w:val="16CF7FFC"/>
    <w:rsid w:val="16D15AE4"/>
    <w:rsid w:val="16E86EC4"/>
    <w:rsid w:val="16EB68AD"/>
    <w:rsid w:val="16F46484"/>
    <w:rsid w:val="16F8191E"/>
    <w:rsid w:val="17242979"/>
    <w:rsid w:val="173E4CDE"/>
    <w:rsid w:val="174D1A54"/>
    <w:rsid w:val="175848F4"/>
    <w:rsid w:val="17610BB3"/>
    <w:rsid w:val="17774CB4"/>
    <w:rsid w:val="17791D7D"/>
    <w:rsid w:val="17824024"/>
    <w:rsid w:val="17862BE6"/>
    <w:rsid w:val="17865446"/>
    <w:rsid w:val="17871AF1"/>
    <w:rsid w:val="17976F43"/>
    <w:rsid w:val="17AC0ED4"/>
    <w:rsid w:val="17BC555E"/>
    <w:rsid w:val="17BF3DA7"/>
    <w:rsid w:val="17C4789D"/>
    <w:rsid w:val="17C85B42"/>
    <w:rsid w:val="17FB50B3"/>
    <w:rsid w:val="181A17FD"/>
    <w:rsid w:val="181C304C"/>
    <w:rsid w:val="18391A5B"/>
    <w:rsid w:val="183C79AE"/>
    <w:rsid w:val="18453E08"/>
    <w:rsid w:val="18562591"/>
    <w:rsid w:val="18647A27"/>
    <w:rsid w:val="187D2308"/>
    <w:rsid w:val="18800849"/>
    <w:rsid w:val="1884392D"/>
    <w:rsid w:val="18B96041"/>
    <w:rsid w:val="18EF4840"/>
    <w:rsid w:val="18F02060"/>
    <w:rsid w:val="18F627A9"/>
    <w:rsid w:val="190559CF"/>
    <w:rsid w:val="190A2731"/>
    <w:rsid w:val="190F4AC1"/>
    <w:rsid w:val="19117574"/>
    <w:rsid w:val="191524D5"/>
    <w:rsid w:val="191F1616"/>
    <w:rsid w:val="192A1C2F"/>
    <w:rsid w:val="192D5808"/>
    <w:rsid w:val="1941537F"/>
    <w:rsid w:val="194A5CB7"/>
    <w:rsid w:val="19540805"/>
    <w:rsid w:val="197D6238"/>
    <w:rsid w:val="198C3FA3"/>
    <w:rsid w:val="19C0069B"/>
    <w:rsid w:val="19C84D8B"/>
    <w:rsid w:val="19CD4F56"/>
    <w:rsid w:val="19DB2D10"/>
    <w:rsid w:val="19DE010A"/>
    <w:rsid w:val="19FD3ABC"/>
    <w:rsid w:val="1A033917"/>
    <w:rsid w:val="1A046CA5"/>
    <w:rsid w:val="1A072C88"/>
    <w:rsid w:val="1A073B05"/>
    <w:rsid w:val="1A0C583C"/>
    <w:rsid w:val="1A145592"/>
    <w:rsid w:val="1A215C36"/>
    <w:rsid w:val="1A385D2D"/>
    <w:rsid w:val="1A393883"/>
    <w:rsid w:val="1A4656A7"/>
    <w:rsid w:val="1A582239"/>
    <w:rsid w:val="1A58722D"/>
    <w:rsid w:val="1A641449"/>
    <w:rsid w:val="1A84461B"/>
    <w:rsid w:val="1A9718A5"/>
    <w:rsid w:val="1A9829AF"/>
    <w:rsid w:val="1AA436B1"/>
    <w:rsid w:val="1AAA5BE4"/>
    <w:rsid w:val="1AC56AC7"/>
    <w:rsid w:val="1AC94917"/>
    <w:rsid w:val="1ACC7A7B"/>
    <w:rsid w:val="1AD96FE1"/>
    <w:rsid w:val="1AE55FC4"/>
    <w:rsid w:val="1B006B30"/>
    <w:rsid w:val="1B126EE6"/>
    <w:rsid w:val="1B391A9C"/>
    <w:rsid w:val="1B3C0D39"/>
    <w:rsid w:val="1B4B4F8B"/>
    <w:rsid w:val="1B4C5DCD"/>
    <w:rsid w:val="1B4D2473"/>
    <w:rsid w:val="1B5F114A"/>
    <w:rsid w:val="1B623553"/>
    <w:rsid w:val="1B9D151F"/>
    <w:rsid w:val="1B9D7682"/>
    <w:rsid w:val="1BA01541"/>
    <w:rsid w:val="1BAF72B6"/>
    <w:rsid w:val="1BBA55C5"/>
    <w:rsid w:val="1BE23D5F"/>
    <w:rsid w:val="1BEF53E6"/>
    <w:rsid w:val="1BFB7FDC"/>
    <w:rsid w:val="1C274B67"/>
    <w:rsid w:val="1C2C5187"/>
    <w:rsid w:val="1C306448"/>
    <w:rsid w:val="1C3657E8"/>
    <w:rsid w:val="1C366497"/>
    <w:rsid w:val="1C3E350F"/>
    <w:rsid w:val="1C3F0B46"/>
    <w:rsid w:val="1C416B86"/>
    <w:rsid w:val="1C4660AA"/>
    <w:rsid w:val="1C5F5C91"/>
    <w:rsid w:val="1C600E06"/>
    <w:rsid w:val="1CA5406C"/>
    <w:rsid w:val="1CEC2A1F"/>
    <w:rsid w:val="1CED5653"/>
    <w:rsid w:val="1CF46E32"/>
    <w:rsid w:val="1CF90ABE"/>
    <w:rsid w:val="1D0E19F8"/>
    <w:rsid w:val="1D2A4C26"/>
    <w:rsid w:val="1D3356A2"/>
    <w:rsid w:val="1D505B70"/>
    <w:rsid w:val="1D555663"/>
    <w:rsid w:val="1D804226"/>
    <w:rsid w:val="1D835BDB"/>
    <w:rsid w:val="1D85546D"/>
    <w:rsid w:val="1D9236E6"/>
    <w:rsid w:val="1DA11F10"/>
    <w:rsid w:val="1DB352BC"/>
    <w:rsid w:val="1DCE2F43"/>
    <w:rsid w:val="1DD06905"/>
    <w:rsid w:val="1DD749EE"/>
    <w:rsid w:val="1DD979B5"/>
    <w:rsid w:val="1DF15C8A"/>
    <w:rsid w:val="1DFD6B3E"/>
    <w:rsid w:val="1DFE6796"/>
    <w:rsid w:val="1E0C0F07"/>
    <w:rsid w:val="1E0D55B2"/>
    <w:rsid w:val="1E157F1B"/>
    <w:rsid w:val="1E2C7696"/>
    <w:rsid w:val="1E380731"/>
    <w:rsid w:val="1E43763E"/>
    <w:rsid w:val="1E585728"/>
    <w:rsid w:val="1E5E181A"/>
    <w:rsid w:val="1E6E2487"/>
    <w:rsid w:val="1E76026A"/>
    <w:rsid w:val="1E92685D"/>
    <w:rsid w:val="1E93036B"/>
    <w:rsid w:val="1EB068A5"/>
    <w:rsid w:val="1EBF378E"/>
    <w:rsid w:val="1EC801BA"/>
    <w:rsid w:val="1ECE1594"/>
    <w:rsid w:val="1ED1023E"/>
    <w:rsid w:val="1ED93AC6"/>
    <w:rsid w:val="1EDA63A5"/>
    <w:rsid w:val="1EE066D3"/>
    <w:rsid w:val="1EE73977"/>
    <w:rsid w:val="1EF314E2"/>
    <w:rsid w:val="1EF61D4D"/>
    <w:rsid w:val="1EF711B5"/>
    <w:rsid w:val="1F1A16D8"/>
    <w:rsid w:val="1F353786"/>
    <w:rsid w:val="1F37747B"/>
    <w:rsid w:val="1F4222CA"/>
    <w:rsid w:val="1F440D17"/>
    <w:rsid w:val="1F555505"/>
    <w:rsid w:val="1F5D649B"/>
    <w:rsid w:val="1F5E41C7"/>
    <w:rsid w:val="1F6841A5"/>
    <w:rsid w:val="1F7646F2"/>
    <w:rsid w:val="1F7752BF"/>
    <w:rsid w:val="1F785E3C"/>
    <w:rsid w:val="1F7C4165"/>
    <w:rsid w:val="1F7E0806"/>
    <w:rsid w:val="1F8E5CC7"/>
    <w:rsid w:val="1F901108"/>
    <w:rsid w:val="1FAB0A8F"/>
    <w:rsid w:val="1FCB0D27"/>
    <w:rsid w:val="1FCD4EA9"/>
    <w:rsid w:val="1FCF3299"/>
    <w:rsid w:val="1FE61873"/>
    <w:rsid w:val="1FE61C8D"/>
    <w:rsid w:val="1FED69BE"/>
    <w:rsid w:val="1FFB405E"/>
    <w:rsid w:val="20026005"/>
    <w:rsid w:val="200C4F70"/>
    <w:rsid w:val="2022101B"/>
    <w:rsid w:val="202D457A"/>
    <w:rsid w:val="203409EB"/>
    <w:rsid w:val="203453EE"/>
    <w:rsid w:val="204213F3"/>
    <w:rsid w:val="20515B0F"/>
    <w:rsid w:val="20564E9E"/>
    <w:rsid w:val="2059463B"/>
    <w:rsid w:val="20695F77"/>
    <w:rsid w:val="20842BCC"/>
    <w:rsid w:val="20953642"/>
    <w:rsid w:val="20A60D48"/>
    <w:rsid w:val="20A728CF"/>
    <w:rsid w:val="20BF2F16"/>
    <w:rsid w:val="20C85BCC"/>
    <w:rsid w:val="20CE15D0"/>
    <w:rsid w:val="20CF16BD"/>
    <w:rsid w:val="20D16813"/>
    <w:rsid w:val="20D22F88"/>
    <w:rsid w:val="20D858C1"/>
    <w:rsid w:val="20F36360"/>
    <w:rsid w:val="21011FE9"/>
    <w:rsid w:val="210A7A37"/>
    <w:rsid w:val="21102ECC"/>
    <w:rsid w:val="212116E8"/>
    <w:rsid w:val="21472A39"/>
    <w:rsid w:val="21543A73"/>
    <w:rsid w:val="21612A90"/>
    <w:rsid w:val="21732C48"/>
    <w:rsid w:val="21780D49"/>
    <w:rsid w:val="217B749F"/>
    <w:rsid w:val="21832724"/>
    <w:rsid w:val="21843CC6"/>
    <w:rsid w:val="21A85806"/>
    <w:rsid w:val="21AC647C"/>
    <w:rsid w:val="21BC48F8"/>
    <w:rsid w:val="21D13B47"/>
    <w:rsid w:val="21D94C47"/>
    <w:rsid w:val="21E47D9F"/>
    <w:rsid w:val="21EE1DA0"/>
    <w:rsid w:val="21F26ECC"/>
    <w:rsid w:val="220821C8"/>
    <w:rsid w:val="220E416E"/>
    <w:rsid w:val="222B1033"/>
    <w:rsid w:val="222E1EC7"/>
    <w:rsid w:val="22357FDB"/>
    <w:rsid w:val="22373248"/>
    <w:rsid w:val="226B182C"/>
    <w:rsid w:val="22732335"/>
    <w:rsid w:val="228A7943"/>
    <w:rsid w:val="22A37C80"/>
    <w:rsid w:val="22AD7786"/>
    <w:rsid w:val="22AF6AE8"/>
    <w:rsid w:val="22B4393A"/>
    <w:rsid w:val="22BD7457"/>
    <w:rsid w:val="22CD6F6E"/>
    <w:rsid w:val="22DF2DB8"/>
    <w:rsid w:val="22E75EE2"/>
    <w:rsid w:val="232375D5"/>
    <w:rsid w:val="23247E04"/>
    <w:rsid w:val="23270D74"/>
    <w:rsid w:val="233607D3"/>
    <w:rsid w:val="233C0C76"/>
    <w:rsid w:val="23477AEF"/>
    <w:rsid w:val="234B3CD9"/>
    <w:rsid w:val="235521D1"/>
    <w:rsid w:val="23697485"/>
    <w:rsid w:val="236F79AA"/>
    <w:rsid w:val="23781AE2"/>
    <w:rsid w:val="237B7E87"/>
    <w:rsid w:val="23A6613B"/>
    <w:rsid w:val="23AD0C0E"/>
    <w:rsid w:val="23B6289A"/>
    <w:rsid w:val="23B62C94"/>
    <w:rsid w:val="23BA1BE8"/>
    <w:rsid w:val="23BE73E0"/>
    <w:rsid w:val="23D45497"/>
    <w:rsid w:val="23DB6DB7"/>
    <w:rsid w:val="23DE2EA8"/>
    <w:rsid w:val="23E7405F"/>
    <w:rsid w:val="23EB34CD"/>
    <w:rsid w:val="24062738"/>
    <w:rsid w:val="2412732E"/>
    <w:rsid w:val="2418246B"/>
    <w:rsid w:val="24257BFD"/>
    <w:rsid w:val="24377022"/>
    <w:rsid w:val="24480FA2"/>
    <w:rsid w:val="245025AC"/>
    <w:rsid w:val="245D1A10"/>
    <w:rsid w:val="245D7EDB"/>
    <w:rsid w:val="246006EE"/>
    <w:rsid w:val="24692533"/>
    <w:rsid w:val="24817C09"/>
    <w:rsid w:val="248732C5"/>
    <w:rsid w:val="24956006"/>
    <w:rsid w:val="249A504F"/>
    <w:rsid w:val="249B517F"/>
    <w:rsid w:val="249C6058"/>
    <w:rsid w:val="24C91175"/>
    <w:rsid w:val="24CF46D7"/>
    <w:rsid w:val="24F04317"/>
    <w:rsid w:val="24F137BA"/>
    <w:rsid w:val="24F82CCF"/>
    <w:rsid w:val="24FD6C93"/>
    <w:rsid w:val="25064BF4"/>
    <w:rsid w:val="25500A90"/>
    <w:rsid w:val="255A50BB"/>
    <w:rsid w:val="256A4F48"/>
    <w:rsid w:val="257065E8"/>
    <w:rsid w:val="25733DFD"/>
    <w:rsid w:val="25781413"/>
    <w:rsid w:val="257C027C"/>
    <w:rsid w:val="25981FED"/>
    <w:rsid w:val="259966B3"/>
    <w:rsid w:val="25A42658"/>
    <w:rsid w:val="25A95738"/>
    <w:rsid w:val="25C90462"/>
    <w:rsid w:val="25CB542F"/>
    <w:rsid w:val="25D538D9"/>
    <w:rsid w:val="25E04041"/>
    <w:rsid w:val="25E35426"/>
    <w:rsid w:val="25E44CFA"/>
    <w:rsid w:val="25E519BE"/>
    <w:rsid w:val="25F4638A"/>
    <w:rsid w:val="25F72C80"/>
    <w:rsid w:val="260060B8"/>
    <w:rsid w:val="261C3CA5"/>
    <w:rsid w:val="261D40C2"/>
    <w:rsid w:val="26200AE5"/>
    <w:rsid w:val="26344388"/>
    <w:rsid w:val="263C1185"/>
    <w:rsid w:val="26462A77"/>
    <w:rsid w:val="265130D7"/>
    <w:rsid w:val="26596EFA"/>
    <w:rsid w:val="267777CD"/>
    <w:rsid w:val="267A0BA8"/>
    <w:rsid w:val="267E72B2"/>
    <w:rsid w:val="26886A38"/>
    <w:rsid w:val="268D72CE"/>
    <w:rsid w:val="268F110A"/>
    <w:rsid w:val="26951A6E"/>
    <w:rsid w:val="26AD1C87"/>
    <w:rsid w:val="26B02753"/>
    <w:rsid w:val="26BD1C5D"/>
    <w:rsid w:val="26CC3ADF"/>
    <w:rsid w:val="26CC5F78"/>
    <w:rsid w:val="26CE2AEA"/>
    <w:rsid w:val="26E21BC4"/>
    <w:rsid w:val="26F33F64"/>
    <w:rsid w:val="26FD429C"/>
    <w:rsid w:val="26FD42C6"/>
    <w:rsid w:val="27115C4D"/>
    <w:rsid w:val="27170CE0"/>
    <w:rsid w:val="27177038"/>
    <w:rsid w:val="271D284A"/>
    <w:rsid w:val="272A4B73"/>
    <w:rsid w:val="2737B797"/>
    <w:rsid w:val="2741542D"/>
    <w:rsid w:val="27517FE0"/>
    <w:rsid w:val="275859A0"/>
    <w:rsid w:val="27624780"/>
    <w:rsid w:val="276E6F72"/>
    <w:rsid w:val="27727E33"/>
    <w:rsid w:val="277D5407"/>
    <w:rsid w:val="279A4784"/>
    <w:rsid w:val="27AF8BA0"/>
    <w:rsid w:val="27DA498A"/>
    <w:rsid w:val="27F628BF"/>
    <w:rsid w:val="27F83EFC"/>
    <w:rsid w:val="27FB6238"/>
    <w:rsid w:val="27FE6547"/>
    <w:rsid w:val="28037237"/>
    <w:rsid w:val="28123211"/>
    <w:rsid w:val="28191369"/>
    <w:rsid w:val="28341F69"/>
    <w:rsid w:val="28402853"/>
    <w:rsid w:val="287107C5"/>
    <w:rsid w:val="289A1F23"/>
    <w:rsid w:val="289C7B0E"/>
    <w:rsid w:val="28A07E39"/>
    <w:rsid w:val="28A40AC7"/>
    <w:rsid w:val="28A653A4"/>
    <w:rsid w:val="28B3461C"/>
    <w:rsid w:val="28C30F5E"/>
    <w:rsid w:val="28C332ED"/>
    <w:rsid w:val="28CE3C3A"/>
    <w:rsid w:val="28CF70DA"/>
    <w:rsid w:val="28D57694"/>
    <w:rsid w:val="28D66E1F"/>
    <w:rsid w:val="28D777D1"/>
    <w:rsid w:val="28DC561F"/>
    <w:rsid w:val="28ED740F"/>
    <w:rsid w:val="28F21FA0"/>
    <w:rsid w:val="28F82831"/>
    <w:rsid w:val="2900009D"/>
    <w:rsid w:val="29345C93"/>
    <w:rsid w:val="29366B45"/>
    <w:rsid w:val="294C16BE"/>
    <w:rsid w:val="294C58E8"/>
    <w:rsid w:val="2960422B"/>
    <w:rsid w:val="2960486A"/>
    <w:rsid w:val="296B15EF"/>
    <w:rsid w:val="296B73E1"/>
    <w:rsid w:val="296F4D2B"/>
    <w:rsid w:val="297704F0"/>
    <w:rsid w:val="298B38B1"/>
    <w:rsid w:val="29AB4682"/>
    <w:rsid w:val="29B8659E"/>
    <w:rsid w:val="29B9209E"/>
    <w:rsid w:val="29CE5E57"/>
    <w:rsid w:val="29E62B31"/>
    <w:rsid w:val="29E72700"/>
    <w:rsid w:val="29EC60AF"/>
    <w:rsid w:val="29F00168"/>
    <w:rsid w:val="29F51B5D"/>
    <w:rsid w:val="2A067F3E"/>
    <w:rsid w:val="2A0A790C"/>
    <w:rsid w:val="2A0E12A3"/>
    <w:rsid w:val="2A132DF4"/>
    <w:rsid w:val="2A3D0FE2"/>
    <w:rsid w:val="2A591D9C"/>
    <w:rsid w:val="2A6E1037"/>
    <w:rsid w:val="2A9A221A"/>
    <w:rsid w:val="2AA0482A"/>
    <w:rsid w:val="2AA54A8C"/>
    <w:rsid w:val="2ABA37CA"/>
    <w:rsid w:val="2AD53119"/>
    <w:rsid w:val="2ADA7F7A"/>
    <w:rsid w:val="2AE300BA"/>
    <w:rsid w:val="2AE3306C"/>
    <w:rsid w:val="2AF1599C"/>
    <w:rsid w:val="2B0524CE"/>
    <w:rsid w:val="2B1971F4"/>
    <w:rsid w:val="2B227805"/>
    <w:rsid w:val="2B3D7D41"/>
    <w:rsid w:val="2B5361A7"/>
    <w:rsid w:val="2B657A4D"/>
    <w:rsid w:val="2B6E09FF"/>
    <w:rsid w:val="2B7336FA"/>
    <w:rsid w:val="2B790503"/>
    <w:rsid w:val="2B821EFA"/>
    <w:rsid w:val="2BA95412"/>
    <w:rsid w:val="2BCA07C4"/>
    <w:rsid w:val="2BE713FB"/>
    <w:rsid w:val="2BE76AB8"/>
    <w:rsid w:val="2BEC672D"/>
    <w:rsid w:val="2BED5B7D"/>
    <w:rsid w:val="2BF832CA"/>
    <w:rsid w:val="2BF92A3E"/>
    <w:rsid w:val="2C0A5888"/>
    <w:rsid w:val="2C122493"/>
    <w:rsid w:val="2C1E12A5"/>
    <w:rsid w:val="2C292083"/>
    <w:rsid w:val="2C3B022A"/>
    <w:rsid w:val="2C616A2F"/>
    <w:rsid w:val="2C66321C"/>
    <w:rsid w:val="2C6C6AEA"/>
    <w:rsid w:val="2C7719E6"/>
    <w:rsid w:val="2C7C25CD"/>
    <w:rsid w:val="2C935943"/>
    <w:rsid w:val="2C984CA8"/>
    <w:rsid w:val="2CA6019D"/>
    <w:rsid w:val="2CA94068"/>
    <w:rsid w:val="2CD453FF"/>
    <w:rsid w:val="2CEF3A94"/>
    <w:rsid w:val="2D101B40"/>
    <w:rsid w:val="2D120C49"/>
    <w:rsid w:val="2D173318"/>
    <w:rsid w:val="2D19684A"/>
    <w:rsid w:val="2D1F5FC5"/>
    <w:rsid w:val="2D3453E8"/>
    <w:rsid w:val="2D485B6F"/>
    <w:rsid w:val="2D4B654C"/>
    <w:rsid w:val="2D792733"/>
    <w:rsid w:val="2D7B5F44"/>
    <w:rsid w:val="2D800689"/>
    <w:rsid w:val="2D90559E"/>
    <w:rsid w:val="2D956236"/>
    <w:rsid w:val="2DB63B78"/>
    <w:rsid w:val="2DBE33F6"/>
    <w:rsid w:val="2DC156CB"/>
    <w:rsid w:val="2DCC12AE"/>
    <w:rsid w:val="2DE1481B"/>
    <w:rsid w:val="2E0028ED"/>
    <w:rsid w:val="2E08472B"/>
    <w:rsid w:val="2E216D1C"/>
    <w:rsid w:val="2E24358B"/>
    <w:rsid w:val="2E2E6AEA"/>
    <w:rsid w:val="2E307524"/>
    <w:rsid w:val="2E4D2868"/>
    <w:rsid w:val="2E5A0049"/>
    <w:rsid w:val="2E614509"/>
    <w:rsid w:val="2E795031"/>
    <w:rsid w:val="2E7B3051"/>
    <w:rsid w:val="2E8B3630"/>
    <w:rsid w:val="2E973F21"/>
    <w:rsid w:val="2EB52B96"/>
    <w:rsid w:val="2EB75FF2"/>
    <w:rsid w:val="2EDC0744"/>
    <w:rsid w:val="2EE4091C"/>
    <w:rsid w:val="2EFD4F49"/>
    <w:rsid w:val="2EFE3732"/>
    <w:rsid w:val="2F162301"/>
    <w:rsid w:val="2F282AA0"/>
    <w:rsid w:val="2F2C0B24"/>
    <w:rsid w:val="2F2C49C9"/>
    <w:rsid w:val="2F5C5EC3"/>
    <w:rsid w:val="2F89058C"/>
    <w:rsid w:val="2F902F35"/>
    <w:rsid w:val="2F903CE5"/>
    <w:rsid w:val="2F967065"/>
    <w:rsid w:val="2F9E1BC3"/>
    <w:rsid w:val="2FB14F22"/>
    <w:rsid w:val="2FCB0DFB"/>
    <w:rsid w:val="2FEA3C5B"/>
    <w:rsid w:val="2FEF63C0"/>
    <w:rsid w:val="2FF15575"/>
    <w:rsid w:val="2FF5E2A8"/>
    <w:rsid w:val="2FFB5944"/>
    <w:rsid w:val="2FFF003B"/>
    <w:rsid w:val="2FFF25D7"/>
    <w:rsid w:val="300669D8"/>
    <w:rsid w:val="30077F63"/>
    <w:rsid w:val="30131CFA"/>
    <w:rsid w:val="301F05C3"/>
    <w:rsid w:val="302747EC"/>
    <w:rsid w:val="30281C44"/>
    <w:rsid w:val="3029495F"/>
    <w:rsid w:val="3036213A"/>
    <w:rsid w:val="303E505A"/>
    <w:rsid w:val="3049232A"/>
    <w:rsid w:val="304F32AC"/>
    <w:rsid w:val="305425E3"/>
    <w:rsid w:val="307A24E3"/>
    <w:rsid w:val="307A3E8A"/>
    <w:rsid w:val="308975B9"/>
    <w:rsid w:val="30A62693"/>
    <w:rsid w:val="30AB47C9"/>
    <w:rsid w:val="30C51072"/>
    <w:rsid w:val="30E631D3"/>
    <w:rsid w:val="31224799"/>
    <w:rsid w:val="312756E1"/>
    <w:rsid w:val="31322DBE"/>
    <w:rsid w:val="3139540F"/>
    <w:rsid w:val="315E61F1"/>
    <w:rsid w:val="315F792B"/>
    <w:rsid w:val="31605B7D"/>
    <w:rsid w:val="316821F7"/>
    <w:rsid w:val="317C59FD"/>
    <w:rsid w:val="317C74C4"/>
    <w:rsid w:val="317C7541"/>
    <w:rsid w:val="319079F3"/>
    <w:rsid w:val="31922198"/>
    <w:rsid w:val="31BB7257"/>
    <w:rsid w:val="31DE7C9A"/>
    <w:rsid w:val="31DF5B7F"/>
    <w:rsid w:val="31E247FA"/>
    <w:rsid w:val="31E3364F"/>
    <w:rsid w:val="322F571D"/>
    <w:rsid w:val="32364ADF"/>
    <w:rsid w:val="32490E05"/>
    <w:rsid w:val="325E21FE"/>
    <w:rsid w:val="325F73B6"/>
    <w:rsid w:val="326E6C10"/>
    <w:rsid w:val="32706324"/>
    <w:rsid w:val="328C0BFF"/>
    <w:rsid w:val="328C3F14"/>
    <w:rsid w:val="328C4750"/>
    <w:rsid w:val="32A26367"/>
    <w:rsid w:val="32D473C7"/>
    <w:rsid w:val="32FF4F22"/>
    <w:rsid w:val="331D231E"/>
    <w:rsid w:val="332B16F0"/>
    <w:rsid w:val="33326745"/>
    <w:rsid w:val="333E1B50"/>
    <w:rsid w:val="334D2131"/>
    <w:rsid w:val="335747AE"/>
    <w:rsid w:val="335E29B3"/>
    <w:rsid w:val="33641229"/>
    <w:rsid w:val="33857FB7"/>
    <w:rsid w:val="33984D60"/>
    <w:rsid w:val="339D0B11"/>
    <w:rsid w:val="33B9235E"/>
    <w:rsid w:val="33BA24C2"/>
    <w:rsid w:val="33BE3E5B"/>
    <w:rsid w:val="33C23565"/>
    <w:rsid w:val="33DB18FB"/>
    <w:rsid w:val="33DF587B"/>
    <w:rsid w:val="33E94E56"/>
    <w:rsid w:val="33F01448"/>
    <w:rsid w:val="33F27378"/>
    <w:rsid w:val="33FB57C7"/>
    <w:rsid w:val="340E78B8"/>
    <w:rsid w:val="342033A2"/>
    <w:rsid w:val="34353C90"/>
    <w:rsid w:val="343D79F4"/>
    <w:rsid w:val="34406CC7"/>
    <w:rsid w:val="34542268"/>
    <w:rsid w:val="34650D5D"/>
    <w:rsid w:val="346A5A84"/>
    <w:rsid w:val="347474AA"/>
    <w:rsid w:val="3480244E"/>
    <w:rsid w:val="34902800"/>
    <w:rsid w:val="349442DB"/>
    <w:rsid w:val="34A31679"/>
    <w:rsid w:val="34A75E7B"/>
    <w:rsid w:val="34A87AEB"/>
    <w:rsid w:val="34AA50A1"/>
    <w:rsid w:val="34C957E7"/>
    <w:rsid w:val="34D13814"/>
    <w:rsid w:val="34D7235B"/>
    <w:rsid w:val="34E70363"/>
    <w:rsid w:val="34F53CFE"/>
    <w:rsid w:val="34F60753"/>
    <w:rsid w:val="34FA61B4"/>
    <w:rsid w:val="34FD2611"/>
    <w:rsid w:val="351F5957"/>
    <w:rsid w:val="352349B0"/>
    <w:rsid w:val="352B3DE4"/>
    <w:rsid w:val="353115DE"/>
    <w:rsid w:val="353403DE"/>
    <w:rsid w:val="353A3CF1"/>
    <w:rsid w:val="354E0C81"/>
    <w:rsid w:val="3550774A"/>
    <w:rsid w:val="355140B3"/>
    <w:rsid w:val="35735B6F"/>
    <w:rsid w:val="357E4E64"/>
    <w:rsid w:val="358805A7"/>
    <w:rsid w:val="35B5349E"/>
    <w:rsid w:val="35B94DA0"/>
    <w:rsid w:val="35BA5E37"/>
    <w:rsid w:val="35E400D1"/>
    <w:rsid w:val="35E41C43"/>
    <w:rsid w:val="35F1414E"/>
    <w:rsid w:val="35FF5980"/>
    <w:rsid w:val="360A1B91"/>
    <w:rsid w:val="360A4A00"/>
    <w:rsid w:val="36202497"/>
    <w:rsid w:val="36203971"/>
    <w:rsid w:val="36221F90"/>
    <w:rsid w:val="362850D4"/>
    <w:rsid w:val="36326B93"/>
    <w:rsid w:val="36530D28"/>
    <w:rsid w:val="36554FFF"/>
    <w:rsid w:val="365F35E0"/>
    <w:rsid w:val="366C6D72"/>
    <w:rsid w:val="367E5AAF"/>
    <w:rsid w:val="368041F1"/>
    <w:rsid w:val="36804D39"/>
    <w:rsid w:val="3683134C"/>
    <w:rsid w:val="36985634"/>
    <w:rsid w:val="369F39E7"/>
    <w:rsid w:val="36AF477E"/>
    <w:rsid w:val="36D01589"/>
    <w:rsid w:val="36D14172"/>
    <w:rsid w:val="36EB77D9"/>
    <w:rsid w:val="3709636F"/>
    <w:rsid w:val="37156356"/>
    <w:rsid w:val="37271588"/>
    <w:rsid w:val="37276552"/>
    <w:rsid w:val="372A76A7"/>
    <w:rsid w:val="37537F32"/>
    <w:rsid w:val="376C2BD0"/>
    <w:rsid w:val="376D68E4"/>
    <w:rsid w:val="376D764F"/>
    <w:rsid w:val="376E6B1A"/>
    <w:rsid w:val="37710A72"/>
    <w:rsid w:val="37753E13"/>
    <w:rsid w:val="377B6000"/>
    <w:rsid w:val="378335D2"/>
    <w:rsid w:val="378A3B0A"/>
    <w:rsid w:val="378D322B"/>
    <w:rsid w:val="379A790F"/>
    <w:rsid w:val="37A1344E"/>
    <w:rsid w:val="37AD0525"/>
    <w:rsid w:val="37CD2269"/>
    <w:rsid w:val="37CD7C9D"/>
    <w:rsid w:val="37EF6617"/>
    <w:rsid w:val="37EF66D5"/>
    <w:rsid w:val="37F91F5B"/>
    <w:rsid w:val="3810496C"/>
    <w:rsid w:val="38186ABD"/>
    <w:rsid w:val="381F7616"/>
    <w:rsid w:val="3824154C"/>
    <w:rsid w:val="38255944"/>
    <w:rsid w:val="383047CA"/>
    <w:rsid w:val="38361035"/>
    <w:rsid w:val="384022E7"/>
    <w:rsid w:val="38507A75"/>
    <w:rsid w:val="38735D8E"/>
    <w:rsid w:val="38787E64"/>
    <w:rsid w:val="38804D38"/>
    <w:rsid w:val="38831E13"/>
    <w:rsid w:val="38933946"/>
    <w:rsid w:val="38962237"/>
    <w:rsid w:val="389F2EE1"/>
    <w:rsid w:val="38A905A5"/>
    <w:rsid w:val="38AA1860"/>
    <w:rsid w:val="38BE0978"/>
    <w:rsid w:val="38C32A9A"/>
    <w:rsid w:val="38CD7BF4"/>
    <w:rsid w:val="38E27539"/>
    <w:rsid w:val="38E50A65"/>
    <w:rsid w:val="38EE7F12"/>
    <w:rsid w:val="391711C8"/>
    <w:rsid w:val="3917666D"/>
    <w:rsid w:val="392A0758"/>
    <w:rsid w:val="3937430B"/>
    <w:rsid w:val="393F01D2"/>
    <w:rsid w:val="39495149"/>
    <w:rsid w:val="3951224F"/>
    <w:rsid w:val="39545A8F"/>
    <w:rsid w:val="39587D6F"/>
    <w:rsid w:val="39704A20"/>
    <w:rsid w:val="39705217"/>
    <w:rsid w:val="397D68AF"/>
    <w:rsid w:val="398C4DFA"/>
    <w:rsid w:val="39903B0E"/>
    <w:rsid w:val="39971D9A"/>
    <w:rsid w:val="3997389C"/>
    <w:rsid w:val="399E446C"/>
    <w:rsid w:val="399E51EB"/>
    <w:rsid w:val="39A44044"/>
    <w:rsid w:val="39A7644C"/>
    <w:rsid w:val="39BC591B"/>
    <w:rsid w:val="39CF32D9"/>
    <w:rsid w:val="39D9344C"/>
    <w:rsid w:val="39F427B3"/>
    <w:rsid w:val="39F65BB9"/>
    <w:rsid w:val="3A042264"/>
    <w:rsid w:val="3A300743"/>
    <w:rsid w:val="3A335F35"/>
    <w:rsid w:val="3A35391F"/>
    <w:rsid w:val="3A446DE8"/>
    <w:rsid w:val="3A5C4037"/>
    <w:rsid w:val="3A5C6E64"/>
    <w:rsid w:val="3A662F94"/>
    <w:rsid w:val="3A710E0C"/>
    <w:rsid w:val="3A7364F5"/>
    <w:rsid w:val="3A766411"/>
    <w:rsid w:val="3A870E58"/>
    <w:rsid w:val="3AA114F6"/>
    <w:rsid w:val="3AA638F3"/>
    <w:rsid w:val="3AAC26CE"/>
    <w:rsid w:val="3AB02A16"/>
    <w:rsid w:val="3ABE1B66"/>
    <w:rsid w:val="3AC4057F"/>
    <w:rsid w:val="3AC666A9"/>
    <w:rsid w:val="3ADA226A"/>
    <w:rsid w:val="3AEC017F"/>
    <w:rsid w:val="3B0A6B5A"/>
    <w:rsid w:val="3B146D65"/>
    <w:rsid w:val="3B1D4ADF"/>
    <w:rsid w:val="3B1E0921"/>
    <w:rsid w:val="3B3E3081"/>
    <w:rsid w:val="3B41362E"/>
    <w:rsid w:val="3B4715A0"/>
    <w:rsid w:val="3B4958D4"/>
    <w:rsid w:val="3B5D628A"/>
    <w:rsid w:val="3B8A2105"/>
    <w:rsid w:val="3B983957"/>
    <w:rsid w:val="3BB25833"/>
    <w:rsid w:val="3BB30AF2"/>
    <w:rsid w:val="3BB931D0"/>
    <w:rsid w:val="3BCC40E5"/>
    <w:rsid w:val="3BDF3B42"/>
    <w:rsid w:val="3BE17BB2"/>
    <w:rsid w:val="3BE423E8"/>
    <w:rsid w:val="3BEA2016"/>
    <w:rsid w:val="3BEB0F1D"/>
    <w:rsid w:val="3BEF315F"/>
    <w:rsid w:val="3BFA74B1"/>
    <w:rsid w:val="3C011D0B"/>
    <w:rsid w:val="3C01756C"/>
    <w:rsid w:val="3C0859A5"/>
    <w:rsid w:val="3C1308A4"/>
    <w:rsid w:val="3C2D2977"/>
    <w:rsid w:val="3C2E45C0"/>
    <w:rsid w:val="3C524EFD"/>
    <w:rsid w:val="3C5502A8"/>
    <w:rsid w:val="3C594B5F"/>
    <w:rsid w:val="3C630390"/>
    <w:rsid w:val="3C8068BC"/>
    <w:rsid w:val="3C893C3F"/>
    <w:rsid w:val="3C975B1F"/>
    <w:rsid w:val="3C9F2E38"/>
    <w:rsid w:val="3CA821F7"/>
    <w:rsid w:val="3CEE3B74"/>
    <w:rsid w:val="3CF932E2"/>
    <w:rsid w:val="3CFC24D2"/>
    <w:rsid w:val="3D06746A"/>
    <w:rsid w:val="3D3B2D6F"/>
    <w:rsid w:val="3D3D4FC4"/>
    <w:rsid w:val="3D3D77FE"/>
    <w:rsid w:val="3D42082D"/>
    <w:rsid w:val="3D45759E"/>
    <w:rsid w:val="3D6363DA"/>
    <w:rsid w:val="3D6F4B5A"/>
    <w:rsid w:val="3D7A2EE2"/>
    <w:rsid w:val="3D8A7024"/>
    <w:rsid w:val="3D8B21C2"/>
    <w:rsid w:val="3D8F7EFD"/>
    <w:rsid w:val="3D9359F3"/>
    <w:rsid w:val="3DA04EB5"/>
    <w:rsid w:val="3DA54918"/>
    <w:rsid w:val="3DA74634"/>
    <w:rsid w:val="3DC42208"/>
    <w:rsid w:val="3DD133BF"/>
    <w:rsid w:val="3DD96040"/>
    <w:rsid w:val="3DE312DB"/>
    <w:rsid w:val="3DEB4A80"/>
    <w:rsid w:val="3DEF5F90"/>
    <w:rsid w:val="3DFD6502"/>
    <w:rsid w:val="3E0A3AF6"/>
    <w:rsid w:val="3E256DA2"/>
    <w:rsid w:val="3E2D328B"/>
    <w:rsid w:val="3E571132"/>
    <w:rsid w:val="3E5B1B76"/>
    <w:rsid w:val="3E665A83"/>
    <w:rsid w:val="3E6C64F7"/>
    <w:rsid w:val="3E75078E"/>
    <w:rsid w:val="3E847FBE"/>
    <w:rsid w:val="3E8B5CA1"/>
    <w:rsid w:val="3EA52159"/>
    <w:rsid w:val="3EC60FE9"/>
    <w:rsid w:val="3EC6306D"/>
    <w:rsid w:val="3EEF7A83"/>
    <w:rsid w:val="3EF85D4A"/>
    <w:rsid w:val="3EFF282E"/>
    <w:rsid w:val="3F0A59EE"/>
    <w:rsid w:val="3F1254DE"/>
    <w:rsid w:val="3F186FB6"/>
    <w:rsid w:val="3F312ACB"/>
    <w:rsid w:val="3F711A25"/>
    <w:rsid w:val="3F91206A"/>
    <w:rsid w:val="3FB036E4"/>
    <w:rsid w:val="3FB066E7"/>
    <w:rsid w:val="3FBF14CF"/>
    <w:rsid w:val="3FC55985"/>
    <w:rsid w:val="3FCD1F1F"/>
    <w:rsid w:val="3FD66F5A"/>
    <w:rsid w:val="3FE01AF9"/>
    <w:rsid w:val="3FE536F1"/>
    <w:rsid w:val="3FE61510"/>
    <w:rsid w:val="3FFB0810"/>
    <w:rsid w:val="3FFD65EA"/>
    <w:rsid w:val="400655D7"/>
    <w:rsid w:val="401D2227"/>
    <w:rsid w:val="402021C4"/>
    <w:rsid w:val="4023540A"/>
    <w:rsid w:val="402E2D8D"/>
    <w:rsid w:val="403F0A05"/>
    <w:rsid w:val="40705591"/>
    <w:rsid w:val="407656BC"/>
    <w:rsid w:val="408547A2"/>
    <w:rsid w:val="409C0A48"/>
    <w:rsid w:val="40A43171"/>
    <w:rsid w:val="40AF20BC"/>
    <w:rsid w:val="40AF5460"/>
    <w:rsid w:val="40CF67B7"/>
    <w:rsid w:val="40F736F9"/>
    <w:rsid w:val="40F972F9"/>
    <w:rsid w:val="4108229F"/>
    <w:rsid w:val="410858E9"/>
    <w:rsid w:val="410B269E"/>
    <w:rsid w:val="4124460F"/>
    <w:rsid w:val="412C6B0C"/>
    <w:rsid w:val="412D70DB"/>
    <w:rsid w:val="414941E3"/>
    <w:rsid w:val="416A5F0A"/>
    <w:rsid w:val="41776615"/>
    <w:rsid w:val="417866CF"/>
    <w:rsid w:val="418A0052"/>
    <w:rsid w:val="418C1049"/>
    <w:rsid w:val="418C3FE3"/>
    <w:rsid w:val="419B49AF"/>
    <w:rsid w:val="41A30664"/>
    <w:rsid w:val="41A33A58"/>
    <w:rsid w:val="41B436B0"/>
    <w:rsid w:val="41B85AA7"/>
    <w:rsid w:val="41C105E3"/>
    <w:rsid w:val="420875AD"/>
    <w:rsid w:val="4211269B"/>
    <w:rsid w:val="42203105"/>
    <w:rsid w:val="422D125C"/>
    <w:rsid w:val="4241331E"/>
    <w:rsid w:val="4263026E"/>
    <w:rsid w:val="426E4766"/>
    <w:rsid w:val="42756BE1"/>
    <w:rsid w:val="42897915"/>
    <w:rsid w:val="429C139E"/>
    <w:rsid w:val="42B56EC7"/>
    <w:rsid w:val="42BA0E65"/>
    <w:rsid w:val="42CF4698"/>
    <w:rsid w:val="42D777C0"/>
    <w:rsid w:val="42F831C5"/>
    <w:rsid w:val="42FE4ADC"/>
    <w:rsid w:val="43046EEB"/>
    <w:rsid w:val="430B3E27"/>
    <w:rsid w:val="430D61AE"/>
    <w:rsid w:val="43155EDE"/>
    <w:rsid w:val="43214A6E"/>
    <w:rsid w:val="432C2A6C"/>
    <w:rsid w:val="4331075D"/>
    <w:rsid w:val="435C016E"/>
    <w:rsid w:val="43742687"/>
    <w:rsid w:val="437C7840"/>
    <w:rsid w:val="43A17624"/>
    <w:rsid w:val="43A37B4B"/>
    <w:rsid w:val="43A75F2E"/>
    <w:rsid w:val="43AB0918"/>
    <w:rsid w:val="43B076A8"/>
    <w:rsid w:val="43B8707F"/>
    <w:rsid w:val="43BA2DB1"/>
    <w:rsid w:val="43C5156B"/>
    <w:rsid w:val="43CA1883"/>
    <w:rsid w:val="43CA57C8"/>
    <w:rsid w:val="43D84BED"/>
    <w:rsid w:val="43E177FC"/>
    <w:rsid w:val="43F57D1C"/>
    <w:rsid w:val="440B13A1"/>
    <w:rsid w:val="440B298F"/>
    <w:rsid w:val="44127038"/>
    <w:rsid w:val="442837AA"/>
    <w:rsid w:val="442C3C33"/>
    <w:rsid w:val="44607677"/>
    <w:rsid w:val="44660E72"/>
    <w:rsid w:val="44727CF7"/>
    <w:rsid w:val="447720EA"/>
    <w:rsid w:val="447C6D8C"/>
    <w:rsid w:val="44AA7FBD"/>
    <w:rsid w:val="44D1009F"/>
    <w:rsid w:val="44D80388"/>
    <w:rsid w:val="44DF5317"/>
    <w:rsid w:val="44E27359"/>
    <w:rsid w:val="44E623E5"/>
    <w:rsid w:val="45030CC1"/>
    <w:rsid w:val="4503763D"/>
    <w:rsid w:val="450963EB"/>
    <w:rsid w:val="450C1081"/>
    <w:rsid w:val="451D74F9"/>
    <w:rsid w:val="45547167"/>
    <w:rsid w:val="459B621F"/>
    <w:rsid w:val="459C4852"/>
    <w:rsid w:val="45A517C0"/>
    <w:rsid w:val="45BA7B0F"/>
    <w:rsid w:val="45BC40E0"/>
    <w:rsid w:val="45C94066"/>
    <w:rsid w:val="45D7548D"/>
    <w:rsid w:val="45E87BEA"/>
    <w:rsid w:val="45EE1552"/>
    <w:rsid w:val="46093E80"/>
    <w:rsid w:val="46165107"/>
    <w:rsid w:val="461F6694"/>
    <w:rsid w:val="462211FB"/>
    <w:rsid w:val="46245CFF"/>
    <w:rsid w:val="462B6B01"/>
    <w:rsid w:val="463F28D8"/>
    <w:rsid w:val="464142C7"/>
    <w:rsid w:val="464436CD"/>
    <w:rsid w:val="467A1037"/>
    <w:rsid w:val="469A4E69"/>
    <w:rsid w:val="469F14E0"/>
    <w:rsid w:val="46AE7C55"/>
    <w:rsid w:val="46B207D1"/>
    <w:rsid w:val="46C7048B"/>
    <w:rsid w:val="46D52711"/>
    <w:rsid w:val="46DA6113"/>
    <w:rsid w:val="46E82445"/>
    <w:rsid w:val="46ED7A67"/>
    <w:rsid w:val="46FE0103"/>
    <w:rsid w:val="47142AD0"/>
    <w:rsid w:val="47180BF0"/>
    <w:rsid w:val="472167D5"/>
    <w:rsid w:val="47325896"/>
    <w:rsid w:val="47376F28"/>
    <w:rsid w:val="474B4782"/>
    <w:rsid w:val="4763511D"/>
    <w:rsid w:val="476D38F7"/>
    <w:rsid w:val="479B52CD"/>
    <w:rsid w:val="479D1C25"/>
    <w:rsid w:val="47A3140D"/>
    <w:rsid w:val="47AA2310"/>
    <w:rsid w:val="47AA4D0E"/>
    <w:rsid w:val="47AB751A"/>
    <w:rsid w:val="47B667F1"/>
    <w:rsid w:val="47C02CA5"/>
    <w:rsid w:val="47C06DB1"/>
    <w:rsid w:val="47D74DB7"/>
    <w:rsid w:val="47F379FB"/>
    <w:rsid w:val="47FF08C9"/>
    <w:rsid w:val="48034518"/>
    <w:rsid w:val="480A0144"/>
    <w:rsid w:val="480A4BE0"/>
    <w:rsid w:val="481167C2"/>
    <w:rsid w:val="482279A9"/>
    <w:rsid w:val="4831177A"/>
    <w:rsid w:val="48366932"/>
    <w:rsid w:val="484B5DC8"/>
    <w:rsid w:val="48516B16"/>
    <w:rsid w:val="485F6387"/>
    <w:rsid w:val="4870201A"/>
    <w:rsid w:val="487719D8"/>
    <w:rsid w:val="48861F15"/>
    <w:rsid w:val="488C4575"/>
    <w:rsid w:val="48994334"/>
    <w:rsid w:val="489C6FE4"/>
    <w:rsid w:val="48B353C5"/>
    <w:rsid w:val="48B54320"/>
    <w:rsid w:val="48C9333D"/>
    <w:rsid w:val="48DF0459"/>
    <w:rsid w:val="48DF4F75"/>
    <w:rsid w:val="48EE1A5A"/>
    <w:rsid w:val="48F17997"/>
    <w:rsid w:val="48F83675"/>
    <w:rsid w:val="490A3296"/>
    <w:rsid w:val="492D0BA5"/>
    <w:rsid w:val="495152F6"/>
    <w:rsid w:val="49A170EF"/>
    <w:rsid w:val="49AF724A"/>
    <w:rsid w:val="49B666E1"/>
    <w:rsid w:val="49C16D89"/>
    <w:rsid w:val="4A2618F0"/>
    <w:rsid w:val="4A404346"/>
    <w:rsid w:val="4A4C0276"/>
    <w:rsid w:val="4A4D02FC"/>
    <w:rsid w:val="4A524DDF"/>
    <w:rsid w:val="4A5E47CC"/>
    <w:rsid w:val="4A5E706C"/>
    <w:rsid w:val="4A6D4A0F"/>
    <w:rsid w:val="4A7D78C1"/>
    <w:rsid w:val="4A8402E5"/>
    <w:rsid w:val="4A93193D"/>
    <w:rsid w:val="4A980761"/>
    <w:rsid w:val="4A9B734F"/>
    <w:rsid w:val="4A9F17F9"/>
    <w:rsid w:val="4AB26840"/>
    <w:rsid w:val="4ABA5064"/>
    <w:rsid w:val="4ABA5ECC"/>
    <w:rsid w:val="4AC93450"/>
    <w:rsid w:val="4AD16F58"/>
    <w:rsid w:val="4AD30D16"/>
    <w:rsid w:val="4ADF5873"/>
    <w:rsid w:val="4AE0479E"/>
    <w:rsid w:val="4AF02A5A"/>
    <w:rsid w:val="4B1650A7"/>
    <w:rsid w:val="4B180E1F"/>
    <w:rsid w:val="4B22699D"/>
    <w:rsid w:val="4B285E86"/>
    <w:rsid w:val="4B38489F"/>
    <w:rsid w:val="4B511EF9"/>
    <w:rsid w:val="4B6608E1"/>
    <w:rsid w:val="4B661F3E"/>
    <w:rsid w:val="4B7047B7"/>
    <w:rsid w:val="4B7FCBF9"/>
    <w:rsid w:val="4B9D3E11"/>
    <w:rsid w:val="4BA97CC9"/>
    <w:rsid w:val="4BCF4E69"/>
    <w:rsid w:val="4BFA2D44"/>
    <w:rsid w:val="4BFC1125"/>
    <w:rsid w:val="4BFC12DA"/>
    <w:rsid w:val="4C0B18F2"/>
    <w:rsid w:val="4C0D06E3"/>
    <w:rsid w:val="4C335098"/>
    <w:rsid w:val="4C3B50DB"/>
    <w:rsid w:val="4C416474"/>
    <w:rsid w:val="4C5917B9"/>
    <w:rsid w:val="4C5E3D85"/>
    <w:rsid w:val="4C7117AD"/>
    <w:rsid w:val="4C795CA4"/>
    <w:rsid w:val="4C804ECE"/>
    <w:rsid w:val="4C915EE0"/>
    <w:rsid w:val="4C92075D"/>
    <w:rsid w:val="4C964F84"/>
    <w:rsid w:val="4CA5261E"/>
    <w:rsid w:val="4CAB0DFE"/>
    <w:rsid w:val="4CB77B53"/>
    <w:rsid w:val="4CB91192"/>
    <w:rsid w:val="4CE53073"/>
    <w:rsid w:val="4CED1DAC"/>
    <w:rsid w:val="4CEE4B6C"/>
    <w:rsid w:val="4CEF2065"/>
    <w:rsid w:val="4CF65190"/>
    <w:rsid w:val="4CFB0970"/>
    <w:rsid w:val="4D0A0796"/>
    <w:rsid w:val="4D137AFB"/>
    <w:rsid w:val="4D16527D"/>
    <w:rsid w:val="4D1D757D"/>
    <w:rsid w:val="4D2442D2"/>
    <w:rsid w:val="4D246A87"/>
    <w:rsid w:val="4D253F8D"/>
    <w:rsid w:val="4D391F4E"/>
    <w:rsid w:val="4D3F6A05"/>
    <w:rsid w:val="4D4725F1"/>
    <w:rsid w:val="4D4A55E9"/>
    <w:rsid w:val="4D4E67F2"/>
    <w:rsid w:val="4D5E7D39"/>
    <w:rsid w:val="4D6245D3"/>
    <w:rsid w:val="4D6530BF"/>
    <w:rsid w:val="4D6550CB"/>
    <w:rsid w:val="4D663ED5"/>
    <w:rsid w:val="4D6F11DB"/>
    <w:rsid w:val="4D6F2B93"/>
    <w:rsid w:val="4D7810E6"/>
    <w:rsid w:val="4D834C75"/>
    <w:rsid w:val="4D976F8E"/>
    <w:rsid w:val="4DB25B1E"/>
    <w:rsid w:val="4DBB3D3B"/>
    <w:rsid w:val="4DBD0F93"/>
    <w:rsid w:val="4DD058AE"/>
    <w:rsid w:val="4DD76D6F"/>
    <w:rsid w:val="4DD91CF7"/>
    <w:rsid w:val="4DE070B6"/>
    <w:rsid w:val="4DF14845"/>
    <w:rsid w:val="4E12493A"/>
    <w:rsid w:val="4E143B1F"/>
    <w:rsid w:val="4E1A6C37"/>
    <w:rsid w:val="4E2E7ED9"/>
    <w:rsid w:val="4E320022"/>
    <w:rsid w:val="4E37557C"/>
    <w:rsid w:val="4E390D09"/>
    <w:rsid w:val="4E3F5972"/>
    <w:rsid w:val="4E402B66"/>
    <w:rsid w:val="4E435A2F"/>
    <w:rsid w:val="4E531272"/>
    <w:rsid w:val="4E582A58"/>
    <w:rsid w:val="4E910D9D"/>
    <w:rsid w:val="4E91188B"/>
    <w:rsid w:val="4EC00A02"/>
    <w:rsid w:val="4EC97734"/>
    <w:rsid w:val="4EE20425"/>
    <w:rsid w:val="4EE75FAB"/>
    <w:rsid w:val="4EFB4CDF"/>
    <w:rsid w:val="4F082286"/>
    <w:rsid w:val="4F0847F1"/>
    <w:rsid w:val="4F334479"/>
    <w:rsid w:val="4F336227"/>
    <w:rsid w:val="4F386337"/>
    <w:rsid w:val="4F4673B8"/>
    <w:rsid w:val="4F500A4C"/>
    <w:rsid w:val="4F5A25F0"/>
    <w:rsid w:val="4F6B524D"/>
    <w:rsid w:val="4F7B4834"/>
    <w:rsid w:val="4F9C7132"/>
    <w:rsid w:val="4F9C7B72"/>
    <w:rsid w:val="4FA113E3"/>
    <w:rsid w:val="4FA74733"/>
    <w:rsid w:val="4FB16733"/>
    <w:rsid w:val="4FB72877"/>
    <w:rsid w:val="4FCF768E"/>
    <w:rsid w:val="4FE02852"/>
    <w:rsid w:val="4FE5AA18"/>
    <w:rsid w:val="4FF35873"/>
    <w:rsid w:val="4FF3685A"/>
    <w:rsid w:val="4FF57980"/>
    <w:rsid w:val="4FFA3145"/>
    <w:rsid w:val="4FFA3635"/>
    <w:rsid w:val="50096F88"/>
    <w:rsid w:val="50105E88"/>
    <w:rsid w:val="50150BE1"/>
    <w:rsid w:val="502B09E7"/>
    <w:rsid w:val="502E462C"/>
    <w:rsid w:val="50517D70"/>
    <w:rsid w:val="50837F19"/>
    <w:rsid w:val="508A1D20"/>
    <w:rsid w:val="5093373A"/>
    <w:rsid w:val="50957609"/>
    <w:rsid w:val="50A078EC"/>
    <w:rsid w:val="50AA7BD0"/>
    <w:rsid w:val="50AD4B8D"/>
    <w:rsid w:val="50AD6510"/>
    <w:rsid w:val="50AF6598"/>
    <w:rsid w:val="50AF756A"/>
    <w:rsid w:val="50B71010"/>
    <w:rsid w:val="50B863D3"/>
    <w:rsid w:val="50BC0262"/>
    <w:rsid w:val="50C22B1A"/>
    <w:rsid w:val="50D46F5C"/>
    <w:rsid w:val="50D864E5"/>
    <w:rsid w:val="50D9074B"/>
    <w:rsid w:val="50D91050"/>
    <w:rsid w:val="50F37E21"/>
    <w:rsid w:val="50FA23FB"/>
    <w:rsid w:val="51032D0D"/>
    <w:rsid w:val="51254295"/>
    <w:rsid w:val="512C1180"/>
    <w:rsid w:val="512C447B"/>
    <w:rsid w:val="514C7D41"/>
    <w:rsid w:val="514F273E"/>
    <w:rsid w:val="5154349A"/>
    <w:rsid w:val="51757BA0"/>
    <w:rsid w:val="519F7026"/>
    <w:rsid w:val="51BB7303"/>
    <w:rsid w:val="51BC69A8"/>
    <w:rsid w:val="51BE01B2"/>
    <w:rsid w:val="51E253B5"/>
    <w:rsid w:val="520A0081"/>
    <w:rsid w:val="524E72D3"/>
    <w:rsid w:val="52537AEF"/>
    <w:rsid w:val="52595FA5"/>
    <w:rsid w:val="525D39BA"/>
    <w:rsid w:val="52687B28"/>
    <w:rsid w:val="526F0349"/>
    <w:rsid w:val="52712FD1"/>
    <w:rsid w:val="5272350A"/>
    <w:rsid w:val="5273754E"/>
    <w:rsid w:val="528645F8"/>
    <w:rsid w:val="52A5743C"/>
    <w:rsid w:val="52A82A88"/>
    <w:rsid w:val="52AA68E1"/>
    <w:rsid w:val="52B82159"/>
    <w:rsid w:val="52CD4DE7"/>
    <w:rsid w:val="52D92C2B"/>
    <w:rsid w:val="52E767E5"/>
    <w:rsid w:val="52E824FD"/>
    <w:rsid w:val="53383575"/>
    <w:rsid w:val="53405ACA"/>
    <w:rsid w:val="535A1DDA"/>
    <w:rsid w:val="535D575F"/>
    <w:rsid w:val="53681A96"/>
    <w:rsid w:val="536B2B1F"/>
    <w:rsid w:val="53796CD0"/>
    <w:rsid w:val="53803A05"/>
    <w:rsid w:val="53814655"/>
    <w:rsid w:val="5382420B"/>
    <w:rsid w:val="538701B5"/>
    <w:rsid w:val="53975AFD"/>
    <w:rsid w:val="53993CC2"/>
    <w:rsid w:val="53BE7F9B"/>
    <w:rsid w:val="53C430E3"/>
    <w:rsid w:val="53D235C6"/>
    <w:rsid w:val="53E25503"/>
    <w:rsid w:val="53F046E7"/>
    <w:rsid w:val="53F86AED"/>
    <w:rsid w:val="5423007B"/>
    <w:rsid w:val="542F1A93"/>
    <w:rsid w:val="5431410A"/>
    <w:rsid w:val="54405595"/>
    <w:rsid w:val="54470B8E"/>
    <w:rsid w:val="545917C6"/>
    <w:rsid w:val="545E245B"/>
    <w:rsid w:val="546926EB"/>
    <w:rsid w:val="547333AA"/>
    <w:rsid w:val="547E694B"/>
    <w:rsid w:val="548659AD"/>
    <w:rsid w:val="5495281B"/>
    <w:rsid w:val="54985825"/>
    <w:rsid w:val="549D60E7"/>
    <w:rsid w:val="54AB7B54"/>
    <w:rsid w:val="54AC0269"/>
    <w:rsid w:val="54D93224"/>
    <w:rsid w:val="54E02676"/>
    <w:rsid w:val="54E029AD"/>
    <w:rsid w:val="54F2031D"/>
    <w:rsid w:val="550E21A7"/>
    <w:rsid w:val="55101333"/>
    <w:rsid w:val="55146FD5"/>
    <w:rsid w:val="55266B42"/>
    <w:rsid w:val="55415B0C"/>
    <w:rsid w:val="554500D2"/>
    <w:rsid w:val="554F2F14"/>
    <w:rsid w:val="55620001"/>
    <w:rsid w:val="55643FD8"/>
    <w:rsid w:val="5569272C"/>
    <w:rsid w:val="558707DB"/>
    <w:rsid w:val="5593269A"/>
    <w:rsid w:val="55A769FA"/>
    <w:rsid w:val="55AF1AAB"/>
    <w:rsid w:val="55AF296B"/>
    <w:rsid w:val="55B05960"/>
    <w:rsid w:val="55BB2B19"/>
    <w:rsid w:val="55BD6855"/>
    <w:rsid w:val="55C235AC"/>
    <w:rsid w:val="55C75268"/>
    <w:rsid w:val="55E555D7"/>
    <w:rsid w:val="55E8417F"/>
    <w:rsid w:val="55F36710"/>
    <w:rsid w:val="56056440"/>
    <w:rsid w:val="56251385"/>
    <w:rsid w:val="56520E6F"/>
    <w:rsid w:val="565E2B72"/>
    <w:rsid w:val="566413BC"/>
    <w:rsid w:val="566B30A6"/>
    <w:rsid w:val="56717FA2"/>
    <w:rsid w:val="568452B0"/>
    <w:rsid w:val="56996B99"/>
    <w:rsid w:val="56A817E5"/>
    <w:rsid w:val="56B94DCA"/>
    <w:rsid w:val="56B94F32"/>
    <w:rsid w:val="56CF03BB"/>
    <w:rsid w:val="570254F7"/>
    <w:rsid w:val="570E1C2E"/>
    <w:rsid w:val="571A2B17"/>
    <w:rsid w:val="571A5648"/>
    <w:rsid w:val="5720384A"/>
    <w:rsid w:val="57205A74"/>
    <w:rsid w:val="572B1AD7"/>
    <w:rsid w:val="573B12B8"/>
    <w:rsid w:val="57540BCF"/>
    <w:rsid w:val="57560D05"/>
    <w:rsid w:val="57576E5E"/>
    <w:rsid w:val="57632F93"/>
    <w:rsid w:val="576553EC"/>
    <w:rsid w:val="577B076C"/>
    <w:rsid w:val="577B0E77"/>
    <w:rsid w:val="57841613"/>
    <w:rsid w:val="578A3C38"/>
    <w:rsid w:val="57985FBD"/>
    <w:rsid w:val="579C5923"/>
    <w:rsid w:val="57A15D63"/>
    <w:rsid w:val="57AC301B"/>
    <w:rsid w:val="57B41ECF"/>
    <w:rsid w:val="57B74A39"/>
    <w:rsid w:val="57BB3954"/>
    <w:rsid w:val="57C158DF"/>
    <w:rsid w:val="57C22734"/>
    <w:rsid w:val="57D24636"/>
    <w:rsid w:val="57E372CC"/>
    <w:rsid w:val="57E4472E"/>
    <w:rsid w:val="57E6552C"/>
    <w:rsid w:val="57F12655"/>
    <w:rsid w:val="57FA4065"/>
    <w:rsid w:val="5800614C"/>
    <w:rsid w:val="580D3B25"/>
    <w:rsid w:val="58144723"/>
    <w:rsid w:val="5818279D"/>
    <w:rsid w:val="58332F20"/>
    <w:rsid w:val="584C7A11"/>
    <w:rsid w:val="58597ABF"/>
    <w:rsid w:val="587F24DD"/>
    <w:rsid w:val="589000EF"/>
    <w:rsid w:val="589A316F"/>
    <w:rsid w:val="58AB5DF0"/>
    <w:rsid w:val="58C16918"/>
    <w:rsid w:val="58C86DBF"/>
    <w:rsid w:val="58F263FD"/>
    <w:rsid w:val="59087887"/>
    <w:rsid w:val="591250DD"/>
    <w:rsid w:val="59127590"/>
    <w:rsid w:val="5917423F"/>
    <w:rsid w:val="592032FF"/>
    <w:rsid w:val="592A5234"/>
    <w:rsid w:val="5932097C"/>
    <w:rsid w:val="594C66F6"/>
    <w:rsid w:val="594F0101"/>
    <w:rsid w:val="595D4093"/>
    <w:rsid w:val="59607A88"/>
    <w:rsid w:val="596824BD"/>
    <w:rsid w:val="596A105C"/>
    <w:rsid w:val="596D7AB7"/>
    <w:rsid w:val="59804D55"/>
    <w:rsid w:val="59856871"/>
    <w:rsid w:val="59917EC4"/>
    <w:rsid w:val="5999621B"/>
    <w:rsid w:val="59B13871"/>
    <w:rsid w:val="59BD4206"/>
    <w:rsid w:val="59D41BAD"/>
    <w:rsid w:val="59DF224B"/>
    <w:rsid w:val="59EB2635"/>
    <w:rsid w:val="59FE464F"/>
    <w:rsid w:val="5A092A00"/>
    <w:rsid w:val="5A127DD0"/>
    <w:rsid w:val="5A1D224F"/>
    <w:rsid w:val="5A1E7A21"/>
    <w:rsid w:val="5A383EE8"/>
    <w:rsid w:val="5A6047B8"/>
    <w:rsid w:val="5A607330"/>
    <w:rsid w:val="5A6B720F"/>
    <w:rsid w:val="5A784BA5"/>
    <w:rsid w:val="5A957E59"/>
    <w:rsid w:val="5A9C7376"/>
    <w:rsid w:val="5AA72E0C"/>
    <w:rsid w:val="5AB67E9B"/>
    <w:rsid w:val="5AB84CA2"/>
    <w:rsid w:val="5AC426E3"/>
    <w:rsid w:val="5ACB57FB"/>
    <w:rsid w:val="5AE43477"/>
    <w:rsid w:val="5AF259AE"/>
    <w:rsid w:val="5AF95442"/>
    <w:rsid w:val="5AFB091C"/>
    <w:rsid w:val="5AFB4861"/>
    <w:rsid w:val="5AFE0C64"/>
    <w:rsid w:val="5B0277B6"/>
    <w:rsid w:val="5B123195"/>
    <w:rsid w:val="5B1665FB"/>
    <w:rsid w:val="5B183E69"/>
    <w:rsid w:val="5B19470A"/>
    <w:rsid w:val="5B2C0BF6"/>
    <w:rsid w:val="5B2E0239"/>
    <w:rsid w:val="5B300D33"/>
    <w:rsid w:val="5B38259D"/>
    <w:rsid w:val="5B410EB4"/>
    <w:rsid w:val="5B437A81"/>
    <w:rsid w:val="5B4658AA"/>
    <w:rsid w:val="5B490579"/>
    <w:rsid w:val="5B571475"/>
    <w:rsid w:val="5B5A5DF9"/>
    <w:rsid w:val="5B6710D2"/>
    <w:rsid w:val="5B7B2DFC"/>
    <w:rsid w:val="5B7C4AB2"/>
    <w:rsid w:val="5B9B5880"/>
    <w:rsid w:val="5BA334A1"/>
    <w:rsid w:val="5BBB094E"/>
    <w:rsid w:val="5BE7461B"/>
    <w:rsid w:val="5BF15B30"/>
    <w:rsid w:val="5C072E3A"/>
    <w:rsid w:val="5C08324D"/>
    <w:rsid w:val="5C1019A1"/>
    <w:rsid w:val="5C107FF6"/>
    <w:rsid w:val="5C4E0D13"/>
    <w:rsid w:val="5C521722"/>
    <w:rsid w:val="5C537F4B"/>
    <w:rsid w:val="5C5B72D3"/>
    <w:rsid w:val="5C6E1113"/>
    <w:rsid w:val="5C6F45A6"/>
    <w:rsid w:val="5C702573"/>
    <w:rsid w:val="5C7B237B"/>
    <w:rsid w:val="5C8F43D0"/>
    <w:rsid w:val="5CA616EE"/>
    <w:rsid w:val="5CB47695"/>
    <w:rsid w:val="5CBA1D36"/>
    <w:rsid w:val="5CCB7A8F"/>
    <w:rsid w:val="5CCE57E1"/>
    <w:rsid w:val="5CD767F2"/>
    <w:rsid w:val="5D091987"/>
    <w:rsid w:val="5D0936E2"/>
    <w:rsid w:val="5D0D5580"/>
    <w:rsid w:val="5D172CE4"/>
    <w:rsid w:val="5D1C02FB"/>
    <w:rsid w:val="5D1C6211"/>
    <w:rsid w:val="5D245401"/>
    <w:rsid w:val="5D275B26"/>
    <w:rsid w:val="5D2C7D48"/>
    <w:rsid w:val="5D39448E"/>
    <w:rsid w:val="5D395350"/>
    <w:rsid w:val="5D3F1D32"/>
    <w:rsid w:val="5D422FD7"/>
    <w:rsid w:val="5D4635C9"/>
    <w:rsid w:val="5D59292A"/>
    <w:rsid w:val="5D5F2F25"/>
    <w:rsid w:val="5D663F85"/>
    <w:rsid w:val="5D7372E4"/>
    <w:rsid w:val="5D7F78D2"/>
    <w:rsid w:val="5D8B3DEF"/>
    <w:rsid w:val="5D8D2917"/>
    <w:rsid w:val="5D9B357C"/>
    <w:rsid w:val="5D9F7731"/>
    <w:rsid w:val="5DA36C6E"/>
    <w:rsid w:val="5DB170FF"/>
    <w:rsid w:val="5DBC06D9"/>
    <w:rsid w:val="5DBE4F67"/>
    <w:rsid w:val="5DBF408B"/>
    <w:rsid w:val="5DC60D87"/>
    <w:rsid w:val="5DCB0195"/>
    <w:rsid w:val="5DDE3802"/>
    <w:rsid w:val="5DF12A2D"/>
    <w:rsid w:val="5E186F35"/>
    <w:rsid w:val="5E1E2209"/>
    <w:rsid w:val="5E2115CD"/>
    <w:rsid w:val="5E306860"/>
    <w:rsid w:val="5E3A5723"/>
    <w:rsid w:val="5E645AFE"/>
    <w:rsid w:val="5E6F6AA5"/>
    <w:rsid w:val="5E7408D1"/>
    <w:rsid w:val="5E754335"/>
    <w:rsid w:val="5E7A1EB6"/>
    <w:rsid w:val="5E7C3368"/>
    <w:rsid w:val="5E9049F6"/>
    <w:rsid w:val="5E9345EC"/>
    <w:rsid w:val="5E9A7B0A"/>
    <w:rsid w:val="5E9C3BB1"/>
    <w:rsid w:val="5EA9706D"/>
    <w:rsid w:val="5EAA1E65"/>
    <w:rsid w:val="5EAA4F66"/>
    <w:rsid w:val="5EB54679"/>
    <w:rsid w:val="5EBD585E"/>
    <w:rsid w:val="5EE251D6"/>
    <w:rsid w:val="5EEB09B1"/>
    <w:rsid w:val="5EEFD773"/>
    <w:rsid w:val="5EF15C65"/>
    <w:rsid w:val="5F0243B2"/>
    <w:rsid w:val="5F12247D"/>
    <w:rsid w:val="5F162D71"/>
    <w:rsid w:val="5F2009B6"/>
    <w:rsid w:val="5F34ED8F"/>
    <w:rsid w:val="5F356CB9"/>
    <w:rsid w:val="5F3F619D"/>
    <w:rsid w:val="5F487ACD"/>
    <w:rsid w:val="5F4E3BE9"/>
    <w:rsid w:val="5F6A0E15"/>
    <w:rsid w:val="5F852609"/>
    <w:rsid w:val="5F9A9E38"/>
    <w:rsid w:val="5F9F5095"/>
    <w:rsid w:val="5F9F7CEA"/>
    <w:rsid w:val="5FA121E8"/>
    <w:rsid w:val="5FA44010"/>
    <w:rsid w:val="5FAE6DBD"/>
    <w:rsid w:val="5FAF7DA1"/>
    <w:rsid w:val="5FB962D5"/>
    <w:rsid w:val="5FC5723D"/>
    <w:rsid w:val="5FCB7BDC"/>
    <w:rsid w:val="5FD87E66"/>
    <w:rsid w:val="5FE948FD"/>
    <w:rsid w:val="5FF667AE"/>
    <w:rsid w:val="5FFA4C4B"/>
    <w:rsid w:val="6015314A"/>
    <w:rsid w:val="60302718"/>
    <w:rsid w:val="60311C2D"/>
    <w:rsid w:val="603154FC"/>
    <w:rsid w:val="60315A3C"/>
    <w:rsid w:val="603C5729"/>
    <w:rsid w:val="603E402B"/>
    <w:rsid w:val="604638BF"/>
    <w:rsid w:val="60561D75"/>
    <w:rsid w:val="60583D40"/>
    <w:rsid w:val="606251C8"/>
    <w:rsid w:val="606527C3"/>
    <w:rsid w:val="6074411B"/>
    <w:rsid w:val="607B36F3"/>
    <w:rsid w:val="609159D8"/>
    <w:rsid w:val="609A1BAF"/>
    <w:rsid w:val="609F07AB"/>
    <w:rsid w:val="60C9482B"/>
    <w:rsid w:val="60D07D7A"/>
    <w:rsid w:val="60D31618"/>
    <w:rsid w:val="60D5591C"/>
    <w:rsid w:val="60D8092B"/>
    <w:rsid w:val="60DB1843"/>
    <w:rsid w:val="60E23583"/>
    <w:rsid w:val="60FA4DF7"/>
    <w:rsid w:val="61130C1D"/>
    <w:rsid w:val="612C29B7"/>
    <w:rsid w:val="61313FB4"/>
    <w:rsid w:val="613A1697"/>
    <w:rsid w:val="613A34C7"/>
    <w:rsid w:val="613A51F3"/>
    <w:rsid w:val="613F4DE6"/>
    <w:rsid w:val="61414EF5"/>
    <w:rsid w:val="61417544"/>
    <w:rsid w:val="61454EF9"/>
    <w:rsid w:val="615264A9"/>
    <w:rsid w:val="6155027F"/>
    <w:rsid w:val="616F6D14"/>
    <w:rsid w:val="61776C9C"/>
    <w:rsid w:val="6188148A"/>
    <w:rsid w:val="619522FD"/>
    <w:rsid w:val="61A55A4B"/>
    <w:rsid w:val="61CC2B22"/>
    <w:rsid w:val="61E54345"/>
    <w:rsid w:val="61EA2E6C"/>
    <w:rsid w:val="61ED375C"/>
    <w:rsid w:val="61F66962"/>
    <w:rsid w:val="61F71336"/>
    <w:rsid w:val="621C70B2"/>
    <w:rsid w:val="624C2591"/>
    <w:rsid w:val="625850B5"/>
    <w:rsid w:val="626C67B1"/>
    <w:rsid w:val="626E5F99"/>
    <w:rsid w:val="627A7861"/>
    <w:rsid w:val="628B46C9"/>
    <w:rsid w:val="62B86D17"/>
    <w:rsid w:val="62C76F5B"/>
    <w:rsid w:val="62D76DA3"/>
    <w:rsid w:val="62DC3D5C"/>
    <w:rsid w:val="62EF016A"/>
    <w:rsid w:val="62FB6279"/>
    <w:rsid w:val="62FE1A90"/>
    <w:rsid w:val="63007580"/>
    <w:rsid w:val="63695CAB"/>
    <w:rsid w:val="636A5756"/>
    <w:rsid w:val="636E2999"/>
    <w:rsid w:val="637E5E73"/>
    <w:rsid w:val="63806AF1"/>
    <w:rsid w:val="63A47A4D"/>
    <w:rsid w:val="63A63DA7"/>
    <w:rsid w:val="63C76EA4"/>
    <w:rsid w:val="63CB7B0C"/>
    <w:rsid w:val="63CD525E"/>
    <w:rsid w:val="63CF311B"/>
    <w:rsid w:val="63D01E3F"/>
    <w:rsid w:val="63D971AC"/>
    <w:rsid w:val="63DE27AE"/>
    <w:rsid w:val="63E21494"/>
    <w:rsid w:val="63EB0BA9"/>
    <w:rsid w:val="63EC48C6"/>
    <w:rsid w:val="640478AE"/>
    <w:rsid w:val="64242CF5"/>
    <w:rsid w:val="64283A29"/>
    <w:rsid w:val="646175F7"/>
    <w:rsid w:val="647311E7"/>
    <w:rsid w:val="647530F2"/>
    <w:rsid w:val="647A6CCC"/>
    <w:rsid w:val="649713E3"/>
    <w:rsid w:val="6497295D"/>
    <w:rsid w:val="6497641A"/>
    <w:rsid w:val="649E2DED"/>
    <w:rsid w:val="64AC18B9"/>
    <w:rsid w:val="64B33C3A"/>
    <w:rsid w:val="64C30962"/>
    <w:rsid w:val="64C5327A"/>
    <w:rsid w:val="64CC2606"/>
    <w:rsid w:val="64CD6517"/>
    <w:rsid w:val="64CD7A4E"/>
    <w:rsid w:val="64DF397A"/>
    <w:rsid w:val="64DF7930"/>
    <w:rsid w:val="64E8412D"/>
    <w:rsid w:val="6511202E"/>
    <w:rsid w:val="65155FB7"/>
    <w:rsid w:val="651B44C6"/>
    <w:rsid w:val="65274048"/>
    <w:rsid w:val="652B64FF"/>
    <w:rsid w:val="65305C83"/>
    <w:rsid w:val="653820FF"/>
    <w:rsid w:val="653D5F0E"/>
    <w:rsid w:val="654775FD"/>
    <w:rsid w:val="654C52C6"/>
    <w:rsid w:val="65535DBC"/>
    <w:rsid w:val="65614203"/>
    <w:rsid w:val="656B0071"/>
    <w:rsid w:val="656D04B1"/>
    <w:rsid w:val="656D5A3F"/>
    <w:rsid w:val="658B0713"/>
    <w:rsid w:val="65916D11"/>
    <w:rsid w:val="65A15197"/>
    <w:rsid w:val="65B2F319"/>
    <w:rsid w:val="65B84AE9"/>
    <w:rsid w:val="65C61233"/>
    <w:rsid w:val="65C91D63"/>
    <w:rsid w:val="65D4341D"/>
    <w:rsid w:val="65D75FAE"/>
    <w:rsid w:val="65DB16BC"/>
    <w:rsid w:val="65DD539B"/>
    <w:rsid w:val="65DF2BCD"/>
    <w:rsid w:val="65EA1BF0"/>
    <w:rsid w:val="65EB198B"/>
    <w:rsid w:val="65F52D32"/>
    <w:rsid w:val="65FA2E82"/>
    <w:rsid w:val="65FC6F1B"/>
    <w:rsid w:val="66050931"/>
    <w:rsid w:val="661928DD"/>
    <w:rsid w:val="662030BA"/>
    <w:rsid w:val="66256F76"/>
    <w:rsid w:val="663411AC"/>
    <w:rsid w:val="663A4264"/>
    <w:rsid w:val="664C2817"/>
    <w:rsid w:val="666705BA"/>
    <w:rsid w:val="66714FE2"/>
    <w:rsid w:val="66793525"/>
    <w:rsid w:val="667E641E"/>
    <w:rsid w:val="667E769C"/>
    <w:rsid w:val="66AE1439"/>
    <w:rsid w:val="66D35B25"/>
    <w:rsid w:val="66D431E2"/>
    <w:rsid w:val="66D7221F"/>
    <w:rsid w:val="66E45FDC"/>
    <w:rsid w:val="66F03836"/>
    <w:rsid w:val="66F347C2"/>
    <w:rsid w:val="66F46714"/>
    <w:rsid w:val="67073D57"/>
    <w:rsid w:val="6740552D"/>
    <w:rsid w:val="674631E4"/>
    <w:rsid w:val="677551D7"/>
    <w:rsid w:val="67771097"/>
    <w:rsid w:val="67870999"/>
    <w:rsid w:val="679A4723"/>
    <w:rsid w:val="67B436CE"/>
    <w:rsid w:val="67C65FAF"/>
    <w:rsid w:val="67CF11D8"/>
    <w:rsid w:val="67D20516"/>
    <w:rsid w:val="67E94C3B"/>
    <w:rsid w:val="67EB561D"/>
    <w:rsid w:val="67EE5988"/>
    <w:rsid w:val="67F12C4A"/>
    <w:rsid w:val="67F67351"/>
    <w:rsid w:val="67FF23E7"/>
    <w:rsid w:val="68024955"/>
    <w:rsid w:val="680939FA"/>
    <w:rsid w:val="680B4B0C"/>
    <w:rsid w:val="680B71E7"/>
    <w:rsid w:val="681477FD"/>
    <w:rsid w:val="6815342E"/>
    <w:rsid w:val="681C05B6"/>
    <w:rsid w:val="681E586F"/>
    <w:rsid w:val="68312A5F"/>
    <w:rsid w:val="683252F0"/>
    <w:rsid w:val="68492FF4"/>
    <w:rsid w:val="685017A0"/>
    <w:rsid w:val="68525518"/>
    <w:rsid w:val="685A1EB3"/>
    <w:rsid w:val="68A351DE"/>
    <w:rsid w:val="68C72FCA"/>
    <w:rsid w:val="68E22431"/>
    <w:rsid w:val="68FE3053"/>
    <w:rsid w:val="690179CF"/>
    <w:rsid w:val="691D687D"/>
    <w:rsid w:val="69257364"/>
    <w:rsid w:val="69301DA4"/>
    <w:rsid w:val="693F6FBD"/>
    <w:rsid w:val="695248D6"/>
    <w:rsid w:val="695452C0"/>
    <w:rsid w:val="69573CE5"/>
    <w:rsid w:val="69617007"/>
    <w:rsid w:val="696B7E5A"/>
    <w:rsid w:val="6972636E"/>
    <w:rsid w:val="697A5B57"/>
    <w:rsid w:val="6985694B"/>
    <w:rsid w:val="699C4674"/>
    <w:rsid w:val="69AD2AC2"/>
    <w:rsid w:val="69B11FA0"/>
    <w:rsid w:val="69CC30A8"/>
    <w:rsid w:val="69D37D57"/>
    <w:rsid w:val="69E27242"/>
    <w:rsid w:val="69EC54F9"/>
    <w:rsid w:val="69F44020"/>
    <w:rsid w:val="6A010950"/>
    <w:rsid w:val="6A0B4CE5"/>
    <w:rsid w:val="6A285A16"/>
    <w:rsid w:val="6A2C0D83"/>
    <w:rsid w:val="6A314AE1"/>
    <w:rsid w:val="6A7642F6"/>
    <w:rsid w:val="6A8C0E14"/>
    <w:rsid w:val="6A9862BB"/>
    <w:rsid w:val="6AA1743B"/>
    <w:rsid w:val="6AAB0F10"/>
    <w:rsid w:val="6AE135D0"/>
    <w:rsid w:val="6B06466F"/>
    <w:rsid w:val="6B0C10AF"/>
    <w:rsid w:val="6B145A1F"/>
    <w:rsid w:val="6B1E16E2"/>
    <w:rsid w:val="6B4132B4"/>
    <w:rsid w:val="6B4648D5"/>
    <w:rsid w:val="6B4A19CC"/>
    <w:rsid w:val="6B4E3DC3"/>
    <w:rsid w:val="6B5B2936"/>
    <w:rsid w:val="6B5E14E3"/>
    <w:rsid w:val="6B654D37"/>
    <w:rsid w:val="6B6A181E"/>
    <w:rsid w:val="6B83305C"/>
    <w:rsid w:val="6B8E66E4"/>
    <w:rsid w:val="6B90383B"/>
    <w:rsid w:val="6B9259EF"/>
    <w:rsid w:val="6BA8769A"/>
    <w:rsid w:val="6BB0633B"/>
    <w:rsid w:val="6BBD714D"/>
    <w:rsid w:val="6BD471EC"/>
    <w:rsid w:val="6C0153E3"/>
    <w:rsid w:val="6C1569B1"/>
    <w:rsid w:val="6C1E0F6C"/>
    <w:rsid w:val="6C262291"/>
    <w:rsid w:val="6C3D7B2C"/>
    <w:rsid w:val="6C4A23F2"/>
    <w:rsid w:val="6C53674A"/>
    <w:rsid w:val="6C5376D3"/>
    <w:rsid w:val="6C815C3B"/>
    <w:rsid w:val="6C8B0FF9"/>
    <w:rsid w:val="6CB84A51"/>
    <w:rsid w:val="6CC8064F"/>
    <w:rsid w:val="6CC86D29"/>
    <w:rsid w:val="6CC9639F"/>
    <w:rsid w:val="6CCB60BA"/>
    <w:rsid w:val="6CD25410"/>
    <w:rsid w:val="6CDA13BA"/>
    <w:rsid w:val="6CE54AB2"/>
    <w:rsid w:val="6CEA1A67"/>
    <w:rsid w:val="6CEE2511"/>
    <w:rsid w:val="6D055978"/>
    <w:rsid w:val="6D0D67FC"/>
    <w:rsid w:val="6D1127EA"/>
    <w:rsid w:val="6D240322"/>
    <w:rsid w:val="6D294B1D"/>
    <w:rsid w:val="6D38209B"/>
    <w:rsid w:val="6D3B4059"/>
    <w:rsid w:val="6D3F79C7"/>
    <w:rsid w:val="6D4D2B68"/>
    <w:rsid w:val="6D4F4CE5"/>
    <w:rsid w:val="6D555430"/>
    <w:rsid w:val="6D606609"/>
    <w:rsid w:val="6D744AE5"/>
    <w:rsid w:val="6D88226B"/>
    <w:rsid w:val="6DB50AD2"/>
    <w:rsid w:val="6DD52481"/>
    <w:rsid w:val="6DD65BA8"/>
    <w:rsid w:val="6DEB362D"/>
    <w:rsid w:val="6DF84080"/>
    <w:rsid w:val="6DFB706A"/>
    <w:rsid w:val="6E046A79"/>
    <w:rsid w:val="6E0E07A4"/>
    <w:rsid w:val="6E291C38"/>
    <w:rsid w:val="6E3632BE"/>
    <w:rsid w:val="6E4262F8"/>
    <w:rsid w:val="6E4F46ED"/>
    <w:rsid w:val="6E5B0B5B"/>
    <w:rsid w:val="6E5F7684"/>
    <w:rsid w:val="6E6B709D"/>
    <w:rsid w:val="6E6C6DF0"/>
    <w:rsid w:val="6E71411C"/>
    <w:rsid w:val="6E7473B4"/>
    <w:rsid w:val="6E7F5F68"/>
    <w:rsid w:val="6E7F6F16"/>
    <w:rsid w:val="6E90490B"/>
    <w:rsid w:val="6EB64E9B"/>
    <w:rsid w:val="6EB865EC"/>
    <w:rsid w:val="6EBD11C9"/>
    <w:rsid w:val="6EE344E6"/>
    <w:rsid w:val="6F00347F"/>
    <w:rsid w:val="6F062BB9"/>
    <w:rsid w:val="6F1020E7"/>
    <w:rsid w:val="6F262835"/>
    <w:rsid w:val="6F3514ED"/>
    <w:rsid w:val="6F51652A"/>
    <w:rsid w:val="6F656F7D"/>
    <w:rsid w:val="6F6F0AD9"/>
    <w:rsid w:val="6F70044A"/>
    <w:rsid w:val="6F7044D6"/>
    <w:rsid w:val="6F73182D"/>
    <w:rsid w:val="6F7451FE"/>
    <w:rsid w:val="6F745D74"/>
    <w:rsid w:val="6F7B48F6"/>
    <w:rsid w:val="6F7C1DD0"/>
    <w:rsid w:val="6F812C52"/>
    <w:rsid w:val="6F841711"/>
    <w:rsid w:val="6F8D77D9"/>
    <w:rsid w:val="6F8D7AB4"/>
    <w:rsid w:val="6F9409AC"/>
    <w:rsid w:val="6F9A6059"/>
    <w:rsid w:val="6FA073DD"/>
    <w:rsid w:val="6FB74EB8"/>
    <w:rsid w:val="6FB75233"/>
    <w:rsid w:val="6FCA6997"/>
    <w:rsid w:val="6FCB5250"/>
    <w:rsid w:val="6FCF7CF7"/>
    <w:rsid w:val="6FD32BC8"/>
    <w:rsid w:val="6FD52F10"/>
    <w:rsid w:val="6FD851C3"/>
    <w:rsid w:val="6FE16D2C"/>
    <w:rsid w:val="6FE61522"/>
    <w:rsid w:val="6FE97006"/>
    <w:rsid w:val="6FFC5C8A"/>
    <w:rsid w:val="700E535A"/>
    <w:rsid w:val="700F1836"/>
    <w:rsid w:val="702C08BC"/>
    <w:rsid w:val="703B221B"/>
    <w:rsid w:val="70697EAB"/>
    <w:rsid w:val="70700C31"/>
    <w:rsid w:val="7087559A"/>
    <w:rsid w:val="70922A46"/>
    <w:rsid w:val="70A2353A"/>
    <w:rsid w:val="70BC27F8"/>
    <w:rsid w:val="70C677A3"/>
    <w:rsid w:val="70CF7BA0"/>
    <w:rsid w:val="70D94A29"/>
    <w:rsid w:val="70ED4030"/>
    <w:rsid w:val="70F96E79"/>
    <w:rsid w:val="70FF07C2"/>
    <w:rsid w:val="710A7182"/>
    <w:rsid w:val="710C67E4"/>
    <w:rsid w:val="710E5B63"/>
    <w:rsid w:val="711D6E99"/>
    <w:rsid w:val="71290C24"/>
    <w:rsid w:val="712C3F43"/>
    <w:rsid w:val="712C616A"/>
    <w:rsid w:val="712D267F"/>
    <w:rsid w:val="712E7CE0"/>
    <w:rsid w:val="712F1303"/>
    <w:rsid w:val="71440943"/>
    <w:rsid w:val="715136D5"/>
    <w:rsid w:val="715971B7"/>
    <w:rsid w:val="71660D26"/>
    <w:rsid w:val="716C3296"/>
    <w:rsid w:val="71774DA3"/>
    <w:rsid w:val="717E737E"/>
    <w:rsid w:val="7188695A"/>
    <w:rsid w:val="71997EB7"/>
    <w:rsid w:val="719B254B"/>
    <w:rsid w:val="71A001C4"/>
    <w:rsid w:val="71A0295B"/>
    <w:rsid w:val="71B41EDD"/>
    <w:rsid w:val="71C65BBC"/>
    <w:rsid w:val="71D34C97"/>
    <w:rsid w:val="71DC421E"/>
    <w:rsid w:val="71ED3747"/>
    <w:rsid w:val="71EE283C"/>
    <w:rsid w:val="71F20C60"/>
    <w:rsid w:val="72075EF1"/>
    <w:rsid w:val="721A463B"/>
    <w:rsid w:val="722B2CC2"/>
    <w:rsid w:val="723A1810"/>
    <w:rsid w:val="726166E9"/>
    <w:rsid w:val="72760055"/>
    <w:rsid w:val="727F55CD"/>
    <w:rsid w:val="728C6F12"/>
    <w:rsid w:val="729B4017"/>
    <w:rsid w:val="72A16F5F"/>
    <w:rsid w:val="72A8743C"/>
    <w:rsid w:val="72B03FE5"/>
    <w:rsid w:val="72BA2638"/>
    <w:rsid w:val="72BD1F09"/>
    <w:rsid w:val="72EC5BB0"/>
    <w:rsid w:val="72EC7348"/>
    <w:rsid w:val="72F02055"/>
    <w:rsid w:val="72F90D39"/>
    <w:rsid w:val="73162EF9"/>
    <w:rsid w:val="73170BD9"/>
    <w:rsid w:val="731E6685"/>
    <w:rsid w:val="73326919"/>
    <w:rsid w:val="73470537"/>
    <w:rsid w:val="73567358"/>
    <w:rsid w:val="735F2B12"/>
    <w:rsid w:val="73722F12"/>
    <w:rsid w:val="737C2482"/>
    <w:rsid w:val="737C3936"/>
    <w:rsid w:val="73A20973"/>
    <w:rsid w:val="73A977B9"/>
    <w:rsid w:val="73B40A67"/>
    <w:rsid w:val="73F05BE5"/>
    <w:rsid w:val="73FC584B"/>
    <w:rsid w:val="740436FC"/>
    <w:rsid w:val="74172025"/>
    <w:rsid w:val="74640CC5"/>
    <w:rsid w:val="74656D97"/>
    <w:rsid w:val="74684D7A"/>
    <w:rsid w:val="746914D9"/>
    <w:rsid w:val="74730B12"/>
    <w:rsid w:val="747311B7"/>
    <w:rsid w:val="7487654A"/>
    <w:rsid w:val="7489747D"/>
    <w:rsid w:val="74A5122B"/>
    <w:rsid w:val="74DB47F1"/>
    <w:rsid w:val="74E5017F"/>
    <w:rsid w:val="75022D67"/>
    <w:rsid w:val="752515A2"/>
    <w:rsid w:val="752F033C"/>
    <w:rsid w:val="754B0AFC"/>
    <w:rsid w:val="75531F1A"/>
    <w:rsid w:val="757F1539"/>
    <w:rsid w:val="75BA14FE"/>
    <w:rsid w:val="75C07E9C"/>
    <w:rsid w:val="75C14584"/>
    <w:rsid w:val="75D84544"/>
    <w:rsid w:val="75F02DEF"/>
    <w:rsid w:val="76035C72"/>
    <w:rsid w:val="76115119"/>
    <w:rsid w:val="761F2EAE"/>
    <w:rsid w:val="76253251"/>
    <w:rsid w:val="76294CFB"/>
    <w:rsid w:val="763753FA"/>
    <w:rsid w:val="763E6A82"/>
    <w:rsid w:val="764C0920"/>
    <w:rsid w:val="764D7EE7"/>
    <w:rsid w:val="76512594"/>
    <w:rsid w:val="7679542C"/>
    <w:rsid w:val="76803DD5"/>
    <w:rsid w:val="769E5D2F"/>
    <w:rsid w:val="76BF04E6"/>
    <w:rsid w:val="76C6121F"/>
    <w:rsid w:val="76CF6682"/>
    <w:rsid w:val="76E71522"/>
    <w:rsid w:val="76EF3CA1"/>
    <w:rsid w:val="772A2DD2"/>
    <w:rsid w:val="77351E67"/>
    <w:rsid w:val="77384339"/>
    <w:rsid w:val="773F6477"/>
    <w:rsid w:val="77407DAF"/>
    <w:rsid w:val="775F3011"/>
    <w:rsid w:val="776373FF"/>
    <w:rsid w:val="7768741F"/>
    <w:rsid w:val="77702655"/>
    <w:rsid w:val="77762C9D"/>
    <w:rsid w:val="778078CA"/>
    <w:rsid w:val="778B00FF"/>
    <w:rsid w:val="778C659C"/>
    <w:rsid w:val="778D22BC"/>
    <w:rsid w:val="77904062"/>
    <w:rsid w:val="779138F5"/>
    <w:rsid w:val="77AE5359"/>
    <w:rsid w:val="77AE6533"/>
    <w:rsid w:val="77B13010"/>
    <w:rsid w:val="77B2365A"/>
    <w:rsid w:val="77D25D2E"/>
    <w:rsid w:val="77D8722D"/>
    <w:rsid w:val="77DF0AF7"/>
    <w:rsid w:val="77E7CD46"/>
    <w:rsid w:val="77F008AA"/>
    <w:rsid w:val="77F55238"/>
    <w:rsid w:val="77F75794"/>
    <w:rsid w:val="77FA0E87"/>
    <w:rsid w:val="78126A72"/>
    <w:rsid w:val="78140A06"/>
    <w:rsid w:val="781702EA"/>
    <w:rsid w:val="781B025C"/>
    <w:rsid w:val="782A6714"/>
    <w:rsid w:val="785E719F"/>
    <w:rsid w:val="786272AC"/>
    <w:rsid w:val="786323A1"/>
    <w:rsid w:val="787D6397"/>
    <w:rsid w:val="7884477A"/>
    <w:rsid w:val="788A772B"/>
    <w:rsid w:val="789C5B29"/>
    <w:rsid w:val="78B74C4C"/>
    <w:rsid w:val="78BC2630"/>
    <w:rsid w:val="78C3240B"/>
    <w:rsid w:val="78D27070"/>
    <w:rsid w:val="78EA6901"/>
    <w:rsid w:val="78F32D83"/>
    <w:rsid w:val="78F85C68"/>
    <w:rsid w:val="790008F7"/>
    <w:rsid w:val="791B0795"/>
    <w:rsid w:val="79263B60"/>
    <w:rsid w:val="792C3D01"/>
    <w:rsid w:val="7938311B"/>
    <w:rsid w:val="794B3B4F"/>
    <w:rsid w:val="7952144A"/>
    <w:rsid w:val="7961322A"/>
    <w:rsid w:val="796C12DF"/>
    <w:rsid w:val="797A584B"/>
    <w:rsid w:val="798A4C62"/>
    <w:rsid w:val="798B43D9"/>
    <w:rsid w:val="798C0AB0"/>
    <w:rsid w:val="79971324"/>
    <w:rsid w:val="79AA758F"/>
    <w:rsid w:val="79AB4DB8"/>
    <w:rsid w:val="79BF6711"/>
    <w:rsid w:val="79C73259"/>
    <w:rsid w:val="79EB36E9"/>
    <w:rsid w:val="7A252A44"/>
    <w:rsid w:val="7A284429"/>
    <w:rsid w:val="7A2F5952"/>
    <w:rsid w:val="7A3A5588"/>
    <w:rsid w:val="7A430A13"/>
    <w:rsid w:val="7A4371B6"/>
    <w:rsid w:val="7A467C7F"/>
    <w:rsid w:val="7A5818A2"/>
    <w:rsid w:val="7A611BAF"/>
    <w:rsid w:val="7A8D2144"/>
    <w:rsid w:val="7A9E2D5C"/>
    <w:rsid w:val="7AB12CB1"/>
    <w:rsid w:val="7AB26815"/>
    <w:rsid w:val="7AE07C8F"/>
    <w:rsid w:val="7AE1789B"/>
    <w:rsid w:val="7AEC2796"/>
    <w:rsid w:val="7AF27672"/>
    <w:rsid w:val="7B0750CF"/>
    <w:rsid w:val="7B084FCD"/>
    <w:rsid w:val="7B1F5179"/>
    <w:rsid w:val="7B255FA0"/>
    <w:rsid w:val="7B2C0D33"/>
    <w:rsid w:val="7B2C39A7"/>
    <w:rsid w:val="7B3318B4"/>
    <w:rsid w:val="7B334C7E"/>
    <w:rsid w:val="7B381FD2"/>
    <w:rsid w:val="7B44505F"/>
    <w:rsid w:val="7B474E6D"/>
    <w:rsid w:val="7B56198C"/>
    <w:rsid w:val="7B562139"/>
    <w:rsid w:val="7B585121"/>
    <w:rsid w:val="7B5A4D58"/>
    <w:rsid w:val="7B5A701B"/>
    <w:rsid w:val="7B630E29"/>
    <w:rsid w:val="7B79766B"/>
    <w:rsid w:val="7B995935"/>
    <w:rsid w:val="7B9E47C0"/>
    <w:rsid w:val="7B9F52BA"/>
    <w:rsid w:val="7BA86F65"/>
    <w:rsid w:val="7BB04485"/>
    <w:rsid w:val="7BCB539A"/>
    <w:rsid w:val="7BCF0D84"/>
    <w:rsid w:val="7BD57C72"/>
    <w:rsid w:val="7BDEA424"/>
    <w:rsid w:val="7BE2652D"/>
    <w:rsid w:val="7BEC347B"/>
    <w:rsid w:val="7BEC6988"/>
    <w:rsid w:val="7BF7D2D6"/>
    <w:rsid w:val="7BFE8B31"/>
    <w:rsid w:val="7C007D9E"/>
    <w:rsid w:val="7C073E28"/>
    <w:rsid w:val="7C1B0C6F"/>
    <w:rsid w:val="7C1F52BA"/>
    <w:rsid w:val="7C2D3880"/>
    <w:rsid w:val="7C371950"/>
    <w:rsid w:val="7C3F770A"/>
    <w:rsid w:val="7C440E00"/>
    <w:rsid w:val="7C492337"/>
    <w:rsid w:val="7C5A3F8D"/>
    <w:rsid w:val="7C5C02BC"/>
    <w:rsid w:val="7C8D1C76"/>
    <w:rsid w:val="7C9F6B28"/>
    <w:rsid w:val="7CA00D26"/>
    <w:rsid w:val="7CCE3971"/>
    <w:rsid w:val="7CCF5487"/>
    <w:rsid w:val="7CD176D9"/>
    <w:rsid w:val="7CDA243E"/>
    <w:rsid w:val="7CEA6321"/>
    <w:rsid w:val="7CF41CD9"/>
    <w:rsid w:val="7D1C6F12"/>
    <w:rsid w:val="7D227C54"/>
    <w:rsid w:val="7D284DC7"/>
    <w:rsid w:val="7D3799A8"/>
    <w:rsid w:val="7D454D96"/>
    <w:rsid w:val="7D473970"/>
    <w:rsid w:val="7D6E1B58"/>
    <w:rsid w:val="7D769E7C"/>
    <w:rsid w:val="7D93218A"/>
    <w:rsid w:val="7D985324"/>
    <w:rsid w:val="7DBF1B64"/>
    <w:rsid w:val="7DBF857A"/>
    <w:rsid w:val="7DC63CB3"/>
    <w:rsid w:val="7DD128F1"/>
    <w:rsid w:val="7DD9369F"/>
    <w:rsid w:val="7DDB563F"/>
    <w:rsid w:val="7DDD5DBC"/>
    <w:rsid w:val="7DDF11A4"/>
    <w:rsid w:val="7DDF2F52"/>
    <w:rsid w:val="7DE15BBC"/>
    <w:rsid w:val="7DEC0996"/>
    <w:rsid w:val="7DF06F0E"/>
    <w:rsid w:val="7DFFB45F"/>
    <w:rsid w:val="7E14537A"/>
    <w:rsid w:val="7E227219"/>
    <w:rsid w:val="7E282AA5"/>
    <w:rsid w:val="7E29686C"/>
    <w:rsid w:val="7E4D4360"/>
    <w:rsid w:val="7E4D63C1"/>
    <w:rsid w:val="7E65769A"/>
    <w:rsid w:val="7E6F2F1B"/>
    <w:rsid w:val="7E7F3781"/>
    <w:rsid w:val="7E881543"/>
    <w:rsid w:val="7EA20A51"/>
    <w:rsid w:val="7EB50FD4"/>
    <w:rsid w:val="7EC47DF7"/>
    <w:rsid w:val="7EF80321"/>
    <w:rsid w:val="7EFC69EF"/>
    <w:rsid w:val="7EFF621F"/>
    <w:rsid w:val="7F000594"/>
    <w:rsid w:val="7F090064"/>
    <w:rsid w:val="7F0E732D"/>
    <w:rsid w:val="7F1163CD"/>
    <w:rsid w:val="7F17333B"/>
    <w:rsid w:val="7F1B1413"/>
    <w:rsid w:val="7F293805"/>
    <w:rsid w:val="7F311401"/>
    <w:rsid w:val="7F3549E1"/>
    <w:rsid w:val="7F470C4E"/>
    <w:rsid w:val="7F4A496D"/>
    <w:rsid w:val="7F51012D"/>
    <w:rsid w:val="7F567244"/>
    <w:rsid w:val="7F685C11"/>
    <w:rsid w:val="7F721DF8"/>
    <w:rsid w:val="7F7F0410"/>
    <w:rsid w:val="7F87722F"/>
    <w:rsid w:val="7F880050"/>
    <w:rsid w:val="7F88154F"/>
    <w:rsid w:val="7F882CE4"/>
    <w:rsid w:val="7F8864A9"/>
    <w:rsid w:val="7F9935D5"/>
    <w:rsid w:val="7FB12E71"/>
    <w:rsid w:val="7FC07E72"/>
    <w:rsid w:val="7FC45BDD"/>
    <w:rsid w:val="7FCE6791"/>
    <w:rsid w:val="7FD06556"/>
    <w:rsid w:val="7FD2405B"/>
    <w:rsid w:val="7FE64A6C"/>
    <w:rsid w:val="7FEB1A01"/>
    <w:rsid w:val="7FEF2233"/>
    <w:rsid w:val="AE6F3C7E"/>
    <w:rsid w:val="B2F61438"/>
    <w:rsid w:val="B7B43798"/>
    <w:rsid w:val="BADF228A"/>
    <w:rsid w:val="CCBB02B9"/>
    <w:rsid w:val="CF9D215E"/>
    <w:rsid w:val="D7FF7BE6"/>
    <w:rsid w:val="D9FDB339"/>
    <w:rsid w:val="DA332553"/>
    <w:rsid w:val="DB15FEFC"/>
    <w:rsid w:val="DBD784D0"/>
    <w:rsid w:val="DBFD73A1"/>
    <w:rsid w:val="DECF0AAC"/>
    <w:rsid w:val="DFFEBC07"/>
    <w:rsid w:val="E56F84F7"/>
    <w:rsid w:val="E7FEBBF4"/>
    <w:rsid w:val="EBFA464B"/>
    <w:rsid w:val="EDEF0F9A"/>
    <w:rsid w:val="EFCEFC48"/>
    <w:rsid w:val="F5FE5920"/>
    <w:rsid w:val="F766AC8F"/>
    <w:rsid w:val="FB77E9CA"/>
    <w:rsid w:val="FB963B91"/>
    <w:rsid w:val="FD22D2AB"/>
    <w:rsid w:val="FDFD1D88"/>
    <w:rsid w:val="FE773EAC"/>
    <w:rsid w:val="FEEFFA86"/>
    <w:rsid w:val="FF4DE9FD"/>
    <w:rsid w:val="FFED0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paragraph" w:styleId="4">
    <w:name w:val="heading 1"/>
    <w:basedOn w:val="1"/>
    <w:next w:val="1"/>
    <w:qFormat/>
    <w:uiPriority w:val="0"/>
    <w:pPr>
      <w:outlineLvl w:val="0"/>
    </w:pPr>
    <w:rPr>
      <w:rFonts w:ascii="黑体" w:hAnsi="黑体" w:eastAsia="黑体" w:cs="Times New Roman"/>
      <w:kern w:val="44"/>
      <w:szCs w:val="48"/>
    </w:rPr>
  </w:style>
  <w:style w:type="paragraph" w:styleId="5">
    <w:name w:val="heading 2"/>
    <w:basedOn w:val="1"/>
    <w:next w:val="1"/>
    <w:qFormat/>
    <w:uiPriority w:val="0"/>
    <w:pPr>
      <w:outlineLvl w:val="1"/>
    </w:pPr>
    <w:rPr>
      <w:rFonts w:ascii="楷体_GB2312" w:hAnsi="楷体_GB2312" w:eastAsia="楷体_GB2312"/>
      <w:bCs/>
      <w:szCs w:val="32"/>
    </w:rPr>
  </w:style>
  <w:style w:type="paragraph" w:styleId="6">
    <w:name w:val="heading 3"/>
    <w:basedOn w:val="1"/>
    <w:next w:val="1"/>
    <w:link w:val="22"/>
    <w:qFormat/>
    <w:uiPriority w:val="0"/>
    <w:pPr>
      <w:keepNext/>
      <w:keepLines/>
      <w:outlineLvl w:val="2"/>
    </w:pPr>
    <w:rPr>
      <w:rFonts w:eastAsia="黑体"/>
      <w:bCs/>
      <w:szCs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qFormat/>
    <w:uiPriority w:val="0"/>
    <w:pPr>
      <w:ind w:firstLine="420" w:firstLineChars="100"/>
    </w:pPr>
    <w:rPr>
      <w:rFonts w:eastAsia="文星简小标宋"/>
      <w:sz w:val="44"/>
      <w:szCs w:val="20"/>
    </w:rPr>
  </w:style>
  <w:style w:type="paragraph" w:styleId="7">
    <w:name w:val="annotation text"/>
    <w:basedOn w:val="1"/>
    <w:qFormat/>
    <w:uiPriority w:val="0"/>
    <w:pPr>
      <w:jc w:val="left"/>
    </w:pPr>
  </w:style>
  <w:style w:type="paragraph" w:styleId="8">
    <w:name w:val="footer"/>
    <w:basedOn w:val="1"/>
    <w:qFormat/>
    <w:uiPriority w:val="99"/>
    <w:pPr>
      <w:tabs>
        <w:tab w:val="center" w:pos="4153"/>
        <w:tab w:val="right" w:pos="8306"/>
      </w:tabs>
      <w:snapToGrid w:val="0"/>
      <w:jc w:val="left"/>
    </w:pPr>
    <w:rPr>
      <w:rFonts w:ascii="Times New Roman" w:hAnsi="Times New Roman" w:eastAsia="宋体"/>
      <w:sz w:val="18"/>
      <w:szCs w:val="18"/>
    </w:rPr>
  </w:style>
  <w:style w:type="paragraph" w:styleId="9">
    <w:name w:val="header"/>
    <w:basedOn w:val="1"/>
    <w:link w:val="23"/>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0">
    <w:name w:val="footnote text"/>
    <w:basedOn w:val="1"/>
    <w:qFormat/>
    <w:uiPriority w:val="0"/>
    <w:pPr>
      <w:snapToGrid w:val="0"/>
      <w:jc w:val="left"/>
    </w:pPr>
    <w:rPr>
      <w:sz w:val="18"/>
    </w:rPr>
  </w:style>
  <w:style w:type="paragraph" w:styleId="11">
    <w:name w:val="Normal (Web)"/>
    <w:basedOn w:val="1"/>
    <w:qFormat/>
    <w:uiPriority w:val="0"/>
    <w:pPr>
      <w:spacing w:beforeAutospacing="1" w:afterAutospacing="1"/>
      <w:jc w:val="left"/>
    </w:pPr>
    <w:rPr>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Emphasis"/>
    <w:basedOn w:val="14"/>
    <w:qFormat/>
    <w:uiPriority w:val="0"/>
    <w:rPr>
      <w:i/>
    </w:rPr>
  </w:style>
  <w:style w:type="character" w:styleId="17">
    <w:name w:val="footnote reference"/>
    <w:basedOn w:val="14"/>
    <w:qFormat/>
    <w:uiPriority w:val="0"/>
    <w:rPr>
      <w:vertAlign w:val="superscript"/>
    </w:rPr>
  </w:style>
  <w:style w:type="character" w:customStyle="1" w:styleId="18">
    <w:name w:val="标题 3 字符2"/>
    <w:basedOn w:val="14"/>
    <w:qFormat/>
    <w:uiPriority w:val="0"/>
    <w:rPr>
      <w:rFonts w:eastAsia="黑体"/>
      <w:sz w:val="32"/>
    </w:rPr>
  </w:style>
  <w:style w:type="character" w:customStyle="1" w:styleId="19">
    <w:name w:val="标题 3 Char1"/>
    <w:qFormat/>
    <w:uiPriority w:val="0"/>
    <w:rPr>
      <w:rFonts w:ascii="Times New Roman" w:hAnsi="Times New Roman" w:eastAsia="黑体" w:cs="Times New Roman"/>
      <w:sz w:val="32"/>
      <w:szCs w:val="24"/>
    </w:rPr>
  </w:style>
  <w:style w:type="character" w:customStyle="1" w:styleId="20">
    <w:name w:val="标题 3 字符3"/>
    <w:qFormat/>
    <w:uiPriority w:val="0"/>
    <w:rPr>
      <w:rFonts w:eastAsia="黑体"/>
      <w:sz w:val="32"/>
    </w:rPr>
  </w:style>
  <w:style w:type="character" w:customStyle="1" w:styleId="21">
    <w:name w:val="标题 3 字符4"/>
    <w:qFormat/>
    <w:uiPriority w:val="0"/>
    <w:rPr>
      <w:rFonts w:eastAsia="黑体"/>
      <w:kern w:val="0"/>
      <w:sz w:val="32"/>
      <w:szCs w:val="20"/>
    </w:rPr>
  </w:style>
  <w:style w:type="character" w:customStyle="1" w:styleId="22">
    <w:name w:val="标题 3 字符"/>
    <w:link w:val="6"/>
    <w:qFormat/>
    <w:uiPriority w:val="0"/>
    <w:rPr>
      <w:rFonts w:eastAsia="黑体"/>
      <w:bCs/>
      <w:szCs w:val="32"/>
    </w:rPr>
  </w:style>
  <w:style w:type="character" w:customStyle="1" w:styleId="23">
    <w:name w:val="页眉 字符"/>
    <w:basedOn w:val="14"/>
    <w:link w:val="9"/>
    <w:qFormat/>
    <w:uiPriority w:val="0"/>
    <w:rPr>
      <w:rFonts w:ascii="Calibri" w:hAnsi="Calibri" w:eastAsia="仿宋_GB2312"/>
      <w:kern w:val="2"/>
      <w:sz w:val="18"/>
      <w:szCs w:val="18"/>
    </w:rPr>
  </w:style>
  <w:style w:type="paragraph" w:customStyle="1" w:styleId="24">
    <w:name w:val="Revision"/>
    <w:hidden/>
    <w:semiHidden/>
    <w:qFormat/>
    <w:uiPriority w:val="99"/>
    <w:rPr>
      <w:rFonts w:ascii="Calibri" w:hAnsi="Calibri" w:eastAsia="仿宋_GB2312" w:cs="Times New Roman"/>
      <w:kern w:val="2"/>
      <w:sz w:val="32"/>
      <w:szCs w:val="22"/>
      <w:lang w:val="en-US" w:eastAsia="zh-CN" w:bidi="ar-SA"/>
    </w:rPr>
  </w:style>
  <w:style w:type="character" w:customStyle="1" w:styleId="25">
    <w:name w:val="l-btn-empty"/>
    <w:basedOn w:val="14"/>
    <w:qFormat/>
    <w:uiPriority w:val="0"/>
  </w:style>
  <w:style w:type="character" w:customStyle="1" w:styleId="26">
    <w:name w:val="l-btn-left"/>
    <w:basedOn w:val="14"/>
    <w:qFormat/>
    <w:uiPriority w:val="0"/>
  </w:style>
  <w:style w:type="character" w:customStyle="1" w:styleId="27">
    <w:name w:val="l-btn-left1"/>
    <w:basedOn w:val="14"/>
    <w:qFormat/>
    <w:uiPriority w:val="0"/>
  </w:style>
  <w:style w:type="character" w:customStyle="1" w:styleId="28">
    <w:name w:val="l-btn-left2"/>
    <w:basedOn w:val="14"/>
    <w:qFormat/>
    <w:uiPriority w:val="0"/>
  </w:style>
  <w:style w:type="character" w:customStyle="1" w:styleId="29">
    <w:name w:val="l-btn-left3"/>
    <w:basedOn w:val="14"/>
    <w:qFormat/>
    <w:uiPriority w:val="0"/>
  </w:style>
  <w:style w:type="character" w:customStyle="1" w:styleId="30">
    <w:name w:val="l-btn-text"/>
    <w:basedOn w:val="14"/>
    <w:qFormat/>
    <w:uiPriority w:val="0"/>
  </w:style>
  <w:style w:type="character" w:customStyle="1" w:styleId="31">
    <w:name w:val="sect2title"/>
    <w:basedOn w:val="14"/>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9173</Words>
  <Characters>9182</Characters>
  <Lines>82</Lines>
  <Paragraphs>23</Paragraphs>
  <TotalTime>47</TotalTime>
  <ScaleCrop>false</ScaleCrop>
  <LinksUpToDate>false</LinksUpToDate>
  <CharactersWithSpaces>9332</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2021-06-27T12:42:00Z</dcterms:created>
  <dc:creator>朱亚楠</dc:creator>
  <cp:lastModifiedBy>CYH</cp:lastModifiedBy>
  <cp:lastPrinted>2023-01-16T09:22:00Z</cp:lastPrinted>
  <dcterms:modified xsi:type="dcterms:W3CDTF">2023-01-16T09:52:48Z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2DF05BA49BD04149AECB163647FF5833</vt:lpwstr>
  </property>
</Properties>
</file>